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bookmarkStart w:id="188" w:name="_GoBack"/>
            <w:bookmarkEnd w:id="188"/>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hint="default" w:ascii="黑体" w:hAnsi="黑体" w:eastAsia="黑体"/>
                <w:sz w:val="21"/>
                <w:szCs w:val="21"/>
                <w:lang w:val="en-US" w:eastAsia="zh-CN"/>
              </w:rPr>
            </w:pPr>
            <w:r>
              <w:rPr>
                <w:rFonts w:hint="eastAsia" w:ascii="黑体" w:hAnsi="黑体" w:eastAsia="黑体"/>
                <w:sz w:val="21"/>
                <w:szCs w:val="21"/>
                <w:lang w:val="en-US" w:eastAsia="zh-CN"/>
              </w:rPr>
              <w:t>91.140.10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lang w:val="en-US" w:eastAsia="zh-CN"/>
              </w:rPr>
              <w:t>P46</w:t>
            </w:r>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50"/>
              <w:framePr w:w="0" w:hRule="auto" w:wrap="auto" w:vAnchor="margin" w:hAnchor="text" w:xAlign="left" w:yAlign="inline"/>
              <w:rPr>
                <w:rFonts w:ascii="宋体" w:hAnsi="宋体"/>
                <w:sz w:val="28"/>
                <w:szCs w:val="28"/>
              </w:rPr>
            </w:pPr>
            <w:bookmarkStart w:id="0" w:name="_Hlk26473981"/>
            <w:r>
              <w:t>DB</w:t>
            </w:r>
            <w:r>
              <w:fldChar w:fldCharType="begin">
                <w:ffData>
                  <w:name w:val="c1"/>
                  <w:enabled/>
                  <w:calcOnExit w:val="0"/>
                  <w:textInput>
                    <w:maxLength w:val="8"/>
                  </w:textInput>
                </w:ffData>
              </w:fldChar>
            </w:r>
            <w:bookmarkStart w:id="1" w:name="c1"/>
            <w:r>
              <w:instrText xml:space="preserve"> FORMTEXT </w:instrText>
            </w:r>
            <w:r>
              <w:fldChar w:fldCharType="separate"/>
            </w:r>
            <w:r>
              <w:t>42</w:t>
            </w:r>
            <w:r>
              <w:fldChar w:fldCharType="end"/>
            </w:r>
            <w:bookmarkEnd w:id="1"/>
          </w:p>
        </w:tc>
      </w:tr>
    </w:tbl>
    <w:p>
      <w:pPr>
        <w:pStyle w:val="51"/>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pPr>
        <w:pStyle w:val="196"/>
        <w:rPr>
          <w:lang w:val="fr-FR"/>
        </w:rPr>
      </w:pPr>
      <w:r>
        <w:rPr>
          <w:lang w:val="fr-FR"/>
        </w:rPr>
        <w:t>DB</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rPr>
          <w:lang w:val="fr-FR"/>
        </w:rPr>
        <w:t>42/T</w:t>
      </w:r>
      <w:r>
        <w:fldChar w:fldCharType="end"/>
      </w:r>
      <w:bookmarkEnd w:id="3"/>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t>     </w:t>
      </w:r>
      <w:r>
        <w:fldChar w:fldCharType="end"/>
      </w:r>
      <w:bookmarkEnd w:id="5"/>
    </w:p>
    <w:p>
      <w:pPr>
        <w:pStyle w:val="197"/>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p>
    <w:p>
      <w:pPr>
        <w:pStyle w:val="51"/>
        <w:framePr w:w="9639" w:h="6976" w:hRule="exact" w:hSpace="0" w:vSpace="0" w:hAnchor="page" w:y="6408"/>
        <w:jc w:val="center"/>
        <w:rPr>
          <w:rFonts w:ascii="黑体" w:hAnsi="黑体" w:eastAsia="黑体"/>
          <w:b w:val="0"/>
          <w:bCs w:val="0"/>
          <w:w w:val="100"/>
        </w:rPr>
      </w:pPr>
    </w:p>
    <w:p>
      <w:pPr>
        <w:pStyle w:val="198"/>
        <w:framePr w:h="6974" w:hRule="exact" w:wrap="around" w:x="1419" w:anchorLock="1"/>
      </w:pPr>
      <w:r>
        <w:rPr>
          <w:rFonts w:hint="eastAsia"/>
        </w:rPr>
        <w:t>燃气分户地面辐射供暖技术规程</w:t>
      </w:r>
    </w:p>
    <w:p>
      <w:pPr>
        <w:framePr w:w="9639" w:h="6974" w:hRule="exact" w:wrap="around" w:vAnchor="page" w:hAnchor="page" w:x="1419" w:y="6408" w:anchorLock="1"/>
        <w:ind w:left="-1418"/>
      </w:pPr>
    </w:p>
    <w:p>
      <w:pPr>
        <w:pStyle w:val="126"/>
        <w:framePr w:w="9639" w:h="6974" w:hRule="exact" w:wrap="around" w:vAnchor="page" w:hAnchor="page" w:x="1419" w:y="6408" w:anchorLock="1"/>
        <w:textAlignment w:val="bottom"/>
        <w:rPr>
          <w:rFonts w:eastAsia="黑体"/>
          <w:szCs w:val="28"/>
        </w:rPr>
      </w:pPr>
      <w:r>
        <w:rPr>
          <w:rFonts w:hint="eastAsia" w:ascii="黑体" w:hAnsi="黑体" w:eastAsia="黑体" w:cs="黑体"/>
          <w:szCs w:val="28"/>
        </w:rPr>
        <w:t>Technical specification for household floor radiant heating of gas boiler</w:t>
      </w:r>
    </w:p>
    <w:p>
      <w:pPr>
        <w:framePr w:w="9639" w:h="6974" w:hRule="exact" w:wrap="around" w:vAnchor="page" w:hAnchor="page" w:x="1419" w:y="6408" w:anchorLock="1"/>
        <w:spacing w:line="760" w:lineRule="exact"/>
        <w:ind w:left="-1418"/>
      </w:pPr>
    </w:p>
    <w:p>
      <w:pPr>
        <w:pStyle w:val="126"/>
        <w:framePr w:w="9639" w:h="6974" w:hRule="exact" w:wrap="around" w:vAnchor="page" w:hAnchor="page" w:x="1419" w:y="6408" w:anchorLock="1"/>
        <w:textAlignment w:val="bottom"/>
        <w:rPr>
          <w:rFonts w:eastAsia="黑体"/>
          <w:szCs w:val="28"/>
        </w:rPr>
      </w:pPr>
    </w:p>
    <w:p>
      <w:pPr>
        <w:pStyle w:val="126"/>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pPr>
        <w:pStyle w:val="12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7"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7"/>
    </w:p>
    <w:p>
      <w:pPr>
        <w:pStyle w:val="194"/>
        <w:framePr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pPr>
        <w:pStyle w:val="195"/>
        <w:framePr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tbl>
      <w:tblPr>
        <w:tblStyle w:val="26"/>
        <w:tblpPr w:leftFromText="180" w:rightFromText="180" w:vertAnchor="text" w:horzAnchor="margin" w:tblpXSpec="right" w:tblpY="14609"/>
        <w:tblW w:w="8472" w:type="dxa"/>
        <w:tblInd w:w="0" w:type="dxa"/>
        <w:tblLayout w:type="fixed"/>
        <w:tblCellMar>
          <w:top w:w="0" w:type="dxa"/>
          <w:left w:w="108" w:type="dxa"/>
          <w:bottom w:w="0" w:type="dxa"/>
          <w:right w:w="108" w:type="dxa"/>
        </w:tblCellMar>
      </w:tblPr>
      <w:tblGrid>
        <w:gridCol w:w="5019"/>
        <w:gridCol w:w="3453"/>
      </w:tblGrid>
      <w:tr>
        <w:tblPrEx>
          <w:tblCellMar>
            <w:top w:w="0" w:type="dxa"/>
            <w:left w:w="108" w:type="dxa"/>
            <w:bottom w:w="0" w:type="dxa"/>
            <w:right w:w="108" w:type="dxa"/>
          </w:tblCellMar>
        </w:tblPrEx>
        <w:tc>
          <w:tcPr>
            <w:tcW w:w="5019" w:type="dxa"/>
          </w:tcPr>
          <w:p>
            <w:pPr>
              <w:pStyle w:val="152"/>
              <w:framePr/>
              <w:jc w:val="distribute"/>
              <w:rPr>
                <w:rFonts w:ascii="Times New Roman"/>
                <w:sz w:val="28"/>
                <w:szCs w:val="16"/>
              </w:rPr>
            </w:pPr>
            <w:r>
              <w:rPr>
                <w:rFonts w:ascii="Times New Roman"/>
                <w:sz w:val="28"/>
                <w:szCs w:val="16"/>
              </w:rPr>
              <w:t>湖北省住房和城乡建设厅</w:t>
            </w:r>
          </w:p>
        </w:tc>
        <w:tc>
          <w:tcPr>
            <w:tcW w:w="3453" w:type="dxa"/>
            <w:vMerge w:val="restart"/>
            <w:vAlign w:val="center"/>
          </w:tcPr>
          <w:p>
            <w:pPr>
              <w:pStyle w:val="152"/>
              <w:framePr/>
              <w:rPr>
                <w:rFonts w:ascii="Times New Roman"/>
              </w:rPr>
            </w:pPr>
            <w:r>
              <w:rPr>
                <w:rStyle w:val="230"/>
                <w:rFonts w:ascii="Times New Roman"/>
              </w:rPr>
              <w:t>联合发布</w:t>
            </w:r>
          </w:p>
        </w:tc>
      </w:tr>
      <w:tr>
        <w:tblPrEx>
          <w:tblCellMar>
            <w:top w:w="0" w:type="dxa"/>
            <w:left w:w="108" w:type="dxa"/>
            <w:bottom w:w="0" w:type="dxa"/>
            <w:right w:w="108" w:type="dxa"/>
          </w:tblCellMar>
        </w:tblPrEx>
        <w:tc>
          <w:tcPr>
            <w:tcW w:w="5019" w:type="dxa"/>
          </w:tcPr>
          <w:p>
            <w:pPr>
              <w:pStyle w:val="152"/>
              <w:framePr/>
              <w:jc w:val="distribute"/>
              <w:rPr>
                <w:rFonts w:ascii="Times New Roman"/>
                <w:sz w:val="28"/>
                <w:szCs w:val="16"/>
              </w:rPr>
            </w:pPr>
            <w:r>
              <w:rPr>
                <w:rFonts w:ascii="Times New Roman"/>
                <w:sz w:val="28"/>
                <w:szCs w:val="16"/>
              </w:rPr>
              <w:t xml:space="preserve">湖北省市场监督管理局    </w:t>
            </w:r>
          </w:p>
        </w:tc>
        <w:tc>
          <w:tcPr>
            <w:tcW w:w="3453" w:type="dxa"/>
            <w:vMerge w:val="continue"/>
          </w:tcPr>
          <w:p>
            <w:pPr>
              <w:pStyle w:val="152"/>
              <w:framePr/>
              <w:jc w:val="both"/>
              <w:rPr>
                <w:rFonts w:ascii="Times New Roman"/>
              </w:rPr>
            </w:pPr>
          </w:p>
        </w:tc>
      </w:tr>
    </w:tbl>
    <w:p>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p>
    <w:p>
      <w:pPr>
        <w:pStyle w:val="92"/>
        <w:spacing w:after="468"/>
      </w:pPr>
      <w:bookmarkStart w:id="14" w:name="BookMark1"/>
      <w:r>
        <w:rPr>
          <w:spacing w:val="320"/>
        </w:rPr>
        <w:t>目</w:t>
      </w:r>
      <w:r>
        <w:t>次</w:t>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TOC \o "1-1" \h \t "标准文件_一级条标题,2,标准文件_附录一级条标题,2," </w:instrText>
      </w:r>
      <w:r>
        <w:rPr>
          <w:rFonts w:hint="eastAsia" w:ascii="宋体" w:hAnsi="宋体" w:eastAsia="宋体" w:cs="宋体"/>
          <w:sz w:val="21"/>
          <w:szCs w:val="21"/>
        </w:rPr>
        <w:fldChar w:fldCharType="separate"/>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_Toc15084 </w:instrText>
      </w:r>
      <w:r>
        <w:rPr>
          <w:rFonts w:hint="eastAsia" w:ascii="宋体" w:hAnsi="宋体" w:eastAsia="宋体" w:cs="宋体"/>
          <w:sz w:val="21"/>
          <w:szCs w:val="21"/>
        </w:rPr>
        <w:fldChar w:fldCharType="separate"/>
      </w:r>
      <w:r>
        <w:rPr>
          <w:rFonts w:hint="eastAsia" w:ascii="宋体" w:hAnsi="宋体" w:eastAsia="宋体" w:cs="宋体"/>
          <w:kern w:val="0"/>
          <w:sz w:val="21"/>
          <w:szCs w:val="21"/>
          <w:lang w:val="en-US" w:eastAsia="zh-CN"/>
        </w:rPr>
        <w:t>前言</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_Toc15084 \h </w:instrText>
      </w:r>
      <w:r>
        <w:rPr>
          <w:rFonts w:hint="eastAsia" w:ascii="宋体" w:hAnsi="宋体" w:eastAsia="宋体" w:cs="宋体"/>
          <w:sz w:val="21"/>
          <w:szCs w:val="21"/>
        </w:rPr>
        <w:fldChar w:fldCharType="separate"/>
      </w:r>
      <w:r>
        <w:rPr>
          <w:rFonts w:hint="eastAsia" w:ascii="宋体" w:hAnsi="宋体" w:eastAsia="宋体" w:cs="宋体"/>
          <w:sz w:val="21"/>
          <w:szCs w:val="21"/>
        </w:rPr>
        <w:t>II</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_Toc369 </w:instrText>
      </w:r>
      <w:r>
        <w:rPr>
          <w:rFonts w:hint="eastAsia" w:ascii="宋体" w:hAnsi="宋体" w:eastAsia="宋体" w:cs="宋体"/>
          <w:sz w:val="21"/>
          <w:szCs w:val="21"/>
        </w:rPr>
        <w:fldChar w:fldCharType="separate"/>
      </w:r>
      <w:r>
        <w:rPr>
          <w:rFonts w:hint="eastAsia" w:ascii="宋体" w:hAnsi="宋体" w:eastAsia="宋体" w:cs="宋体"/>
          <w:bCs w:val="0"/>
          <w:kern w:val="0"/>
          <w:sz w:val="21"/>
          <w:szCs w:val="21"/>
          <w:lang w:val="en-US" w:eastAsia="zh-CN"/>
        </w:rPr>
        <w:t>引言</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_Toc369 \h </w:instrText>
      </w:r>
      <w:r>
        <w:rPr>
          <w:rFonts w:hint="eastAsia" w:ascii="宋体" w:hAnsi="宋体" w:eastAsia="宋体" w:cs="宋体"/>
          <w:sz w:val="21"/>
          <w:szCs w:val="21"/>
        </w:rPr>
        <w:fldChar w:fldCharType="separate"/>
      </w:r>
      <w:r>
        <w:rPr>
          <w:rFonts w:hint="eastAsia" w:ascii="宋体" w:hAnsi="宋体" w:eastAsia="宋体" w:cs="宋体"/>
          <w:sz w:val="21"/>
          <w:szCs w:val="21"/>
        </w:rPr>
        <w:t>III</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_Toc4070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1 </w:t>
      </w:r>
      <w:r>
        <w:rPr>
          <w:rFonts w:hint="eastAsia" w:ascii="宋体" w:hAnsi="宋体" w:eastAsia="宋体" w:cs="宋体"/>
          <w:sz w:val="21"/>
          <w:szCs w:val="21"/>
        </w:rPr>
        <w:t>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_Toc4070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_Toc14704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2 </w:t>
      </w:r>
      <w:r>
        <w:rPr>
          <w:rFonts w:hint="eastAsia" w:ascii="宋体" w:hAnsi="宋体" w:eastAsia="宋体" w:cs="宋体"/>
          <w:sz w:val="21"/>
          <w:szCs w:val="21"/>
        </w:rPr>
        <w:t>规范性引用文件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_Toc14704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_Toc3395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3 </w:t>
      </w:r>
      <w:r>
        <w:rPr>
          <w:rFonts w:hint="eastAsia" w:ascii="宋体" w:hAnsi="宋体" w:eastAsia="宋体" w:cs="宋体"/>
          <w:sz w:val="21"/>
          <w:szCs w:val="21"/>
        </w:rPr>
        <w:t>术语和定义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_Toc3395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_Toc29413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4 </w:t>
      </w:r>
      <w:r>
        <w:rPr>
          <w:rFonts w:hint="eastAsia" w:ascii="宋体" w:hAnsi="宋体" w:eastAsia="宋体" w:cs="宋体"/>
          <w:sz w:val="21"/>
          <w:szCs w:val="21"/>
        </w:rPr>
        <w:t>供暖系统工艺流程图</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_Toc29413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_Toc26464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5 </w:t>
      </w:r>
      <w:r>
        <w:rPr>
          <w:rFonts w:hint="eastAsia" w:ascii="宋体" w:hAnsi="宋体" w:eastAsia="宋体" w:cs="宋体"/>
          <w:sz w:val="21"/>
          <w:szCs w:val="21"/>
        </w:rPr>
        <w:t>设计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_Toc26464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_Toc32701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6 </w:t>
      </w:r>
      <w:r>
        <w:rPr>
          <w:rFonts w:hint="eastAsia" w:ascii="宋体" w:hAnsi="宋体" w:eastAsia="宋体" w:cs="宋体"/>
          <w:sz w:val="21"/>
          <w:szCs w:val="21"/>
          <w:lang w:val="en-US" w:eastAsia="zh-CN"/>
        </w:rPr>
        <w:t>材料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_Toc32701 \h </w:instrText>
      </w:r>
      <w:r>
        <w:rPr>
          <w:rFonts w:hint="eastAsia" w:ascii="宋体" w:hAnsi="宋体" w:eastAsia="宋体" w:cs="宋体"/>
          <w:sz w:val="21"/>
          <w:szCs w:val="21"/>
        </w:rPr>
        <w:fldChar w:fldCharType="separate"/>
      </w:r>
      <w:r>
        <w:rPr>
          <w:rFonts w:hint="eastAsia" w:ascii="宋体" w:hAnsi="宋体" w:eastAsia="宋体" w:cs="宋体"/>
          <w:sz w:val="21"/>
          <w:szCs w:val="21"/>
        </w:rPr>
        <w:t>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_Toc25450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7 </w:t>
      </w:r>
      <w:r>
        <w:rPr>
          <w:rFonts w:hint="eastAsia" w:ascii="宋体" w:hAnsi="宋体" w:eastAsia="宋体" w:cs="宋体"/>
          <w:sz w:val="21"/>
          <w:szCs w:val="21"/>
          <w:lang w:val="en-US" w:eastAsia="zh-CN"/>
        </w:rPr>
        <w:t>施工准备</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_Toc25450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_Toc18304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8 </w:t>
      </w:r>
      <w:r>
        <w:rPr>
          <w:rFonts w:hint="eastAsia" w:ascii="宋体" w:hAnsi="宋体" w:eastAsia="宋体" w:cs="宋体"/>
          <w:sz w:val="21"/>
          <w:szCs w:val="21"/>
          <w:lang w:val="en-US" w:eastAsia="zh-CN"/>
        </w:rPr>
        <w:t>输配管网施工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_Toc18304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_Toc28059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9 </w:t>
      </w:r>
      <w:r>
        <w:rPr>
          <w:rFonts w:hint="eastAsia" w:ascii="宋体" w:hAnsi="宋体" w:eastAsia="宋体" w:cs="宋体"/>
          <w:sz w:val="21"/>
          <w:szCs w:val="21"/>
          <w:lang w:val="en-US" w:eastAsia="zh-CN"/>
        </w:rPr>
        <w:t>供暖系统末端安装</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_Toc28059 \h </w:instrText>
      </w:r>
      <w:r>
        <w:rPr>
          <w:rFonts w:hint="eastAsia" w:ascii="宋体" w:hAnsi="宋体" w:eastAsia="宋体" w:cs="宋体"/>
          <w:sz w:val="21"/>
          <w:szCs w:val="21"/>
        </w:rPr>
        <w:fldChar w:fldCharType="separate"/>
      </w:r>
      <w:r>
        <w:rPr>
          <w:rFonts w:hint="eastAsia" w:ascii="宋体" w:hAnsi="宋体" w:eastAsia="宋体" w:cs="宋体"/>
          <w:sz w:val="21"/>
          <w:szCs w:val="21"/>
        </w:rPr>
        <w:t>14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_Toc17704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10 </w:t>
      </w:r>
      <w:r>
        <w:rPr>
          <w:rFonts w:hint="eastAsia" w:ascii="宋体" w:hAnsi="宋体" w:eastAsia="宋体" w:cs="宋体"/>
          <w:sz w:val="21"/>
          <w:szCs w:val="21"/>
          <w:lang w:val="en-US" w:eastAsia="zh-CN"/>
        </w:rPr>
        <w:t>温控装置安装</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_Toc17704 \h </w:instrText>
      </w:r>
      <w:r>
        <w:rPr>
          <w:rFonts w:hint="eastAsia" w:ascii="宋体" w:hAnsi="宋体" w:eastAsia="宋体" w:cs="宋体"/>
          <w:sz w:val="21"/>
          <w:szCs w:val="21"/>
        </w:rPr>
        <w:fldChar w:fldCharType="separate"/>
      </w:r>
      <w:r>
        <w:rPr>
          <w:rFonts w:hint="eastAsia" w:ascii="宋体" w:hAnsi="宋体" w:eastAsia="宋体" w:cs="宋体"/>
          <w:sz w:val="21"/>
          <w:szCs w:val="21"/>
        </w:rPr>
        <w:t>17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_Toc24088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11 </w:t>
      </w:r>
      <w:r>
        <w:rPr>
          <w:rFonts w:hint="eastAsia" w:ascii="宋体" w:hAnsi="宋体" w:eastAsia="宋体" w:cs="宋体"/>
          <w:sz w:val="21"/>
          <w:szCs w:val="21"/>
          <w:lang w:val="en-US" w:eastAsia="zh-CN"/>
        </w:rPr>
        <w:t>采暖炉安装</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_Toc24088 \h </w:instrText>
      </w:r>
      <w:r>
        <w:rPr>
          <w:rFonts w:hint="eastAsia" w:ascii="宋体" w:hAnsi="宋体" w:eastAsia="宋体" w:cs="宋体"/>
          <w:sz w:val="21"/>
          <w:szCs w:val="21"/>
        </w:rPr>
        <w:fldChar w:fldCharType="separate"/>
      </w:r>
      <w:r>
        <w:rPr>
          <w:rFonts w:hint="eastAsia" w:ascii="宋体" w:hAnsi="宋体" w:eastAsia="宋体" w:cs="宋体"/>
          <w:sz w:val="21"/>
          <w:szCs w:val="21"/>
        </w:rPr>
        <w:t>18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_Toc31984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12 </w:t>
      </w:r>
      <w:r>
        <w:rPr>
          <w:rFonts w:hint="eastAsia" w:ascii="宋体" w:hAnsi="宋体" w:eastAsia="宋体" w:cs="宋体"/>
          <w:sz w:val="21"/>
          <w:szCs w:val="21"/>
          <w:lang w:val="en-US" w:eastAsia="zh-CN"/>
        </w:rPr>
        <w:t>水压试验</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_Toc31984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_Toc18971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en-US" w:eastAsia="zh-CN"/>
        </w:rPr>
        <w:t xml:space="preserve">13 </w:t>
      </w:r>
      <w:r>
        <w:rPr>
          <w:rFonts w:hint="eastAsia" w:ascii="宋体" w:hAnsi="宋体" w:eastAsia="宋体" w:cs="宋体"/>
          <w:sz w:val="21"/>
          <w:szCs w:val="21"/>
          <w:lang w:val="en-US" w:eastAsia="zh-CN"/>
        </w:rPr>
        <w:t>试运行、调试及竣工验收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_Toc18971 \h </w:instrText>
      </w:r>
      <w:r>
        <w:rPr>
          <w:rFonts w:hint="eastAsia" w:ascii="宋体" w:hAnsi="宋体" w:eastAsia="宋体" w:cs="宋体"/>
          <w:sz w:val="21"/>
          <w:szCs w:val="21"/>
        </w:rPr>
        <w:fldChar w:fldCharType="separate"/>
      </w:r>
      <w:r>
        <w:rPr>
          <w:rFonts w:hint="eastAsia" w:ascii="宋体" w:hAnsi="宋体" w:eastAsia="宋体" w:cs="宋体"/>
          <w:sz w:val="21"/>
          <w:szCs w:val="21"/>
        </w:rPr>
        <w:t>19</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_Toc29045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14 </w:t>
      </w:r>
      <w:r>
        <w:rPr>
          <w:rFonts w:hint="eastAsia" w:ascii="宋体" w:hAnsi="宋体" w:eastAsia="宋体" w:cs="宋体"/>
          <w:sz w:val="21"/>
          <w:szCs w:val="21"/>
        </w:rPr>
        <w:t>运行与维护</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_Toc29045 \h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_Toc27403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15 </w:t>
      </w:r>
      <w:r>
        <w:rPr>
          <w:rFonts w:hint="eastAsia" w:ascii="宋体" w:hAnsi="宋体" w:eastAsia="宋体" w:cs="宋体"/>
          <w:sz w:val="21"/>
          <w:szCs w:val="21"/>
          <w:lang w:val="en-US" w:eastAsia="zh-CN"/>
        </w:rPr>
        <w:t>标准</w:t>
      </w:r>
      <w:r>
        <w:rPr>
          <w:rFonts w:hint="eastAsia" w:ascii="宋体" w:hAnsi="宋体" w:eastAsia="宋体" w:cs="宋体"/>
          <w:sz w:val="21"/>
          <w:szCs w:val="21"/>
        </w:rPr>
        <w:t>实施</w:t>
      </w:r>
      <w:r>
        <w:rPr>
          <w:rFonts w:hint="eastAsia" w:ascii="宋体" w:hAnsi="宋体" w:eastAsia="宋体" w:cs="宋体"/>
          <w:sz w:val="21"/>
          <w:szCs w:val="21"/>
          <w:lang w:val="en-US" w:eastAsia="zh-CN"/>
        </w:rPr>
        <w:t>及评价</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_Toc27403 \h </w:instrText>
      </w:r>
      <w:r>
        <w:rPr>
          <w:rFonts w:hint="eastAsia" w:ascii="宋体" w:hAnsi="宋体" w:eastAsia="宋体" w:cs="宋体"/>
          <w:sz w:val="21"/>
          <w:szCs w:val="21"/>
        </w:rPr>
        <w:fldChar w:fldCharType="separate"/>
      </w:r>
      <w:r>
        <w:rPr>
          <w:rFonts w:hint="eastAsia" w:ascii="宋体" w:hAnsi="宋体" w:eastAsia="宋体" w:cs="宋体"/>
          <w:sz w:val="21"/>
          <w:szCs w:val="21"/>
        </w:rPr>
        <w:t>20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_Toc7804 </w:instrText>
      </w:r>
      <w:r>
        <w:rPr>
          <w:rFonts w:hint="eastAsia" w:ascii="宋体" w:hAnsi="宋体" w:eastAsia="宋体" w:cs="宋体"/>
          <w:sz w:val="21"/>
          <w:szCs w:val="21"/>
        </w:rPr>
        <w:fldChar w:fldCharType="separate"/>
      </w:r>
      <w:r>
        <w:rPr>
          <w:rFonts w:hint="eastAsia" w:ascii="宋体" w:hAnsi="宋体" w:eastAsia="宋体" w:cs="宋体"/>
          <w:sz w:val="21"/>
          <w:szCs w:val="21"/>
        </w:rPr>
        <w:t>附录A（资料性）室内计算温度t</w:t>
      </w:r>
      <w:r>
        <w:rPr>
          <w:rFonts w:hint="eastAsia" w:ascii="宋体" w:hAnsi="宋体" w:eastAsia="宋体" w:cs="宋体"/>
          <w:sz w:val="21"/>
          <w:szCs w:val="21"/>
          <w:vertAlign w:val="subscript"/>
        </w:rPr>
        <w:t>n</w:t>
      </w:r>
      <w:r>
        <w:rPr>
          <w:rFonts w:hint="eastAsia" w:ascii="宋体" w:hAnsi="宋体" w:eastAsia="宋体" w:cs="宋体"/>
          <w:sz w:val="21"/>
          <w:szCs w:val="21"/>
        </w:rPr>
        <w:t>推荐值</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_Toc7804 \h </w:instrText>
      </w:r>
      <w:r>
        <w:rPr>
          <w:rFonts w:hint="eastAsia" w:ascii="宋体" w:hAnsi="宋体" w:eastAsia="宋体" w:cs="宋体"/>
          <w:sz w:val="21"/>
          <w:szCs w:val="21"/>
        </w:rPr>
        <w:fldChar w:fldCharType="separate"/>
      </w:r>
      <w:r>
        <w:rPr>
          <w:rFonts w:hint="eastAsia" w:ascii="宋体" w:hAnsi="宋体" w:eastAsia="宋体" w:cs="宋体"/>
          <w:sz w:val="21"/>
          <w:szCs w:val="21"/>
        </w:rPr>
        <w:t>22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_Toc31018 </w:instrText>
      </w:r>
      <w:r>
        <w:rPr>
          <w:rFonts w:hint="eastAsia" w:ascii="宋体" w:hAnsi="宋体" w:eastAsia="宋体" w:cs="宋体"/>
          <w:sz w:val="21"/>
          <w:szCs w:val="21"/>
        </w:rPr>
        <w:fldChar w:fldCharType="separate"/>
      </w:r>
      <w:r>
        <w:rPr>
          <w:rFonts w:hint="eastAsia" w:ascii="宋体" w:hAnsi="宋体" w:eastAsia="宋体" w:cs="宋体"/>
          <w:sz w:val="21"/>
          <w:szCs w:val="21"/>
        </w:rPr>
        <w:t>附录B（资料性）中间质量检验自查评定记录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_Toc31018 \h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_Toc18932 </w:instrText>
      </w:r>
      <w:r>
        <w:rPr>
          <w:rFonts w:hint="eastAsia" w:ascii="宋体" w:hAnsi="宋体" w:eastAsia="宋体" w:cs="宋体"/>
          <w:sz w:val="21"/>
          <w:szCs w:val="21"/>
        </w:rPr>
        <w:fldChar w:fldCharType="separate"/>
      </w:r>
      <w:r>
        <w:rPr>
          <w:rFonts w:hint="eastAsia" w:ascii="宋体" w:hAnsi="宋体" w:eastAsia="宋体" w:cs="宋体"/>
          <w:sz w:val="21"/>
          <w:szCs w:val="21"/>
        </w:rPr>
        <w:t>附录C（资料性）试运行和调试验收单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_Toc18932 \h </w:instrText>
      </w:r>
      <w:r>
        <w:rPr>
          <w:rFonts w:hint="eastAsia" w:ascii="宋体" w:hAnsi="宋体" w:eastAsia="宋体" w:cs="宋体"/>
          <w:sz w:val="21"/>
          <w:szCs w:val="21"/>
        </w:rPr>
        <w:fldChar w:fldCharType="separate"/>
      </w:r>
      <w:r>
        <w:rPr>
          <w:rFonts w:hint="eastAsia" w:ascii="宋体" w:hAnsi="宋体" w:eastAsia="宋体" w:cs="宋体"/>
          <w:sz w:val="21"/>
          <w:szCs w:val="21"/>
        </w:rPr>
        <w:t>25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_Toc20040 </w:instrText>
      </w:r>
      <w:r>
        <w:rPr>
          <w:rFonts w:hint="eastAsia" w:ascii="宋体" w:hAnsi="宋体" w:eastAsia="宋体" w:cs="宋体"/>
          <w:sz w:val="21"/>
          <w:szCs w:val="21"/>
        </w:rPr>
        <w:fldChar w:fldCharType="separate"/>
      </w:r>
      <w:r>
        <w:rPr>
          <w:rFonts w:hint="eastAsia" w:ascii="宋体" w:hAnsi="宋体" w:eastAsia="宋体" w:cs="宋体"/>
          <w:sz w:val="21"/>
          <w:szCs w:val="21"/>
        </w:rPr>
        <w:t>附录</w:t>
      </w:r>
      <w:r>
        <w:rPr>
          <w:rFonts w:hint="eastAsia" w:ascii="宋体" w:hAnsi="宋体" w:eastAsia="宋体" w:cs="宋体"/>
          <w:sz w:val="21"/>
          <w:szCs w:val="21"/>
          <w:lang w:val="en-US" w:eastAsia="zh-CN"/>
        </w:rPr>
        <w:t>D</w:t>
      </w:r>
      <w:r>
        <w:rPr>
          <w:rFonts w:hint="eastAsia" w:ascii="宋体" w:hAnsi="宋体" w:eastAsia="宋体" w:cs="宋体"/>
          <w:sz w:val="21"/>
          <w:szCs w:val="21"/>
        </w:rPr>
        <w:t>（资料性）湖北省地方标准实施信息及意见反馈表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_Toc20040 \h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19"/>
        <w:tabs>
          <w:tab w:val="right" w:leader="dot" w:pos="9354"/>
        </w:tabs>
        <w:spacing w:line="24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_Toc20900 </w:instrText>
      </w:r>
      <w:r>
        <w:rPr>
          <w:rFonts w:hint="eastAsia" w:ascii="宋体" w:hAnsi="宋体" w:eastAsia="宋体" w:cs="宋体"/>
          <w:sz w:val="21"/>
          <w:szCs w:val="21"/>
        </w:rPr>
        <w:fldChar w:fldCharType="separate"/>
      </w:r>
      <w:r>
        <w:rPr>
          <w:rFonts w:hint="eastAsia" w:ascii="宋体" w:hAnsi="宋体" w:eastAsia="宋体" w:cs="宋体"/>
          <w:sz w:val="21"/>
          <w:szCs w:val="21"/>
          <w:lang w:val="en-US" w:eastAsia="zh-CN"/>
        </w:rPr>
        <w:t>参考文献</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_Toc20900 \h </w:instrText>
      </w:r>
      <w:r>
        <w:rPr>
          <w:rFonts w:hint="eastAsia" w:ascii="宋体" w:hAnsi="宋体" w:eastAsia="宋体" w:cs="宋体"/>
          <w:sz w:val="21"/>
          <w:szCs w:val="21"/>
        </w:rPr>
        <w:fldChar w:fldCharType="separate"/>
      </w:r>
      <w:r>
        <w:rPr>
          <w:rFonts w:hint="eastAsia" w:ascii="宋体" w:hAnsi="宋体" w:eastAsia="宋体" w:cs="宋体"/>
          <w:sz w:val="21"/>
          <w:szCs w:val="21"/>
        </w:rPr>
        <w:t>27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pPr>
        <w:pStyle w:val="92"/>
        <w:spacing w:after="468" w:line="240" w:lineRule="auto"/>
      </w:pPr>
      <w:r>
        <w:rPr>
          <w:rFonts w:hint="eastAsia" w:ascii="宋体" w:hAnsi="宋体" w:eastAsia="宋体" w:cs="宋体"/>
          <w:sz w:val="21"/>
          <w:szCs w:val="21"/>
        </w:rPr>
        <w:fldChar w:fldCharType="end"/>
      </w:r>
    </w:p>
    <w:p>
      <w:r>
        <w:br w:type="page"/>
      </w:r>
    </w:p>
    <w:p>
      <w:pPr>
        <w:pStyle w:val="2"/>
        <w:keepNext/>
        <w:keepLines/>
        <w:pageBreakBefore w:val="0"/>
        <w:widowControl w:val="0"/>
        <w:kinsoku/>
        <w:wordWrap/>
        <w:overflowPunct/>
        <w:topLinePunct w:val="0"/>
        <w:autoSpaceDE/>
        <w:autoSpaceDN/>
        <w:bidi w:val="0"/>
        <w:adjustRightInd w:val="0"/>
        <w:snapToGrid/>
        <w:spacing w:before="560" w:after="640" w:line="360" w:lineRule="auto"/>
        <w:ind w:left="0" w:leftChars="0" w:firstLine="0" w:firstLineChars="0"/>
        <w:jc w:val="center"/>
        <w:textAlignment w:val="auto"/>
        <w:rPr>
          <w:rFonts w:hint="eastAsia" w:ascii="黑体" w:hAnsi="黑体" w:eastAsia="黑体" w:cs="黑体"/>
          <w:sz w:val="32"/>
          <w:szCs w:val="32"/>
        </w:rPr>
      </w:pPr>
      <w:bookmarkStart w:id="15" w:name="_Toc9811"/>
      <w:bookmarkStart w:id="16" w:name="_Toc20844"/>
      <w:bookmarkStart w:id="17" w:name="_Toc17066"/>
      <w:bookmarkStart w:id="18" w:name="_Toc15084"/>
      <w:r>
        <w:rPr>
          <w:rFonts w:hint="eastAsia" w:ascii="黑体" w:hAnsi="黑体" w:eastAsia="黑体" w:cs="黑体"/>
          <w:kern w:val="0"/>
          <w:sz w:val="32"/>
          <w:szCs w:val="32"/>
          <w:lang w:val="en-US" w:eastAsia="zh-CN"/>
        </w:rPr>
        <w:t>前    言</w:t>
      </w:r>
      <w:bookmarkEnd w:id="15"/>
      <w:bookmarkEnd w:id="16"/>
      <w:bookmarkEnd w:id="17"/>
      <w:bookmarkEnd w:id="18"/>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本文件按照</w:t>
      </w:r>
      <w:r>
        <w:rPr>
          <w:rFonts w:hint="eastAsia" w:ascii="黑体" w:hAnsi="黑体" w:eastAsia="黑体" w:cs="黑体"/>
          <w:sz w:val="21"/>
          <w:szCs w:val="21"/>
        </w:rPr>
        <w:t>GB/T 1.1-2020</w:t>
      </w:r>
      <w:r>
        <w:rPr>
          <w:rFonts w:hint="eastAsia" w:ascii="宋体" w:hAnsi="宋体" w:eastAsia="宋体" w:cs="宋体"/>
          <w:sz w:val="21"/>
          <w:szCs w:val="21"/>
        </w:rPr>
        <w:t>《标准化工作导则第1部分：标准化文件的结构和起草规则》的规定起草。</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请注意本文件的某些内容可能涉及专利。本文件的发布机构不承担识别专利的责任。</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本文件由湖北省住房和城乡建设厅提出并归口。</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本文件主要起草单位：武汉市燃气事业发展中心</w:t>
      </w:r>
      <w:r>
        <w:rPr>
          <w:rFonts w:hint="eastAsia" w:ascii="宋体" w:hAnsi="宋体" w:eastAsia="宋体" w:cs="宋体"/>
          <w:sz w:val="21"/>
          <w:szCs w:val="21"/>
          <w:highlight w:val="none"/>
          <w:lang w:eastAsia="zh-CN"/>
        </w:rPr>
        <w:t>、武汉美洛家商贸有限公司。</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本文件参与起草单位：中国市政工程中南设计研究总院有限公司、武汉能源规划设计有限公司、湖北省燃气具行业协会、湖北省佳兆沣商贸有限责任公司、武汉玛格斯科技有限公司、武汉凯菲冷暖工程有限责任公司、武汉三上工匠科技有限公司</w:t>
      </w:r>
      <w:r>
        <w:rPr>
          <w:rFonts w:hint="eastAsia" w:ascii="宋体" w:hAnsi="宋体" w:cs="宋体"/>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本文件主要起草人：范金晖、王亮亮、万丽帆、杨洁、付乐乐、郭林珊、安翠林、沈凌、刘天文、卢凌、汪志勇、熊雄、李其洪、李佳融、万玉文、冯剑萍、吴彬。</w:t>
      </w:r>
    </w:p>
    <w:p>
      <w:pPr>
        <w:pStyle w:val="92"/>
        <w:keepNext w:val="0"/>
        <w:keepLines w:val="0"/>
        <w:pageBreakBefore w:val="0"/>
        <w:widowControl w:val="0"/>
        <w:kinsoku/>
        <w:wordWrap/>
        <w:overflowPunct/>
        <w:topLinePunct w:val="0"/>
        <w:autoSpaceDE/>
        <w:autoSpaceDN/>
        <w:bidi w:val="0"/>
        <w:adjustRightInd w:val="0"/>
        <w:snapToGrid/>
        <w:spacing w:before="0" w:after="0" w:afterLines="0" w:line="240" w:lineRule="auto"/>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本文件实施应用中的疑问，可咨询湖北省住房和城乡建设厅，联系电话：027-68873088，邮箱：bkc@hbszjt.net.cn。在执行过程中如有意见和建议请邮寄</w:t>
      </w:r>
      <w:r>
        <w:rPr>
          <w:rFonts w:hint="eastAsia" w:ascii="宋体" w:hAnsi="宋体" w:eastAsia="宋体" w:cs="宋体"/>
          <w:sz w:val="21"/>
          <w:szCs w:val="21"/>
          <w:highlight w:val="none"/>
          <w:lang w:eastAsia="zh-CN"/>
        </w:rPr>
        <w:t>武汉市燃气事业发展中心</w:t>
      </w:r>
      <w:r>
        <w:rPr>
          <w:rFonts w:hint="eastAsia" w:ascii="宋体" w:hAnsi="宋体" w:eastAsia="宋体" w:cs="宋体"/>
          <w:sz w:val="21"/>
          <w:szCs w:val="21"/>
          <w:highlight w:val="none"/>
        </w:rPr>
        <w:t>（地址：</w:t>
      </w:r>
      <w:r>
        <w:rPr>
          <w:rFonts w:hint="eastAsia" w:ascii="宋体" w:hAnsi="宋体" w:eastAsia="宋体" w:cs="宋体"/>
          <w:sz w:val="21"/>
          <w:szCs w:val="21"/>
          <w:highlight w:val="none"/>
          <w:lang w:eastAsia="zh-CN"/>
        </w:rPr>
        <w:t>湖北省武汉市江岸区解放大道丹水池百步亭大厦</w:t>
      </w:r>
      <w:r>
        <w:rPr>
          <w:rFonts w:hint="eastAsia" w:ascii="宋体" w:hAnsi="宋体" w:eastAsia="宋体" w:cs="宋体"/>
          <w:sz w:val="21"/>
          <w:szCs w:val="21"/>
          <w:highlight w:val="none"/>
          <w:lang w:val="en-US" w:eastAsia="zh-CN"/>
        </w:rPr>
        <w:t>13楼</w:t>
      </w:r>
      <w:r>
        <w:rPr>
          <w:rFonts w:hint="eastAsia" w:ascii="宋体" w:hAnsi="宋体" w:eastAsia="宋体" w:cs="宋体"/>
          <w:sz w:val="21"/>
          <w:szCs w:val="21"/>
          <w:highlight w:val="none"/>
        </w:rPr>
        <w:t>，邮编</w:t>
      </w:r>
      <w:r>
        <w:rPr>
          <w:rFonts w:hint="eastAsia" w:ascii="宋体" w:hAnsi="宋体" w:eastAsia="宋体" w:cs="宋体"/>
          <w:sz w:val="21"/>
          <w:szCs w:val="21"/>
          <w:highlight w:val="none"/>
          <w:lang w:val="en-US" w:eastAsia="zh-CN"/>
        </w:rPr>
        <w:t>430014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邮箱</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"mailto:617697078@qq.com）。" </w:instrText>
      </w:r>
      <w:r>
        <w:rPr>
          <w:rFonts w:hint="eastAsia" w:ascii="宋体" w:hAnsi="宋体" w:eastAsia="宋体" w:cs="宋体"/>
          <w:sz w:val="21"/>
          <w:szCs w:val="21"/>
          <w:highlight w:val="none"/>
          <w:lang w:val="en-US" w:eastAsia="zh-CN"/>
        </w:rPr>
        <w:fldChar w:fldCharType="separate"/>
      </w:r>
      <w:r>
        <w:rPr>
          <w:rStyle w:val="32"/>
          <w:rFonts w:hint="eastAsia" w:ascii="宋体" w:hAnsi="宋体" w:eastAsia="宋体" w:cs="宋体"/>
          <w:sz w:val="21"/>
          <w:szCs w:val="21"/>
          <w:highlight w:val="none"/>
          <w:lang w:val="en-US" w:eastAsia="zh-CN"/>
        </w:rPr>
        <w:t>617697078@qq.com</w:t>
      </w:r>
      <w:r>
        <w:rPr>
          <w:rStyle w:val="32"/>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fldChar w:fldCharType="end"/>
      </w:r>
    </w:p>
    <w:p>
      <w:pPr>
        <w:rPr>
          <w:rFonts w:hint="eastAsia"/>
          <w:sz w:val="21"/>
          <w:szCs w:val="21"/>
          <w:highlight w:val="none"/>
        </w:rPr>
      </w:pPr>
      <w:r>
        <w:rPr>
          <w:rFonts w:hint="eastAsia"/>
          <w:sz w:val="21"/>
          <w:szCs w:val="21"/>
          <w:highlight w:val="none"/>
        </w:rPr>
        <w:br w:type="page"/>
      </w:r>
    </w:p>
    <w:p>
      <w:pPr>
        <w:pStyle w:val="2"/>
        <w:keepNext/>
        <w:keepLines/>
        <w:pageBreakBefore w:val="0"/>
        <w:widowControl w:val="0"/>
        <w:kinsoku/>
        <w:wordWrap/>
        <w:overflowPunct/>
        <w:topLinePunct w:val="0"/>
        <w:autoSpaceDE/>
        <w:autoSpaceDN/>
        <w:bidi w:val="0"/>
        <w:adjustRightInd w:val="0"/>
        <w:snapToGrid/>
        <w:spacing w:before="560" w:after="640" w:line="360" w:lineRule="auto"/>
        <w:ind w:left="0" w:leftChars="0" w:firstLine="0" w:firstLineChars="0"/>
        <w:jc w:val="center"/>
        <w:textAlignment w:val="auto"/>
        <w:rPr>
          <w:rFonts w:hint="eastAsia" w:ascii="黑体" w:hAnsi="黑体" w:eastAsia="黑体" w:cs="黑体"/>
          <w:b w:val="0"/>
          <w:bCs w:val="0"/>
          <w:sz w:val="32"/>
          <w:szCs w:val="32"/>
        </w:rPr>
      </w:pPr>
      <w:bookmarkStart w:id="19" w:name="_Toc369"/>
      <w:r>
        <w:rPr>
          <w:rFonts w:hint="eastAsia" w:ascii="黑体" w:hAnsi="黑体" w:eastAsia="黑体" w:cs="黑体"/>
          <w:b w:val="0"/>
          <w:bCs w:val="0"/>
          <w:kern w:val="0"/>
          <w:sz w:val="32"/>
          <w:szCs w:val="32"/>
          <w:lang w:val="en-US" w:eastAsia="zh-CN"/>
        </w:rPr>
        <w:t>引    言</w:t>
      </w:r>
      <w:bookmarkEnd w:id="19"/>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湖北省区位与气候条件独特，全境长江横贯、河湖密布，地势西高东低、三面环山、中部平原，南北冷暖气流常年在此交汇；冬季受冷空气南下与高湿度水汽叠加影响，全域湿冷、多风、体感低温显著，群众冬季采暖改善需求长期刚性旺盛。同时本省不处于国家秦岭—淮河集中供暖区划范围内，燃气分户供暖以运行稳定、升温迅速、清洁环保等特点成为全省民用冬季采暖的主流解决方案，市场体量庞大。依托九省通衢区位优势与多年天然气基础设施建设，全省城镇燃气管网覆盖全域、储气调峰配套持续完善，稳定气源为分户燃气供暖规模化推广提供坚实基础。</w:t>
      </w: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现阶段省内民用分户供暖主流模式以燃气采暖热水炉为热源，散热器/地面辐射供暖二选一或混合系统，搭配户内独立输配管网、分室分区域智能温控，市场应用广泛，但缺少适配湖北地域气候、气源、施工习惯的统一地方技术规程。</w:t>
      </w:r>
    </w:p>
    <w:p>
      <w:pPr>
        <w:keepNext w:val="0"/>
        <w:keepLines w:val="0"/>
        <w:pageBreakBefore w:val="0"/>
        <w:widowControl w:val="0"/>
        <w:kinsoku/>
        <w:wordWrap/>
        <w:overflowPunct/>
        <w:topLinePunct w:val="0"/>
        <w:autoSpaceDE/>
        <w:autoSpaceDN/>
        <w:bidi w:val="0"/>
        <w:adjustRightInd w:val="0"/>
        <w:snapToGrid/>
        <w:spacing w:line="240" w:lineRule="auto"/>
        <w:ind w:left="0" w:leftChars="0" w:firstLine="420" w:firstLineChars="200"/>
        <w:textAlignment w:val="auto"/>
        <w:rPr>
          <w:rFonts w:hint="eastAsia" w:ascii="宋体" w:hAnsi="宋体" w:eastAsia="宋体" w:cs="宋体"/>
          <w:sz w:val="21"/>
          <w:szCs w:val="21"/>
        </w:rPr>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type="lines" w:linePitch="312" w:charSpace="0"/>
        </w:sectPr>
      </w:pPr>
      <w:r>
        <w:rPr>
          <w:rFonts w:hint="eastAsia" w:ascii="宋体" w:hAnsi="宋体" w:eastAsia="宋体" w:cs="宋体"/>
          <w:sz w:val="21"/>
          <w:szCs w:val="21"/>
        </w:rPr>
        <w:t>本规程立足湖北湿冷冬季、西部山区极端低温、本地水质偏硬、建筑节能水平参差不齐等专属地域特征，针对性优化热负荷计算、绝热防火、管材耐久、低温防冻、水力平衡等核心技术指标；全覆盖设计、材料、施工、试压、调试、竣工验收、运维全流程，做到安全可靠、技术先进、经济合理。</w:t>
      </w:r>
    </w:p>
    <w:bookmarkEnd w:id="14"/>
    <w:p>
      <w:pPr>
        <w:spacing w:line="20" w:lineRule="exact"/>
        <w:jc w:val="center"/>
        <w:rPr>
          <w:rFonts w:ascii="黑体" w:hAnsi="黑体" w:eastAsia="黑体"/>
          <w:sz w:val="32"/>
          <w:szCs w:val="32"/>
        </w:rPr>
      </w:pPr>
      <w:bookmarkStart w:id="20" w:name="BookMark4"/>
    </w:p>
    <w:p>
      <w:pPr>
        <w:spacing w:line="20" w:lineRule="exact"/>
        <w:jc w:val="center"/>
        <w:rPr>
          <w:rFonts w:ascii="黑体" w:hAnsi="黑体" w:eastAsia="黑体"/>
          <w:sz w:val="32"/>
          <w:szCs w:val="32"/>
        </w:rPr>
      </w:pPr>
    </w:p>
    <w:sdt>
      <w:sdtPr>
        <w:tag w:val="NEW_STAND_NAME"/>
        <w:id w:val="595910757"/>
        <w:lock w:val="sdtLocked"/>
        <w:placeholder>
          <w:docPart w:val="59B3AA4C3D244E119C4BB22A0C311BAA"/>
        </w:placeholder>
      </w:sdtPr>
      <w:sdtContent>
        <w:p>
          <w:pPr>
            <w:pStyle w:val="178"/>
          </w:pPr>
          <w:bookmarkStart w:id="21" w:name="NEW_STAND_NAME"/>
          <w:r>
            <w:rPr>
              <w:rFonts w:hint="eastAsia"/>
            </w:rPr>
            <w:t>燃气分户地面辐射供暖技术规程</w:t>
          </w:r>
        </w:p>
      </w:sdtContent>
    </w:sdt>
    <w:bookmarkEnd w:id="21"/>
    <w:p>
      <w:pPr>
        <w:pStyle w:val="105"/>
        <w:spacing w:before="312" w:after="312"/>
      </w:pPr>
      <w:bookmarkStart w:id="22" w:name="_Toc4070"/>
      <w:bookmarkStart w:id="23" w:name="_Toc24884211"/>
      <w:bookmarkStart w:id="24" w:name="_Toc17233325"/>
      <w:bookmarkStart w:id="25" w:name="_Toc17233333"/>
      <w:bookmarkStart w:id="26" w:name="_Toc24884218"/>
      <w:bookmarkStart w:id="27" w:name="_Toc26718930"/>
      <w:bookmarkStart w:id="28" w:name="_Toc26986530"/>
      <w:bookmarkStart w:id="29" w:name="_Toc97191423"/>
      <w:bookmarkStart w:id="30" w:name="_Toc26648465"/>
      <w:bookmarkStart w:id="31" w:name="_Toc26986771"/>
      <w:r>
        <w:rPr>
          <w:rFonts w:hint="eastAsia"/>
        </w:rPr>
        <w:t>范围</w:t>
      </w:r>
      <w:bookmarkEnd w:id="22"/>
      <w:bookmarkEnd w:id="23"/>
      <w:bookmarkEnd w:id="24"/>
      <w:bookmarkEnd w:id="25"/>
      <w:bookmarkEnd w:id="26"/>
      <w:bookmarkEnd w:id="27"/>
      <w:bookmarkEnd w:id="28"/>
      <w:bookmarkEnd w:id="29"/>
      <w:bookmarkEnd w:id="30"/>
      <w:bookmarkEnd w:id="31"/>
    </w:p>
    <w:p>
      <w:pPr>
        <w:pStyle w:val="57"/>
        <w:ind w:firstLine="420"/>
        <w:rPr>
          <w:rFonts w:hint="eastAsia"/>
        </w:rPr>
      </w:pPr>
      <w:bookmarkStart w:id="32" w:name="_Toc17233334"/>
      <w:bookmarkStart w:id="33" w:name="_Toc24884212"/>
      <w:bookmarkStart w:id="34" w:name="_Toc17233326"/>
      <w:bookmarkStart w:id="35" w:name="_Toc26648466"/>
      <w:bookmarkStart w:id="36" w:name="_Toc24884219"/>
      <w:r>
        <w:rPr>
          <w:rFonts w:hint="eastAsia"/>
        </w:rPr>
        <w:t>本文件规定了城镇燃气分户供暖的设计、材料、施工、试运行、调试及竣工验收、运行与维护等相关的基本要求。</w:t>
      </w:r>
    </w:p>
    <w:p>
      <w:pPr>
        <w:pStyle w:val="57"/>
        <w:ind w:firstLine="420"/>
        <w:rPr>
          <w:rFonts w:hint="eastAsia"/>
        </w:rPr>
      </w:pPr>
      <w:r>
        <w:rPr>
          <w:rFonts w:hint="eastAsia"/>
        </w:rPr>
        <w:t>本文件适用于新建、扩建或改建的民用建筑，以燃气为能源、热水为介质的分户供暖系统。</w:t>
      </w:r>
    </w:p>
    <w:p>
      <w:pPr>
        <w:pStyle w:val="57"/>
        <w:ind w:firstLine="420"/>
      </w:pPr>
      <w:r>
        <w:rPr>
          <w:rFonts w:hint="eastAsia"/>
        </w:rPr>
        <w:t>燃气分户供暖工程的设计、选材、施工、调试和验收等除执行本文件外，还应符合国家和行业有关标准的规定。</w:t>
      </w:r>
    </w:p>
    <w:p>
      <w:pPr>
        <w:pStyle w:val="105"/>
        <w:spacing w:before="312" w:after="312"/>
      </w:pPr>
      <w:bookmarkStart w:id="37" w:name="_Toc97191424"/>
      <w:bookmarkStart w:id="38" w:name="_Toc26986531"/>
      <w:bookmarkStart w:id="39" w:name="_Toc14704"/>
      <w:bookmarkStart w:id="40" w:name="_Toc26986772"/>
      <w:bookmarkStart w:id="41" w:name="_Toc26718931"/>
      <w:r>
        <w:rPr>
          <w:rFonts w:hint="eastAsia"/>
        </w:rPr>
        <w:t>规范性引用文件</w:t>
      </w:r>
      <w:bookmarkEnd w:id="32"/>
      <w:bookmarkEnd w:id="33"/>
      <w:bookmarkEnd w:id="34"/>
      <w:bookmarkEnd w:id="35"/>
      <w:bookmarkEnd w:id="36"/>
      <w:bookmarkEnd w:id="37"/>
      <w:bookmarkEnd w:id="38"/>
      <w:bookmarkEnd w:id="39"/>
      <w:bookmarkEnd w:id="40"/>
      <w:bookmarkEnd w:id="41"/>
    </w:p>
    <w:sdt>
      <w:sdtPr>
        <w:rPr>
          <w:rFonts w:hint="eastAsia"/>
        </w:rPr>
        <w:id w:val="715848253"/>
        <w:placeholder>
          <w:docPart w:val="A74C24B77AD74B3A862CE9C1738DF46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7"/>
            <w:ind w:firstLine="420"/>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7"/>
        <w:ind w:firstLine="420"/>
        <w:rPr>
          <w:rFonts w:hint="eastAsia" w:ascii="黑体" w:hAnsi="黑体"/>
          <w:sz w:val="21"/>
          <w:szCs w:val="21"/>
        </w:rPr>
      </w:pPr>
      <w:r>
        <w:rPr>
          <w:rFonts w:hint="eastAsia" w:ascii="黑体" w:hAnsi="黑体"/>
          <w:sz w:val="21"/>
          <w:szCs w:val="21"/>
        </w:rPr>
        <w:t>GB 8624 建筑材料及制品燃烧性能分级</w:t>
      </w:r>
    </w:p>
    <w:p>
      <w:pPr>
        <w:pStyle w:val="57"/>
        <w:ind w:firstLine="420"/>
        <w:rPr>
          <w:rFonts w:hint="eastAsia" w:ascii="黑体" w:hAnsi="黑体"/>
          <w:sz w:val="21"/>
          <w:szCs w:val="21"/>
        </w:rPr>
      </w:pPr>
      <w:r>
        <w:rPr>
          <w:rFonts w:hint="eastAsia" w:ascii="黑体" w:hAnsi="黑体"/>
          <w:sz w:val="21"/>
          <w:szCs w:val="21"/>
        </w:rPr>
        <w:t>GB/T 8813 硬质泡沫塑料压缩性能的测定</w:t>
      </w:r>
    </w:p>
    <w:p>
      <w:pPr>
        <w:pStyle w:val="57"/>
        <w:ind w:firstLine="420"/>
        <w:rPr>
          <w:rFonts w:hint="eastAsia" w:ascii="黑体" w:hAnsi="黑体"/>
          <w:sz w:val="21"/>
          <w:szCs w:val="21"/>
        </w:rPr>
      </w:pPr>
      <w:r>
        <w:rPr>
          <w:rFonts w:hint="eastAsia" w:ascii="黑体" w:hAnsi="黑体"/>
          <w:sz w:val="21"/>
          <w:szCs w:val="21"/>
        </w:rPr>
        <w:t>GB/T 14536.10 电自动控制器第10部分：温度敏感控制器的特殊要求</w:t>
      </w:r>
    </w:p>
    <w:p>
      <w:pPr>
        <w:pStyle w:val="57"/>
        <w:ind w:firstLine="420"/>
        <w:rPr>
          <w:rFonts w:hint="eastAsia" w:ascii="黑体" w:hAnsi="黑体"/>
          <w:sz w:val="21"/>
          <w:szCs w:val="21"/>
        </w:rPr>
      </w:pPr>
      <w:r>
        <w:rPr>
          <w:rFonts w:hint="eastAsia" w:ascii="黑体" w:hAnsi="黑体"/>
          <w:sz w:val="21"/>
          <w:szCs w:val="21"/>
        </w:rPr>
        <w:t>GB 18582 建筑用墙面涂料中有害物质限量</w:t>
      </w:r>
    </w:p>
    <w:p>
      <w:pPr>
        <w:pStyle w:val="57"/>
        <w:ind w:firstLine="420"/>
        <w:rPr>
          <w:rFonts w:hint="eastAsia" w:ascii="黑体" w:hAnsi="黑体"/>
          <w:sz w:val="21"/>
          <w:szCs w:val="21"/>
        </w:rPr>
      </w:pPr>
      <w:r>
        <w:rPr>
          <w:rFonts w:hint="eastAsia" w:ascii="黑体" w:hAnsi="黑体"/>
          <w:sz w:val="21"/>
          <w:szCs w:val="21"/>
        </w:rPr>
        <w:t>GB/T 18991 冷热水系统用热塑性塑料管材和管件</w:t>
      </w:r>
    </w:p>
    <w:p>
      <w:pPr>
        <w:pStyle w:val="57"/>
        <w:ind w:firstLine="420"/>
        <w:rPr>
          <w:rFonts w:hint="eastAsia" w:ascii="黑体" w:hAnsi="黑体"/>
          <w:sz w:val="21"/>
          <w:szCs w:val="21"/>
        </w:rPr>
      </w:pPr>
      <w:r>
        <w:rPr>
          <w:rFonts w:hint="eastAsia" w:ascii="黑体" w:hAnsi="黑体"/>
          <w:sz w:val="21"/>
          <w:szCs w:val="21"/>
        </w:rPr>
        <w:t>GB/T 18997.2 铝塑复合压力管第2部分：铝管对接焊式铝塑管</w:t>
      </w:r>
    </w:p>
    <w:p>
      <w:pPr>
        <w:pStyle w:val="57"/>
        <w:ind w:firstLine="420"/>
        <w:rPr>
          <w:rFonts w:hint="eastAsia" w:ascii="黑体" w:hAnsi="黑体"/>
          <w:sz w:val="21"/>
          <w:szCs w:val="21"/>
        </w:rPr>
      </w:pPr>
      <w:r>
        <w:rPr>
          <w:rFonts w:hint="eastAsia" w:ascii="黑体" w:hAnsi="黑体"/>
          <w:sz w:val="21"/>
          <w:szCs w:val="21"/>
        </w:rPr>
        <w:t>GB 25034 燃气采暖热水炉</w:t>
      </w:r>
    </w:p>
    <w:p>
      <w:pPr>
        <w:pStyle w:val="57"/>
        <w:ind w:firstLine="420"/>
        <w:rPr>
          <w:rFonts w:hint="eastAsia" w:ascii="黑体" w:hAnsi="黑体"/>
          <w:sz w:val="21"/>
          <w:szCs w:val="21"/>
        </w:rPr>
      </w:pPr>
      <w:r>
        <w:rPr>
          <w:rFonts w:hint="eastAsia" w:ascii="黑体" w:hAnsi="黑体"/>
          <w:sz w:val="21"/>
          <w:szCs w:val="21"/>
        </w:rPr>
        <w:t>GB/T 26002 燃气输送用不锈钢波纹软管及管件</w:t>
      </w:r>
    </w:p>
    <w:p>
      <w:pPr>
        <w:pStyle w:val="57"/>
        <w:ind w:firstLine="420"/>
        <w:rPr>
          <w:rFonts w:hint="eastAsia" w:ascii="黑体" w:hAnsi="黑体"/>
          <w:sz w:val="21"/>
          <w:szCs w:val="21"/>
        </w:rPr>
      </w:pPr>
      <w:r>
        <w:rPr>
          <w:rFonts w:hint="eastAsia" w:ascii="黑体" w:hAnsi="黑体"/>
          <w:sz w:val="21"/>
          <w:szCs w:val="21"/>
        </w:rPr>
        <w:t>GB/T 28799.1 冷热水用耐热聚乙烯（PE-RT）管道系统第1部分：总则</w:t>
      </w:r>
    </w:p>
    <w:p>
      <w:pPr>
        <w:pStyle w:val="57"/>
        <w:ind w:firstLine="420"/>
        <w:rPr>
          <w:rFonts w:hint="eastAsia" w:ascii="黑体" w:hAnsi="黑体"/>
          <w:sz w:val="21"/>
          <w:szCs w:val="21"/>
        </w:rPr>
      </w:pPr>
      <w:r>
        <w:rPr>
          <w:rFonts w:hint="eastAsia" w:ascii="黑体" w:hAnsi="黑体"/>
          <w:sz w:val="21"/>
          <w:szCs w:val="21"/>
        </w:rPr>
        <w:t>GB/T 29730 冷热水用分水器、集水器</w:t>
      </w:r>
    </w:p>
    <w:p>
      <w:pPr>
        <w:pStyle w:val="57"/>
        <w:ind w:firstLine="420"/>
        <w:rPr>
          <w:rFonts w:hint="eastAsia" w:ascii="黑体" w:hAnsi="黑体"/>
          <w:sz w:val="21"/>
          <w:szCs w:val="21"/>
        </w:rPr>
      </w:pPr>
      <w:r>
        <w:rPr>
          <w:rFonts w:hint="eastAsia" w:ascii="黑体" w:hAnsi="黑体"/>
          <w:sz w:val="21"/>
          <w:szCs w:val="21"/>
        </w:rPr>
        <w:t>GB 41317 燃气用具连接用不锈钢波纹软管</w:t>
      </w:r>
    </w:p>
    <w:p>
      <w:pPr>
        <w:pStyle w:val="57"/>
        <w:ind w:firstLine="420"/>
        <w:rPr>
          <w:rFonts w:hint="eastAsia" w:ascii="黑体" w:hAnsi="黑体"/>
          <w:sz w:val="21"/>
          <w:szCs w:val="21"/>
        </w:rPr>
      </w:pPr>
      <w:r>
        <w:rPr>
          <w:rFonts w:hint="eastAsia" w:ascii="黑体" w:hAnsi="黑体"/>
          <w:sz w:val="21"/>
          <w:szCs w:val="21"/>
        </w:rPr>
        <w:t>GB 50009 建筑结构荷载规范</w:t>
      </w:r>
    </w:p>
    <w:p>
      <w:pPr>
        <w:pStyle w:val="57"/>
        <w:ind w:firstLine="420"/>
        <w:rPr>
          <w:rFonts w:hint="eastAsia" w:ascii="黑体" w:hAnsi="黑体"/>
          <w:sz w:val="21"/>
          <w:szCs w:val="21"/>
        </w:rPr>
      </w:pPr>
      <w:r>
        <w:rPr>
          <w:rFonts w:hint="eastAsia" w:ascii="黑体" w:hAnsi="黑体"/>
          <w:sz w:val="21"/>
          <w:szCs w:val="21"/>
        </w:rPr>
        <w:t>GB 50028 城镇燃气设计规范</w:t>
      </w:r>
    </w:p>
    <w:p>
      <w:pPr>
        <w:pStyle w:val="57"/>
        <w:ind w:firstLine="420"/>
        <w:rPr>
          <w:rFonts w:hint="eastAsia" w:ascii="黑体" w:hAnsi="黑体"/>
          <w:sz w:val="21"/>
          <w:szCs w:val="21"/>
        </w:rPr>
      </w:pPr>
      <w:r>
        <w:rPr>
          <w:rFonts w:hint="eastAsia" w:ascii="黑体" w:hAnsi="黑体"/>
          <w:sz w:val="21"/>
          <w:szCs w:val="21"/>
        </w:rPr>
        <w:t>GB 50736 民用建筑供暖通风与空气调节设计规范</w:t>
      </w:r>
    </w:p>
    <w:p>
      <w:pPr>
        <w:pStyle w:val="57"/>
        <w:ind w:firstLine="420"/>
        <w:rPr>
          <w:rFonts w:hint="eastAsia" w:ascii="黑体" w:hAnsi="黑体"/>
          <w:sz w:val="21"/>
          <w:szCs w:val="21"/>
        </w:rPr>
      </w:pPr>
      <w:r>
        <w:rPr>
          <w:rFonts w:hint="eastAsia" w:ascii="黑体" w:hAnsi="黑体"/>
          <w:sz w:val="21"/>
          <w:szCs w:val="21"/>
        </w:rPr>
        <w:t>GB 55009 燃气工程项目规范</w:t>
      </w:r>
    </w:p>
    <w:p>
      <w:pPr>
        <w:pStyle w:val="57"/>
        <w:ind w:firstLine="420"/>
        <w:rPr>
          <w:rFonts w:hint="eastAsia" w:ascii="黑体" w:hAnsi="黑体"/>
          <w:sz w:val="21"/>
          <w:szCs w:val="21"/>
        </w:rPr>
      </w:pPr>
      <w:r>
        <w:rPr>
          <w:rFonts w:hint="eastAsia" w:ascii="黑体" w:hAnsi="黑体"/>
          <w:sz w:val="21"/>
          <w:szCs w:val="21"/>
        </w:rPr>
        <w:t>GB 55015 建筑节能与可再生能源利用通用规范</w:t>
      </w:r>
    </w:p>
    <w:p>
      <w:pPr>
        <w:pStyle w:val="57"/>
        <w:ind w:firstLine="420"/>
        <w:rPr>
          <w:rFonts w:hint="eastAsia" w:ascii="黑体" w:hAnsi="黑体"/>
          <w:sz w:val="21"/>
          <w:szCs w:val="21"/>
        </w:rPr>
      </w:pPr>
      <w:r>
        <w:rPr>
          <w:rFonts w:hint="eastAsia" w:ascii="黑体" w:hAnsi="黑体"/>
          <w:sz w:val="21"/>
          <w:szCs w:val="21"/>
        </w:rPr>
        <w:t>CJJ 12 家用燃气燃烧器具安装及验收规程</w:t>
      </w:r>
    </w:p>
    <w:p>
      <w:pPr>
        <w:pStyle w:val="57"/>
        <w:ind w:firstLine="420"/>
        <w:rPr>
          <w:rFonts w:hint="eastAsia" w:ascii="黑体" w:hAnsi="黑体"/>
          <w:sz w:val="21"/>
          <w:szCs w:val="21"/>
        </w:rPr>
      </w:pPr>
      <w:r>
        <w:rPr>
          <w:rFonts w:hint="eastAsia" w:ascii="黑体" w:hAnsi="黑体"/>
          <w:sz w:val="21"/>
          <w:szCs w:val="21"/>
        </w:rPr>
        <w:t>JG/T 2 钢制板型散热器</w:t>
      </w:r>
    </w:p>
    <w:p>
      <w:pPr>
        <w:pStyle w:val="57"/>
        <w:ind w:firstLine="420"/>
        <w:rPr>
          <w:rFonts w:hint="eastAsia" w:ascii="黑体" w:hAnsi="黑体"/>
          <w:sz w:val="21"/>
          <w:szCs w:val="21"/>
        </w:rPr>
      </w:pPr>
      <w:r>
        <w:rPr>
          <w:rFonts w:hint="eastAsia" w:ascii="黑体" w:hAnsi="黑体"/>
          <w:sz w:val="21"/>
          <w:szCs w:val="21"/>
        </w:rPr>
        <w:t>JG/T 148 钢管散热器</w:t>
      </w:r>
    </w:p>
    <w:p>
      <w:pPr>
        <w:pStyle w:val="57"/>
        <w:ind w:firstLine="420"/>
        <w:rPr>
          <w:rFonts w:hint="eastAsia" w:ascii="黑体" w:hAnsi="黑体"/>
          <w:sz w:val="21"/>
          <w:szCs w:val="21"/>
        </w:rPr>
      </w:pPr>
      <w:r>
        <w:rPr>
          <w:rFonts w:hint="eastAsia" w:ascii="黑体" w:hAnsi="黑体"/>
          <w:sz w:val="21"/>
          <w:szCs w:val="21"/>
        </w:rPr>
        <w:t>JG/T 293 压铸铝合金散热器</w:t>
      </w:r>
    </w:p>
    <w:p>
      <w:pPr>
        <w:pStyle w:val="57"/>
        <w:ind w:firstLine="420"/>
        <w:rPr>
          <w:rFonts w:hint="eastAsia" w:ascii="黑体" w:hAnsi="黑体"/>
          <w:sz w:val="21"/>
          <w:szCs w:val="21"/>
        </w:rPr>
      </w:pPr>
      <w:r>
        <w:rPr>
          <w:rFonts w:hint="eastAsia" w:ascii="黑体" w:hAnsi="黑体"/>
          <w:sz w:val="21"/>
          <w:szCs w:val="21"/>
        </w:rPr>
        <w:t>JGJ/T 23 回弹法检测混凝土抗压强度技术规程</w:t>
      </w:r>
    </w:p>
    <w:p>
      <w:pPr>
        <w:pStyle w:val="57"/>
        <w:ind w:firstLine="420"/>
        <w:rPr>
          <w:rFonts w:hint="eastAsia" w:ascii="黑体" w:hAnsi="黑体"/>
          <w:sz w:val="21"/>
          <w:szCs w:val="21"/>
        </w:rPr>
      </w:pPr>
      <w:r>
        <w:rPr>
          <w:rFonts w:hint="eastAsia" w:ascii="黑体" w:hAnsi="黑体"/>
          <w:sz w:val="21"/>
          <w:szCs w:val="21"/>
        </w:rPr>
        <w:t>JGJ 142 辐射供暖供冷技术规程</w:t>
      </w:r>
    </w:p>
    <w:p>
      <w:pPr>
        <w:pStyle w:val="57"/>
        <w:ind w:firstLine="420"/>
        <w:rPr>
          <w:rFonts w:ascii="黑体" w:hAnsi="黑体"/>
          <w:sz w:val="21"/>
          <w:szCs w:val="21"/>
        </w:rPr>
      </w:pPr>
      <w:r>
        <w:rPr>
          <w:rFonts w:hint="eastAsia" w:ascii="黑体" w:hAnsi="黑体"/>
          <w:sz w:val="21"/>
          <w:szCs w:val="21"/>
        </w:rPr>
        <w:t>DB42/T 1144 燃气用不锈钢波纹软管安装及验收规范</w:t>
      </w:r>
    </w:p>
    <w:p>
      <w:pPr>
        <w:pStyle w:val="105"/>
        <w:spacing w:before="312" w:after="312"/>
      </w:pPr>
      <w:bookmarkStart w:id="42" w:name="_Toc3395"/>
      <w:bookmarkStart w:id="43" w:name="_Toc97191425"/>
      <w:r>
        <w:rPr>
          <w:rFonts w:hint="eastAsia"/>
          <w:szCs w:val="21"/>
        </w:rPr>
        <w:t>术语和定义</w:t>
      </w:r>
      <w:bookmarkEnd w:id="42"/>
      <w:bookmarkEnd w:id="43"/>
    </w:p>
    <w:sdt>
      <w:sdtPr>
        <w:rPr>
          <w:rFonts w:hint="eastAsia" w:ascii="黑体" w:hAnsi="黑体" w:eastAsia="黑体" w:cs="黑体"/>
        </w:rPr>
        <w:id w:val="-1"/>
        <w:placeholder>
          <w:docPart w:val="71939B0EF1254D9CA1771452EA84B8E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黑体" w:hAnsi="黑体" w:eastAsia="黑体" w:cs="黑体"/>
        </w:rPr>
      </w:sdtEndPr>
      <w:sdtContent>
        <w:p>
          <w:pPr>
            <w:pStyle w:val="57"/>
            <w:ind w:firstLine="420"/>
          </w:pPr>
          <w:bookmarkStart w:id="44" w:name="_Toc26986532"/>
          <w:bookmarkEnd w:id="44"/>
          <w:r>
            <w:rPr>
              <w:rFonts w:hint="eastAsia" w:ascii="黑体" w:hAnsi="黑体" w:eastAsia="黑体" w:cs="黑体"/>
              <w:sz w:val="21"/>
              <w:lang w:val="en-US" w:eastAsia="zh-CN" w:bidi="ar-SA"/>
            </w:rPr>
            <w:t>JGJ 142</w:t>
          </w:r>
          <w:r>
            <w:rPr>
              <w:rFonts w:hint="eastAsia" w:ascii="宋体" w:hAnsi="Times New Roman" w:eastAsia="宋体" w:cs="Times New Roman"/>
              <w:sz w:val="21"/>
              <w:lang w:val="en-US" w:eastAsia="zh-CN" w:bidi="ar-SA"/>
            </w:rPr>
            <w:t>界定的以及下列术语和定义</w:t>
          </w:r>
          <w:r>
            <w:rPr>
              <w:rFonts w:ascii="宋体" w:hAnsi="Times New Roman" w:eastAsia="宋体" w:cs="Times New Roman"/>
              <w:sz w:val="21"/>
              <w:lang w:val="en-US" w:eastAsia="zh-CN" w:bidi="ar-SA"/>
            </w:rPr>
            <w:t>适用于本文件。</w:t>
          </w:r>
        </w:p>
      </w:sdtContent>
    </w:sdt>
    <w:p>
      <w:pPr>
        <w:keepNext w:val="0"/>
        <w:keepLines w:val="0"/>
        <w:pageBreakBefore w:val="0"/>
        <w:widowControl w:val="0"/>
        <w:numPr>
          <w:ilvl w:val="0"/>
          <w:numId w:val="32"/>
        </w:numPr>
        <w:kinsoku/>
        <w:wordWrap/>
        <w:overflowPunct/>
        <w:topLinePunct w:val="0"/>
        <w:autoSpaceDE w:val="0"/>
        <w:autoSpaceDN w:val="0"/>
        <w:bidi w:val="0"/>
        <w:adjustRightInd w:val="0"/>
        <w:snapToGrid w:val="0"/>
        <w:spacing w:before="157" w:beforeLines="50" w:line="240" w:lineRule="auto"/>
        <w:ind w:firstLine="0"/>
        <w:textAlignment w:val="auto"/>
        <w:rPr>
          <w:rFonts w:ascii="黑体" w:hAnsi="黑体" w:eastAsia="黑体" w:cs="黑体"/>
          <w:sz w:val="21"/>
          <w:szCs w:val="21"/>
        </w:rPr>
      </w:pPr>
      <w:bookmarkStart w:id="45" w:name="OLE_LINK4"/>
      <w:bookmarkStart w:id="46" w:name="OLE_LINK3"/>
      <w:r>
        <w:rPr>
          <w:rFonts w:hint="eastAsia" w:ascii="黑体" w:hAnsi="黑体" w:eastAsia="黑体" w:cs="黑体"/>
          <w:sz w:val="21"/>
          <w:szCs w:val="21"/>
        </w:rPr>
        <w:t xml:space="preserve"> </w:t>
      </w:r>
    </w:p>
    <w:p>
      <w:pPr>
        <w:pageBreakBefore w:val="0"/>
        <w:numPr>
          <w:ilvl w:val="0"/>
          <w:numId w:val="0"/>
        </w:numPr>
        <w:wordWrap/>
        <w:overflowPunct/>
        <w:topLinePunct w:val="0"/>
        <w:bidi w:val="0"/>
        <w:spacing w:line="240" w:lineRule="auto"/>
        <w:ind w:leftChars="0" w:firstLine="420" w:firstLineChars="200"/>
        <w:rPr>
          <w:rFonts w:ascii="黑体" w:hAnsi="黑体" w:eastAsia="黑体" w:cs="黑体"/>
          <w:sz w:val="21"/>
          <w:szCs w:val="21"/>
        </w:rPr>
      </w:pPr>
      <w:r>
        <w:rPr>
          <w:rFonts w:hint="eastAsia" w:ascii="黑体" w:hAnsi="黑体" w:eastAsia="黑体" w:cs="黑体"/>
          <w:sz w:val="21"/>
          <w:szCs w:val="21"/>
        </w:rPr>
        <w:t>燃气分户供暖</w:t>
      </w:r>
      <w:bookmarkEnd w:id="45"/>
      <w:bookmarkEnd w:id="46"/>
      <w:r>
        <w:rPr>
          <w:rFonts w:hint="eastAsia" w:ascii="黑体" w:hAnsi="黑体" w:eastAsia="黑体" w:cs="黑体"/>
          <w:sz w:val="21"/>
          <w:szCs w:val="21"/>
        </w:rPr>
        <w:t xml:space="preserve">  </w:t>
      </w:r>
      <w:r>
        <w:rPr>
          <w:rFonts w:hint="eastAsia" w:ascii="Times New Roman" w:hAnsi="Times New Roman" w:eastAsia="黑体" w:cs="Times New Roman"/>
          <w:b/>
          <w:bCs/>
          <w:sz w:val="21"/>
          <w:szCs w:val="21"/>
        </w:rPr>
        <w:t>i</w:t>
      </w:r>
      <w:r>
        <w:rPr>
          <w:rFonts w:ascii="Times New Roman" w:hAnsi="Times New Roman" w:eastAsia="黑体" w:cs="Times New Roman"/>
          <w:b/>
          <w:bCs/>
          <w:sz w:val="21"/>
          <w:szCs w:val="21"/>
        </w:rPr>
        <w:t xml:space="preserve">ndividual </w:t>
      </w:r>
      <w:r>
        <w:rPr>
          <w:rFonts w:hint="eastAsia" w:ascii="Times New Roman" w:hAnsi="Times New Roman" w:eastAsia="黑体" w:cs="Times New Roman"/>
          <w:b/>
          <w:bCs/>
          <w:sz w:val="21"/>
          <w:szCs w:val="21"/>
        </w:rPr>
        <w:t>g</w:t>
      </w:r>
      <w:r>
        <w:rPr>
          <w:rFonts w:ascii="Times New Roman" w:hAnsi="Times New Roman" w:eastAsia="黑体" w:cs="Times New Roman"/>
          <w:b/>
          <w:bCs/>
          <w:sz w:val="21"/>
          <w:szCs w:val="21"/>
        </w:rPr>
        <w:t xml:space="preserve">as-fired </w:t>
      </w:r>
      <w:r>
        <w:rPr>
          <w:rFonts w:hint="eastAsia" w:ascii="Times New Roman" w:hAnsi="Times New Roman" w:eastAsia="黑体" w:cs="Times New Roman"/>
          <w:b/>
          <w:bCs/>
          <w:sz w:val="21"/>
          <w:szCs w:val="21"/>
        </w:rPr>
        <w:t>h</w:t>
      </w:r>
      <w:r>
        <w:rPr>
          <w:rFonts w:ascii="Times New Roman" w:hAnsi="Times New Roman" w:eastAsia="黑体" w:cs="Times New Roman"/>
          <w:b/>
          <w:bCs/>
          <w:sz w:val="21"/>
          <w:szCs w:val="21"/>
        </w:rPr>
        <w:t>eating</w:t>
      </w:r>
    </w:p>
    <w:p>
      <w:pPr>
        <w:pageBreakBefore w:val="0"/>
        <w:wordWrap/>
        <w:overflowPunct/>
        <w:topLinePunct w:val="0"/>
        <w:bidi w:val="0"/>
        <w:spacing w:line="240" w:lineRule="auto"/>
        <w:ind w:firstLine="420" w:firstLineChars="200"/>
        <w:rPr>
          <w:sz w:val="21"/>
          <w:szCs w:val="21"/>
          <w:highlight w:val="none"/>
        </w:rPr>
      </w:pPr>
      <w:r>
        <w:rPr>
          <w:rFonts w:hint="eastAsia" w:ascii="Segoe UI" w:hAnsi="Segoe UI" w:cs="Segoe UI"/>
          <w:color w:val="0F1115"/>
          <w:sz w:val="21"/>
          <w:szCs w:val="21"/>
          <w:highlight w:val="none"/>
          <w:shd w:val="clear" w:color="auto" w:fill="FFFFFF"/>
        </w:rPr>
        <w:t>以单户为独立供暖单元，通过单独配置</w:t>
      </w:r>
      <w:r>
        <w:rPr>
          <w:rFonts w:hint="eastAsia"/>
          <w:sz w:val="21"/>
          <w:szCs w:val="21"/>
          <w:highlight w:val="none"/>
          <w:lang w:val="en-US" w:eastAsia="zh-CN"/>
        </w:rPr>
        <w:t>燃气采暖热水炉</w:t>
      </w:r>
      <w:r>
        <w:rPr>
          <w:rFonts w:hint="eastAsia" w:ascii="Segoe UI" w:hAnsi="Segoe UI" w:cs="Segoe UI"/>
          <w:color w:val="0F1115"/>
          <w:sz w:val="21"/>
          <w:szCs w:val="21"/>
          <w:highlight w:val="none"/>
          <w:shd w:val="clear" w:color="auto" w:fill="FFFFFF"/>
        </w:rPr>
        <w:t>、末端散热</w:t>
      </w:r>
      <w:r>
        <w:rPr>
          <w:rFonts w:hint="eastAsia" w:ascii="Segoe UI" w:hAnsi="Segoe UI" w:cs="Segoe UI"/>
          <w:color w:val="0F1115"/>
          <w:sz w:val="21"/>
          <w:szCs w:val="21"/>
          <w:highlight w:val="none"/>
          <w:shd w:val="clear" w:color="auto" w:fill="FFFFFF"/>
          <w:lang w:val="en-US" w:eastAsia="zh-CN"/>
        </w:rPr>
        <w:t>设备</w:t>
      </w:r>
      <w:r>
        <w:rPr>
          <w:rFonts w:hint="eastAsia" w:ascii="Segoe UI" w:hAnsi="Segoe UI" w:cs="Segoe UI"/>
          <w:color w:val="0F1115"/>
          <w:sz w:val="21"/>
          <w:szCs w:val="21"/>
          <w:highlight w:val="none"/>
          <w:shd w:val="clear" w:color="auto" w:fill="FFFFFF"/>
        </w:rPr>
        <w:t>与循环</w:t>
      </w:r>
      <w:r>
        <w:rPr>
          <w:rFonts w:hint="eastAsia"/>
          <w:lang w:val="en-US" w:eastAsia="zh-CN"/>
        </w:rPr>
        <w:t>热水</w:t>
      </w:r>
      <w:r>
        <w:rPr>
          <w:rFonts w:hint="eastAsia" w:ascii="Segoe UI" w:hAnsi="Segoe UI" w:cs="Segoe UI"/>
          <w:color w:val="0F1115"/>
          <w:sz w:val="21"/>
          <w:szCs w:val="21"/>
          <w:highlight w:val="none"/>
          <w:shd w:val="clear" w:color="auto" w:fill="FFFFFF"/>
        </w:rPr>
        <w:t>管道，组成独立闭式循环系统（可采用地面供暖系统或散热器供暖系统），实现自主启停控温、独立运行维护的供暖形式。</w:t>
      </w:r>
    </w:p>
    <w:p>
      <w:pPr>
        <w:pageBreakBefore w:val="0"/>
        <w:numPr>
          <w:ilvl w:val="0"/>
          <w:numId w:val="32"/>
        </w:numPr>
        <w:wordWrap/>
        <w:overflowPunct/>
        <w:topLinePunct w:val="0"/>
        <w:bidi w:val="0"/>
        <w:spacing w:line="240" w:lineRule="auto"/>
        <w:ind w:firstLine="0"/>
        <w:rPr>
          <w:sz w:val="21"/>
          <w:szCs w:val="21"/>
        </w:rPr>
      </w:pPr>
      <w:r>
        <w:rPr>
          <w:rFonts w:hint="eastAsia" w:ascii="黑体" w:hAnsi="黑体" w:eastAsia="黑体" w:cs="黑体"/>
          <w:sz w:val="21"/>
          <w:szCs w:val="21"/>
        </w:rPr>
        <w:t xml:space="preserve"> </w:t>
      </w:r>
    </w:p>
    <w:p>
      <w:pPr>
        <w:pageBreakBefore w:val="0"/>
        <w:numPr>
          <w:ilvl w:val="0"/>
          <w:numId w:val="0"/>
        </w:numPr>
        <w:wordWrap/>
        <w:overflowPunct/>
        <w:topLinePunct w:val="0"/>
        <w:bidi w:val="0"/>
        <w:spacing w:line="240" w:lineRule="auto"/>
        <w:ind w:leftChars="0" w:firstLine="420" w:firstLineChars="200"/>
        <w:rPr>
          <w:sz w:val="21"/>
          <w:szCs w:val="21"/>
        </w:rPr>
      </w:pPr>
      <w:r>
        <w:rPr>
          <w:rFonts w:hint="eastAsia" w:ascii="黑体" w:hAnsi="黑体" w:eastAsia="黑体" w:cs="黑体"/>
          <w:sz w:val="21"/>
          <w:szCs w:val="21"/>
        </w:rPr>
        <w:t xml:space="preserve">地面供暖系统  </w:t>
      </w:r>
      <w:r>
        <w:rPr>
          <w:rFonts w:ascii="Times New Roman" w:hAnsi="Times New Roman" w:cs="Times New Roman"/>
          <w:b/>
          <w:bCs/>
          <w:sz w:val="21"/>
          <w:szCs w:val="21"/>
        </w:rPr>
        <w:t>floor heating system</w:t>
      </w:r>
    </w:p>
    <w:p>
      <w:pPr>
        <w:pageBreakBefore w:val="0"/>
        <w:wordWrap/>
        <w:overflowPunct/>
        <w:topLinePunct w:val="0"/>
        <w:bidi w:val="0"/>
        <w:spacing w:line="240" w:lineRule="auto"/>
        <w:ind w:firstLine="420" w:firstLineChars="200"/>
        <w:rPr>
          <w:sz w:val="21"/>
          <w:szCs w:val="21"/>
        </w:rPr>
      </w:pPr>
      <w:r>
        <w:rPr>
          <w:rFonts w:hint="eastAsia"/>
          <w:sz w:val="21"/>
          <w:szCs w:val="21"/>
        </w:rPr>
        <w:t>以热水为介质，</w:t>
      </w:r>
      <w:r>
        <w:rPr>
          <w:sz w:val="21"/>
          <w:szCs w:val="21"/>
        </w:rPr>
        <w:t>埋设于建筑物</w:t>
      </w:r>
      <w:r>
        <w:rPr>
          <w:rFonts w:hint="eastAsia"/>
          <w:sz w:val="21"/>
          <w:szCs w:val="21"/>
          <w:lang w:val="en-US" w:eastAsia="zh-CN"/>
        </w:rPr>
        <w:t>室内</w:t>
      </w:r>
      <w:r>
        <w:rPr>
          <w:sz w:val="21"/>
          <w:szCs w:val="21"/>
        </w:rPr>
        <w:t>地面中的加热管</w:t>
      </w:r>
      <w:r>
        <w:rPr>
          <w:rFonts w:hint="eastAsia"/>
          <w:sz w:val="21"/>
          <w:szCs w:val="21"/>
          <w:lang w:val="en-US" w:eastAsia="zh-CN"/>
        </w:rPr>
        <w:t>为末端散热设备</w:t>
      </w:r>
      <w:r>
        <w:rPr>
          <w:sz w:val="21"/>
          <w:szCs w:val="21"/>
        </w:rPr>
        <w:t>，</w:t>
      </w:r>
      <w:r>
        <w:rPr>
          <w:rFonts w:hint="eastAsia"/>
          <w:sz w:val="21"/>
          <w:szCs w:val="21"/>
          <w:lang w:val="en-US" w:eastAsia="zh-CN"/>
        </w:rPr>
        <w:t>通过</w:t>
      </w:r>
      <w:r>
        <w:rPr>
          <w:sz w:val="21"/>
          <w:szCs w:val="21"/>
        </w:rPr>
        <w:t>热传导方式加热</w:t>
      </w:r>
      <w:r>
        <w:rPr>
          <w:rFonts w:hint="eastAsia"/>
          <w:sz w:val="21"/>
          <w:szCs w:val="21"/>
          <w:lang w:val="en-US" w:eastAsia="zh-CN"/>
        </w:rPr>
        <w:t>室内</w:t>
      </w:r>
      <w:r>
        <w:rPr>
          <w:sz w:val="21"/>
          <w:szCs w:val="21"/>
        </w:rPr>
        <w:t>地面，地面以辐射和对流</w:t>
      </w:r>
      <w:r>
        <w:rPr>
          <w:rFonts w:hint="eastAsia"/>
          <w:sz w:val="21"/>
          <w:szCs w:val="21"/>
          <w:lang w:val="en-US" w:eastAsia="zh-CN"/>
        </w:rPr>
        <w:t>换热</w:t>
      </w:r>
      <w:r>
        <w:rPr>
          <w:sz w:val="21"/>
          <w:szCs w:val="21"/>
        </w:rPr>
        <w:t>向室内供</w:t>
      </w:r>
      <w:r>
        <w:rPr>
          <w:rFonts w:hint="eastAsia"/>
          <w:sz w:val="21"/>
          <w:szCs w:val="21"/>
        </w:rPr>
        <w:t>暖的系统，简称地面供暖。</w:t>
      </w:r>
    </w:p>
    <w:p>
      <w:pPr>
        <w:pageBreakBefore w:val="0"/>
        <w:numPr>
          <w:ilvl w:val="0"/>
          <w:numId w:val="32"/>
        </w:numPr>
        <w:wordWrap/>
        <w:overflowPunct/>
        <w:topLinePunct w:val="0"/>
        <w:bidi w:val="0"/>
        <w:spacing w:line="240" w:lineRule="auto"/>
        <w:ind w:firstLine="0"/>
        <w:rPr>
          <w:sz w:val="21"/>
          <w:szCs w:val="21"/>
        </w:rPr>
      </w:pPr>
      <w:r>
        <w:rPr>
          <w:rFonts w:hint="eastAsia" w:ascii="黑体" w:hAnsi="黑体" w:eastAsia="黑体" w:cs="黑体"/>
          <w:sz w:val="21"/>
          <w:szCs w:val="21"/>
        </w:rPr>
        <w:t xml:space="preserve"> </w:t>
      </w:r>
      <w:bookmarkStart w:id="47" w:name="OLE_LINK1"/>
    </w:p>
    <w:p>
      <w:pPr>
        <w:pageBreakBefore w:val="0"/>
        <w:numPr>
          <w:ilvl w:val="0"/>
          <w:numId w:val="0"/>
        </w:numPr>
        <w:wordWrap/>
        <w:overflowPunct/>
        <w:topLinePunct w:val="0"/>
        <w:bidi w:val="0"/>
        <w:spacing w:line="240" w:lineRule="auto"/>
        <w:ind w:leftChars="0" w:firstLine="420" w:firstLineChars="200"/>
        <w:rPr>
          <w:sz w:val="21"/>
          <w:szCs w:val="21"/>
        </w:rPr>
      </w:pPr>
      <w:r>
        <w:rPr>
          <w:rFonts w:hint="eastAsia" w:ascii="黑体" w:hAnsi="黑体" w:eastAsia="黑体" w:cs="黑体"/>
          <w:sz w:val="21"/>
          <w:szCs w:val="21"/>
        </w:rPr>
        <w:t>散热器供暖系统</w:t>
      </w:r>
      <w:bookmarkEnd w:id="47"/>
      <w:r>
        <w:rPr>
          <w:rFonts w:hint="eastAsia" w:ascii="黑体" w:hAnsi="黑体" w:eastAsia="黑体" w:cs="黑体"/>
          <w:sz w:val="21"/>
          <w:szCs w:val="21"/>
        </w:rPr>
        <w:t xml:space="preserve">  </w:t>
      </w:r>
      <w:r>
        <w:rPr>
          <w:rFonts w:ascii="Times New Roman" w:hAnsi="Times New Roman" w:cs="Times New Roman"/>
          <w:b/>
          <w:bCs/>
          <w:sz w:val="21"/>
          <w:szCs w:val="21"/>
        </w:rPr>
        <w:t xml:space="preserve">radiator heating </w:t>
      </w:r>
      <w:bookmarkStart w:id="48" w:name="OLE_LINK53"/>
      <w:bookmarkStart w:id="49" w:name="OLE_LINK52"/>
      <w:r>
        <w:rPr>
          <w:rFonts w:ascii="Times New Roman" w:hAnsi="Times New Roman" w:cs="Times New Roman"/>
          <w:b/>
          <w:bCs/>
          <w:sz w:val="21"/>
          <w:szCs w:val="21"/>
        </w:rPr>
        <w:t>system</w:t>
      </w:r>
      <w:bookmarkEnd w:id="48"/>
      <w:bookmarkEnd w:id="49"/>
    </w:p>
    <w:p>
      <w:pPr>
        <w:pageBreakBefore w:val="0"/>
        <w:wordWrap/>
        <w:overflowPunct/>
        <w:topLinePunct w:val="0"/>
        <w:bidi w:val="0"/>
        <w:spacing w:line="240" w:lineRule="auto"/>
        <w:ind w:firstLine="420" w:firstLineChars="200"/>
        <w:rPr>
          <w:rFonts w:ascii="黑体" w:hAnsi="黑体" w:eastAsia="黑体" w:cs="黑体"/>
          <w:sz w:val="21"/>
          <w:szCs w:val="21"/>
        </w:rPr>
      </w:pPr>
      <w:r>
        <w:rPr>
          <w:color w:val="auto"/>
          <w:sz w:val="21"/>
          <w:szCs w:val="21"/>
        </w:rPr>
        <w:t>以热水为介质，散热器为末端散热设备，通过对流和辐射换热</w:t>
      </w:r>
      <w:r>
        <w:rPr>
          <w:rFonts w:hint="eastAsia"/>
          <w:color w:val="auto"/>
          <w:sz w:val="21"/>
          <w:szCs w:val="21"/>
        </w:rPr>
        <w:t>向</w:t>
      </w:r>
      <w:r>
        <w:rPr>
          <w:color w:val="auto"/>
          <w:sz w:val="21"/>
          <w:szCs w:val="21"/>
        </w:rPr>
        <w:t>室内</w:t>
      </w:r>
      <w:r>
        <w:rPr>
          <w:sz w:val="21"/>
          <w:szCs w:val="21"/>
        </w:rPr>
        <w:t>供</w:t>
      </w:r>
      <w:r>
        <w:rPr>
          <w:rFonts w:hint="eastAsia"/>
          <w:sz w:val="21"/>
          <w:szCs w:val="21"/>
        </w:rPr>
        <w:t>暖</w:t>
      </w:r>
      <w:r>
        <w:rPr>
          <w:sz w:val="21"/>
          <w:szCs w:val="21"/>
        </w:rPr>
        <w:t>的系统</w:t>
      </w:r>
      <w:r>
        <w:rPr>
          <w:rFonts w:hint="eastAsia"/>
          <w:sz w:val="21"/>
          <w:szCs w:val="21"/>
        </w:rPr>
        <w:t>，简称</w:t>
      </w:r>
      <w:r>
        <w:rPr>
          <w:rFonts w:hint="eastAsia"/>
          <w:sz w:val="21"/>
          <w:szCs w:val="21"/>
          <w:lang w:val="en-US" w:eastAsia="zh-CN"/>
        </w:rPr>
        <w:t>散热器</w:t>
      </w:r>
      <w:r>
        <w:rPr>
          <w:rFonts w:hint="eastAsia"/>
          <w:sz w:val="21"/>
          <w:szCs w:val="21"/>
        </w:rPr>
        <w:t>供暖。</w:t>
      </w:r>
    </w:p>
    <w:p>
      <w:pPr>
        <w:pageBreakBefore w:val="0"/>
        <w:numPr>
          <w:ilvl w:val="0"/>
          <w:numId w:val="32"/>
        </w:numPr>
        <w:wordWrap/>
        <w:overflowPunct/>
        <w:topLinePunct w:val="0"/>
        <w:bidi w:val="0"/>
        <w:spacing w:line="240" w:lineRule="auto"/>
        <w:ind w:firstLine="0"/>
        <w:rPr>
          <w:strike w:val="0"/>
          <w:sz w:val="21"/>
          <w:szCs w:val="21"/>
          <w:highlight w:val="none"/>
        </w:rPr>
      </w:pPr>
    </w:p>
    <w:p>
      <w:pPr>
        <w:pageBreakBefore w:val="0"/>
        <w:numPr>
          <w:ilvl w:val="0"/>
          <w:numId w:val="0"/>
        </w:numPr>
        <w:wordWrap/>
        <w:overflowPunct/>
        <w:topLinePunct w:val="0"/>
        <w:bidi w:val="0"/>
        <w:spacing w:line="240" w:lineRule="auto"/>
        <w:ind w:leftChars="0" w:firstLine="420" w:firstLineChars="200"/>
        <w:rPr>
          <w:strike w:val="0"/>
          <w:sz w:val="21"/>
          <w:szCs w:val="21"/>
          <w:highlight w:val="none"/>
        </w:rPr>
      </w:pPr>
      <w:r>
        <w:rPr>
          <w:rFonts w:hint="eastAsia" w:ascii="黑体" w:hAnsi="黑体" w:eastAsia="黑体" w:cs="黑体"/>
          <w:strike w:val="0"/>
          <w:sz w:val="21"/>
          <w:szCs w:val="21"/>
          <w:highlight w:val="none"/>
        </w:rPr>
        <w:t xml:space="preserve">混水装置  </w:t>
      </w:r>
      <w:r>
        <w:rPr>
          <w:rFonts w:ascii="Times New Roman" w:hAnsi="Times New Roman" w:cs="Times New Roman"/>
          <w:b/>
          <w:bCs/>
          <w:strike w:val="0"/>
          <w:sz w:val="21"/>
          <w:szCs w:val="21"/>
          <w:highlight w:val="none"/>
        </w:rPr>
        <w:t>water mixing device</w:t>
      </w:r>
    </w:p>
    <w:p>
      <w:pPr>
        <w:pageBreakBefore w:val="0"/>
        <w:wordWrap/>
        <w:overflowPunct/>
        <w:topLinePunct w:val="0"/>
        <w:bidi w:val="0"/>
        <w:spacing w:line="240" w:lineRule="auto"/>
        <w:ind w:firstLine="420" w:firstLineChars="200"/>
        <w:rPr>
          <w:strike w:val="0"/>
          <w:sz w:val="21"/>
          <w:szCs w:val="21"/>
          <w:highlight w:val="none"/>
        </w:rPr>
      </w:pPr>
      <w:r>
        <w:rPr>
          <w:rFonts w:hint="eastAsia"/>
          <w:strike w:val="0"/>
          <w:sz w:val="21"/>
          <w:szCs w:val="21"/>
          <w:highlight w:val="none"/>
        </w:rPr>
        <w:t>将热源部分高温供水与供暖末端部分低温回水进行混合，获得户内末端散热设备所需供水温度的装置。</w:t>
      </w:r>
    </w:p>
    <w:p>
      <w:pPr>
        <w:pageBreakBefore w:val="0"/>
        <w:numPr>
          <w:ilvl w:val="0"/>
          <w:numId w:val="32"/>
        </w:numPr>
        <w:wordWrap/>
        <w:overflowPunct/>
        <w:topLinePunct w:val="0"/>
        <w:bidi w:val="0"/>
        <w:spacing w:line="240" w:lineRule="auto"/>
        <w:ind w:firstLine="0" w:firstLineChars="0"/>
        <w:rPr>
          <w:rFonts w:hint="eastAsia" w:ascii="黑体" w:hAnsi="黑体" w:eastAsia="黑体" w:cs="黑体"/>
          <w:sz w:val="21"/>
          <w:szCs w:val="21"/>
          <w:highlight w:val="none"/>
        </w:rPr>
      </w:pPr>
    </w:p>
    <w:p>
      <w:pPr>
        <w:pageBreakBefore w:val="0"/>
        <w:numPr>
          <w:ilvl w:val="0"/>
          <w:numId w:val="0"/>
        </w:numPr>
        <w:wordWrap/>
        <w:overflowPunct/>
        <w:topLinePunct w:val="0"/>
        <w:bidi w:val="0"/>
        <w:spacing w:line="240" w:lineRule="auto"/>
        <w:ind w:leftChars="0" w:firstLine="420" w:firstLineChars="200"/>
        <w:rPr>
          <w:rFonts w:hint="eastAsia" w:ascii="黑体" w:hAnsi="黑体" w:eastAsia="黑体" w:cs="黑体"/>
          <w:sz w:val="21"/>
          <w:szCs w:val="21"/>
          <w:highlight w:val="none"/>
        </w:rPr>
      </w:pPr>
      <w:r>
        <w:rPr>
          <w:rFonts w:hint="eastAsia" w:ascii="黑体" w:hAnsi="黑体" w:eastAsia="黑体" w:cs="黑体"/>
          <w:sz w:val="21"/>
          <w:szCs w:val="21"/>
          <w:highlight w:val="none"/>
        </w:rPr>
        <w:t xml:space="preserve">加热管  </w:t>
      </w:r>
      <w:r>
        <w:rPr>
          <w:rFonts w:hint="eastAsia" w:ascii="黑体" w:hAnsi="黑体" w:eastAsia="黑体" w:cs="黑体"/>
          <w:b w:val="0"/>
          <w:bCs w:val="0"/>
          <w:sz w:val="21"/>
          <w:szCs w:val="21"/>
          <w:highlight w:val="none"/>
        </w:rPr>
        <w:t>heating pipe</w:t>
      </w:r>
    </w:p>
    <w:p>
      <w:pPr>
        <w:pageBreakBefore w:val="0"/>
        <w:wordWrap/>
        <w:overflowPunct/>
        <w:topLinePunct w:val="0"/>
        <w:bidi w:val="0"/>
        <w:spacing w:line="240" w:lineRule="auto"/>
        <w:ind w:firstLine="420" w:firstLineChars="200"/>
        <w:rPr>
          <w:sz w:val="21"/>
          <w:szCs w:val="21"/>
          <w:highlight w:val="none"/>
        </w:rPr>
      </w:pPr>
      <w:r>
        <w:rPr>
          <w:sz w:val="21"/>
          <w:szCs w:val="21"/>
          <w:highlight w:val="none"/>
        </w:rPr>
        <w:t>用于</w:t>
      </w:r>
      <w:r>
        <w:rPr>
          <w:rFonts w:hint="eastAsia"/>
          <w:sz w:val="21"/>
          <w:szCs w:val="21"/>
          <w:highlight w:val="none"/>
          <w:lang w:val="en-US" w:eastAsia="zh-CN"/>
        </w:rPr>
        <w:t>地面供暖</w:t>
      </w:r>
      <w:r>
        <w:rPr>
          <w:sz w:val="21"/>
          <w:szCs w:val="21"/>
          <w:highlight w:val="none"/>
        </w:rPr>
        <w:t>进行热水循环并加热辐射</w:t>
      </w:r>
      <w:r>
        <w:rPr>
          <w:rFonts w:hint="eastAsia"/>
          <w:sz w:val="21"/>
          <w:szCs w:val="21"/>
          <w:highlight w:val="none"/>
          <w:lang w:val="en-US" w:eastAsia="zh-CN"/>
        </w:rPr>
        <w:t>地</w:t>
      </w:r>
      <w:r>
        <w:rPr>
          <w:sz w:val="21"/>
          <w:szCs w:val="21"/>
          <w:highlight w:val="none"/>
        </w:rPr>
        <w:t>面的管道。</w:t>
      </w:r>
    </w:p>
    <w:p>
      <w:pPr>
        <w:pageBreakBefore w:val="0"/>
        <w:wordWrap/>
        <w:overflowPunct/>
        <w:topLinePunct w:val="0"/>
        <w:bidi w:val="0"/>
        <w:spacing w:line="240" w:lineRule="auto"/>
        <w:ind w:firstLine="420" w:firstLineChars="200"/>
        <w:rPr>
          <w:sz w:val="21"/>
          <w:szCs w:val="21"/>
          <w:highlight w:val="none"/>
        </w:rPr>
      </w:pPr>
      <w:r>
        <w:rPr>
          <w:sz w:val="21"/>
          <w:szCs w:val="21"/>
          <w:highlight w:val="none"/>
        </w:rPr>
        <w:t>［来源：JGJ142—2012，2.0.4］</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trike w:val="0"/>
          <w:sz w:val="21"/>
          <w:szCs w:val="21"/>
          <w:highlight w:val="none"/>
        </w:rPr>
      </w:pPr>
    </w:p>
    <w:p>
      <w:pPr>
        <w:pageBreakBefore w:val="0"/>
        <w:numPr>
          <w:ilvl w:val="0"/>
          <w:numId w:val="0"/>
        </w:numPr>
        <w:wordWrap/>
        <w:overflowPunct/>
        <w:topLinePunct w:val="0"/>
        <w:bidi w:val="0"/>
        <w:spacing w:line="240" w:lineRule="auto"/>
        <w:ind w:leftChars="0" w:firstLine="420" w:firstLineChars="200"/>
        <w:rPr>
          <w:rFonts w:ascii="Times New Roman" w:hAnsi="Times New Roman" w:cs="Times New Roman"/>
          <w:b/>
          <w:bCs/>
          <w:strike w:val="0"/>
          <w:sz w:val="21"/>
          <w:szCs w:val="21"/>
          <w:highlight w:val="none"/>
        </w:rPr>
      </w:pPr>
      <w:r>
        <w:rPr>
          <w:rFonts w:hint="eastAsia" w:ascii="黑体" w:hAnsi="黑体" w:eastAsia="黑体" w:cs="黑体"/>
          <w:strike w:val="0"/>
          <w:sz w:val="21"/>
          <w:szCs w:val="21"/>
          <w:highlight w:val="none"/>
        </w:rPr>
        <w:t xml:space="preserve">预制沟槽保温板  </w:t>
      </w:r>
      <w:r>
        <w:rPr>
          <w:rFonts w:ascii="Times New Roman" w:hAnsi="Times New Roman" w:cs="Times New Roman"/>
          <w:b/>
          <w:bCs/>
          <w:strike w:val="0"/>
          <w:sz w:val="21"/>
          <w:szCs w:val="21"/>
          <w:highlight w:val="none"/>
        </w:rPr>
        <w:t>pre-grooved insulation board</w:t>
      </w:r>
    </w:p>
    <w:p>
      <w:pPr>
        <w:pageBreakBefore w:val="0"/>
        <w:wordWrap/>
        <w:overflowPunct/>
        <w:topLinePunct w:val="0"/>
        <w:bidi w:val="0"/>
        <w:spacing w:line="240" w:lineRule="auto"/>
        <w:ind w:firstLine="420" w:firstLineChars="200"/>
        <w:rPr>
          <w:strike w:val="0"/>
          <w:sz w:val="21"/>
          <w:szCs w:val="21"/>
          <w:highlight w:val="none"/>
        </w:rPr>
      </w:pPr>
      <w:r>
        <w:rPr>
          <w:strike w:val="0"/>
          <w:sz w:val="21"/>
          <w:szCs w:val="21"/>
          <w:highlight w:val="none"/>
        </w:rPr>
        <w:t>在工厂预制的、用于现场拼装敷设加热管的、带有固定间距和尺寸沟槽的聚苯乙烯类泡沫塑料或其他保温材料制成的板块。</w:t>
      </w:r>
    </w:p>
    <w:p>
      <w:pPr>
        <w:pageBreakBefore w:val="0"/>
        <w:wordWrap/>
        <w:overflowPunct/>
        <w:topLinePunct w:val="0"/>
        <w:bidi w:val="0"/>
        <w:spacing w:line="240" w:lineRule="auto"/>
        <w:ind w:firstLine="420" w:firstLineChars="200"/>
        <w:rPr>
          <w:strike w:val="0"/>
          <w:sz w:val="21"/>
          <w:szCs w:val="21"/>
          <w:highlight w:val="none"/>
        </w:rPr>
      </w:pPr>
      <w:r>
        <w:rPr>
          <w:strike w:val="0"/>
          <w:sz w:val="21"/>
          <w:szCs w:val="21"/>
          <w:highlight w:val="none"/>
        </w:rPr>
        <w:t>［来源：JGJ142—2012，2.0.7］</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rFonts w:ascii="Times New Roman" w:hAnsi="Times New Roman" w:cs="Times New Roman"/>
          <w:b/>
          <w:bCs/>
          <w:sz w:val="21"/>
          <w:szCs w:val="21"/>
          <w:highlight w:val="none"/>
        </w:rPr>
      </w:pPr>
      <w:r>
        <w:rPr>
          <w:rFonts w:hint="eastAsia" w:ascii="黑体" w:hAnsi="黑体" w:eastAsia="黑体" w:cs="黑体"/>
          <w:sz w:val="21"/>
          <w:szCs w:val="21"/>
          <w:highlight w:val="none"/>
        </w:rPr>
        <w:t xml:space="preserve">预制复合模块 </w:t>
      </w:r>
      <w:r>
        <w:rPr>
          <w:sz w:val="21"/>
          <w:szCs w:val="21"/>
          <w:highlight w:val="none"/>
        </w:rPr>
        <w:t xml:space="preserve"> </w:t>
      </w:r>
      <w:r>
        <w:rPr>
          <w:rFonts w:ascii="Times New Roman" w:hAnsi="Times New Roman" w:cs="Times New Roman"/>
          <w:b/>
          <w:bCs/>
          <w:sz w:val="21"/>
          <w:szCs w:val="21"/>
          <w:highlight w:val="none"/>
        </w:rPr>
        <w:t>prefabricated composite module</w:t>
      </w:r>
    </w:p>
    <w:p>
      <w:pPr>
        <w:pageBreakBefore w:val="0"/>
        <w:wordWrap/>
        <w:overflowPunct/>
        <w:topLinePunct w:val="0"/>
        <w:bidi w:val="0"/>
        <w:spacing w:line="240" w:lineRule="auto"/>
        <w:rPr>
          <w:sz w:val="21"/>
          <w:szCs w:val="21"/>
          <w:highlight w:val="none"/>
        </w:rPr>
      </w:pPr>
      <w:r>
        <w:rPr>
          <w:rFonts w:hint="eastAsia"/>
          <w:sz w:val="21"/>
          <w:szCs w:val="21"/>
          <w:highlight w:val="none"/>
        </w:rPr>
        <w:t>用于敷设加热管的预制模块。模块由防腐反射层﹑绝热层</w:t>
      </w:r>
      <w:r>
        <w:rPr>
          <w:rFonts w:hint="eastAsia"/>
          <w:sz w:val="21"/>
          <w:szCs w:val="21"/>
          <w:highlight w:val="none"/>
          <w:lang w:val="en-US" w:eastAsia="zh-CN"/>
        </w:rPr>
        <w:t>等</w:t>
      </w:r>
      <w:r>
        <w:rPr>
          <w:rFonts w:hint="eastAsia"/>
          <w:sz w:val="21"/>
          <w:szCs w:val="21"/>
          <w:highlight w:val="none"/>
        </w:rPr>
        <w:t>复合粘接组成</w:t>
      </w:r>
      <w:r>
        <w:rPr>
          <w:sz w:val="21"/>
          <w:szCs w:val="21"/>
          <w:highlight w:val="none"/>
        </w:rPr>
        <w:t>，</w:t>
      </w:r>
      <w:r>
        <w:rPr>
          <w:rFonts w:hint="eastAsia"/>
          <w:sz w:val="21"/>
          <w:szCs w:val="21"/>
          <w:highlight w:val="none"/>
        </w:rPr>
        <w:t>可实现快速咬合铺装。</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strike w:val="0"/>
          <w:sz w:val="21"/>
          <w:szCs w:val="21"/>
        </w:rPr>
      </w:pPr>
      <w:r>
        <w:rPr>
          <w:rFonts w:hint="eastAsia" w:ascii="黑体" w:hAnsi="黑体" w:eastAsia="黑体"/>
          <w:strike w:val="0"/>
          <w:sz w:val="21"/>
          <w:szCs w:val="21"/>
        </w:rPr>
        <w:t>均热层</w:t>
      </w:r>
      <w:r>
        <w:rPr>
          <w:strike w:val="0"/>
          <w:sz w:val="21"/>
          <w:szCs w:val="21"/>
        </w:rPr>
        <w:t xml:space="preserve"> </w:t>
      </w:r>
      <w:r>
        <w:rPr>
          <w:b/>
          <w:strike w:val="0"/>
          <w:sz w:val="21"/>
          <w:szCs w:val="21"/>
        </w:rPr>
        <w:t xml:space="preserve"> </w:t>
      </w:r>
      <w:r>
        <w:rPr>
          <w:rFonts w:ascii="Times New Roman" w:hAnsi="Times New Roman" w:cs="Times New Roman"/>
          <w:b/>
          <w:bCs/>
          <w:strike w:val="0"/>
          <w:sz w:val="21"/>
          <w:szCs w:val="21"/>
        </w:rPr>
        <w:t>heat distribution plates</w:t>
      </w:r>
    </w:p>
    <w:p>
      <w:pPr>
        <w:pageBreakBefore w:val="0"/>
        <w:wordWrap/>
        <w:overflowPunct/>
        <w:topLinePunct w:val="0"/>
        <w:bidi w:val="0"/>
        <w:spacing w:line="240" w:lineRule="auto"/>
        <w:ind w:firstLine="420" w:firstLineChars="200"/>
        <w:rPr>
          <w:strike w:val="0"/>
          <w:sz w:val="21"/>
          <w:szCs w:val="21"/>
        </w:rPr>
      </w:pPr>
      <w:r>
        <w:rPr>
          <w:strike w:val="0"/>
          <w:sz w:val="21"/>
          <w:szCs w:val="21"/>
        </w:rPr>
        <w:t>采用预制沟槽保温板供暖地面时，铺设在加热</w:t>
      </w:r>
      <w:r>
        <w:rPr>
          <w:rFonts w:hint="eastAsia"/>
          <w:strike w:val="0"/>
          <w:sz w:val="21"/>
          <w:szCs w:val="21"/>
          <w:lang w:val="en-US" w:eastAsia="zh-CN"/>
        </w:rPr>
        <w:t>管</w:t>
      </w:r>
      <w:r>
        <w:rPr>
          <w:strike w:val="0"/>
          <w:sz w:val="21"/>
          <w:szCs w:val="21"/>
        </w:rPr>
        <w:t>之下或之上</w:t>
      </w:r>
      <w:r>
        <w:rPr>
          <w:rFonts w:hint="eastAsia"/>
          <w:strike w:val="0"/>
          <w:sz w:val="21"/>
          <w:szCs w:val="21"/>
          <w:lang w:eastAsia="zh-CN"/>
        </w:rPr>
        <w:t>、</w:t>
      </w:r>
      <w:r>
        <w:rPr>
          <w:strike w:val="0"/>
          <w:sz w:val="21"/>
          <w:szCs w:val="21"/>
        </w:rPr>
        <w:t>或上下均铺设的可使加热</w:t>
      </w:r>
      <w:r>
        <w:rPr>
          <w:rFonts w:hint="eastAsia"/>
          <w:strike w:val="0"/>
          <w:sz w:val="21"/>
          <w:szCs w:val="21"/>
          <w:lang w:val="en-US" w:eastAsia="zh-CN"/>
        </w:rPr>
        <w:t>管</w:t>
      </w:r>
      <w:r>
        <w:rPr>
          <w:strike w:val="0"/>
          <w:sz w:val="21"/>
          <w:szCs w:val="21"/>
        </w:rPr>
        <w:t>产生的热量均匀散开的金属板或金属箔。</w:t>
      </w:r>
    </w:p>
    <w:p>
      <w:pPr>
        <w:pageBreakBefore w:val="0"/>
        <w:wordWrap/>
        <w:overflowPunct/>
        <w:topLinePunct w:val="0"/>
        <w:bidi w:val="0"/>
        <w:spacing w:line="240" w:lineRule="auto"/>
        <w:ind w:firstLine="420" w:firstLineChars="200"/>
        <w:rPr>
          <w:strike w:val="0"/>
          <w:sz w:val="21"/>
          <w:szCs w:val="21"/>
        </w:rPr>
      </w:pPr>
      <w:r>
        <w:rPr>
          <w:rFonts w:hint="eastAsia"/>
          <w:strike w:val="0"/>
          <w:sz w:val="21"/>
          <w:szCs w:val="21"/>
        </w:rPr>
        <w:t>［来源：JGJ142—2012，2.0.11］</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bookmarkStart w:id="50" w:name="OLE_LINK36"/>
      <w:bookmarkStart w:id="51" w:name="OLE_LINK35"/>
    </w:p>
    <w:p>
      <w:pPr>
        <w:pageBreakBefore w:val="0"/>
        <w:numPr>
          <w:ilvl w:val="0"/>
          <w:numId w:val="0"/>
        </w:numPr>
        <w:wordWrap/>
        <w:overflowPunct/>
        <w:topLinePunct w:val="0"/>
        <w:bidi w:val="0"/>
        <w:spacing w:line="240" w:lineRule="auto"/>
        <w:ind w:leftChars="0" w:firstLine="420" w:firstLineChars="200"/>
        <w:rPr>
          <w:b w:val="0"/>
          <w:bCs w:val="0"/>
          <w:sz w:val="21"/>
          <w:szCs w:val="21"/>
        </w:rPr>
      </w:pPr>
      <w:r>
        <w:rPr>
          <w:rFonts w:hint="eastAsia" w:ascii="黑体" w:hAnsi="黑体" w:eastAsia="黑体" w:cs="黑体"/>
          <w:b w:val="0"/>
          <w:bCs w:val="0"/>
          <w:sz w:val="21"/>
          <w:szCs w:val="21"/>
        </w:rPr>
        <w:t>输配管</w:t>
      </w:r>
      <w:bookmarkEnd w:id="50"/>
      <w:bookmarkEnd w:id="51"/>
      <w:r>
        <w:rPr>
          <w:rFonts w:hint="eastAsia" w:ascii="黑体" w:hAnsi="黑体" w:eastAsia="黑体" w:cs="黑体"/>
          <w:b w:val="0"/>
          <w:bCs w:val="0"/>
          <w:sz w:val="21"/>
          <w:szCs w:val="21"/>
        </w:rPr>
        <w:t xml:space="preserve">  </w:t>
      </w:r>
      <w:r>
        <w:rPr>
          <w:rFonts w:ascii="Times New Roman" w:hAnsi="Times New Roman" w:cs="Times New Roman"/>
          <w:b w:val="0"/>
          <w:bCs w:val="0"/>
          <w:sz w:val="21"/>
          <w:szCs w:val="21"/>
        </w:rPr>
        <w:t>distribution pipe</w:t>
      </w:r>
    </w:p>
    <w:p>
      <w:pPr>
        <w:pageBreakBefore w:val="0"/>
        <w:wordWrap/>
        <w:overflowPunct/>
        <w:topLinePunct w:val="0"/>
        <w:bidi w:val="0"/>
        <w:spacing w:line="240" w:lineRule="auto"/>
        <w:ind w:firstLine="420" w:firstLineChars="200"/>
        <w:rPr>
          <w:sz w:val="21"/>
          <w:szCs w:val="21"/>
        </w:rPr>
      </w:pPr>
      <w:r>
        <w:rPr>
          <w:rFonts w:hint="eastAsia"/>
          <w:sz w:val="21"/>
          <w:szCs w:val="21"/>
        </w:rPr>
        <w:t>热源与</w:t>
      </w:r>
      <w:r>
        <w:rPr>
          <w:sz w:val="21"/>
          <w:szCs w:val="21"/>
        </w:rPr>
        <w:t>末端</w:t>
      </w:r>
      <w:r>
        <w:rPr>
          <w:rFonts w:hint="eastAsia"/>
          <w:sz w:val="21"/>
          <w:szCs w:val="21"/>
        </w:rPr>
        <w:t>散热</w:t>
      </w:r>
      <w:r>
        <w:rPr>
          <w:rFonts w:hint="eastAsia"/>
          <w:sz w:val="21"/>
          <w:szCs w:val="21"/>
          <w:lang w:val="en-US" w:eastAsia="zh-CN"/>
        </w:rPr>
        <w:t>设备</w:t>
      </w:r>
      <w:r>
        <w:rPr>
          <w:rFonts w:hint="eastAsia"/>
          <w:sz w:val="21"/>
          <w:szCs w:val="21"/>
        </w:rPr>
        <w:t>之间</w:t>
      </w:r>
      <w:r>
        <w:rPr>
          <w:sz w:val="21"/>
          <w:szCs w:val="21"/>
        </w:rPr>
        <w:t>起中间输配作用的</w:t>
      </w:r>
      <w:r>
        <w:rPr>
          <w:rFonts w:hint="eastAsia"/>
          <w:sz w:val="21"/>
          <w:szCs w:val="21"/>
        </w:rPr>
        <w:t>热水</w:t>
      </w:r>
      <w:r>
        <w:rPr>
          <w:sz w:val="21"/>
          <w:szCs w:val="21"/>
        </w:rPr>
        <w:t>管道。</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b w:val="0"/>
          <w:bCs w:val="0"/>
          <w:sz w:val="21"/>
          <w:szCs w:val="21"/>
        </w:rPr>
      </w:pPr>
      <w:r>
        <w:rPr>
          <w:rFonts w:hint="eastAsia" w:ascii="黑体" w:hAnsi="黑体" w:eastAsia="黑体" w:cs="黑体"/>
          <w:b w:val="0"/>
          <w:bCs w:val="0"/>
          <w:sz w:val="21"/>
          <w:szCs w:val="21"/>
        </w:rPr>
        <w:t>去耦罐</w:t>
      </w:r>
      <w:r>
        <w:rPr>
          <w:rFonts w:hint="eastAsia" w:ascii="黑体" w:hAnsi="黑体" w:eastAsia="黑体" w:cs="黑体"/>
          <w:b w:val="0"/>
          <w:bCs w:val="0"/>
          <w:sz w:val="21"/>
          <w:szCs w:val="21"/>
          <w:lang w:val="en-US" w:eastAsia="zh-CN"/>
        </w:rPr>
        <w:t xml:space="preserve">  </w:t>
      </w:r>
      <w:r>
        <w:rPr>
          <w:rFonts w:ascii="Times New Roman" w:hAnsi="Times New Roman" w:cs="Times New Roman"/>
          <w:b w:val="0"/>
          <w:bCs w:val="0"/>
          <w:sz w:val="21"/>
          <w:szCs w:val="21"/>
        </w:rPr>
        <w:t>decoupling tank</w:t>
      </w:r>
    </w:p>
    <w:p>
      <w:pPr>
        <w:pageBreakBefore w:val="0"/>
        <w:wordWrap/>
        <w:overflowPunct/>
        <w:topLinePunct w:val="0"/>
        <w:bidi w:val="0"/>
        <w:spacing w:line="240" w:lineRule="auto"/>
        <w:ind w:firstLine="420" w:firstLineChars="200"/>
        <w:rPr>
          <w:sz w:val="21"/>
          <w:szCs w:val="21"/>
        </w:rPr>
      </w:pPr>
      <w:r>
        <w:rPr>
          <w:sz w:val="21"/>
          <w:szCs w:val="21"/>
        </w:rPr>
        <w:t>安装在热源设备和末端</w:t>
      </w:r>
      <w:r>
        <w:rPr>
          <w:rFonts w:hint="eastAsia"/>
          <w:sz w:val="21"/>
          <w:szCs w:val="21"/>
        </w:rPr>
        <w:t>散热</w:t>
      </w:r>
      <w:r>
        <w:rPr>
          <w:rFonts w:hint="eastAsia"/>
          <w:sz w:val="21"/>
          <w:szCs w:val="21"/>
          <w:lang w:val="en-US" w:eastAsia="zh-CN"/>
        </w:rPr>
        <w:t>设备</w:t>
      </w:r>
      <w:r>
        <w:rPr>
          <w:sz w:val="21"/>
          <w:szCs w:val="21"/>
        </w:rPr>
        <w:t>之间，</w:t>
      </w:r>
      <w:r>
        <w:rPr>
          <w:rFonts w:hint="eastAsia"/>
          <w:sz w:val="21"/>
          <w:szCs w:val="21"/>
        </w:rPr>
        <w:t>用来消除不同回路之间的</w:t>
      </w:r>
      <w:r>
        <w:rPr>
          <w:sz w:val="21"/>
          <w:szCs w:val="21"/>
        </w:rPr>
        <w:t>水力耦合现象的装置。</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strike w:val="0"/>
          <w:sz w:val="21"/>
          <w:szCs w:val="21"/>
          <w:u w:val="none"/>
        </w:rPr>
      </w:pPr>
      <w:r>
        <w:rPr>
          <w:rFonts w:hint="eastAsia" w:ascii="黑体" w:hAnsi="黑体" w:eastAsia="黑体" w:cs="黑体"/>
          <w:strike w:val="0"/>
          <w:sz w:val="21"/>
          <w:szCs w:val="21"/>
          <w:u w:val="none"/>
        </w:rPr>
        <w:t xml:space="preserve">电热式控制阀  </w:t>
      </w:r>
      <w:r>
        <w:rPr>
          <w:rFonts w:hint="eastAsia" w:ascii="Times New Roman" w:hAnsi="Times New Roman" w:cs="Times New Roman"/>
          <w:b/>
          <w:bCs/>
          <w:strike w:val="0"/>
          <w:sz w:val="21"/>
          <w:szCs w:val="21"/>
          <w:u w:val="none"/>
        </w:rPr>
        <w:t>electrical thermal actuating valve</w:t>
      </w:r>
    </w:p>
    <w:p>
      <w:pPr>
        <w:pageBreakBefore w:val="0"/>
        <w:wordWrap/>
        <w:overflowPunct/>
        <w:topLinePunct w:val="0"/>
        <w:bidi w:val="0"/>
        <w:spacing w:line="240" w:lineRule="auto"/>
        <w:ind w:firstLine="420" w:firstLineChars="200"/>
        <w:rPr>
          <w:strike w:val="0"/>
          <w:sz w:val="21"/>
          <w:szCs w:val="21"/>
          <w:u w:val="none"/>
        </w:rPr>
      </w:pPr>
      <w:r>
        <w:rPr>
          <w:strike w:val="0"/>
          <w:sz w:val="21"/>
          <w:szCs w:val="21"/>
          <w:u w:val="none"/>
        </w:rPr>
        <w:t>依靠阀门驱动器内被电加热的温包膨胀产生的推力推动阀杆，关闭或开启阀门流道的自动控制阀</w:t>
      </w:r>
      <w:r>
        <w:rPr>
          <w:rFonts w:hint="eastAsia"/>
          <w:strike w:val="0"/>
          <w:sz w:val="21"/>
          <w:szCs w:val="21"/>
          <w:u w:val="none"/>
          <w:lang w:eastAsia="zh-CN"/>
        </w:rPr>
        <w:t>，</w:t>
      </w:r>
      <w:r>
        <w:rPr>
          <w:rFonts w:hint="eastAsia"/>
          <w:strike w:val="0"/>
          <w:sz w:val="21"/>
          <w:szCs w:val="21"/>
          <w:u w:val="none"/>
          <w:lang w:val="en-US" w:eastAsia="zh-CN"/>
        </w:rPr>
        <w:t>简称热电阀</w:t>
      </w:r>
      <w:r>
        <w:rPr>
          <w:strike w:val="0"/>
          <w:sz w:val="21"/>
          <w:szCs w:val="21"/>
          <w:u w:val="none"/>
        </w:rPr>
        <w:t>。</w:t>
      </w:r>
    </w:p>
    <w:p>
      <w:pPr>
        <w:pageBreakBefore w:val="0"/>
        <w:wordWrap/>
        <w:overflowPunct/>
        <w:topLinePunct w:val="0"/>
        <w:bidi w:val="0"/>
        <w:spacing w:line="240" w:lineRule="auto"/>
        <w:ind w:firstLine="420" w:firstLineChars="200"/>
        <w:rPr>
          <w:strike w:val="0"/>
          <w:sz w:val="21"/>
          <w:szCs w:val="21"/>
          <w:u w:val="none"/>
        </w:rPr>
      </w:pPr>
      <w:r>
        <w:rPr>
          <w:strike w:val="0"/>
          <w:sz w:val="21"/>
          <w:szCs w:val="21"/>
          <w:u w:val="none"/>
        </w:rPr>
        <w:t>［来源：JGJ142—2012，2.0.31］</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strike w:val="0"/>
          <w:sz w:val="21"/>
          <w:szCs w:val="21"/>
          <w:u w:val="none"/>
        </w:rPr>
      </w:pPr>
      <w:r>
        <w:rPr>
          <w:rFonts w:hint="eastAsia" w:ascii="黑体" w:hAnsi="黑体" w:eastAsia="黑体" w:cs="黑体"/>
          <w:strike w:val="0"/>
          <w:sz w:val="21"/>
          <w:szCs w:val="21"/>
          <w:u w:val="none"/>
        </w:rPr>
        <w:t xml:space="preserve">自力式温控阀  </w:t>
      </w:r>
      <w:r>
        <w:rPr>
          <w:rFonts w:hint="eastAsia" w:ascii="Times New Roman" w:hAnsi="Times New Roman" w:cs="Times New Roman"/>
          <w:b/>
          <w:bCs/>
          <w:strike w:val="0"/>
          <w:sz w:val="21"/>
          <w:szCs w:val="21"/>
          <w:u w:val="none"/>
        </w:rPr>
        <w:t>Self-operated Thermostatic Valve</w:t>
      </w:r>
    </w:p>
    <w:p>
      <w:pPr>
        <w:pageBreakBefore w:val="0"/>
        <w:wordWrap/>
        <w:overflowPunct/>
        <w:topLinePunct w:val="0"/>
        <w:bidi w:val="0"/>
        <w:spacing w:line="240" w:lineRule="auto"/>
        <w:ind w:firstLine="420" w:firstLineChars="200"/>
        <w:rPr>
          <w:strike w:val="0"/>
          <w:sz w:val="21"/>
          <w:szCs w:val="21"/>
          <w:u w:val="none"/>
        </w:rPr>
      </w:pPr>
      <w:r>
        <w:rPr>
          <w:strike w:val="0"/>
          <w:sz w:val="21"/>
          <w:szCs w:val="21"/>
          <w:u w:val="none"/>
        </w:rPr>
        <w:t>可人为设定温度，通过温包感应温度产生自力式动作，无需外界动力调节热水流量，从而控制室温恒定的阀门</w:t>
      </w:r>
      <w:r>
        <w:rPr>
          <w:rFonts w:hint="eastAsia"/>
          <w:strike w:val="0"/>
          <w:sz w:val="21"/>
          <w:szCs w:val="21"/>
          <w:u w:val="none"/>
          <w:lang w:eastAsia="zh-CN"/>
        </w:rPr>
        <w:t>，</w:t>
      </w:r>
      <w:r>
        <w:rPr>
          <w:strike w:val="0"/>
          <w:sz w:val="21"/>
          <w:szCs w:val="21"/>
          <w:u w:val="none"/>
        </w:rPr>
        <w:t>又称</w:t>
      </w:r>
      <w:bookmarkStart w:id="52" w:name="OLE_LINK46"/>
      <w:bookmarkStart w:id="53" w:name="OLE_LINK47"/>
      <w:r>
        <w:rPr>
          <w:strike w:val="0"/>
          <w:sz w:val="21"/>
          <w:szCs w:val="21"/>
          <w:u w:val="none"/>
        </w:rPr>
        <w:t>恒温控制阀</w:t>
      </w:r>
      <w:bookmarkEnd w:id="52"/>
      <w:bookmarkEnd w:id="53"/>
      <w:r>
        <w:rPr>
          <w:strike w:val="0"/>
          <w:sz w:val="21"/>
          <w:szCs w:val="21"/>
          <w:u w:val="none"/>
        </w:rPr>
        <w:t>。</w:t>
      </w:r>
    </w:p>
    <w:p>
      <w:pPr>
        <w:pageBreakBefore w:val="0"/>
        <w:wordWrap/>
        <w:overflowPunct/>
        <w:topLinePunct w:val="0"/>
        <w:bidi w:val="0"/>
        <w:spacing w:line="240" w:lineRule="auto"/>
        <w:ind w:firstLine="420" w:firstLineChars="200"/>
        <w:rPr>
          <w:strike w:val="0"/>
          <w:sz w:val="21"/>
          <w:szCs w:val="21"/>
          <w:u w:val="none"/>
        </w:rPr>
      </w:pPr>
      <w:r>
        <w:rPr>
          <w:strike w:val="0"/>
          <w:sz w:val="21"/>
          <w:szCs w:val="21"/>
          <w:u w:val="none"/>
        </w:rPr>
        <w:t>［来源：JGJ142—2012，2.0.32］</w:t>
      </w:r>
    </w:p>
    <w:p>
      <w:pPr>
        <w:pageBreakBefore w:val="0"/>
        <w:numPr>
          <w:ilvl w:val="0"/>
          <w:numId w:val="32"/>
        </w:numPr>
        <w:wordWrap/>
        <w:overflowPunct/>
        <w:topLinePunct w:val="0"/>
        <w:bidi w:val="0"/>
        <w:spacing w:line="240" w:lineRule="auto"/>
        <w:ind w:firstLine="0"/>
        <w:rPr>
          <w:rFonts w:ascii="Times New Roman" w:hAnsi="Times New Roman" w:cs="Times New Roman"/>
          <w:b w:val="0"/>
          <w:bCs w:val="0"/>
          <w:sz w:val="21"/>
          <w:szCs w:val="21"/>
          <w:highlight w:val="none"/>
        </w:rPr>
      </w:pPr>
    </w:p>
    <w:p>
      <w:pPr>
        <w:pageBreakBefore w:val="0"/>
        <w:numPr>
          <w:ilvl w:val="0"/>
          <w:numId w:val="0"/>
        </w:numPr>
        <w:wordWrap/>
        <w:overflowPunct/>
        <w:topLinePunct w:val="0"/>
        <w:bidi w:val="0"/>
        <w:spacing w:line="240" w:lineRule="auto"/>
        <w:ind w:leftChars="0" w:firstLine="420" w:firstLineChars="200"/>
        <w:rPr>
          <w:strike w:val="0"/>
          <w:sz w:val="21"/>
          <w:szCs w:val="21"/>
          <w:highlight w:val="none"/>
          <w:u w:val="none"/>
        </w:rPr>
      </w:pPr>
      <w:r>
        <w:rPr>
          <w:rFonts w:hint="eastAsia" w:ascii="黑体" w:hAnsi="黑体" w:eastAsia="黑体" w:cs="黑体"/>
          <w:strike w:val="0"/>
          <w:sz w:val="21"/>
          <w:szCs w:val="21"/>
          <w:highlight w:val="none"/>
          <w:u w:val="none"/>
        </w:rPr>
        <w:t>温</w:t>
      </w:r>
      <w:r>
        <w:rPr>
          <w:rFonts w:hint="eastAsia" w:ascii="黑体" w:hAnsi="黑体" w:eastAsia="黑体" w:cs="黑体"/>
          <w:strike w:val="0"/>
          <w:sz w:val="21"/>
          <w:szCs w:val="21"/>
          <w:highlight w:val="none"/>
          <w:u w:val="none"/>
          <w:lang w:val="en-US" w:eastAsia="zh-CN"/>
        </w:rPr>
        <w:t>度</w:t>
      </w:r>
      <w:r>
        <w:rPr>
          <w:rFonts w:hint="eastAsia" w:ascii="黑体" w:hAnsi="黑体" w:eastAsia="黑体" w:cs="黑体"/>
          <w:strike w:val="0"/>
          <w:sz w:val="21"/>
          <w:szCs w:val="21"/>
          <w:highlight w:val="none"/>
          <w:u w:val="none"/>
        </w:rPr>
        <w:t>控制</w:t>
      </w:r>
      <w:r>
        <w:rPr>
          <w:rFonts w:hint="eastAsia" w:ascii="黑体" w:hAnsi="黑体" w:eastAsia="黑体" w:cs="黑体"/>
          <w:strike w:val="0"/>
          <w:sz w:val="21"/>
          <w:szCs w:val="21"/>
          <w:highlight w:val="none"/>
          <w:u w:val="none"/>
          <w:lang w:val="en-US" w:eastAsia="zh-CN"/>
        </w:rPr>
        <w:t>器</w:t>
      </w:r>
      <w:r>
        <w:rPr>
          <w:rFonts w:hint="eastAsia" w:ascii="黑体" w:hAnsi="黑体" w:eastAsia="黑体" w:cs="黑体"/>
          <w:strike w:val="0"/>
          <w:sz w:val="21"/>
          <w:szCs w:val="21"/>
          <w:highlight w:val="none"/>
          <w:u w:val="none"/>
        </w:rPr>
        <w:t xml:space="preserve">  </w:t>
      </w:r>
      <w:r>
        <w:rPr>
          <w:rFonts w:ascii="Times New Roman" w:hAnsi="Times New Roman" w:cs="Times New Roman"/>
          <w:b/>
          <w:bCs/>
          <w:strike w:val="0"/>
          <w:sz w:val="21"/>
          <w:szCs w:val="21"/>
          <w:highlight w:val="none"/>
          <w:u w:val="none"/>
        </w:rPr>
        <w:t>thermostat</w:t>
      </w:r>
    </w:p>
    <w:p>
      <w:pPr>
        <w:pageBreakBefore w:val="0"/>
        <w:wordWrap/>
        <w:overflowPunct/>
        <w:topLinePunct w:val="0"/>
        <w:bidi w:val="0"/>
        <w:spacing w:line="240" w:lineRule="auto"/>
        <w:ind w:firstLine="420" w:firstLineChars="200"/>
        <w:rPr>
          <w:strike w:val="0"/>
          <w:sz w:val="21"/>
          <w:szCs w:val="21"/>
          <w:u w:val="none"/>
        </w:rPr>
      </w:pPr>
      <w:r>
        <w:rPr>
          <w:sz w:val="21"/>
          <w:szCs w:val="21"/>
        </w:rPr>
        <w:t>能够测量</w:t>
      </w:r>
      <w:r>
        <w:rPr>
          <w:rFonts w:hint="eastAsia"/>
          <w:sz w:val="21"/>
          <w:szCs w:val="21"/>
          <w:lang w:val="en-US" w:eastAsia="zh-CN"/>
        </w:rPr>
        <w:t>室内空气</w:t>
      </w:r>
      <w:r>
        <w:rPr>
          <w:sz w:val="21"/>
          <w:szCs w:val="21"/>
        </w:rPr>
        <w:t>温度并发出控制调节信号的温度自控设备</w:t>
      </w:r>
      <w:bookmarkStart w:id="54" w:name="OLE_LINK37"/>
      <w:r>
        <w:rPr>
          <w:rFonts w:hint="eastAsia"/>
          <w:strike w:val="0"/>
          <w:sz w:val="21"/>
          <w:szCs w:val="21"/>
          <w:u w:val="none"/>
          <w:lang w:eastAsia="zh-CN"/>
        </w:rPr>
        <w:t>，</w:t>
      </w:r>
      <w:r>
        <w:rPr>
          <w:strike w:val="0"/>
          <w:sz w:val="21"/>
          <w:szCs w:val="21"/>
          <w:u w:val="none"/>
        </w:rPr>
        <w:t>简称</w:t>
      </w:r>
      <w:bookmarkEnd w:id="54"/>
      <w:bookmarkStart w:id="55" w:name="OLE_LINK48"/>
      <w:bookmarkStart w:id="56" w:name="OLE_LINK49"/>
      <w:r>
        <w:rPr>
          <w:strike w:val="0"/>
          <w:sz w:val="21"/>
          <w:szCs w:val="21"/>
          <w:u w:val="none"/>
        </w:rPr>
        <w:t>温控器</w:t>
      </w:r>
      <w:bookmarkEnd w:id="55"/>
      <w:bookmarkEnd w:id="56"/>
      <w:r>
        <w:rPr>
          <w:strike w:val="0"/>
          <w:sz w:val="21"/>
          <w:szCs w:val="21"/>
          <w:u w:val="none"/>
        </w:rPr>
        <w:t>。</w:t>
      </w:r>
    </w:p>
    <w:p>
      <w:pPr>
        <w:pageBreakBefore w:val="0"/>
        <w:wordWrap/>
        <w:overflowPunct/>
        <w:topLinePunct w:val="0"/>
        <w:bidi w:val="0"/>
        <w:spacing w:line="240" w:lineRule="auto"/>
        <w:rPr>
          <w:sz w:val="28"/>
          <w:szCs w:val="28"/>
        </w:rPr>
      </w:pPr>
    </w:p>
    <w:p>
      <w:pPr>
        <w:pageBreakBefore w:val="0"/>
        <w:wordWrap/>
        <w:overflowPunct/>
        <w:topLinePunct w:val="0"/>
        <w:bidi w:val="0"/>
        <w:spacing w:line="240" w:lineRule="auto"/>
        <w:rPr>
          <w:sz w:val="28"/>
          <w:szCs w:val="28"/>
        </w:rPr>
      </w:pPr>
      <w:bookmarkStart w:id="57" w:name="_Toc8912"/>
      <w:bookmarkStart w:id="58" w:name="_Toc19975"/>
      <w:bookmarkStart w:id="59" w:name="_Toc25618"/>
      <w:r>
        <w:rPr>
          <w:rFonts w:hint="eastAsia"/>
          <w:sz w:val="28"/>
          <w:szCs w:val="28"/>
        </w:rPr>
        <w:br w:type="page"/>
      </w:r>
    </w:p>
    <w:p>
      <w:pPr>
        <w:pStyle w:val="105"/>
        <w:pageBreakBefore w:val="0"/>
        <w:wordWrap/>
        <w:overflowPunct/>
        <w:topLinePunct w:val="0"/>
        <w:bidi w:val="0"/>
        <w:spacing w:before="312" w:after="312" w:line="240" w:lineRule="auto"/>
        <w:rPr>
          <w:rFonts w:hint="eastAsia" w:hAnsi="Times New Roman" w:cs="Times New Roman"/>
          <w:szCs w:val="21"/>
        </w:rPr>
      </w:pPr>
      <w:bookmarkStart w:id="60" w:name="_Toc793"/>
      <w:bookmarkStart w:id="61" w:name="_Toc29413"/>
      <w:r>
        <w:rPr>
          <w:rFonts w:hint="eastAsia" w:hAnsi="Times New Roman" w:cs="Times New Roman"/>
          <w:szCs w:val="21"/>
        </w:rPr>
        <w:t>供暖系统工艺流程图</w:t>
      </w:r>
      <w:bookmarkEnd w:id="60"/>
      <w:bookmarkEnd w:id="61"/>
    </w:p>
    <w:p>
      <w:pPr>
        <w:pStyle w:val="57"/>
        <w:numPr>
          <w:ilvl w:val="0"/>
          <w:numId w:val="0"/>
        </w:numPr>
        <w:tabs>
          <w:tab w:val="left" w:pos="0"/>
        </w:tabs>
        <w:ind w:left="0" w:leftChars="0" w:firstLine="420" w:firstLineChars="200"/>
        <w:rPr>
          <w:rFonts w:hint="eastAsia"/>
        </w:rPr>
      </w:pPr>
      <w:r>
        <w:rPr>
          <w:rFonts w:hint="eastAsia" w:hAnsi="Times New Roman" w:cs="Times New Roman"/>
          <w:szCs w:val="21"/>
          <w:lang w:eastAsia="zh-CN"/>
        </w:rPr>
        <w:drawing>
          <wp:anchor distT="0" distB="0" distL="114300" distR="114300" simplePos="0" relativeHeight="251662336" behindDoc="0" locked="0" layoutInCell="1" allowOverlap="1">
            <wp:simplePos x="0" y="0"/>
            <wp:positionH relativeFrom="column">
              <wp:posOffset>332105</wp:posOffset>
            </wp:positionH>
            <wp:positionV relativeFrom="paragraph">
              <wp:posOffset>281305</wp:posOffset>
            </wp:positionV>
            <wp:extent cx="5382260" cy="7919720"/>
            <wp:effectExtent l="0" t="0" r="12700" b="5080"/>
            <wp:wrapTopAndBottom/>
            <wp:docPr id="11" name="图片 11" descr="C:/Users/DELL/Desktop/@ 2026省标编制工作资料/省标流程图20260803.png省标流程图2026080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C:/Users/DELL/Desktop/@ 2026省标编制工作资料/省标流程图20260803.png省标流程图20260803"/>
                    <pic:cNvPicPr>
                      <a:picLocks noChangeAspect="true"/>
                    </pic:cNvPicPr>
                  </pic:nvPicPr>
                  <pic:blipFill>
                    <a:blip r:embed="rId15"/>
                    <a:srcRect l="4" r="4"/>
                    <a:stretch>
                      <a:fillRect/>
                    </a:stretch>
                  </pic:blipFill>
                  <pic:spPr>
                    <a:xfrm>
                      <a:off x="0" y="0"/>
                      <a:ext cx="5382260" cy="7919720"/>
                    </a:xfrm>
                    <a:prstGeom prst="rect">
                      <a:avLst/>
                    </a:prstGeom>
                  </pic:spPr>
                </pic:pic>
              </a:graphicData>
            </a:graphic>
          </wp:anchor>
        </w:drawing>
      </w:r>
      <w:r>
        <w:rPr>
          <w:rFonts w:hint="eastAsia"/>
        </w:rPr>
        <w:t>供暖系统工艺流程见图1</w:t>
      </w:r>
      <w:r>
        <w:rPr>
          <w:rFonts w:hint="eastAsia"/>
          <w:lang w:eastAsia="zh-CN"/>
        </w:rPr>
        <w:t>。</w:t>
      </w:r>
    </w:p>
    <w:p>
      <w:pPr>
        <w:pageBreakBefore w:val="0"/>
        <w:widowControl/>
        <w:wordWrap/>
        <w:overflowPunct/>
        <w:topLinePunct w:val="0"/>
        <w:autoSpaceDE/>
        <w:autoSpaceDN/>
        <w:bidi w:val="0"/>
        <w:adjustRightInd/>
        <w:snapToGrid/>
        <w:spacing w:line="240" w:lineRule="auto"/>
        <w:jc w:val="center"/>
        <w:rPr>
          <w:rFonts w:hint="eastAsia" w:eastAsia="宋体"/>
          <w:lang w:eastAsia="zh-CN"/>
        </w:rPr>
      </w:pPr>
      <w:r>
        <w:rPr>
          <w:rFonts w:hint="eastAsia" w:ascii="黑体" w:hAnsi="黑体" w:eastAsia="黑体" w:cs="黑体"/>
        </w:rPr>
        <w:t xml:space="preserve">图1 </w:t>
      </w:r>
      <w:r>
        <w:rPr>
          <w:rFonts w:hint="eastAsia" w:ascii="黑体" w:hAnsi="黑体" w:eastAsia="黑体" w:cs="黑体"/>
          <w:lang w:val="en-US" w:eastAsia="zh-CN"/>
        </w:rPr>
        <w:t>供暖系统工艺流程图</w:t>
      </w:r>
    </w:p>
    <w:p>
      <w:pPr>
        <w:pStyle w:val="105"/>
        <w:pageBreakBefore w:val="0"/>
        <w:wordWrap/>
        <w:overflowPunct/>
        <w:topLinePunct w:val="0"/>
        <w:bidi w:val="0"/>
        <w:spacing w:before="312" w:after="312" w:line="240" w:lineRule="auto"/>
        <w:rPr>
          <w:rFonts w:hint="eastAsia" w:hAnsi="Times New Roman" w:cs="Times New Roman"/>
          <w:szCs w:val="21"/>
        </w:rPr>
      </w:pPr>
      <w:bookmarkStart w:id="62" w:name="_Toc19869"/>
      <w:bookmarkStart w:id="63" w:name="_Toc26464"/>
      <w:r>
        <w:rPr>
          <w:rFonts w:hint="eastAsia" w:hAnsi="Times New Roman" w:cs="Times New Roman"/>
          <w:szCs w:val="21"/>
        </w:rPr>
        <w:t>设计</w:t>
      </w:r>
      <w:bookmarkEnd w:id="57"/>
      <w:bookmarkEnd w:id="58"/>
      <w:bookmarkEnd w:id="62"/>
      <w:bookmarkEnd w:id="63"/>
    </w:p>
    <w:p>
      <w:pPr>
        <w:pStyle w:val="3"/>
        <w:numPr>
          <w:ilvl w:val="0"/>
          <w:numId w:val="33"/>
        </w:numPr>
        <w:bidi w:val="0"/>
        <w:ind w:left="0" w:leftChars="0" w:firstLine="0" w:firstLineChars="0"/>
        <w:rPr>
          <w:rFonts w:hint="eastAsia"/>
        </w:rPr>
      </w:pPr>
      <w:bookmarkStart w:id="64" w:name="bookmark6"/>
      <w:bookmarkEnd w:id="64"/>
      <w:r>
        <w:t>一般规定</w:t>
      </w:r>
    </w:p>
    <w:p>
      <w:pPr>
        <w:pageBreakBefore w:val="0"/>
        <w:numPr>
          <w:ilvl w:val="0"/>
          <w:numId w:val="34"/>
        </w:numPr>
        <w:wordWrap/>
        <w:overflowPunct/>
        <w:topLinePunct w:val="0"/>
        <w:bidi w:val="0"/>
        <w:spacing w:line="240" w:lineRule="auto"/>
        <w:ind w:left="0" w:leftChars="0" w:firstLine="0" w:firstLineChars="0"/>
        <w:rPr>
          <w:rFonts w:hint="eastAsia"/>
          <w:sz w:val="21"/>
          <w:szCs w:val="21"/>
        </w:rPr>
      </w:pPr>
      <w:r>
        <w:rPr>
          <w:rFonts w:ascii="Segoe UI" w:hAnsi="Segoe UI" w:cs="Segoe UI"/>
          <w:bCs/>
          <w:color w:val="0F1115"/>
          <w:sz w:val="21"/>
          <w:szCs w:val="21"/>
        </w:rPr>
        <w:t>分户供暖</w:t>
      </w:r>
      <w:r>
        <w:rPr>
          <w:rFonts w:hint="eastAsia" w:ascii="Segoe UI" w:hAnsi="Segoe UI" w:cs="Segoe UI"/>
          <w:bCs/>
          <w:color w:val="0F1115"/>
          <w:sz w:val="21"/>
          <w:szCs w:val="21"/>
          <w:lang w:val="en-US" w:eastAsia="zh-CN"/>
        </w:rPr>
        <w:t>设计</w:t>
      </w:r>
      <w:r>
        <w:rPr>
          <w:rFonts w:ascii="Segoe UI" w:hAnsi="Segoe UI" w:cs="Segoe UI"/>
          <w:bCs/>
          <w:color w:val="0F1115"/>
          <w:sz w:val="21"/>
          <w:szCs w:val="21"/>
        </w:rPr>
        <w:t>时，应</w:t>
      </w:r>
      <w:r>
        <w:rPr>
          <w:rFonts w:hint="eastAsia" w:ascii="Segoe UI" w:hAnsi="Segoe UI" w:cs="Segoe UI"/>
          <w:bCs/>
          <w:color w:val="0F1115"/>
          <w:sz w:val="21"/>
          <w:szCs w:val="21"/>
          <w:lang w:val="en-US" w:eastAsia="zh-CN"/>
        </w:rPr>
        <w:t>编制</w:t>
      </w:r>
      <w:r>
        <w:rPr>
          <w:rFonts w:ascii="Segoe UI" w:hAnsi="Segoe UI" w:cs="Segoe UI"/>
          <w:bCs/>
          <w:color w:val="0F1115"/>
          <w:sz w:val="21"/>
          <w:szCs w:val="21"/>
        </w:rPr>
        <w:t>平面布置图、供暖系统图</w:t>
      </w:r>
      <w:r>
        <w:rPr>
          <w:rFonts w:hint="eastAsia" w:ascii="Segoe UI" w:hAnsi="Segoe UI" w:cs="Segoe UI"/>
          <w:bCs/>
          <w:color w:val="0F1115"/>
          <w:sz w:val="21"/>
          <w:szCs w:val="21"/>
          <w:lang w:eastAsia="zh-CN"/>
        </w:rPr>
        <w:t>、</w:t>
      </w:r>
      <w:r>
        <w:rPr>
          <w:rFonts w:ascii="Segoe UI" w:hAnsi="Segoe UI" w:cs="Segoe UI"/>
          <w:bCs/>
          <w:color w:val="0F1115"/>
          <w:sz w:val="21"/>
          <w:szCs w:val="21"/>
        </w:rPr>
        <w:t>材料清单及</w:t>
      </w:r>
      <w:r>
        <w:rPr>
          <w:rFonts w:hint="default" w:ascii="Segoe UI" w:hAnsi="Segoe UI" w:cs="Segoe UI"/>
          <w:bCs/>
          <w:color w:val="0F1115"/>
          <w:sz w:val="21"/>
          <w:szCs w:val="21"/>
          <w:lang w:val="en-US" w:eastAsia="zh-CN"/>
        </w:rPr>
        <w:t>设计说明</w:t>
      </w:r>
      <w:r>
        <w:rPr>
          <w:rFonts w:ascii="Segoe UI" w:hAnsi="Segoe UI" w:cs="Segoe UI"/>
          <w:bCs/>
          <w:color w:val="0F1115"/>
          <w:sz w:val="21"/>
          <w:szCs w:val="21"/>
        </w:rPr>
        <w:t>等设计文件。</w:t>
      </w:r>
    </w:p>
    <w:p>
      <w:pPr>
        <w:pageBreakBefore w:val="0"/>
        <w:numPr>
          <w:ilvl w:val="0"/>
          <w:numId w:val="34"/>
        </w:numPr>
        <w:wordWrap/>
        <w:overflowPunct/>
        <w:topLinePunct w:val="0"/>
        <w:bidi w:val="0"/>
        <w:spacing w:line="240" w:lineRule="auto"/>
        <w:ind w:left="0" w:leftChars="0" w:firstLine="0" w:firstLineChars="0"/>
        <w:rPr>
          <w:sz w:val="21"/>
          <w:szCs w:val="21"/>
        </w:rPr>
      </w:pPr>
      <w:r>
        <w:rPr>
          <w:color w:val="auto"/>
          <w:sz w:val="21"/>
          <w:szCs w:val="21"/>
        </w:rPr>
        <w:t>供暖系统的</w:t>
      </w:r>
      <w:r>
        <w:rPr>
          <w:rFonts w:hint="eastAsia"/>
          <w:color w:val="auto"/>
          <w:sz w:val="21"/>
          <w:szCs w:val="21"/>
        </w:rPr>
        <w:t>设计</w:t>
      </w:r>
      <w:r>
        <w:rPr>
          <w:color w:val="auto"/>
          <w:sz w:val="21"/>
          <w:szCs w:val="21"/>
        </w:rPr>
        <w:t>压力不</w:t>
      </w:r>
      <w:r>
        <w:rPr>
          <w:sz w:val="21"/>
          <w:szCs w:val="21"/>
        </w:rPr>
        <w:t>宜大于0.6</w:t>
      </w:r>
      <w:r>
        <w:rPr>
          <w:rFonts w:ascii="Times New Roman" w:hAnsi="Times New Roman" w:cs="Times New Roman"/>
          <w:sz w:val="21"/>
          <w:szCs w:val="21"/>
        </w:rPr>
        <w:t>MPa</w:t>
      </w:r>
      <w:r>
        <w:rPr>
          <w:sz w:val="21"/>
          <w:szCs w:val="21"/>
        </w:rPr>
        <w:t>。</w:t>
      </w:r>
    </w:p>
    <w:p>
      <w:pPr>
        <w:pageBreakBefore w:val="0"/>
        <w:numPr>
          <w:ilvl w:val="0"/>
          <w:numId w:val="34"/>
        </w:numPr>
        <w:wordWrap/>
        <w:overflowPunct/>
        <w:topLinePunct w:val="0"/>
        <w:bidi w:val="0"/>
        <w:spacing w:line="240" w:lineRule="auto"/>
        <w:ind w:left="0" w:leftChars="0" w:firstLine="0" w:firstLineChars="0"/>
        <w:rPr>
          <w:strike w:val="0"/>
          <w:sz w:val="21"/>
          <w:szCs w:val="21"/>
        </w:rPr>
      </w:pPr>
      <w:r>
        <w:rPr>
          <w:strike w:val="0"/>
          <w:sz w:val="21"/>
          <w:szCs w:val="21"/>
        </w:rPr>
        <w:t>供暖系统</w:t>
      </w:r>
      <w:r>
        <w:rPr>
          <w:rFonts w:hint="eastAsia"/>
          <w:strike w:val="0"/>
          <w:sz w:val="21"/>
          <w:szCs w:val="21"/>
          <w:lang w:val="en-US" w:eastAsia="zh-CN"/>
        </w:rPr>
        <w:t>各功能区的温度宜独立控制</w:t>
      </w:r>
      <w:r>
        <w:rPr>
          <w:strike w:val="0"/>
          <w:sz w:val="21"/>
          <w:szCs w:val="21"/>
        </w:rPr>
        <w:t>。</w:t>
      </w:r>
    </w:p>
    <w:p>
      <w:pPr>
        <w:pageBreakBefore w:val="0"/>
        <w:numPr>
          <w:ilvl w:val="0"/>
          <w:numId w:val="34"/>
        </w:numPr>
        <w:wordWrap/>
        <w:overflowPunct/>
        <w:topLinePunct w:val="0"/>
        <w:bidi w:val="0"/>
        <w:spacing w:line="240" w:lineRule="auto"/>
        <w:ind w:left="0" w:leftChars="0" w:firstLine="0" w:firstLineChars="0"/>
        <w:rPr>
          <w:sz w:val="21"/>
          <w:szCs w:val="21"/>
        </w:rPr>
      </w:pPr>
      <w:r>
        <w:rPr>
          <w:sz w:val="21"/>
          <w:szCs w:val="21"/>
        </w:rPr>
        <w:t>供暖系统应按功能区划分加热环路，</w:t>
      </w:r>
      <w:r>
        <w:rPr>
          <w:rFonts w:hint="eastAsia"/>
          <w:sz w:val="21"/>
          <w:szCs w:val="21"/>
        </w:rPr>
        <w:t>环路</w:t>
      </w:r>
      <w:r>
        <w:rPr>
          <w:sz w:val="21"/>
          <w:szCs w:val="21"/>
        </w:rPr>
        <w:t>划分不应跨功能区，系统宜配置分水器</w:t>
      </w:r>
      <w:r>
        <w:rPr>
          <w:rFonts w:hint="eastAsia"/>
          <w:sz w:val="21"/>
          <w:szCs w:val="21"/>
          <w:lang w:eastAsia="zh-CN"/>
        </w:rPr>
        <w:t>、</w:t>
      </w:r>
      <w:r>
        <w:rPr>
          <w:sz w:val="21"/>
          <w:szCs w:val="21"/>
        </w:rPr>
        <w:t>集水器。</w:t>
      </w:r>
    </w:p>
    <w:p>
      <w:pPr>
        <w:pageBreakBefore w:val="0"/>
        <w:numPr>
          <w:ilvl w:val="0"/>
          <w:numId w:val="34"/>
        </w:numPr>
        <w:wordWrap/>
        <w:overflowPunct/>
        <w:topLinePunct w:val="0"/>
        <w:bidi w:val="0"/>
        <w:spacing w:line="240" w:lineRule="auto"/>
        <w:ind w:left="0" w:leftChars="0" w:firstLine="0" w:firstLineChars="0"/>
        <w:rPr>
          <w:sz w:val="21"/>
          <w:szCs w:val="21"/>
        </w:rPr>
      </w:pPr>
      <w:r>
        <w:rPr>
          <w:sz w:val="21"/>
          <w:szCs w:val="21"/>
        </w:rPr>
        <w:t>散热器供暖应符合下列</w:t>
      </w:r>
      <w:r>
        <w:rPr>
          <w:rFonts w:hint="eastAsia"/>
          <w:sz w:val="21"/>
          <w:szCs w:val="21"/>
        </w:rPr>
        <w:t>规定：</w:t>
      </w:r>
    </w:p>
    <w:p>
      <w:pPr>
        <w:pageBreakBefore w:val="0"/>
        <w:numPr>
          <w:ilvl w:val="0"/>
          <w:numId w:val="35"/>
        </w:numPr>
        <w:wordWrap/>
        <w:overflowPunct/>
        <w:topLinePunct w:val="0"/>
        <w:bidi w:val="0"/>
        <w:spacing w:line="240" w:lineRule="auto"/>
        <w:ind w:firstLine="640"/>
        <w:rPr>
          <w:sz w:val="21"/>
          <w:szCs w:val="21"/>
        </w:rPr>
      </w:pPr>
      <w:r>
        <w:rPr>
          <w:rFonts w:hint="eastAsia"/>
          <w:sz w:val="21"/>
          <w:szCs w:val="21"/>
          <w:lang w:val="en-US" w:eastAsia="zh-CN"/>
        </w:rPr>
        <w:t>供回水温度</w:t>
      </w:r>
      <w:r>
        <w:rPr>
          <w:sz w:val="21"/>
          <w:szCs w:val="21"/>
        </w:rPr>
        <w:t>宜按75</w:t>
      </w:r>
      <w:r>
        <w:rPr>
          <w:rFonts w:ascii="Times New Roman" w:hAnsi="Times New Roman" w:cs="Times New Roman"/>
          <w:sz w:val="21"/>
          <w:szCs w:val="21"/>
        </w:rPr>
        <w:t>℃</w:t>
      </w:r>
      <w:r>
        <w:rPr>
          <w:sz w:val="21"/>
          <w:szCs w:val="21"/>
        </w:rPr>
        <w:t>/50</w:t>
      </w:r>
      <w:r>
        <w:rPr>
          <w:rFonts w:ascii="Times New Roman" w:hAnsi="Times New Roman" w:cs="Times New Roman"/>
          <w:sz w:val="21"/>
          <w:szCs w:val="21"/>
        </w:rPr>
        <w:t>℃</w:t>
      </w:r>
      <w:r>
        <w:rPr>
          <w:sz w:val="21"/>
          <w:szCs w:val="21"/>
        </w:rPr>
        <w:t>连续供暖进行设计，供水温度不宜大于85</w:t>
      </w:r>
      <w:r>
        <w:rPr>
          <w:rFonts w:ascii="Times New Roman" w:hAnsi="Times New Roman" w:cs="Times New Roman"/>
          <w:sz w:val="21"/>
          <w:szCs w:val="21"/>
        </w:rPr>
        <w:t>℃</w:t>
      </w:r>
      <w:r>
        <w:rPr>
          <w:sz w:val="21"/>
          <w:szCs w:val="21"/>
        </w:rPr>
        <w:t>,供回水温差不宜小于20</w:t>
      </w:r>
      <w:r>
        <w:rPr>
          <w:rFonts w:ascii="Times New Roman" w:hAnsi="Times New Roman" w:cs="Times New Roman"/>
          <w:sz w:val="21"/>
          <w:szCs w:val="21"/>
        </w:rPr>
        <w:t>℃</w:t>
      </w:r>
      <w:r>
        <w:rPr>
          <w:rFonts w:hint="eastAsia"/>
          <w:sz w:val="21"/>
          <w:szCs w:val="21"/>
        </w:rPr>
        <w:t>；</w:t>
      </w:r>
    </w:p>
    <w:p>
      <w:pPr>
        <w:pageBreakBefore w:val="0"/>
        <w:numPr>
          <w:ilvl w:val="0"/>
          <w:numId w:val="35"/>
        </w:numPr>
        <w:wordWrap/>
        <w:overflowPunct/>
        <w:topLinePunct w:val="0"/>
        <w:bidi w:val="0"/>
        <w:spacing w:line="240" w:lineRule="auto"/>
        <w:ind w:firstLine="640"/>
        <w:rPr>
          <w:sz w:val="21"/>
          <w:szCs w:val="21"/>
        </w:rPr>
      </w:pPr>
      <w:r>
        <w:rPr>
          <w:sz w:val="21"/>
          <w:szCs w:val="21"/>
        </w:rPr>
        <w:t>宜采用</w:t>
      </w:r>
      <w:r>
        <w:rPr>
          <w:rFonts w:hint="eastAsia"/>
          <w:sz w:val="21"/>
          <w:szCs w:val="21"/>
        </w:rPr>
        <w:t>双管连接同程式管网</w:t>
      </w:r>
      <w:r>
        <w:rPr>
          <w:sz w:val="21"/>
          <w:szCs w:val="21"/>
        </w:rPr>
        <w:t>。</w:t>
      </w:r>
    </w:p>
    <w:p>
      <w:pPr>
        <w:pageBreakBefore w:val="0"/>
        <w:numPr>
          <w:ilvl w:val="0"/>
          <w:numId w:val="34"/>
        </w:numPr>
        <w:wordWrap/>
        <w:overflowPunct/>
        <w:topLinePunct w:val="0"/>
        <w:bidi w:val="0"/>
        <w:spacing w:line="240" w:lineRule="auto"/>
        <w:ind w:left="0" w:leftChars="0" w:firstLine="0" w:firstLineChars="0"/>
        <w:rPr>
          <w:sz w:val="21"/>
          <w:szCs w:val="21"/>
        </w:rPr>
      </w:pPr>
      <w:r>
        <w:rPr>
          <w:sz w:val="21"/>
          <w:szCs w:val="21"/>
        </w:rPr>
        <w:t>地面供暖应符合下列</w:t>
      </w:r>
      <w:r>
        <w:rPr>
          <w:rFonts w:hint="eastAsia"/>
          <w:sz w:val="21"/>
          <w:szCs w:val="21"/>
        </w:rPr>
        <w:t>规定：</w:t>
      </w:r>
    </w:p>
    <w:p>
      <w:pPr>
        <w:pageBreakBefore w:val="0"/>
        <w:numPr>
          <w:ilvl w:val="0"/>
          <w:numId w:val="36"/>
        </w:numPr>
        <w:wordWrap/>
        <w:overflowPunct/>
        <w:topLinePunct w:val="0"/>
        <w:bidi w:val="0"/>
        <w:spacing w:line="240" w:lineRule="auto"/>
        <w:ind w:firstLine="640"/>
        <w:rPr>
          <w:sz w:val="21"/>
          <w:szCs w:val="21"/>
        </w:rPr>
      </w:pPr>
      <w:r>
        <w:rPr>
          <w:sz w:val="21"/>
          <w:szCs w:val="21"/>
        </w:rPr>
        <w:t>供水温度不应大于60</w:t>
      </w:r>
      <w:r>
        <w:rPr>
          <w:rFonts w:ascii="Times New Roman" w:hAnsi="Times New Roman" w:cs="Times New Roman"/>
          <w:sz w:val="21"/>
          <w:szCs w:val="21"/>
        </w:rPr>
        <w:t>℃</w:t>
      </w:r>
      <w:r>
        <w:rPr>
          <w:sz w:val="21"/>
          <w:szCs w:val="21"/>
        </w:rPr>
        <w:t>，宜采用35</w:t>
      </w:r>
      <w:r>
        <w:rPr>
          <w:rFonts w:ascii="Times New Roman" w:hAnsi="Times New Roman" w:cs="Times New Roman"/>
          <w:sz w:val="21"/>
          <w:szCs w:val="21"/>
        </w:rPr>
        <w:t>℃</w:t>
      </w:r>
      <w:r>
        <w:rPr>
          <w:sz w:val="21"/>
          <w:szCs w:val="21"/>
        </w:rPr>
        <w:t>~45</w:t>
      </w:r>
      <w:r>
        <w:rPr>
          <w:rFonts w:ascii="Times New Roman" w:hAnsi="Times New Roman" w:cs="Times New Roman"/>
          <w:sz w:val="21"/>
          <w:szCs w:val="21"/>
        </w:rPr>
        <w:t>℃</w:t>
      </w:r>
      <w:r>
        <w:rPr>
          <w:sz w:val="21"/>
          <w:szCs w:val="21"/>
        </w:rPr>
        <w:t>；供回水温差不宜大于10</w:t>
      </w:r>
      <w:r>
        <w:rPr>
          <w:rFonts w:ascii="Times New Roman" w:hAnsi="Times New Roman" w:cs="Times New Roman"/>
          <w:sz w:val="21"/>
          <w:szCs w:val="21"/>
        </w:rPr>
        <w:t>℃</w:t>
      </w:r>
      <w:r>
        <w:rPr>
          <w:sz w:val="21"/>
          <w:szCs w:val="21"/>
        </w:rPr>
        <w:t>且不宜小于5</w:t>
      </w:r>
      <w:r>
        <w:rPr>
          <w:rFonts w:ascii="Times New Roman" w:hAnsi="Times New Roman" w:cs="Times New Roman"/>
          <w:sz w:val="21"/>
          <w:szCs w:val="21"/>
        </w:rPr>
        <w:t>℃</w:t>
      </w:r>
      <w:r>
        <w:rPr>
          <w:rFonts w:hint="eastAsia"/>
          <w:sz w:val="21"/>
          <w:szCs w:val="21"/>
        </w:rPr>
        <w:t>；</w:t>
      </w:r>
    </w:p>
    <w:p>
      <w:pPr>
        <w:pageBreakBefore w:val="0"/>
        <w:numPr>
          <w:ilvl w:val="0"/>
          <w:numId w:val="36"/>
        </w:numPr>
        <w:wordWrap/>
        <w:overflowPunct/>
        <w:topLinePunct w:val="0"/>
        <w:bidi w:val="0"/>
        <w:spacing w:line="240" w:lineRule="auto"/>
        <w:ind w:firstLine="640"/>
        <w:rPr>
          <w:sz w:val="21"/>
          <w:szCs w:val="21"/>
        </w:rPr>
      </w:pPr>
      <w:r>
        <w:rPr>
          <w:sz w:val="21"/>
          <w:szCs w:val="21"/>
        </w:rPr>
        <w:t>供暖房间地表面平均温度应符合表1的要求</w:t>
      </w:r>
      <w:r>
        <w:rPr>
          <w:rFonts w:hint="eastAsia"/>
          <w:sz w:val="21"/>
          <w:szCs w:val="21"/>
          <w:lang w:eastAsia="zh-CN"/>
        </w:rPr>
        <w:t>，</w:t>
      </w:r>
      <w:r>
        <w:rPr>
          <w:sz w:val="21"/>
          <w:szCs w:val="21"/>
        </w:rPr>
        <w:t>宜按公式</w:t>
      </w:r>
      <w:r>
        <w:rPr>
          <w:rFonts w:hint="eastAsia"/>
          <w:sz w:val="21"/>
          <w:szCs w:val="21"/>
        </w:rPr>
        <w:t>（1）</w:t>
      </w:r>
      <w:r>
        <w:rPr>
          <w:sz w:val="21"/>
          <w:szCs w:val="21"/>
        </w:rPr>
        <w:t>计算。</w:t>
      </w:r>
    </w:p>
    <w:p>
      <w:pPr>
        <w:pageBreakBefore w:val="0"/>
        <w:wordWrap/>
        <w:overflowPunct/>
        <w:topLinePunct w:val="0"/>
        <w:bidi w:val="0"/>
        <w:spacing w:line="240" w:lineRule="auto"/>
        <w:jc w:val="right"/>
        <w:rPr>
          <w:sz w:val="21"/>
          <w:szCs w:val="21"/>
        </w:rPr>
      </w:pPr>
      <w:r>
        <w:rPr>
          <w:rFonts w:ascii="Times New Roman" w:hAnsi="Times New Roman" w:cs="Times New Roman"/>
          <w:i/>
          <w:iCs/>
          <w:sz w:val="21"/>
          <w:szCs w:val="21"/>
        </w:rPr>
        <w:t>t</w:t>
      </w:r>
      <w:r>
        <w:rPr>
          <w:rFonts w:ascii="Times New Roman" w:hAnsi="Times New Roman" w:cs="Times New Roman"/>
          <w:i/>
          <w:iCs/>
          <w:sz w:val="21"/>
          <w:szCs w:val="21"/>
          <w:vertAlign w:val="subscript"/>
        </w:rPr>
        <w:t>pi</w:t>
      </w:r>
      <w:r>
        <w:rPr>
          <w:rFonts w:ascii="Times New Roman" w:hAnsi="Times New Roman" w:cs="Times New Roman"/>
          <w:sz w:val="21"/>
          <w:szCs w:val="21"/>
        </w:rPr>
        <w:t>=</w:t>
      </w:r>
      <w:r>
        <w:rPr>
          <w:rFonts w:ascii="Times New Roman" w:hAnsi="Times New Roman" w:cs="Times New Roman"/>
          <w:i/>
          <w:iCs/>
          <w:sz w:val="21"/>
          <w:szCs w:val="21"/>
        </w:rPr>
        <w:t>t</w:t>
      </w:r>
      <w:r>
        <w:rPr>
          <w:rFonts w:ascii="Times New Roman" w:hAnsi="Times New Roman" w:cs="Times New Roman"/>
          <w:i/>
          <w:iCs/>
          <w:sz w:val="21"/>
          <w:szCs w:val="21"/>
          <w:vertAlign w:val="subscript"/>
        </w:rPr>
        <w:t>n</w:t>
      </w:r>
      <w:r>
        <w:rPr>
          <w:rFonts w:ascii="Times New Roman" w:hAnsi="Times New Roman" w:cs="Times New Roman"/>
          <w:sz w:val="21"/>
          <w:szCs w:val="21"/>
        </w:rPr>
        <w:t>+9.82×</w:t>
      </w:r>
      <w:r>
        <w:rPr>
          <w:rFonts w:hint="eastAsia" w:ascii="Times New Roman" w:hAnsi="Times New Roman" w:cs="Times New Roman"/>
          <w:sz w:val="21"/>
          <w:szCs w:val="21"/>
        </w:rPr>
        <w:t>（</w:t>
      </w:r>
      <w:r>
        <w:rPr>
          <w:rFonts w:ascii="Times New Roman" w:hAnsi="Times New Roman" w:cs="Times New Roman"/>
          <w:i/>
          <w:iCs/>
          <w:sz w:val="21"/>
          <w:szCs w:val="21"/>
        </w:rPr>
        <w:t>q</w:t>
      </w:r>
      <w:r>
        <w:rPr>
          <w:rFonts w:ascii="Times New Roman" w:hAnsi="Times New Roman" w:cs="Times New Roman"/>
          <w:i/>
          <w:iCs/>
          <w:sz w:val="21"/>
          <w:szCs w:val="21"/>
          <w:vertAlign w:val="subscript"/>
        </w:rPr>
        <w:t>x</w:t>
      </w:r>
      <w:r>
        <w:rPr>
          <w:rFonts w:ascii="Times New Roman" w:hAnsi="Times New Roman" w:cs="Times New Roman"/>
          <w:sz w:val="21"/>
          <w:szCs w:val="21"/>
        </w:rPr>
        <w:t>/100</w:t>
      </w:r>
      <w:r>
        <w:rPr>
          <w:rFonts w:hint="eastAsia" w:ascii="Times New Roman" w:hAnsi="Times New Roman" w:cs="Times New Roman"/>
          <w:sz w:val="21"/>
          <w:szCs w:val="21"/>
        </w:rPr>
        <w:t>）</w:t>
      </w:r>
      <w:r>
        <w:rPr>
          <w:rFonts w:ascii="Times New Roman" w:hAnsi="Times New Roman" w:cs="Times New Roman"/>
          <w:sz w:val="21"/>
          <w:szCs w:val="21"/>
          <w:vertAlign w:val="superscript"/>
        </w:rPr>
        <w:t>0.969</w:t>
      </w:r>
      <w:r>
        <w:rPr>
          <w:sz w:val="21"/>
          <w:szCs w:val="21"/>
        </w:rPr>
        <w:t>…………………………………………（1）</w:t>
      </w:r>
    </w:p>
    <w:p>
      <w:pPr>
        <w:pageBreakBefore w:val="0"/>
        <w:wordWrap/>
        <w:overflowPunct/>
        <w:topLinePunct w:val="0"/>
        <w:bidi w:val="0"/>
        <w:spacing w:line="240" w:lineRule="auto"/>
        <w:ind w:firstLine="420" w:firstLineChars="200"/>
        <w:rPr>
          <w:sz w:val="21"/>
          <w:szCs w:val="21"/>
        </w:rPr>
      </w:pPr>
      <w:r>
        <w:rPr>
          <w:sz w:val="21"/>
          <w:szCs w:val="21"/>
        </w:rPr>
        <w:t>式中：</w:t>
      </w:r>
    </w:p>
    <w:p>
      <w:pPr>
        <w:pageBreakBefore w:val="0"/>
        <w:wordWrap/>
        <w:overflowPunct/>
        <w:topLinePunct w:val="0"/>
        <w:bidi w:val="0"/>
        <w:spacing w:line="240" w:lineRule="auto"/>
        <w:ind w:firstLine="420" w:firstLineChars="200"/>
        <w:rPr>
          <w:sz w:val="21"/>
          <w:szCs w:val="21"/>
        </w:rPr>
      </w:pPr>
      <w:r>
        <w:rPr>
          <w:rFonts w:ascii="Times New Roman" w:hAnsi="Times New Roman" w:cs="Times New Roman"/>
          <w:i/>
          <w:iCs/>
          <w:sz w:val="21"/>
          <w:szCs w:val="21"/>
        </w:rPr>
        <w:t>t</w:t>
      </w:r>
      <w:r>
        <w:rPr>
          <w:rFonts w:ascii="Times New Roman" w:hAnsi="Times New Roman" w:cs="Times New Roman"/>
          <w:i/>
          <w:iCs/>
          <w:sz w:val="21"/>
          <w:szCs w:val="21"/>
          <w:vertAlign w:val="subscript"/>
        </w:rPr>
        <w:t>pi</w:t>
      </w:r>
      <w:r>
        <w:rPr>
          <w:sz w:val="21"/>
          <w:szCs w:val="21"/>
        </w:rPr>
        <w:t>——供暖房间地表面平均温度</w:t>
      </w:r>
      <w:r>
        <w:rPr>
          <w:rFonts w:hint="eastAsia"/>
          <w:sz w:val="21"/>
          <w:szCs w:val="21"/>
        </w:rPr>
        <w:t>（</w:t>
      </w:r>
      <w:r>
        <w:rPr>
          <w:rFonts w:ascii="Times New Roman" w:hAnsi="Times New Roman" w:cs="Times New Roman"/>
          <w:sz w:val="21"/>
          <w:szCs w:val="21"/>
        </w:rPr>
        <w:t>℃</w:t>
      </w:r>
      <w:r>
        <w:rPr>
          <w:rFonts w:hint="eastAsia"/>
          <w:sz w:val="21"/>
          <w:szCs w:val="21"/>
        </w:rPr>
        <w:t>）；</w:t>
      </w:r>
    </w:p>
    <w:p>
      <w:pPr>
        <w:pageBreakBefore w:val="0"/>
        <w:wordWrap/>
        <w:overflowPunct/>
        <w:topLinePunct w:val="0"/>
        <w:bidi w:val="0"/>
        <w:spacing w:line="240" w:lineRule="auto"/>
        <w:ind w:firstLine="420" w:firstLineChars="200"/>
        <w:rPr>
          <w:rFonts w:hint="default" w:eastAsia="宋体"/>
          <w:sz w:val="21"/>
          <w:szCs w:val="21"/>
          <w:lang w:val="en-US" w:eastAsia="zh-CN"/>
        </w:rPr>
      </w:pPr>
      <w:r>
        <w:rPr>
          <w:rFonts w:ascii="Times New Roman" w:hAnsi="Times New Roman" w:cs="Times New Roman"/>
          <w:i/>
          <w:iCs/>
          <w:sz w:val="21"/>
          <w:szCs w:val="21"/>
        </w:rPr>
        <w:t>t</w:t>
      </w:r>
      <w:r>
        <w:rPr>
          <w:rFonts w:ascii="Times New Roman" w:hAnsi="Times New Roman" w:cs="Times New Roman"/>
          <w:i/>
          <w:iCs/>
          <w:sz w:val="21"/>
          <w:szCs w:val="21"/>
          <w:vertAlign w:val="subscript"/>
        </w:rPr>
        <w:t>n</w:t>
      </w:r>
      <w:r>
        <w:rPr>
          <w:sz w:val="21"/>
          <w:szCs w:val="21"/>
        </w:rPr>
        <w:t>——</w:t>
      </w:r>
      <w:r>
        <w:rPr>
          <w:rFonts w:hint="eastAsia"/>
          <w:sz w:val="21"/>
          <w:szCs w:val="21"/>
        </w:rPr>
        <w:t>室内空气温度（℃）</w:t>
      </w:r>
      <w:r>
        <w:rPr>
          <w:rFonts w:hint="eastAsia"/>
          <w:sz w:val="21"/>
          <w:szCs w:val="21"/>
          <w:highlight w:val="none"/>
        </w:rPr>
        <w:t>宜</w:t>
      </w:r>
      <w:r>
        <w:rPr>
          <w:rFonts w:hint="eastAsia"/>
          <w:sz w:val="21"/>
          <w:szCs w:val="21"/>
          <w:lang w:val="en-US" w:eastAsia="zh-CN"/>
        </w:rPr>
        <w:t>参考附录A推荐值</w:t>
      </w:r>
      <w:r>
        <w:rPr>
          <w:rFonts w:hint="eastAsia"/>
          <w:sz w:val="21"/>
          <w:szCs w:val="21"/>
        </w:rPr>
        <w:t>，主要房间宜：16℃～22℃</w:t>
      </w:r>
      <w:r>
        <w:rPr>
          <w:rFonts w:hint="eastAsia"/>
          <w:sz w:val="21"/>
          <w:szCs w:val="21"/>
          <w:lang w:val="en-US" w:eastAsia="zh-CN"/>
        </w:rPr>
        <w:t>；</w:t>
      </w:r>
    </w:p>
    <w:p>
      <w:pPr>
        <w:pageBreakBefore w:val="0"/>
        <w:wordWrap/>
        <w:overflowPunct/>
        <w:topLinePunct w:val="0"/>
        <w:bidi w:val="0"/>
        <w:spacing w:line="240" w:lineRule="auto"/>
        <w:ind w:firstLine="420" w:firstLineChars="200"/>
        <w:rPr>
          <w:sz w:val="21"/>
          <w:szCs w:val="21"/>
        </w:rPr>
      </w:pPr>
      <w:r>
        <w:rPr>
          <w:rFonts w:ascii="Times New Roman" w:hAnsi="Times New Roman" w:cs="Times New Roman"/>
          <w:i/>
          <w:iCs/>
          <w:sz w:val="21"/>
          <w:szCs w:val="21"/>
        </w:rPr>
        <w:t>q</w:t>
      </w:r>
      <w:r>
        <w:rPr>
          <w:rFonts w:ascii="Times New Roman" w:hAnsi="Times New Roman" w:cs="Times New Roman"/>
          <w:i/>
          <w:iCs/>
          <w:sz w:val="21"/>
          <w:szCs w:val="21"/>
          <w:vertAlign w:val="subscript"/>
        </w:rPr>
        <w:t>x</w:t>
      </w:r>
      <w:r>
        <w:rPr>
          <w:sz w:val="21"/>
          <w:szCs w:val="21"/>
        </w:rPr>
        <w:t>——单位地面面积热负荷（</w:t>
      </w:r>
      <w:r>
        <w:rPr>
          <w:rFonts w:ascii="Times New Roman" w:hAnsi="Times New Roman" w:cs="Times New Roman"/>
          <w:sz w:val="21"/>
          <w:szCs w:val="21"/>
        </w:rPr>
        <w:t>W/m</w:t>
      </w:r>
      <w:r>
        <w:rPr>
          <w:rFonts w:ascii="Times New Roman" w:hAnsi="Times New Roman" w:cs="Times New Roman"/>
          <w:sz w:val="21"/>
          <w:szCs w:val="21"/>
          <w:vertAlign w:val="superscript"/>
        </w:rPr>
        <w:t>2</w:t>
      </w:r>
      <w:r>
        <w:rPr>
          <w:sz w:val="21"/>
          <w:szCs w:val="21"/>
        </w:rPr>
        <w:t>）。</w:t>
      </w:r>
    </w:p>
    <w:p>
      <w:pPr>
        <w:pStyle w:val="5"/>
        <w:pageBreakBefore w:val="0"/>
        <w:wordWrap/>
        <w:overflowPunct/>
        <w:topLinePunct w:val="0"/>
        <w:bidi w:val="0"/>
        <w:spacing w:line="240" w:lineRule="auto"/>
        <w:jc w:val="right"/>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rPr>
        <w:t>表1 供暖房间地表面平均温度推荐值</w:t>
      </w:r>
      <w:r>
        <w:rPr>
          <w:rFonts w:hint="eastAsia" w:ascii="黑体" w:hAnsi="黑体" w:eastAsia="黑体" w:cs="黑体"/>
          <w:b w:val="0"/>
          <w:bCs w:val="0"/>
          <w:sz w:val="21"/>
          <w:szCs w:val="21"/>
          <w:lang w:val="en-US" w:eastAsia="zh-CN"/>
        </w:rPr>
        <w:t xml:space="preserve">              </w:t>
      </w:r>
      <w:r>
        <w:rPr>
          <w:rFonts w:hint="eastAsia" w:ascii="黑体" w:hAnsi="黑体" w:eastAsia="黑体" w:cs="黑体"/>
          <w:b w:val="0"/>
          <w:bCs w:val="0"/>
          <w:sz w:val="21"/>
          <w:szCs w:val="21"/>
          <w:lang w:eastAsia="zh-CN"/>
        </w:rPr>
        <w:t>（</w:t>
      </w:r>
      <w:r>
        <w:rPr>
          <w:rFonts w:hint="eastAsia" w:ascii="黑体" w:hAnsi="黑体" w:eastAsia="黑体" w:cs="黑体"/>
          <w:b w:val="0"/>
          <w:bCs w:val="0"/>
          <w:sz w:val="21"/>
          <w:szCs w:val="21"/>
          <w:lang w:val="en-US" w:eastAsia="zh-CN"/>
        </w:rPr>
        <w:t>单位：</w:t>
      </w:r>
      <w:r>
        <w:rPr>
          <w:rFonts w:hint="eastAsia" w:ascii="黑体" w:hAnsi="黑体" w:eastAsia="黑体" w:cs="黑体"/>
          <w:b w:val="0"/>
          <w:bCs w:val="0"/>
          <w:sz w:val="21"/>
          <w:szCs w:val="21"/>
        </w:rPr>
        <w:t>℃</w:t>
      </w:r>
      <w:r>
        <w:rPr>
          <w:rFonts w:hint="eastAsia" w:ascii="黑体" w:hAnsi="黑体" w:eastAsia="黑体" w:cs="黑体"/>
          <w:b w:val="0"/>
          <w:bCs w:val="0"/>
          <w:sz w:val="21"/>
          <w:szCs w:val="21"/>
          <w:lang w:eastAsia="zh-CN"/>
        </w:rPr>
        <w:t>）</w:t>
      </w:r>
    </w:p>
    <w:tbl>
      <w:tblPr>
        <w:tblStyle w:val="231"/>
        <w:tblW w:w="5024" w:type="pct"/>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2845"/>
        <w:gridCol w:w="3982"/>
        <w:gridCol w:w="2867"/>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467" w:type="pct"/>
            <w:tcBorders>
              <w:top w:val="single" w:color="231F20" w:sz="4" w:space="0"/>
              <w:left w:val="single" w:color="231F20" w:sz="4" w:space="0"/>
              <w:bottom w:val="single" w:color="231F20" w:sz="4" w:space="0"/>
            </w:tcBorders>
            <w:vAlign w:val="center"/>
          </w:tcPr>
          <w:p>
            <w:pPr>
              <w:pageBreakBefore w:val="0"/>
              <w:wordWrap/>
              <w:overflowPunct/>
              <w:topLinePunct w:val="0"/>
              <w:bidi w:val="0"/>
              <w:spacing w:line="240" w:lineRule="auto"/>
              <w:jc w:val="center"/>
              <w:rPr>
                <w:rFonts w:hint="eastAsia" w:ascii="Times New Roman" w:hAnsi="Times New Roman" w:eastAsia="宋体" w:cs="Times New Roman"/>
                <w:sz w:val="18"/>
                <w:szCs w:val="18"/>
                <w:lang w:eastAsia="zh-CN"/>
              </w:rPr>
            </w:pPr>
            <w:r>
              <w:rPr>
                <w:rFonts w:ascii="Times New Roman" w:hAnsi="Times New Roman" w:cs="Times New Roman"/>
                <w:sz w:val="18"/>
                <w:szCs w:val="18"/>
              </w:rPr>
              <w:t>设置</w:t>
            </w:r>
            <w:r>
              <w:rPr>
                <w:rFonts w:hint="eastAsia" w:ascii="Times New Roman" w:hAnsi="Times New Roman" w:cs="Times New Roman"/>
                <w:sz w:val="18"/>
                <w:szCs w:val="18"/>
                <w:lang w:val="en-US" w:eastAsia="zh-CN"/>
              </w:rPr>
              <w:t>区域</w:t>
            </w:r>
          </w:p>
        </w:tc>
        <w:tc>
          <w:tcPr>
            <w:tcW w:w="2053" w:type="pct"/>
            <w:tcBorders>
              <w:top w:val="single" w:color="231F20" w:sz="4" w:space="0"/>
              <w:bottom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宜采用的平均温度</w:t>
            </w:r>
          </w:p>
        </w:tc>
        <w:tc>
          <w:tcPr>
            <w:tcW w:w="1478" w:type="pct"/>
            <w:tcBorders>
              <w:top w:val="single" w:color="231F20" w:sz="4" w:space="0"/>
              <w:bottom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平均温度上限值</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467" w:type="pct"/>
            <w:tcBorders>
              <w:top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人员经常停留</w:t>
            </w:r>
            <w:r>
              <w:rPr>
                <w:rFonts w:hint="eastAsia" w:ascii="Times New Roman" w:hAnsi="Times New Roman" w:cs="Times New Roman"/>
                <w:sz w:val="18"/>
                <w:szCs w:val="18"/>
                <w:lang w:val="en-US" w:eastAsia="zh-CN"/>
              </w:rPr>
              <w:t>区域</w:t>
            </w:r>
          </w:p>
        </w:tc>
        <w:tc>
          <w:tcPr>
            <w:tcW w:w="2053" w:type="pct"/>
            <w:tcBorders>
              <w:top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25~27</w:t>
            </w:r>
          </w:p>
        </w:tc>
        <w:tc>
          <w:tcPr>
            <w:tcW w:w="1478" w:type="pct"/>
            <w:tcBorders>
              <w:top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29</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467"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人员短期停留</w:t>
            </w:r>
            <w:r>
              <w:rPr>
                <w:rFonts w:hint="eastAsia" w:ascii="Times New Roman" w:hAnsi="Times New Roman" w:cs="Times New Roman"/>
                <w:sz w:val="18"/>
                <w:szCs w:val="18"/>
                <w:lang w:val="en-US" w:eastAsia="zh-CN"/>
              </w:rPr>
              <w:t>区域</w:t>
            </w:r>
          </w:p>
        </w:tc>
        <w:tc>
          <w:tcPr>
            <w:tcW w:w="2053"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28~30</w:t>
            </w:r>
          </w:p>
        </w:tc>
        <w:tc>
          <w:tcPr>
            <w:tcW w:w="1478" w:type="pct"/>
            <w:tcBorders>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32</w:t>
            </w:r>
          </w:p>
        </w:tc>
      </w:tr>
    </w:tbl>
    <w:p>
      <w:pPr>
        <w:pStyle w:val="3"/>
        <w:keepNext w:val="0"/>
        <w:keepLines w:val="0"/>
        <w:pageBreakBefore w:val="0"/>
        <w:widowControl w:val="0"/>
        <w:numPr>
          <w:ilvl w:val="0"/>
          <w:numId w:val="33"/>
        </w:numPr>
        <w:kinsoku w:val="0"/>
        <w:wordWrap/>
        <w:overflowPunct/>
        <w:topLinePunct w:val="0"/>
        <w:autoSpaceDE w:val="0"/>
        <w:autoSpaceDN w:val="0"/>
        <w:bidi w:val="0"/>
        <w:adjustRightInd w:val="0"/>
        <w:snapToGrid w:val="0"/>
        <w:spacing w:line="240" w:lineRule="auto"/>
        <w:ind w:left="0" w:leftChars="0" w:firstLine="0" w:firstLineChars="0"/>
        <w:textAlignment w:val="baseline"/>
        <w:rPr>
          <w:b w:val="0"/>
          <w:bCs w:val="0"/>
          <w:color w:val="auto"/>
          <w:sz w:val="21"/>
          <w:szCs w:val="21"/>
        </w:rPr>
      </w:pPr>
      <w:bookmarkStart w:id="65" w:name="bookmark7"/>
      <w:bookmarkEnd w:id="65"/>
      <w:r>
        <w:rPr>
          <w:rFonts w:hint="eastAsia"/>
          <w:b w:val="0"/>
          <w:bCs w:val="0"/>
          <w:color w:val="auto"/>
          <w:sz w:val="21"/>
          <w:szCs w:val="21"/>
        </w:rPr>
        <w:t>热负荷计算及</w:t>
      </w:r>
      <w:r>
        <w:rPr>
          <w:rFonts w:hint="eastAsia"/>
          <w:b w:val="0"/>
          <w:bCs w:val="0"/>
          <w:color w:val="auto"/>
          <w:sz w:val="21"/>
          <w:szCs w:val="21"/>
          <w:lang w:val="en-US" w:eastAsia="zh-CN"/>
        </w:rPr>
        <w:t>热源</w:t>
      </w:r>
      <w:r>
        <w:rPr>
          <w:rFonts w:hint="eastAsia"/>
          <w:b w:val="0"/>
          <w:bCs w:val="0"/>
          <w:color w:val="auto"/>
          <w:sz w:val="21"/>
          <w:szCs w:val="21"/>
        </w:rPr>
        <w:t>设备</w:t>
      </w:r>
    </w:p>
    <w:p>
      <w:pPr>
        <w:pStyle w:val="4"/>
        <w:numPr>
          <w:ilvl w:val="0"/>
          <w:numId w:val="37"/>
        </w:numPr>
        <w:bidi w:val="0"/>
        <w:ind w:left="0" w:leftChars="0" w:firstLine="0" w:firstLineChars="0"/>
        <w:rPr>
          <w:rFonts w:hint="eastAsia"/>
        </w:rPr>
      </w:pPr>
      <w:r>
        <w:rPr>
          <w:rFonts w:hint="eastAsia"/>
        </w:rPr>
        <w:t>供暖热负荷计算</w:t>
      </w:r>
    </w:p>
    <w:p>
      <w:pPr>
        <w:pageBreakBefore w:val="0"/>
        <w:numPr>
          <w:ilvl w:val="0"/>
          <w:numId w:val="38"/>
        </w:numPr>
        <w:wordWrap/>
        <w:overflowPunct/>
        <w:topLinePunct w:val="0"/>
        <w:bidi w:val="0"/>
        <w:spacing w:line="240" w:lineRule="auto"/>
        <w:ind w:left="0" w:leftChars="0" w:firstLine="0" w:firstLineChars="0"/>
        <w:rPr>
          <w:sz w:val="21"/>
          <w:szCs w:val="21"/>
        </w:rPr>
      </w:pPr>
      <w:bookmarkStart w:id="66" w:name="bookmark8"/>
      <w:bookmarkEnd w:id="66"/>
      <w:r>
        <w:rPr>
          <w:sz w:val="21"/>
          <w:szCs w:val="21"/>
        </w:rPr>
        <w:t>当无详细建筑设计资料时，供暖热负荷可采用热负荷指标估算。供暖热负荷估算值宜按公式（2）计算：</w:t>
      </w:r>
    </w:p>
    <w:p>
      <w:pPr>
        <w:pageBreakBefore w:val="0"/>
        <w:wordWrap/>
        <w:overflowPunct/>
        <w:topLinePunct w:val="0"/>
        <w:bidi w:val="0"/>
        <w:spacing w:line="240" w:lineRule="auto"/>
        <w:jc w:val="right"/>
        <w:rPr>
          <w:sz w:val="21"/>
          <w:szCs w:val="21"/>
        </w:rPr>
      </w:pPr>
      <m:oMath>
        <m:sSub>
          <m:sSubPr>
            <m:ctrlPr>
              <w:rPr>
                <w:rFonts w:ascii="Cambria Math" w:hAnsi="Cambria Math"/>
                <w:sz w:val="21"/>
                <w:szCs w:val="21"/>
              </w:rPr>
            </m:ctrlPr>
          </m:sSubPr>
          <m:e>
            <m:r>
              <m:rPr>
                <m:sty m:val="p"/>
              </m:rPr>
              <w:rPr>
                <w:rFonts w:ascii="Cambria Math" w:hAnsi="Cambria Math"/>
                <w:sz w:val="21"/>
                <w:szCs w:val="21"/>
              </w:rPr>
              <m:t>Q</m:t>
            </m:r>
            <m:ctrlPr>
              <w:rPr>
                <w:rFonts w:ascii="Cambria Math" w:hAnsi="Cambria Math"/>
                <w:sz w:val="21"/>
                <w:szCs w:val="21"/>
              </w:rPr>
            </m:ctrlPr>
          </m:e>
          <m:sub>
            <m:r>
              <m:rPr>
                <m:sty m:val="p"/>
              </m:rPr>
              <w:rPr>
                <w:rFonts w:ascii="Cambria Math" w:hAnsi="Cambria Math"/>
                <w:sz w:val="21"/>
                <w:szCs w:val="21"/>
              </w:rPr>
              <m:t>n</m:t>
            </m:r>
            <m:ctrlPr>
              <w:rPr>
                <w:rFonts w:ascii="Cambria Math" w:hAnsi="Cambria Math"/>
                <w:sz w:val="21"/>
                <w:szCs w:val="21"/>
              </w:rPr>
            </m:ctrlPr>
          </m:sub>
        </m:sSub>
        <m:r>
          <m:rPr>
            <m:sty m:val="p"/>
          </m:rPr>
          <w:rPr>
            <w:rFonts w:ascii="Cambria Math" w:hAnsi="Cambria Math"/>
            <w:sz w:val="21"/>
            <w:szCs w:val="21"/>
          </w:rPr>
          <m:t>=(1+k)×q×A×</m:t>
        </m:r>
        <m:sSup>
          <m:sSupPr>
            <m:ctrlPr>
              <w:rPr>
                <w:rFonts w:ascii="Cambria Math" w:hAnsi="Cambria Math"/>
                <w:sz w:val="21"/>
                <w:szCs w:val="21"/>
              </w:rPr>
            </m:ctrlPr>
          </m:sSupPr>
          <m:e>
            <m:r>
              <m:rPr>
                <m:sty m:val="p"/>
              </m:rPr>
              <w:rPr>
                <w:rFonts w:ascii="Cambria Math" w:hAnsi="Cambria Math"/>
                <w:sz w:val="21"/>
                <w:szCs w:val="21"/>
              </w:rPr>
              <m:t>10</m:t>
            </m:r>
            <m:ctrlPr>
              <w:rPr>
                <w:rFonts w:ascii="Cambria Math" w:hAnsi="Cambria Math"/>
                <w:sz w:val="21"/>
                <w:szCs w:val="21"/>
              </w:rPr>
            </m:ctrlPr>
          </m:e>
          <m:sup>
            <m:r>
              <m:rPr>
                <m:sty m:val="p"/>
              </m:rPr>
              <w:rPr>
                <w:rFonts w:ascii="Cambria Math" w:hAnsi="Cambria Math"/>
                <w:sz w:val="21"/>
                <w:szCs w:val="21"/>
              </w:rPr>
              <m:t>−3</m:t>
            </m:r>
            <m:ctrlPr>
              <w:rPr>
                <w:rFonts w:ascii="Cambria Math" w:hAnsi="Cambria Math"/>
                <w:sz w:val="21"/>
                <w:szCs w:val="21"/>
              </w:rPr>
            </m:ctrlPr>
          </m:sup>
        </m:sSup>
      </m:oMath>
      <w:r>
        <w:rPr>
          <w:sz w:val="21"/>
          <w:szCs w:val="21"/>
        </w:rPr>
        <w:t>…………………………………………（2）</w:t>
      </w:r>
    </w:p>
    <w:p>
      <w:pPr>
        <w:pageBreakBefore w:val="0"/>
        <w:wordWrap/>
        <w:overflowPunct/>
        <w:topLinePunct w:val="0"/>
        <w:bidi w:val="0"/>
        <w:spacing w:line="240" w:lineRule="auto"/>
        <w:ind w:firstLine="420" w:firstLineChars="200"/>
        <w:rPr>
          <w:sz w:val="21"/>
          <w:szCs w:val="21"/>
        </w:rPr>
      </w:pPr>
      <w:r>
        <w:rPr>
          <w:sz w:val="21"/>
          <w:szCs w:val="21"/>
        </w:rPr>
        <w:t>式中：</w:t>
      </w:r>
    </w:p>
    <w:p>
      <w:pPr>
        <w:pageBreakBefore w:val="0"/>
        <w:wordWrap/>
        <w:overflowPunct/>
        <w:topLinePunct w:val="0"/>
        <w:bidi w:val="0"/>
        <w:spacing w:line="240" w:lineRule="auto"/>
        <w:ind w:firstLine="420" w:firstLineChars="200"/>
        <w:rPr>
          <w:sz w:val="21"/>
          <w:szCs w:val="21"/>
        </w:rPr>
      </w:pPr>
      <m:oMath>
        <m:sSub>
          <m:sSubPr>
            <m:ctrlPr>
              <w:rPr>
                <w:rFonts w:ascii="Cambria Math" w:hAnsi="Cambria Math"/>
                <w:i/>
                <w:iCs/>
                <w:sz w:val="21"/>
                <w:szCs w:val="21"/>
              </w:rPr>
            </m:ctrlPr>
          </m:sSubPr>
          <m:e>
            <m:r>
              <m:rPr/>
              <w:rPr>
                <w:rFonts w:ascii="Cambria Math" w:hAnsi="Cambria Math"/>
                <w:sz w:val="21"/>
                <w:szCs w:val="21"/>
              </w:rPr>
              <m:t>Q</m:t>
            </m:r>
            <m:ctrlPr>
              <w:rPr>
                <w:rFonts w:ascii="Cambria Math" w:hAnsi="Cambria Math"/>
                <w:i/>
                <w:iCs/>
                <w:sz w:val="21"/>
                <w:szCs w:val="21"/>
              </w:rPr>
            </m:ctrlPr>
          </m:e>
          <m:sub>
            <m:r>
              <m:rPr/>
              <w:rPr>
                <w:rFonts w:ascii="Cambria Math" w:hAnsi="Cambria Math"/>
                <w:sz w:val="21"/>
                <w:szCs w:val="21"/>
              </w:rPr>
              <m:t>n</m:t>
            </m:r>
            <m:ctrlPr>
              <w:rPr>
                <w:rFonts w:ascii="Cambria Math" w:hAnsi="Cambria Math"/>
                <w:i/>
                <w:iCs/>
                <w:sz w:val="21"/>
                <w:szCs w:val="21"/>
              </w:rPr>
            </m:ctrlPr>
          </m:sub>
        </m:sSub>
      </m:oMath>
      <w:r>
        <w:rPr>
          <w:sz w:val="21"/>
          <w:szCs w:val="21"/>
        </w:rPr>
        <w:t>——供暖热负荷（kW）；</w:t>
      </w:r>
    </w:p>
    <w:p>
      <w:pPr>
        <w:pageBreakBefore w:val="0"/>
        <w:wordWrap/>
        <w:overflowPunct/>
        <w:topLinePunct w:val="0"/>
        <w:bidi w:val="0"/>
        <w:spacing w:line="240" w:lineRule="auto"/>
        <w:ind w:firstLine="420" w:firstLineChars="200"/>
        <w:rPr>
          <w:sz w:val="21"/>
          <w:szCs w:val="21"/>
        </w:rPr>
      </w:pPr>
      <w:r>
        <w:rPr>
          <w:rFonts w:hAnsi="Calibri"/>
          <w:i/>
          <w:iCs/>
          <w:position w:val="-10"/>
          <w:sz w:val="21"/>
          <w:szCs w:val="21"/>
        </w:rPr>
        <w:object>
          <v:shape id="_x0000_i1025" o:spt="75" type="#_x0000_t75" style="height:12.75pt;width:9.75pt;" o:ole="t" filled="f" o:preferrelative="t" stroked="f" coordsize="21600,21600">
            <v:path/>
            <v:fill on="f" focussize="0,0"/>
            <v:stroke on="f" joinstyle="miter"/>
            <v:imagedata r:id="rId17" o:title=""/>
            <o:lock v:ext="edit" aspectratio="t"/>
            <w10:wrap type="none"/>
            <w10:anchorlock/>
          </v:shape>
          <o:OLEObject Type="Embed" ProgID="Equation.3" ShapeID="_x0000_i1025" DrawAspect="Content" ObjectID="_1468075725" r:id="rId16">
            <o:LockedField>false</o:LockedField>
          </o:OLEObject>
        </w:object>
      </w:r>
      <w:r>
        <w:rPr>
          <w:sz w:val="21"/>
          <w:szCs w:val="21"/>
        </w:rPr>
        <w:t>——供暖热指标（W/m</w:t>
      </w:r>
      <w:r>
        <w:rPr>
          <w:sz w:val="21"/>
          <w:szCs w:val="21"/>
          <w:vertAlign w:val="superscript"/>
        </w:rPr>
        <w:t>2</w:t>
      </w:r>
      <w:r>
        <w:rPr>
          <w:sz w:val="21"/>
          <w:szCs w:val="21"/>
        </w:rPr>
        <w:t>），按表2取</w:t>
      </w:r>
      <w:r>
        <w:rPr>
          <w:rFonts w:hint="eastAsia"/>
          <w:sz w:val="21"/>
          <w:szCs w:val="21"/>
          <w:lang w:val="en-US" w:eastAsia="zh-CN"/>
        </w:rPr>
        <w:t>值</w:t>
      </w:r>
      <w:r>
        <w:rPr>
          <w:sz w:val="21"/>
          <w:szCs w:val="21"/>
        </w:rPr>
        <w:t>；</w:t>
      </w:r>
    </w:p>
    <w:p>
      <w:pPr>
        <w:pageBreakBefore w:val="0"/>
        <w:wordWrap/>
        <w:overflowPunct/>
        <w:topLinePunct w:val="0"/>
        <w:bidi w:val="0"/>
        <w:spacing w:line="240" w:lineRule="auto"/>
        <w:ind w:firstLine="420" w:firstLineChars="200"/>
        <w:rPr>
          <w:sz w:val="21"/>
          <w:szCs w:val="21"/>
        </w:rPr>
      </w:pPr>
      <w:r>
        <w:rPr>
          <w:rFonts w:ascii="Times New Roman" w:hAnsi="Times New Roman" w:cs="Times New Roman"/>
          <w:i/>
          <w:iCs/>
          <w:position w:val="-4"/>
          <w:sz w:val="21"/>
          <w:szCs w:val="21"/>
        </w:rPr>
        <w:object>
          <v:shape id="_x0000_i1026" o:spt="75" type="#_x0000_t75" style="height:12.75pt;width:12.75pt;" o:ole="t" filled="f" o:preferrelative="t" stroked="f" coordsize="21600,21600">
            <v:path/>
            <v:fill on="f" focussize="0,0"/>
            <v:stroke on="f" joinstyle="miter"/>
            <v:imagedata r:id="rId19" o:title=""/>
            <o:lock v:ext="edit" aspectratio="t"/>
            <w10:wrap type="none"/>
            <w10:anchorlock/>
          </v:shape>
          <o:OLEObject Type="Embed" ProgID="Equation.3" ShapeID="_x0000_i1026" DrawAspect="Content" ObjectID="_1468075726" r:id="rId18">
            <o:LockedField>false</o:LockedField>
          </o:OLEObject>
        </w:object>
      </w:r>
      <w:r>
        <w:rPr>
          <w:sz w:val="21"/>
          <w:szCs w:val="21"/>
        </w:rPr>
        <w:t>——供暖建筑物的供暖面积（m</w:t>
      </w:r>
      <w:r>
        <w:rPr>
          <w:sz w:val="21"/>
          <w:szCs w:val="21"/>
          <w:vertAlign w:val="superscript"/>
        </w:rPr>
        <w:t>2</w:t>
      </w:r>
      <w:r>
        <w:rPr>
          <w:sz w:val="21"/>
          <w:szCs w:val="21"/>
        </w:rPr>
        <w:t>）；</w:t>
      </w:r>
    </w:p>
    <w:p>
      <w:pPr>
        <w:pageBreakBefore w:val="0"/>
        <w:wordWrap/>
        <w:overflowPunct/>
        <w:topLinePunct w:val="0"/>
        <w:bidi w:val="0"/>
        <w:spacing w:line="240" w:lineRule="auto"/>
        <w:ind w:firstLine="420" w:firstLineChars="200"/>
        <w:rPr>
          <w:sz w:val="21"/>
          <w:szCs w:val="21"/>
        </w:rPr>
      </w:pPr>
      <w:r>
        <w:rPr>
          <w:rFonts w:ascii="Times New Roman" w:hAnsi="Times New Roman" w:cs="Times New Roman"/>
          <w:i/>
          <w:iCs/>
          <w:position w:val="-4"/>
          <w:sz w:val="21"/>
          <w:szCs w:val="21"/>
        </w:rPr>
        <w:object>
          <v:shape id="_x0000_i1027" o:spt="75" type="#_x0000_t75" style="height:12.75pt;width:9.75pt;" o:ole="t" filled="f" o:preferrelative="t" stroked="f" coordsize="21600,21600">
            <v:path/>
            <v:fill on="f" focussize="0,0"/>
            <v:stroke on="f" joinstyle="miter"/>
            <v:imagedata r:id="rId21" o:title=""/>
            <o:lock v:ext="edit" aspectratio="t"/>
            <w10:wrap type="none"/>
            <w10:anchorlock/>
          </v:shape>
          <o:OLEObject Type="Embed" ProgID="Equation.3" ShapeID="_x0000_i1027" DrawAspect="Content" ObjectID="_1468075727" r:id="rId20">
            <o:LockedField>false</o:LockedField>
          </o:OLEObject>
        </w:object>
      </w:r>
      <w:r>
        <w:rPr>
          <w:sz w:val="21"/>
          <w:szCs w:val="21"/>
        </w:rPr>
        <w:t>——围护结构的附加耗热量修正系数。</w:t>
      </w:r>
    </w:p>
    <w:p>
      <w:pPr>
        <w:pStyle w:val="5"/>
        <w:pageBreakBefore w:val="0"/>
        <w:wordWrap/>
        <w:overflowPunct/>
        <w:topLinePunct w:val="0"/>
        <w:bidi w:val="0"/>
        <w:spacing w:before="120" w:after="120" w:line="240" w:lineRule="auto"/>
        <w:jc w:val="right"/>
        <w:rPr>
          <w:sz w:val="21"/>
          <w:szCs w:val="21"/>
        </w:rPr>
      </w:pPr>
      <w:r>
        <w:rPr>
          <w:sz w:val="21"/>
          <w:szCs w:val="21"/>
        </w:rPr>
        <w:t>表2</w:t>
      </w:r>
      <w:r>
        <w:rPr>
          <w:rFonts w:hint="eastAsia"/>
          <w:sz w:val="21"/>
          <w:szCs w:val="21"/>
        </w:rPr>
        <w:t xml:space="preserve"> </w:t>
      </w:r>
      <w:r>
        <w:rPr>
          <w:sz w:val="21"/>
          <w:szCs w:val="21"/>
        </w:rPr>
        <w:t>供暖指标推荐值</w:t>
      </w:r>
      <w:r>
        <w:rPr>
          <w:rFonts w:hint="eastAsia"/>
          <w:sz w:val="21"/>
          <w:szCs w:val="21"/>
          <w:lang w:val="en-US" w:eastAsia="zh-CN"/>
        </w:rPr>
        <w:t xml:space="preserve">                     </w:t>
      </w:r>
      <w:r>
        <w:rPr>
          <w:rFonts w:ascii="Times New Roman" w:hAnsi="Times New Roman" w:cs="Times New Roman"/>
          <w:sz w:val="21"/>
          <w:szCs w:val="21"/>
        </w:rPr>
        <w:t>（</w:t>
      </w:r>
      <w:r>
        <w:rPr>
          <w:rFonts w:hint="eastAsia" w:ascii="Times New Roman" w:hAnsi="Times New Roman" w:cs="Times New Roman"/>
          <w:sz w:val="21"/>
          <w:szCs w:val="21"/>
          <w:lang w:val="en-US" w:eastAsia="zh-CN"/>
        </w:rPr>
        <w:t>单位：</w:t>
      </w:r>
      <w:r>
        <w:rPr>
          <w:rFonts w:ascii="Times New Roman" w:hAnsi="Times New Roman" w:cs="Times New Roman"/>
          <w:sz w:val="21"/>
          <w:szCs w:val="21"/>
        </w:rPr>
        <w:t>W/m</w:t>
      </w:r>
      <w:r>
        <w:rPr>
          <w:rFonts w:ascii="Times New Roman" w:hAnsi="Times New Roman" w:cs="Times New Roman"/>
          <w:sz w:val="21"/>
          <w:szCs w:val="21"/>
          <w:vertAlign w:val="superscript"/>
        </w:rPr>
        <w:t>2</w:t>
      </w:r>
      <w:r>
        <w:rPr>
          <w:rFonts w:ascii="Times New Roman" w:hAnsi="Times New Roman" w:cs="Times New Roman"/>
          <w:sz w:val="21"/>
          <w:szCs w:val="21"/>
        </w:rPr>
        <w:t>）</w:t>
      </w:r>
    </w:p>
    <w:tbl>
      <w:tblPr>
        <w:tblStyle w:val="231"/>
        <w:tblW w:w="4997" w:type="pct"/>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1239"/>
        <w:gridCol w:w="1011"/>
        <w:gridCol w:w="1441"/>
        <w:gridCol w:w="1173"/>
        <w:gridCol w:w="1194"/>
        <w:gridCol w:w="1158"/>
        <w:gridCol w:w="1123"/>
        <w:gridCol w:w="1309"/>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642" w:type="pct"/>
            <w:tcBorders>
              <w:top w:val="single" w:color="231F20" w:sz="6" w:space="0"/>
              <w:left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建筑物类型</w:t>
            </w:r>
          </w:p>
        </w:tc>
        <w:tc>
          <w:tcPr>
            <w:tcW w:w="524" w:type="pct"/>
            <w:tcBorders>
              <w:top w:val="single" w:color="231F20" w:sz="6" w:space="0"/>
              <w:left w:val="single" w:color="231F20" w:sz="6" w:space="0"/>
            </w:tcBorders>
            <w:vAlign w:val="center"/>
          </w:tcPr>
          <w:p>
            <w:pPr>
              <w:pageBreakBefore w:val="0"/>
              <w:wordWrap/>
              <w:overflowPunct/>
              <w:topLinePunct w:val="0"/>
              <w:bidi w:val="0"/>
              <w:spacing w:line="240" w:lineRule="auto"/>
              <w:ind w:left="-199" w:leftChars="-95" w:firstLine="199" w:firstLineChars="111"/>
              <w:jc w:val="center"/>
              <w:rPr>
                <w:rFonts w:ascii="Times New Roman" w:hAnsi="Times New Roman" w:cs="Times New Roman"/>
                <w:sz w:val="18"/>
                <w:szCs w:val="18"/>
              </w:rPr>
            </w:pPr>
            <w:r>
              <w:rPr>
                <w:rFonts w:ascii="Times New Roman" w:hAnsi="Times New Roman" w:cs="Times New Roman"/>
                <w:sz w:val="18"/>
                <w:szCs w:val="18"/>
              </w:rPr>
              <w:t>住宅</w:t>
            </w:r>
          </w:p>
        </w:tc>
        <w:tc>
          <w:tcPr>
            <w:tcW w:w="747" w:type="pct"/>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居住区综合</w:t>
            </w:r>
          </w:p>
        </w:tc>
        <w:tc>
          <w:tcPr>
            <w:tcW w:w="608" w:type="pct"/>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办公</w:t>
            </w:r>
          </w:p>
        </w:tc>
        <w:tc>
          <w:tcPr>
            <w:tcW w:w="619" w:type="pct"/>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幼托</w:t>
            </w:r>
          </w:p>
        </w:tc>
        <w:tc>
          <w:tcPr>
            <w:tcW w:w="600" w:type="pct"/>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旅馆</w:t>
            </w:r>
          </w:p>
        </w:tc>
        <w:tc>
          <w:tcPr>
            <w:tcW w:w="582" w:type="pct"/>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商店</w:t>
            </w:r>
          </w:p>
        </w:tc>
        <w:tc>
          <w:tcPr>
            <w:tcW w:w="674" w:type="pct"/>
            <w:tcBorders>
              <w:top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食堂餐厅</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642" w:type="pct"/>
            <w:tcBorders>
              <w:left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热指标</w:t>
            </w:r>
          </w:p>
        </w:tc>
        <w:tc>
          <w:tcPr>
            <w:tcW w:w="524" w:type="pct"/>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70</w:t>
            </w:r>
            <w:r>
              <w:rPr>
                <w:rFonts w:ascii="Times New Roman" w:hAnsi="Times New Roman" w:cs="Times New Roman"/>
                <w:sz w:val="18"/>
                <w:szCs w:val="18"/>
              </w:rPr>
              <w:t>~</w:t>
            </w:r>
            <w:r>
              <w:rPr>
                <w:rFonts w:hint="eastAsia" w:ascii="Times New Roman" w:hAnsi="Times New Roman" w:cs="Times New Roman"/>
                <w:sz w:val="18"/>
                <w:szCs w:val="18"/>
              </w:rPr>
              <w:t>9</w:t>
            </w:r>
            <w:r>
              <w:rPr>
                <w:rFonts w:ascii="Times New Roman" w:hAnsi="Times New Roman" w:cs="Times New Roman"/>
                <w:sz w:val="18"/>
                <w:szCs w:val="18"/>
              </w:rPr>
              <w:t>5</w:t>
            </w:r>
          </w:p>
        </w:tc>
        <w:tc>
          <w:tcPr>
            <w:tcW w:w="747"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80~93</w:t>
            </w:r>
          </w:p>
        </w:tc>
        <w:tc>
          <w:tcPr>
            <w:tcW w:w="608"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81~102</w:t>
            </w:r>
          </w:p>
        </w:tc>
        <w:tc>
          <w:tcPr>
            <w:tcW w:w="619"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81~91</w:t>
            </w:r>
          </w:p>
        </w:tc>
        <w:tc>
          <w:tcPr>
            <w:tcW w:w="600"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85~95</w:t>
            </w:r>
          </w:p>
        </w:tc>
        <w:tc>
          <w:tcPr>
            <w:tcW w:w="582" w:type="pct"/>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82~100</w:t>
            </w:r>
          </w:p>
        </w:tc>
        <w:tc>
          <w:tcPr>
            <w:tcW w:w="674" w:type="pct"/>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ascii="Times New Roman" w:hAnsi="Times New Roman" w:cs="Times New Roman"/>
                <w:sz w:val="18"/>
                <w:szCs w:val="18"/>
              </w:rPr>
              <w:t>115~140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5000" w:type="pct"/>
            <w:gridSpan w:val="8"/>
            <w:tcBorders>
              <w:left w:val="single" w:color="231F20" w:sz="6" w:space="0"/>
              <w:bottom w:val="single" w:color="231F20" w:sz="6" w:space="0"/>
              <w:right w:val="single" w:color="231F20" w:sz="6" w:space="0"/>
            </w:tcBorders>
            <w:vAlign w:val="center"/>
          </w:tcPr>
          <w:p>
            <w:pPr>
              <w:pageBreakBefore w:val="0"/>
              <w:wordWrap/>
              <w:overflowPunct/>
              <w:topLinePunct w:val="0"/>
              <w:bidi w:val="0"/>
              <w:spacing w:line="240" w:lineRule="auto"/>
              <w:jc w:val="both"/>
              <w:rPr>
                <w:rFonts w:ascii="Times New Roman" w:hAnsi="Times New Roman" w:cs="Times New Roman"/>
                <w:sz w:val="18"/>
                <w:szCs w:val="18"/>
              </w:rPr>
            </w:pPr>
            <w:r>
              <w:rPr>
                <w:sz w:val="18"/>
                <w:szCs w:val="18"/>
              </w:rPr>
              <w:t>注：采取节能措施的新建建筑取下限值；未采取节能措施的建筑取上限值。</w:t>
            </w:r>
          </w:p>
        </w:tc>
      </w:tr>
    </w:tbl>
    <w:p>
      <w:pPr>
        <w:pageBreakBefore w:val="0"/>
        <w:numPr>
          <w:ilvl w:val="0"/>
          <w:numId w:val="38"/>
        </w:numPr>
        <w:wordWrap/>
        <w:overflowPunct/>
        <w:topLinePunct w:val="0"/>
        <w:bidi w:val="0"/>
        <w:spacing w:line="240" w:lineRule="auto"/>
        <w:ind w:left="0" w:leftChars="0" w:firstLine="0" w:firstLineChars="0"/>
        <w:rPr>
          <w:sz w:val="21"/>
          <w:szCs w:val="21"/>
        </w:rPr>
      </w:pPr>
      <w:r>
        <w:rPr>
          <w:sz w:val="21"/>
          <w:szCs w:val="21"/>
        </w:rPr>
        <w:t>围护结构的附加耗热量修正系数，应按公式（3）计算：</w:t>
      </w:r>
    </w:p>
    <w:p>
      <w:pPr>
        <w:pageBreakBefore w:val="0"/>
        <w:wordWrap/>
        <w:overflowPunct/>
        <w:topLinePunct w:val="0"/>
        <w:bidi w:val="0"/>
        <w:spacing w:line="240" w:lineRule="auto"/>
        <w:jc w:val="right"/>
        <w:rPr>
          <w:sz w:val="21"/>
          <w:szCs w:val="21"/>
        </w:rPr>
      </w:pPr>
      <w:r>
        <w:rPr>
          <w:rFonts w:hAnsi="Calibri"/>
          <w:position w:val="-6"/>
          <w:sz w:val="21"/>
          <w:szCs w:val="21"/>
        </w:rPr>
        <w:object>
          <v:shape id="_x0000_i1028" o:spt="75" type="#_x0000_t75" style="height:13.5pt;width:85.5pt;" o:ole="t" filled="f" o:preferrelative="t" stroked="f" coordsize="21600,21600">
            <v:path/>
            <v:fill on="f" focussize="0,0"/>
            <v:stroke on="f" joinstyle="miter"/>
            <v:imagedata r:id="rId23" o:title=""/>
            <o:lock v:ext="edit" aspectratio="t"/>
            <w10:wrap type="none"/>
            <w10:anchorlock/>
          </v:shape>
          <o:OLEObject Type="Embed" ProgID="Equation.3" ShapeID="_x0000_i1028" DrawAspect="Content" ObjectID="_1468075728" r:id="rId22">
            <o:LockedField>false</o:LockedField>
          </o:OLEObject>
        </w:object>
      </w:r>
      <w:r>
        <w:rPr>
          <w:sz w:val="21"/>
          <w:szCs w:val="21"/>
        </w:rPr>
        <w:t>…………………………………………………（3）</w:t>
      </w:r>
    </w:p>
    <w:p>
      <w:pPr>
        <w:pageBreakBefore w:val="0"/>
        <w:wordWrap/>
        <w:overflowPunct/>
        <w:topLinePunct w:val="0"/>
        <w:bidi w:val="0"/>
        <w:spacing w:line="240" w:lineRule="auto"/>
        <w:ind w:firstLine="420" w:firstLineChars="200"/>
        <w:rPr>
          <w:sz w:val="21"/>
          <w:szCs w:val="21"/>
        </w:rPr>
      </w:pPr>
      <w:r>
        <w:rPr>
          <w:sz w:val="21"/>
          <w:szCs w:val="21"/>
        </w:rPr>
        <w:t>式中：</w:t>
      </w:r>
    </w:p>
    <w:p>
      <w:pPr>
        <w:pageBreakBefore w:val="0"/>
        <w:wordWrap/>
        <w:overflowPunct/>
        <w:topLinePunct w:val="0"/>
        <w:bidi w:val="0"/>
        <w:spacing w:line="240" w:lineRule="auto"/>
        <w:ind w:firstLine="420" w:firstLineChars="200"/>
        <w:rPr>
          <w:sz w:val="21"/>
          <w:szCs w:val="21"/>
        </w:rPr>
      </w:pPr>
      <w:r>
        <w:rPr>
          <w:rFonts w:hAnsi="Calibri"/>
          <w:position w:val="-4"/>
          <w:sz w:val="21"/>
          <w:szCs w:val="21"/>
        </w:rPr>
        <w:object>
          <v:shape id="_x0000_i1029" o:spt="75" type="#_x0000_t75" style="height:12.75pt;width:16.5pt;" o:ole="t" filled="f" o:preferrelative="t" stroked="f" coordsize="21600,21600">
            <v:path/>
            <v:fill on="f" focussize="0,0"/>
            <v:stroke on="f" joinstyle="miter"/>
            <v:imagedata r:id="rId25" o:title=""/>
            <o:lock v:ext="edit" aspectratio="t"/>
            <w10:wrap type="none"/>
            <w10:anchorlock/>
          </v:shape>
          <o:OLEObject Type="Embed" ProgID="Equation.3" ShapeID="_x0000_i1029" DrawAspect="Content" ObjectID="_1468075729" r:id="rId24">
            <o:LockedField>false</o:LockedField>
          </o:OLEObject>
        </w:object>
      </w:r>
      <w:r>
        <w:rPr>
          <w:sz w:val="21"/>
          <w:szCs w:val="21"/>
        </w:rPr>
        <w:t>——朝向修正率：</w:t>
      </w:r>
    </w:p>
    <w:p>
      <w:pPr>
        <w:pageBreakBefore w:val="0"/>
        <w:wordWrap/>
        <w:overflowPunct/>
        <w:topLinePunct w:val="0"/>
        <w:bidi w:val="0"/>
        <w:spacing w:line="240" w:lineRule="auto"/>
        <w:ind w:firstLine="420" w:firstLineChars="200"/>
        <w:rPr>
          <w:sz w:val="21"/>
          <w:szCs w:val="21"/>
        </w:rPr>
      </w:pPr>
      <w:r>
        <w:rPr>
          <w:sz w:val="21"/>
          <w:szCs w:val="21"/>
        </w:rPr>
        <w:t>北、东北、西北按0</w:t>
      </w:r>
      <w:r>
        <w:rPr>
          <w:rFonts w:hint="eastAsia"/>
          <w:sz w:val="21"/>
          <w:szCs w:val="21"/>
        </w:rPr>
        <w:t>～</w:t>
      </w:r>
      <w:r>
        <w:rPr>
          <w:sz w:val="21"/>
          <w:szCs w:val="21"/>
        </w:rPr>
        <w:t>10%；东、西按-5%；东南、西南按-10%</w:t>
      </w:r>
      <w:r>
        <w:rPr>
          <w:rFonts w:hint="eastAsia"/>
          <w:sz w:val="21"/>
          <w:szCs w:val="21"/>
        </w:rPr>
        <w:t>～</w:t>
      </w:r>
      <w:r>
        <w:rPr>
          <w:sz w:val="21"/>
          <w:szCs w:val="21"/>
        </w:rPr>
        <w:t>-15%；南按-15%</w:t>
      </w:r>
      <w:r>
        <w:rPr>
          <w:rFonts w:hint="eastAsia"/>
          <w:sz w:val="21"/>
          <w:szCs w:val="21"/>
        </w:rPr>
        <w:t>～</w:t>
      </w:r>
      <w:r>
        <w:rPr>
          <w:sz w:val="21"/>
          <w:szCs w:val="21"/>
        </w:rPr>
        <w:t>-30%。</w:t>
      </w:r>
    </w:p>
    <w:p>
      <w:pPr>
        <w:pageBreakBefore w:val="0"/>
        <w:wordWrap/>
        <w:overflowPunct/>
        <w:topLinePunct w:val="0"/>
        <w:bidi w:val="0"/>
        <w:spacing w:line="240" w:lineRule="auto"/>
        <w:ind w:firstLine="420" w:firstLineChars="200"/>
        <w:rPr>
          <w:sz w:val="21"/>
          <w:szCs w:val="21"/>
        </w:rPr>
      </w:pPr>
      <w:r>
        <w:rPr>
          <w:sz w:val="21"/>
          <w:szCs w:val="21"/>
        </w:rPr>
        <w:t>注1：根据当地冬季日照率、辐射照度、建筑物使用和被遮挡等情况选用修正率；</w:t>
      </w:r>
    </w:p>
    <w:p>
      <w:pPr>
        <w:pageBreakBefore w:val="0"/>
        <w:wordWrap/>
        <w:overflowPunct/>
        <w:topLinePunct w:val="0"/>
        <w:bidi w:val="0"/>
        <w:spacing w:line="240" w:lineRule="auto"/>
        <w:ind w:firstLine="420" w:firstLineChars="200"/>
        <w:rPr>
          <w:sz w:val="21"/>
          <w:szCs w:val="21"/>
        </w:rPr>
      </w:pPr>
      <w:r>
        <w:rPr>
          <w:sz w:val="21"/>
          <w:szCs w:val="21"/>
        </w:rPr>
        <w:t>注2：冬季日照率小于35%的地区，东南、西南和南向的修正率，宜采用-10%</w:t>
      </w:r>
      <w:r>
        <w:rPr>
          <w:rFonts w:hint="eastAsia"/>
          <w:sz w:val="21"/>
          <w:szCs w:val="21"/>
        </w:rPr>
        <w:t>～</w:t>
      </w:r>
      <w:r>
        <w:rPr>
          <w:sz w:val="21"/>
          <w:szCs w:val="21"/>
        </w:rPr>
        <w:t>0，东、西向可不修正</w:t>
      </w:r>
      <w:r>
        <w:rPr>
          <w:rFonts w:hint="eastAsia"/>
          <w:sz w:val="21"/>
          <w:szCs w:val="21"/>
        </w:rPr>
        <w:t>，湖北</w:t>
      </w:r>
      <w:r>
        <w:rPr>
          <w:sz w:val="21"/>
          <w:szCs w:val="21"/>
        </w:rPr>
        <w:t>神龙架区域</w:t>
      </w:r>
      <w:r>
        <w:rPr>
          <w:rFonts w:hint="eastAsia"/>
          <w:sz w:val="21"/>
          <w:szCs w:val="21"/>
        </w:rPr>
        <w:t>宜按照此修正率取值</w:t>
      </w:r>
      <w:r>
        <w:rPr>
          <w:sz w:val="21"/>
          <w:szCs w:val="21"/>
        </w:rPr>
        <w:t>。</w:t>
      </w:r>
    </w:p>
    <w:p>
      <w:pPr>
        <w:pageBreakBefore w:val="0"/>
        <w:wordWrap/>
        <w:overflowPunct/>
        <w:topLinePunct w:val="0"/>
        <w:bidi w:val="0"/>
        <w:spacing w:line="240" w:lineRule="auto"/>
        <w:ind w:firstLine="420" w:firstLineChars="200"/>
        <w:rPr>
          <w:sz w:val="21"/>
          <w:szCs w:val="21"/>
        </w:rPr>
      </w:pPr>
      <w:r>
        <w:rPr>
          <w:rFonts w:hAnsi="Calibri"/>
          <w:position w:val="-4"/>
          <w:sz w:val="21"/>
          <w:szCs w:val="21"/>
        </w:rPr>
        <w:object>
          <v:shape id="_x0000_i1030" o:spt="75" type="#_x0000_t75" style="height:12.75pt;width:16.5pt;" o:ole="t" filled="f" o:preferrelative="t" stroked="f" coordsize="21600,21600">
            <v:path/>
            <v:fill on="f" focussize="0,0"/>
            <v:stroke on="f" joinstyle="miter"/>
            <v:imagedata r:id="rId27" o:title=""/>
            <o:lock v:ext="edit" aspectratio="t"/>
            <w10:wrap type="none"/>
            <w10:anchorlock/>
          </v:shape>
          <o:OLEObject Type="Embed" ProgID="Equation.3" ShapeID="_x0000_i1030" DrawAspect="Content" ObjectID="_1468075730" r:id="rId26">
            <o:LockedField>false</o:LockedField>
          </o:OLEObject>
        </w:object>
      </w:r>
      <w:r>
        <w:rPr>
          <w:sz w:val="21"/>
          <w:szCs w:val="21"/>
        </w:rPr>
        <w:t>——风力附加率；</w:t>
      </w:r>
    </w:p>
    <w:p>
      <w:pPr>
        <w:pageBreakBefore w:val="0"/>
        <w:wordWrap/>
        <w:overflowPunct/>
        <w:topLinePunct w:val="0"/>
        <w:bidi w:val="0"/>
        <w:spacing w:line="240" w:lineRule="auto"/>
        <w:ind w:firstLine="420" w:firstLineChars="200"/>
        <w:rPr>
          <w:sz w:val="21"/>
          <w:szCs w:val="21"/>
        </w:rPr>
      </w:pPr>
      <w:r>
        <w:rPr>
          <w:sz w:val="21"/>
          <w:szCs w:val="21"/>
        </w:rPr>
        <w:t>设在不避风的高地、河边、旷野上的建筑物，以及城镇中明显高出周围其他建筑物的建筑物，其垂直外围护结构宜附加5%</w:t>
      </w:r>
      <w:r>
        <w:rPr>
          <w:rFonts w:hint="eastAsia"/>
          <w:sz w:val="21"/>
          <w:szCs w:val="21"/>
        </w:rPr>
        <w:t>～</w:t>
      </w:r>
      <w:r>
        <w:rPr>
          <w:sz w:val="21"/>
          <w:szCs w:val="21"/>
        </w:rPr>
        <w:t>10%。</w:t>
      </w:r>
    </w:p>
    <w:p>
      <w:pPr>
        <w:pageBreakBefore w:val="0"/>
        <w:wordWrap/>
        <w:overflowPunct/>
        <w:topLinePunct w:val="0"/>
        <w:bidi w:val="0"/>
        <w:spacing w:line="240" w:lineRule="auto"/>
        <w:ind w:firstLine="420" w:firstLineChars="200"/>
        <w:rPr>
          <w:sz w:val="21"/>
          <w:szCs w:val="21"/>
        </w:rPr>
      </w:pPr>
      <w:r>
        <w:rPr>
          <w:rFonts w:hAnsi="Calibri"/>
          <w:position w:val="-6"/>
          <w:sz w:val="21"/>
          <w:szCs w:val="21"/>
        </w:rPr>
        <w:object>
          <v:shape id="_x0000_i1031" o:spt="75" type="#_x0000_t75" style="height:13.5pt;width:16.5pt;" o:ole="t" filled="f" o:preferrelative="t" stroked="f" coordsize="21600,21600">
            <v:path/>
            <v:fill on="f" focussize="0,0"/>
            <v:stroke on="f" joinstyle="miter"/>
            <v:imagedata r:id="rId29" o:title=""/>
            <o:lock v:ext="edit" aspectratio="t"/>
            <w10:wrap type="none"/>
            <w10:anchorlock/>
          </v:shape>
          <o:OLEObject Type="Embed" ProgID="Equation.3" ShapeID="_x0000_i1031" DrawAspect="Content" ObjectID="_1468075731" r:id="rId28">
            <o:LockedField>false</o:LockedField>
          </o:OLEObject>
        </w:object>
      </w:r>
      <w:r>
        <w:rPr>
          <w:sz w:val="21"/>
          <w:szCs w:val="21"/>
        </w:rPr>
        <w:t>——建筑</w:t>
      </w:r>
      <w:r>
        <w:rPr>
          <w:rFonts w:hint="eastAsia"/>
          <w:sz w:val="21"/>
          <w:szCs w:val="21"/>
        </w:rPr>
        <w:t>物</w:t>
      </w:r>
      <w:r>
        <w:rPr>
          <w:sz w:val="21"/>
          <w:szCs w:val="21"/>
        </w:rPr>
        <w:t>（除楼梯间外）的围护结构耗热量高度附加率；</w:t>
      </w:r>
      <w:bookmarkStart w:id="67" w:name="bookmark38"/>
      <w:bookmarkEnd w:id="67"/>
      <w:r>
        <w:rPr>
          <w:sz w:val="21"/>
          <w:szCs w:val="21"/>
        </w:rPr>
        <w:t>供暖的房间高度大于4m时，每高1m宜附加1%，但总附加率不宜大于8%。</w:t>
      </w:r>
    </w:p>
    <w:p>
      <w:pPr>
        <w:pageBreakBefore w:val="0"/>
        <w:numPr>
          <w:ilvl w:val="0"/>
          <w:numId w:val="38"/>
        </w:numPr>
        <w:wordWrap/>
        <w:overflowPunct/>
        <w:topLinePunct w:val="0"/>
        <w:bidi w:val="0"/>
        <w:spacing w:line="240" w:lineRule="auto"/>
        <w:ind w:left="0" w:leftChars="0" w:firstLine="0" w:firstLineChars="0"/>
        <w:rPr>
          <w:sz w:val="21"/>
          <w:szCs w:val="21"/>
        </w:rPr>
      </w:pPr>
      <w:r>
        <w:rPr>
          <w:rFonts w:ascii="Segoe UI" w:hAnsi="Segoe UI" w:cs="Segoe UI"/>
          <w:bCs/>
          <w:color w:val="0F1115"/>
          <w:sz w:val="21"/>
          <w:szCs w:val="21"/>
        </w:rPr>
        <w:t>进行热负荷详细计算时，</w:t>
      </w:r>
      <w:r>
        <w:rPr>
          <w:sz w:val="21"/>
          <w:szCs w:val="21"/>
        </w:rPr>
        <w:t>房间供暖热负荷应按GB</w:t>
      </w:r>
      <w:r>
        <w:rPr>
          <w:rFonts w:hint="eastAsia"/>
          <w:sz w:val="21"/>
          <w:szCs w:val="21"/>
        </w:rPr>
        <w:t xml:space="preserve"> </w:t>
      </w:r>
      <w:r>
        <w:rPr>
          <w:sz w:val="21"/>
          <w:szCs w:val="21"/>
        </w:rPr>
        <w:t>50736、JGJ 142</w:t>
      </w:r>
      <w:r>
        <w:rPr>
          <w:rFonts w:hint="eastAsia"/>
          <w:sz w:val="21"/>
          <w:szCs w:val="21"/>
          <w:lang w:val="en-US" w:eastAsia="zh-CN"/>
        </w:rPr>
        <w:t>的</w:t>
      </w:r>
      <w:r>
        <w:rPr>
          <w:sz w:val="21"/>
          <w:szCs w:val="21"/>
        </w:rPr>
        <w:t>相关规定进行计算。</w:t>
      </w:r>
    </w:p>
    <w:p>
      <w:pPr>
        <w:pStyle w:val="4"/>
        <w:numPr>
          <w:ilvl w:val="0"/>
          <w:numId w:val="37"/>
        </w:numPr>
        <w:bidi w:val="0"/>
        <w:ind w:left="0" w:leftChars="0" w:firstLine="0" w:firstLineChars="0"/>
        <w:rPr>
          <w:rFonts w:hint="eastAsia"/>
        </w:rPr>
      </w:pPr>
      <w:r>
        <w:rPr>
          <w:rFonts w:hint="eastAsia"/>
          <w:lang w:val="en-US" w:eastAsia="zh-CN"/>
        </w:rPr>
        <w:t>热源设备</w:t>
      </w:r>
    </w:p>
    <w:p>
      <w:pPr>
        <w:pageBreakBefore w:val="0"/>
        <w:numPr>
          <w:ilvl w:val="0"/>
          <w:numId w:val="39"/>
        </w:numPr>
        <w:wordWrap/>
        <w:overflowPunct/>
        <w:topLinePunct w:val="0"/>
        <w:bidi w:val="0"/>
        <w:spacing w:line="240" w:lineRule="auto"/>
        <w:ind w:left="0" w:leftChars="0" w:firstLine="0" w:firstLineChars="0"/>
        <w:rPr>
          <w:sz w:val="21"/>
          <w:szCs w:val="21"/>
        </w:rPr>
      </w:pPr>
      <w:r>
        <w:rPr>
          <w:color w:val="auto"/>
          <w:sz w:val="21"/>
          <w:szCs w:val="21"/>
          <w:highlight w:val="none"/>
        </w:rPr>
        <w:t>热源选择</w:t>
      </w:r>
      <w:r>
        <w:rPr>
          <w:rFonts w:hint="eastAsia"/>
          <w:color w:val="auto"/>
          <w:sz w:val="21"/>
          <w:szCs w:val="21"/>
          <w:highlight w:val="none"/>
          <w:lang w:val="en-US" w:eastAsia="zh-CN"/>
        </w:rPr>
        <w:t>燃气采暖热水炉（以下简称“采暖炉”）</w:t>
      </w:r>
      <w:r>
        <w:rPr>
          <w:color w:val="auto"/>
          <w:sz w:val="21"/>
          <w:szCs w:val="21"/>
          <w:highlight w:val="none"/>
        </w:rPr>
        <w:t>应满足经济性、节能性和技术合理性的要求，</w:t>
      </w:r>
      <w:r>
        <w:rPr>
          <w:rFonts w:hint="eastAsia"/>
          <w:color w:val="auto"/>
          <w:sz w:val="21"/>
          <w:szCs w:val="21"/>
          <w:highlight w:val="none"/>
          <w:lang w:val="en-US" w:eastAsia="zh-CN"/>
        </w:rPr>
        <w:t>并</w:t>
      </w:r>
      <w:r>
        <w:rPr>
          <w:rFonts w:hint="eastAsia"/>
          <w:color w:val="auto"/>
          <w:sz w:val="21"/>
          <w:szCs w:val="21"/>
          <w:highlight w:val="none"/>
        </w:rPr>
        <w:t>应</w:t>
      </w:r>
      <w:r>
        <w:rPr>
          <w:color w:val="auto"/>
          <w:sz w:val="21"/>
          <w:szCs w:val="21"/>
          <w:highlight w:val="none"/>
        </w:rPr>
        <w:t>具备3C认证标志。</w:t>
      </w:r>
      <w:r>
        <w:rPr>
          <w:rFonts w:hint="eastAsia"/>
          <w:color w:val="auto"/>
          <w:sz w:val="21"/>
          <w:szCs w:val="21"/>
          <w:highlight w:val="none"/>
          <w:lang w:val="en-US" w:eastAsia="zh-CN"/>
        </w:rPr>
        <w:t>采暖炉</w:t>
      </w:r>
      <w:r>
        <w:rPr>
          <w:color w:val="auto"/>
          <w:sz w:val="21"/>
          <w:szCs w:val="21"/>
          <w:highlight w:val="none"/>
        </w:rPr>
        <w:t>应满足</w:t>
      </w:r>
      <w:bookmarkStart w:id="68" w:name="OLE_LINK22"/>
      <w:bookmarkStart w:id="69" w:name="OLE_LINK23"/>
      <w:r>
        <w:rPr>
          <w:color w:val="auto"/>
          <w:sz w:val="21"/>
          <w:szCs w:val="21"/>
          <w:highlight w:val="none"/>
        </w:rPr>
        <w:t>GB</w:t>
      </w:r>
      <w:r>
        <w:rPr>
          <w:rFonts w:hint="eastAsia"/>
          <w:color w:val="auto"/>
          <w:sz w:val="21"/>
          <w:szCs w:val="21"/>
          <w:highlight w:val="none"/>
        </w:rPr>
        <w:t xml:space="preserve"> </w:t>
      </w:r>
      <w:r>
        <w:rPr>
          <w:color w:val="auto"/>
          <w:sz w:val="21"/>
          <w:szCs w:val="21"/>
          <w:highlight w:val="none"/>
        </w:rPr>
        <w:t>55015</w:t>
      </w:r>
      <w:bookmarkEnd w:id="68"/>
      <w:bookmarkEnd w:id="69"/>
      <w:r>
        <w:rPr>
          <w:color w:val="auto"/>
          <w:sz w:val="21"/>
          <w:szCs w:val="21"/>
          <w:highlight w:val="none"/>
        </w:rPr>
        <w:t>、GB</w:t>
      </w:r>
      <w:r>
        <w:rPr>
          <w:rFonts w:hint="eastAsia"/>
          <w:color w:val="auto"/>
          <w:sz w:val="21"/>
          <w:szCs w:val="21"/>
          <w:highlight w:val="none"/>
        </w:rPr>
        <w:t xml:space="preserve"> </w:t>
      </w:r>
      <w:r>
        <w:rPr>
          <w:color w:val="auto"/>
          <w:sz w:val="21"/>
          <w:szCs w:val="21"/>
          <w:highlight w:val="none"/>
        </w:rPr>
        <w:t>25034</w:t>
      </w:r>
      <w:r>
        <w:rPr>
          <w:rFonts w:hint="eastAsia"/>
          <w:color w:val="auto"/>
          <w:sz w:val="21"/>
          <w:szCs w:val="21"/>
          <w:highlight w:val="none"/>
          <w:lang w:val="en-US" w:eastAsia="zh-CN"/>
        </w:rPr>
        <w:t>的相关规定</w:t>
      </w:r>
      <w:r>
        <w:rPr>
          <w:color w:val="auto"/>
          <w:sz w:val="21"/>
          <w:szCs w:val="21"/>
          <w:highlight w:val="none"/>
        </w:rPr>
        <w:t>，宜选</w:t>
      </w:r>
      <w:r>
        <w:rPr>
          <w:sz w:val="21"/>
          <w:szCs w:val="21"/>
        </w:rPr>
        <w:t>用具备气候补偿功能</w:t>
      </w:r>
      <w:r>
        <w:rPr>
          <w:rFonts w:hint="eastAsia"/>
          <w:sz w:val="21"/>
          <w:szCs w:val="21"/>
          <w:lang w:val="en-US" w:eastAsia="zh-CN"/>
        </w:rPr>
        <w:t>或一级能效</w:t>
      </w:r>
      <w:r>
        <w:rPr>
          <w:sz w:val="21"/>
          <w:szCs w:val="21"/>
        </w:rPr>
        <w:t>的产品。</w:t>
      </w:r>
    </w:p>
    <w:p>
      <w:pPr>
        <w:pageBreakBefore w:val="0"/>
        <w:numPr>
          <w:ilvl w:val="0"/>
          <w:numId w:val="39"/>
        </w:numPr>
        <w:wordWrap/>
        <w:overflowPunct/>
        <w:topLinePunct w:val="0"/>
        <w:bidi w:val="0"/>
        <w:spacing w:line="240" w:lineRule="auto"/>
        <w:ind w:left="0" w:leftChars="0" w:firstLine="0" w:firstLineChars="0"/>
        <w:rPr>
          <w:color w:val="auto"/>
          <w:sz w:val="21"/>
          <w:szCs w:val="21"/>
          <w:highlight w:val="none"/>
        </w:rPr>
      </w:pPr>
      <w:r>
        <w:rPr>
          <w:rFonts w:hint="eastAsia"/>
          <w:color w:val="auto"/>
          <w:sz w:val="21"/>
          <w:szCs w:val="21"/>
          <w:highlight w:val="none"/>
        </w:rPr>
        <w:t>采暖炉应安装在自然通风良好，有给排气条件的厨房、阳台、非居住房间内，不应安装在卧室、客房等人员居住和休息的房间或卫生间内。</w:t>
      </w:r>
    </w:p>
    <w:p>
      <w:pPr>
        <w:pageBreakBefore w:val="0"/>
        <w:numPr>
          <w:ilvl w:val="0"/>
          <w:numId w:val="39"/>
        </w:numPr>
        <w:wordWrap/>
        <w:overflowPunct/>
        <w:topLinePunct w:val="0"/>
        <w:bidi w:val="0"/>
        <w:spacing w:line="240" w:lineRule="auto"/>
        <w:ind w:left="0" w:leftChars="0" w:firstLine="0" w:firstLineChars="0"/>
        <w:rPr>
          <w:color w:val="auto"/>
          <w:sz w:val="21"/>
          <w:szCs w:val="21"/>
          <w:highlight w:val="none"/>
        </w:rPr>
      </w:pPr>
      <w:r>
        <w:rPr>
          <w:color w:val="auto"/>
          <w:sz w:val="21"/>
          <w:szCs w:val="21"/>
          <w:highlight w:val="none"/>
        </w:rPr>
        <w:t>采暖炉安装在室外或未封闭的阳台时，应选用室外型采暖炉；室外采暖炉</w:t>
      </w:r>
      <w:r>
        <w:rPr>
          <w:rFonts w:hint="default"/>
          <w:color w:val="auto"/>
          <w:sz w:val="21"/>
          <w:szCs w:val="21"/>
          <w:highlight w:val="none"/>
          <w:lang w:val="en-US" w:eastAsia="zh-CN"/>
        </w:rPr>
        <w:t>排气管</w:t>
      </w:r>
      <w:r>
        <w:rPr>
          <w:color w:val="auto"/>
          <w:sz w:val="21"/>
          <w:szCs w:val="21"/>
          <w:highlight w:val="none"/>
        </w:rPr>
        <w:t>不应穿过室内。</w:t>
      </w:r>
    </w:p>
    <w:p>
      <w:pPr>
        <w:pageBreakBefore w:val="0"/>
        <w:numPr>
          <w:ilvl w:val="0"/>
          <w:numId w:val="39"/>
        </w:numPr>
        <w:wordWrap/>
        <w:overflowPunct/>
        <w:topLinePunct w:val="0"/>
        <w:bidi w:val="0"/>
        <w:spacing w:line="240" w:lineRule="auto"/>
        <w:ind w:left="0" w:leftChars="0" w:firstLine="0" w:firstLineChars="0"/>
        <w:rPr>
          <w:color w:val="auto"/>
          <w:sz w:val="21"/>
          <w:szCs w:val="21"/>
          <w:highlight w:val="none"/>
        </w:rPr>
      </w:pPr>
      <w:r>
        <w:rPr>
          <w:color w:val="auto"/>
          <w:sz w:val="21"/>
          <w:szCs w:val="21"/>
          <w:highlight w:val="none"/>
        </w:rPr>
        <w:t>安装采暖炉的房间、阳台净高不应低于2.2m。</w:t>
      </w:r>
    </w:p>
    <w:p>
      <w:pPr>
        <w:pageBreakBefore w:val="0"/>
        <w:numPr>
          <w:ilvl w:val="0"/>
          <w:numId w:val="39"/>
        </w:numPr>
        <w:wordWrap/>
        <w:overflowPunct/>
        <w:topLinePunct w:val="0"/>
        <w:bidi w:val="0"/>
        <w:spacing w:line="240" w:lineRule="auto"/>
        <w:ind w:left="0" w:leftChars="0" w:firstLine="0" w:firstLineChars="0"/>
        <w:rPr>
          <w:color w:val="auto"/>
          <w:sz w:val="21"/>
          <w:szCs w:val="21"/>
          <w:highlight w:val="none"/>
        </w:rPr>
      </w:pPr>
      <w:bookmarkStart w:id="70" w:name="bookmark9"/>
      <w:bookmarkEnd w:id="70"/>
      <w:r>
        <w:rPr>
          <w:color w:val="auto"/>
          <w:sz w:val="21"/>
          <w:szCs w:val="21"/>
          <w:highlight w:val="none"/>
        </w:rPr>
        <w:t>采暖炉给排气管穿过不可拆卸的吊顶时，</w:t>
      </w:r>
      <w:r>
        <w:rPr>
          <w:rFonts w:hint="default"/>
          <w:color w:val="auto"/>
          <w:sz w:val="21"/>
          <w:szCs w:val="21"/>
          <w:highlight w:val="none"/>
          <w:lang w:val="en-US" w:eastAsia="zh-CN"/>
        </w:rPr>
        <w:t>应</w:t>
      </w:r>
      <w:r>
        <w:rPr>
          <w:color w:val="auto"/>
          <w:sz w:val="21"/>
          <w:szCs w:val="21"/>
          <w:highlight w:val="none"/>
        </w:rPr>
        <w:t>预留检修口，尺寸不小于400</w:t>
      </w:r>
      <w:r>
        <w:rPr>
          <w:rFonts w:hint="eastAsia"/>
          <w:color w:val="auto"/>
          <w:sz w:val="21"/>
          <w:szCs w:val="21"/>
          <w:highlight w:val="none"/>
          <w:lang w:val="en-US" w:eastAsia="zh-CN"/>
        </w:rPr>
        <w:t>mm</w:t>
      </w:r>
      <w:r>
        <w:rPr>
          <w:color w:val="auto"/>
          <w:sz w:val="21"/>
          <w:szCs w:val="21"/>
          <w:highlight w:val="none"/>
        </w:rPr>
        <w:t>×400mm</w:t>
      </w:r>
      <w:r>
        <w:rPr>
          <w:rFonts w:hint="default"/>
          <w:color w:val="auto"/>
          <w:sz w:val="21"/>
          <w:szCs w:val="21"/>
          <w:highlight w:val="none"/>
          <w:lang w:eastAsia="zh-CN"/>
        </w:rPr>
        <w:t>，</w:t>
      </w:r>
      <w:r>
        <w:rPr>
          <w:rFonts w:eastAsia="宋体" w:asciiTheme="minorAscii" w:hAnsiTheme="minorAscii" w:cstheme="minorBidi"/>
          <w:color w:val="auto"/>
          <w:sz w:val="21"/>
          <w:szCs w:val="21"/>
          <w:highlight w:val="none"/>
        </w:rPr>
        <w:t>所有拼接接头必须布置在吊顶外或检修口范围内</w:t>
      </w:r>
      <w:r>
        <w:rPr>
          <w:color w:val="auto"/>
          <w:sz w:val="21"/>
          <w:szCs w:val="21"/>
          <w:highlight w:val="none"/>
        </w:rPr>
        <w:t>。</w:t>
      </w:r>
    </w:p>
    <w:p>
      <w:pPr>
        <w:pageBreakBefore w:val="0"/>
        <w:numPr>
          <w:ilvl w:val="0"/>
          <w:numId w:val="39"/>
        </w:numPr>
        <w:wordWrap/>
        <w:overflowPunct/>
        <w:topLinePunct w:val="0"/>
        <w:bidi w:val="0"/>
        <w:spacing w:line="240" w:lineRule="auto"/>
        <w:ind w:left="0" w:leftChars="0" w:firstLine="0" w:firstLineChars="0"/>
        <w:rPr>
          <w:color w:val="auto"/>
          <w:sz w:val="21"/>
          <w:szCs w:val="21"/>
        </w:rPr>
      </w:pPr>
      <w:r>
        <w:rPr>
          <w:rFonts w:hint="eastAsia"/>
          <w:color w:val="auto"/>
          <w:sz w:val="21"/>
          <w:szCs w:val="21"/>
          <w:highlight w:val="none"/>
        </w:rPr>
        <w:t>采暖炉燃烧所产生的烟气应排至室外，排气管的排气口应采取防风措施，烟气不得排入灶具专用排烟管道</w:t>
      </w:r>
      <w:r>
        <w:rPr>
          <w:color w:val="auto"/>
          <w:sz w:val="21"/>
          <w:szCs w:val="21"/>
          <w:highlight w:val="none"/>
        </w:rPr>
        <w:t>。</w:t>
      </w:r>
    </w:p>
    <w:p>
      <w:pPr>
        <w:pStyle w:val="3"/>
        <w:numPr>
          <w:ilvl w:val="0"/>
          <w:numId w:val="33"/>
        </w:numPr>
        <w:bidi w:val="0"/>
        <w:ind w:left="0" w:leftChars="0" w:firstLine="0" w:firstLineChars="0"/>
      </w:pPr>
      <w:r>
        <w:t>散热器供暖</w:t>
      </w:r>
      <w:r>
        <w:rPr>
          <w:rFonts w:hint="eastAsia"/>
          <w:lang w:val="en-US" w:eastAsia="zh-CN"/>
        </w:rPr>
        <w:t>装置</w:t>
      </w:r>
    </w:p>
    <w:p>
      <w:pPr>
        <w:pStyle w:val="4"/>
        <w:keepNext w:val="0"/>
        <w:keepLines w:val="0"/>
        <w:pageBreakBefore w:val="0"/>
        <w:widowControl w:val="0"/>
        <w:numPr>
          <w:ilvl w:val="0"/>
          <w:numId w:val="40"/>
        </w:numPr>
        <w:kinsoku w:val="0"/>
        <w:wordWrap/>
        <w:overflowPunct/>
        <w:topLinePunct w:val="0"/>
        <w:autoSpaceDE w:val="0"/>
        <w:autoSpaceDN w:val="0"/>
        <w:bidi w:val="0"/>
        <w:adjustRightInd w:val="0"/>
        <w:snapToGrid w:val="0"/>
        <w:spacing w:before="0" w:beforeLines="0" w:after="0" w:afterLines="0" w:line="240" w:lineRule="auto"/>
        <w:ind w:left="0" w:leftChars="0" w:firstLine="0" w:firstLineChars="0"/>
        <w:textAlignment w:val="baseline"/>
      </w:pPr>
      <w:bookmarkStart w:id="71" w:name="bookmark10"/>
      <w:bookmarkEnd w:id="71"/>
      <w:r>
        <w:rPr>
          <w:rFonts w:hint="eastAsia" w:ascii="宋体" w:hAnsi="宋体" w:eastAsia="宋体" w:cs="宋体"/>
        </w:rPr>
        <w:t>散热器的片数具体计算方法参照</w:t>
      </w:r>
      <w:r>
        <w:rPr>
          <w:rFonts w:hint="eastAsia" w:ascii="黑体" w:hAnsi="黑体" w:eastAsia="黑体" w:cs="黑体"/>
        </w:rPr>
        <w:t>GB</w:t>
      </w:r>
      <w:r>
        <w:rPr>
          <w:rFonts w:hint="eastAsia" w:ascii="黑体" w:hAnsi="黑体" w:eastAsia="黑体" w:cs="黑体"/>
          <w:lang w:val="en-US" w:eastAsia="zh-CN"/>
        </w:rPr>
        <w:t xml:space="preserve"> </w:t>
      </w:r>
      <w:r>
        <w:rPr>
          <w:rFonts w:hint="eastAsia" w:ascii="黑体" w:hAnsi="黑体" w:eastAsia="黑体" w:cs="黑体"/>
        </w:rPr>
        <w:t>50736</w:t>
      </w:r>
      <w:r>
        <w:rPr>
          <w:rFonts w:hint="eastAsia" w:ascii="宋体" w:hAnsi="宋体" w:eastAsia="宋体" w:cs="宋体"/>
        </w:rPr>
        <w:t>的相关规定。</w:t>
      </w:r>
    </w:p>
    <w:p>
      <w:pPr>
        <w:pStyle w:val="4"/>
        <w:keepNext w:val="0"/>
        <w:keepLines w:val="0"/>
        <w:pageBreakBefore w:val="0"/>
        <w:widowControl w:val="0"/>
        <w:numPr>
          <w:ilvl w:val="0"/>
          <w:numId w:val="40"/>
        </w:numPr>
        <w:kinsoku w:val="0"/>
        <w:wordWrap/>
        <w:overflowPunct/>
        <w:topLinePunct w:val="0"/>
        <w:autoSpaceDE w:val="0"/>
        <w:autoSpaceDN w:val="0"/>
        <w:bidi w:val="0"/>
        <w:adjustRightInd w:val="0"/>
        <w:snapToGrid w:val="0"/>
        <w:spacing w:line="240" w:lineRule="auto"/>
        <w:ind w:left="0" w:leftChars="0" w:firstLine="0" w:firstLineChars="0"/>
        <w:textAlignment w:val="baseline"/>
        <w:rPr>
          <w:sz w:val="21"/>
          <w:szCs w:val="21"/>
        </w:rPr>
      </w:pPr>
      <w:r>
        <w:rPr>
          <w:rFonts w:hint="eastAsia" w:ascii="宋体" w:hAnsi="宋体" w:eastAsia="宋体" w:cs="宋体"/>
          <w:sz w:val="21"/>
          <w:szCs w:val="21"/>
        </w:rPr>
        <w:t>散热器的选择应符合下列规定：</w:t>
      </w:r>
    </w:p>
    <w:p>
      <w:pPr>
        <w:pageBreakBefore w:val="0"/>
        <w:numPr>
          <w:ilvl w:val="0"/>
          <w:numId w:val="41"/>
        </w:numPr>
        <w:wordWrap/>
        <w:overflowPunct/>
        <w:topLinePunct w:val="0"/>
        <w:bidi w:val="0"/>
        <w:spacing w:line="240" w:lineRule="auto"/>
        <w:ind w:firstLine="420"/>
        <w:rPr>
          <w:sz w:val="21"/>
          <w:szCs w:val="21"/>
        </w:rPr>
      </w:pPr>
      <w:r>
        <w:rPr>
          <w:sz w:val="21"/>
          <w:szCs w:val="21"/>
        </w:rPr>
        <w:t>采用铝制散热器时，</w:t>
      </w:r>
      <w:r>
        <w:rPr>
          <w:rFonts w:hint="default"/>
          <w:sz w:val="21"/>
          <w:szCs w:val="21"/>
          <w:lang w:val="en-US"/>
        </w:rPr>
        <w:t>应</w:t>
      </w:r>
      <w:r>
        <w:rPr>
          <w:sz w:val="21"/>
          <w:szCs w:val="21"/>
        </w:rPr>
        <w:t>选用内防腐型</w:t>
      </w:r>
      <w:r>
        <w:rPr>
          <w:rFonts w:hint="eastAsia"/>
          <w:sz w:val="21"/>
          <w:szCs w:val="21"/>
        </w:rPr>
        <w:t>；</w:t>
      </w:r>
    </w:p>
    <w:p>
      <w:pPr>
        <w:pageBreakBefore w:val="0"/>
        <w:numPr>
          <w:ilvl w:val="0"/>
          <w:numId w:val="41"/>
        </w:numPr>
        <w:wordWrap/>
        <w:overflowPunct/>
        <w:topLinePunct w:val="0"/>
        <w:bidi w:val="0"/>
        <w:spacing w:line="240" w:lineRule="auto"/>
        <w:ind w:firstLine="420"/>
        <w:rPr>
          <w:sz w:val="21"/>
          <w:szCs w:val="21"/>
          <w:highlight w:val="none"/>
        </w:rPr>
      </w:pPr>
      <w:r>
        <w:rPr>
          <w:sz w:val="21"/>
          <w:szCs w:val="21"/>
          <w:highlight w:val="none"/>
        </w:rPr>
        <w:t>相对湿度较大的房间应采用耐腐蚀的散热器</w:t>
      </w:r>
      <w:r>
        <w:rPr>
          <w:rFonts w:hint="eastAsia"/>
          <w:sz w:val="21"/>
          <w:szCs w:val="21"/>
          <w:highlight w:val="none"/>
        </w:rPr>
        <w:t>；</w:t>
      </w:r>
    </w:p>
    <w:p>
      <w:pPr>
        <w:pageBreakBefore w:val="0"/>
        <w:numPr>
          <w:ilvl w:val="0"/>
          <w:numId w:val="41"/>
        </w:numPr>
        <w:wordWrap/>
        <w:overflowPunct/>
        <w:topLinePunct w:val="0"/>
        <w:bidi w:val="0"/>
        <w:spacing w:line="240" w:lineRule="auto"/>
        <w:ind w:firstLine="420"/>
        <w:rPr>
          <w:sz w:val="21"/>
          <w:szCs w:val="21"/>
        </w:rPr>
      </w:pPr>
      <w:r>
        <w:rPr>
          <w:rFonts w:hint="eastAsia"/>
          <w:sz w:val="21"/>
          <w:szCs w:val="21"/>
        </w:rPr>
        <w:t>室内净空大于或等于6m的</w:t>
      </w:r>
      <w:r>
        <w:rPr>
          <w:sz w:val="21"/>
          <w:szCs w:val="21"/>
        </w:rPr>
        <w:t>空间供暖不宜单独采用对流型散热器。</w:t>
      </w:r>
    </w:p>
    <w:p>
      <w:pPr>
        <w:pStyle w:val="4"/>
        <w:numPr>
          <w:ilvl w:val="0"/>
          <w:numId w:val="40"/>
        </w:numPr>
        <w:bidi w:val="0"/>
        <w:ind w:left="0" w:leftChars="0" w:firstLine="0" w:firstLineChars="0"/>
      </w:pPr>
      <w:r>
        <w:rPr>
          <w:rFonts w:hint="eastAsia" w:ascii="宋体" w:hAnsi="宋体" w:eastAsia="宋体" w:cs="宋体"/>
        </w:rPr>
        <w:t>散热器的布置应符合下列规定：</w:t>
      </w:r>
    </w:p>
    <w:p>
      <w:pPr>
        <w:pageBreakBefore w:val="0"/>
        <w:numPr>
          <w:ilvl w:val="0"/>
          <w:numId w:val="42"/>
        </w:numPr>
        <w:wordWrap/>
        <w:overflowPunct/>
        <w:topLinePunct w:val="0"/>
        <w:bidi w:val="0"/>
        <w:spacing w:line="240" w:lineRule="auto"/>
        <w:ind w:firstLine="420"/>
        <w:rPr>
          <w:sz w:val="21"/>
          <w:szCs w:val="21"/>
        </w:rPr>
      </w:pPr>
      <w:bookmarkStart w:id="72" w:name="bookmark11"/>
      <w:bookmarkEnd w:id="72"/>
      <w:r>
        <w:rPr>
          <w:rFonts w:hint="eastAsia"/>
          <w:sz w:val="21"/>
          <w:szCs w:val="21"/>
          <w:highlight w:val="none"/>
        </w:rPr>
        <w:t>散热器宜明装</w:t>
      </w:r>
      <w:r>
        <w:rPr>
          <w:rFonts w:hint="eastAsia"/>
          <w:sz w:val="21"/>
          <w:szCs w:val="21"/>
          <w:highlight w:val="none"/>
          <w:lang w:eastAsia="zh-CN"/>
        </w:rPr>
        <w:t>；</w:t>
      </w:r>
    </w:p>
    <w:p>
      <w:pPr>
        <w:pageBreakBefore w:val="0"/>
        <w:numPr>
          <w:ilvl w:val="0"/>
          <w:numId w:val="42"/>
        </w:numPr>
        <w:wordWrap/>
        <w:overflowPunct/>
        <w:topLinePunct w:val="0"/>
        <w:bidi w:val="0"/>
        <w:spacing w:line="240" w:lineRule="auto"/>
        <w:ind w:firstLine="420"/>
        <w:rPr>
          <w:sz w:val="21"/>
          <w:szCs w:val="21"/>
        </w:rPr>
      </w:pPr>
      <w:r>
        <w:rPr>
          <w:sz w:val="21"/>
          <w:szCs w:val="21"/>
        </w:rPr>
        <w:t>散热器宜安装在外墙窗台下，当安装或布置管道有困难时，也可</w:t>
      </w:r>
      <w:r>
        <w:rPr>
          <w:rFonts w:hint="eastAsia"/>
          <w:sz w:val="21"/>
          <w:szCs w:val="21"/>
          <w:lang w:val="en-US" w:eastAsia="zh-CN"/>
        </w:rPr>
        <w:t>选择</w:t>
      </w:r>
      <w:r>
        <w:rPr>
          <w:sz w:val="21"/>
          <w:szCs w:val="21"/>
        </w:rPr>
        <w:t>靠</w:t>
      </w:r>
      <w:r>
        <w:rPr>
          <w:rFonts w:hint="eastAsia"/>
          <w:sz w:val="21"/>
          <w:szCs w:val="21"/>
          <w:lang w:val="en-US" w:eastAsia="zh-CN"/>
        </w:rPr>
        <w:t>近窗台的</w:t>
      </w:r>
      <w:r>
        <w:rPr>
          <w:sz w:val="21"/>
          <w:szCs w:val="21"/>
        </w:rPr>
        <w:t>内墙</w:t>
      </w:r>
      <w:r>
        <w:rPr>
          <w:rFonts w:hint="eastAsia"/>
          <w:sz w:val="21"/>
          <w:szCs w:val="21"/>
          <w:lang w:val="en-US" w:eastAsia="zh-CN"/>
        </w:rPr>
        <w:t>安装</w:t>
      </w:r>
      <w:r>
        <w:rPr>
          <w:rFonts w:hint="eastAsia"/>
          <w:sz w:val="21"/>
          <w:szCs w:val="21"/>
          <w:lang w:eastAsia="zh-CN"/>
        </w:rPr>
        <w:t>；</w:t>
      </w:r>
    </w:p>
    <w:p>
      <w:pPr>
        <w:pageBreakBefore w:val="0"/>
        <w:numPr>
          <w:ilvl w:val="0"/>
          <w:numId w:val="42"/>
        </w:numPr>
        <w:wordWrap/>
        <w:overflowPunct/>
        <w:topLinePunct w:val="0"/>
        <w:bidi w:val="0"/>
        <w:spacing w:line="240" w:lineRule="auto"/>
        <w:ind w:firstLine="420"/>
        <w:rPr>
          <w:color w:val="auto"/>
          <w:sz w:val="21"/>
          <w:szCs w:val="21"/>
          <w:highlight w:val="none"/>
        </w:rPr>
      </w:pPr>
      <w:r>
        <w:rPr>
          <w:sz w:val="21"/>
          <w:szCs w:val="21"/>
          <w:highlight w:val="none"/>
        </w:rPr>
        <w:t>幼儿园、</w:t>
      </w:r>
      <w:r>
        <w:rPr>
          <w:rFonts w:hint="eastAsia"/>
          <w:sz w:val="21"/>
          <w:szCs w:val="21"/>
          <w:highlight w:val="none"/>
        </w:rPr>
        <w:t>养老院</w:t>
      </w:r>
      <w:r>
        <w:rPr>
          <w:sz w:val="21"/>
          <w:szCs w:val="21"/>
          <w:highlight w:val="none"/>
        </w:rPr>
        <w:t>和特殊功能要求的</w:t>
      </w:r>
      <w:r>
        <w:rPr>
          <w:rFonts w:hint="eastAsia"/>
          <w:sz w:val="21"/>
          <w:szCs w:val="21"/>
          <w:highlight w:val="none"/>
        </w:rPr>
        <w:t>房间</w:t>
      </w:r>
      <w:r>
        <w:rPr>
          <w:sz w:val="21"/>
          <w:szCs w:val="21"/>
          <w:highlight w:val="none"/>
        </w:rPr>
        <w:t>的散热器必须暗装或加防护罩</w:t>
      </w:r>
      <w:r>
        <w:rPr>
          <w:rFonts w:hint="eastAsia"/>
          <w:sz w:val="21"/>
          <w:szCs w:val="21"/>
          <w:highlight w:val="none"/>
        </w:rPr>
        <w:t>，防护</w:t>
      </w:r>
      <w:r>
        <w:rPr>
          <w:sz w:val="21"/>
          <w:szCs w:val="21"/>
          <w:highlight w:val="none"/>
        </w:rPr>
        <w:t>罩应有合理的气流通道、足够的通道面积。</w:t>
      </w:r>
      <w:r>
        <w:rPr>
          <w:strike w:val="0"/>
          <w:sz w:val="21"/>
          <w:szCs w:val="21"/>
          <w:highlight w:val="none"/>
        </w:rPr>
        <w:t>安装在</w:t>
      </w:r>
      <w:r>
        <w:rPr>
          <w:rFonts w:hint="eastAsia"/>
          <w:strike w:val="0"/>
          <w:sz w:val="21"/>
          <w:szCs w:val="21"/>
          <w:highlight w:val="none"/>
        </w:rPr>
        <w:t>防护</w:t>
      </w:r>
      <w:r>
        <w:rPr>
          <w:strike w:val="0"/>
          <w:sz w:val="21"/>
          <w:szCs w:val="21"/>
          <w:highlight w:val="none"/>
        </w:rPr>
        <w:t>罩内的恒温控制阀必须采用外置传</w:t>
      </w:r>
      <w:r>
        <w:rPr>
          <w:strike w:val="0"/>
          <w:color w:val="auto"/>
          <w:sz w:val="21"/>
          <w:szCs w:val="21"/>
          <w:highlight w:val="none"/>
        </w:rPr>
        <w:t>感器，传感器应设在能</w:t>
      </w:r>
      <w:r>
        <w:rPr>
          <w:rFonts w:hint="eastAsia"/>
          <w:strike w:val="0"/>
          <w:color w:val="auto"/>
          <w:sz w:val="21"/>
          <w:szCs w:val="21"/>
          <w:highlight w:val="none"/>
        </w:rPr>
        <w:t>准确体现</w:t>
      </w:r>
      <w:r>
        <w:rPr>
          <w:strike w:val="0"/>
          <w:color w:val="auto"/>
          <w:sz w:val="21"/>
          <w:szCs w:val="21"/>
          <w:highlight w:val="none"/>
        </w:rPr>
        <w:t>房间温度的位置。</w:t>
      </w:r>
    </w:p>
    <w:p>
      <w:pPr>
        <w:pStyle w:val="3"/>
        <w:numPr>
          <w:ilvl w:val="0"/>
          <w:numId w:val="33"/>
        </w:numPr>
        <w:bidi w:val="0"/>
        <w:ind w:left="0" w:leftChars="0" w:firstLine="0" w:firstLineChars="0"/>
      </w:pPr>
      <w:r>
        <w:t>地面供暖</w:t>
      </w:r>
      <w:r>
        <w:rPr>
          <w:rFonts w:hint="eastAsia"/>
          <w:lang w:val="en-US" w:eastAsia="zh-CN"/>
        </w:rPr>
        <w:t>装置</w:t>
      </w:r>
    </w:p>
    <w:p>
      <w:pPr>
        <w:pStyle w:val="4"/>
        <w:numPr>
          <w:ilvl w:val="0"/>
          <w:numId w:val="43"/>
        </w:numPr>
        <w:bidi w:val="0"/>
        <w:ind w:left="0" w:leftChars="0" w:firstLine="0" w:firstLineChars="0"/>
        <w:rPr>
          <w:rFonts w:hint="eastAsia" w:cs="Times New Roman"/>
          <w:lang w:val="en-US" w:eastAsia="zh-CN"/>
        </w:rPr>
      </w:pPr>
      <w:r>
        <w:rPr>
          <w:rFonts w:hint="eastAsia" w:ascii="宋体" w:hAnsi="宋体" w:eastAsia="宋体" w:cs="宋体"/>
        </w:rPr>
        <w:t>供暖地面的构造</w:t>
      </w:r>
      <w:r>
        <w:rPr>
          <w:rFonts w:hint="eastAsia" w:ascii="宋体" w:hAnsi="宋体" w:eastAsia="宋体" w:cs="宋体"/>
          <w:lang w:val="en-US" w:eastAsia="zh-CN"/>
        </w:rPr>
        <w:t>做法应符合</w:t>
      </w:r>
      <w:r>
        <w:rPr>
          <w:rFonts w:hint="eastAsia" w:ascii="黑体" w:hAnsi="黑体" w:eastAsia="黑体" w:cs="黑体"/>
          <w:lang w:val="en-US" w:eastAsia="zh-CN"/>
        </w:rPr>
        <w:t>JGJ 142</w:t>
      </w:r>
      <w:r>
        <w:rPr>
          <w:rFonts w:hint="eastAsia" w:ascii="宋体" w:hAnsi="宋体" w:eastAsia="宋体" w:cs="宋体"/>
          <w:lang w:val="en-US" w:eastAsia="zh-CN"/>
        </w:rPr>
        <w:t>的相关规定。</w:t>
      </w:r>
    </w:p>
    <w:p>
      <w:pPr>
        <w:pStyle w:val="4"/>
        <w:numPr>
          <w:ilvl w:val="0"/>
          <w:numId w:val="43"/>
        </w:numPr>
        <w:bidi w:val="0"/>
        <w:ind w:left="0" w:leftChars="0" w:firstLine="0" w:firstLineChars="0"/>
        <w:rPr>
          <w:rFonts w:hint="eastAsia" w:ascii="黑体" w:hAnsi="黑体" w:eastAsia="黑体" w:cs="黑体"/>
          <w:sz w:val="21"/>
          <w:szCs w:val="21"/>
        </w:rPr>
      </w:pPr>
      <w:r>
        <w:rPr>
          <w:rFonts w:hint="eastAsia" w:ascii="黑体" w:hAnsi="黑体" w:eastAsia="黑体" w:cs="黑体"/>
          <w:lang w:val="en-US" w:eastAsia="zh-CN"/>
        </w:rPr>
        <w:t>供暖地面的构造由</w:t>
      </w:r>
      <w:r>
        <w:rPr>
          <w:rFonts w:hint="eastAsia" w:ascii="黑体" w:hAnsi="黑体" w:eastAsia="黑体" w:cs="黑体"/>
          <w:sz w:val="21"/>
          <w:szCs w:val="21"/>
          <w:lang w:val="en-US" w:eastAsia="zh-CN"/>
        </w:rPr>
        <w:t>下列全部或部分组成</w:t>
      </w:r>
      <w:r>
        <w:rPr>
          <w:rFonts w:hint="eastAsia" w:ascii="黑体" w:hAnsi="黑体" w:eastAsia="黑体" w:cs="黑体"/>
          <w:sz w:val="21"/>
          <w:szCs w:val="21"/>
        </w:rPr>
        <w:t>：</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楼板结构层或与土壤相邻的地面结构层；</w:t>
      </w:r>
    </w:p>
    <w:p>
      <w:pPr>
        <w:pageBreakBefore w:val="0"/>
        <w:numPr>
          <w:ilvl w:val="0"/>
          <w:numId w:val="44"/>
        </w:numPr>
        <w:wordWrap/>
        <w:overflowPunct/>
        <w:topLinePunct w:val="0"/>
        <w:bidi w:val="0"/>
        <w:spacing w:line="240" w:lineRule="auto"/>
        <w:ind w:firstLine="420"/>
        <w:rPr>
          <w:b w:val="0"/>
          <w:bCs w:val="0"/>
          <w:color w:val="auto"/>
          <w:sz w:val="21"/>
          <w:szCs w:val="21"/>
          <w:highlight w:val="none"/>
        </w:rPr>
      </w:pPr>
      <w:r>
        <w:rPr>
          <w:rFonts w:hint="eastAsia"/>
          <w:b w:val="0"/>
          <w:bCs w:val="0"/>
          <w:color w:val="auto"/>
          <w:sz w:val="21"/>
          <w:szCs w:val="21"/>
          <w:highlight w:val="none"/>
        </w:rPr>
        <w:t>防潮层</w:t>
      </w:r>
      <w:r>
        <w:rPr>
          <w:rFonts w:hint="eastAsia"/>
          <w:b w:val="0"/>
          <w:bCs w:val="0"/>
          <w:color w:val="auto"/>
          <w:sz w:val="21"/>
          <w:szCs w:val="21"/>
          <w:highlight w:val="none"/>
          <w:lang w:eastAsia="zh-CN"/>
        </w:rPr>
        <w:t>（</w:t>
      </w:r>
      <w:r>
        <w:rPr>
          <w:rFonts w:hint="eastAsia"/>
          <w:b w:val="0"/>
          <w:bCs w:val="0"/>
          <w:color w:val="auto"/>
          <w:sz w:val="21"/>
          <w:szCs w:val="21"/>
          <w:highlight w:val="none"/>
          <w:lang w:val="en-US" w:eastAsia="zh-CN"/>
        </w:rPr>
        <w:t>适用于</w:t>
      </w:r>
      <w:r>
        <w:rPr>
          <w:rFonts w:hint="eastAsia"/>
          <w:b w:val="0"/>
          <w:bCs w:val="0"/>
          <w:color w:val="auto"/>
          <w:sz w:val="21"/>
          <w:szCs w:val="21"/>
          <w:highlight w:val="none"/>
        </w:rPr>
        <w:t>与土壤</w:t>
      </w:r>
      <w:r>
        <w:rPr>
          <w:rFonts w:hint="eastAsia"/>
          <w:b w:val="0"/>
          <w:bCs w:val="0"/>
          <w:color w:val="auto"/>
          <w:sz w:val="21"/>
          <w:szCs w:val="21"/>
          <w:highlight w:val="none"/>
          <w:lang w:val="en-US" w:eastAsia="zh-CN"/>
        </w:rPr>
        <w:t>相邻的地面结构层</w:t>
      </w:r>
      <w:r>
        <w:rPr>
          <w:rFonts w:hint="eastAsia"/>
          <w:b w:val="0"/>
          <w:bCs w:val="0"/>
          <w:color w:val="auto"/>
          <w:sz w:val="21"/>
          <w:szCs w:val="21"/>
          <w:highlight w:val="none"/>
          <w:lang w:eastAsia="zh-CN"/>
        </w:rPr>
        <w:t>）；</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绝热层，包括预制沟槽保温板或预制复合模块；</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防腐反射层；</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加热管；</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填充层或隔离层；</w:t>
      </w:r>
    </w:p>
    <w:p>
      <w:pPr>
        <w:pageBreakBefore w:val="0"/>
        <w:numPr>
          <w:ilvl w:val="0"/>
          <w:numId w:val="44"/>
        </w:numPr>
        <w:wordWrap/>
        <w:overflowPunct/>
        <w:topLinePunct w:val="0"/>
        <w:bidi w:val="0"/>
        <w:spacing w:line="240" w:lineRule="auto"/>
        <w:ind w:firstLine="420"/>
        <w:rPr>
          <w:sz w:val="21"/>
          <w:szCs w:val="21"/>
        </w:rPr>
      </w:pPr>
      <w:r>
        <w:rPr>
          <w:rFonts w:hint="eastAsia"/>
          <w:sz w:val="21"/>
          <w:szCs w:val="21"/>
        </w:rPr>
        <w:t>面层，包括装饰面层及其找平层。</w:t>
      </w:r>
    </w:p>
    <w:p>
      <w:pPr>
        <w:pStyle w:val="4"/>
        <w:numPr>
          <w:ilvl w:val="0"/>
          <w:numId w:val="43"/>
        </w:numPr>
        <w:bidi w:val="0"/>
        <w:ind w:left="0" w:leftChars="0" w:firstLine="0" w:firstLineChars="0"/>
        <w:rPr>
          <w:rFonts w:hint="eastAsia" w:ascii="黑体" w:hAnsi="黑体" w:eastAsia="黑体" w:cs="黑体"/>
        </w:rPr>
      </w:pPr>
      <w:r>
        <w:rPr>
          <w:rFonts w:hint="eastAsia" w:ascii="黑体" w:hAnsi="黑体" w:eastAsia="黑体" w:cs="黑体"/>
          <w:lang w:val="en-US" w:eastAsia="zh-CN"/>
        </w:rPr>
        <w:t>绝热层、防潮层构造应符合下列规定</w:t>
      </w:r>
      <w:r>
        <w:rPr>
          <w:rFonts w:hint="eastAsia" w:ascii="黑体" w:hAnsi="黑体" w:eastAsia="黑体" w:cs="黑体"/>
        </w:rPr>
        <w:t>：</w:t>
      </w:r>
    </w:p>
    <w:p>
      <w:pPr>
        <w:pageBreakBefore w:val="0"/>
        <w:numPr>
          <w:ilvl w:val="0"/>
          <w:numId w:val="45"/>
        </w:numPr>
        <w:wordWrap/>
        <w:overflowPunct/>
        <w:topLinePunct w:val="0"/>
        <w:bidi w:val="0"/>
        <w:spacing w:line="240" w:lineRule="auto"/>
        <w:ind w:firstLine="420"/>
        <w:rPr>
          <w:sz w:val="21"/>
          <w:szCs w:val="21"/>
        </w:rPr>
      </w:pPr>
      <w:r>
        <w:rPr>
          <w:sz w:val="21"/>
          <w:szCs w:val="21"/>
        </w:rPr>
        <w:t>绝热层最小热阻不应小于表3中所示值。绝热材料的耐火等级应大于或等于B1级。采用混凝土或砂浆填充式供暖地面时，绝热层压缩强度不小于150kPa；</w:t>
      </w:r>
      <w:r>
        <w:rPr>
          <w:rFonts w:hint="default" w:eastAsia="宋体"/>
          <w:color w:val="auto"/>
          <w:sz w:val="21"/>
          <w:szCs w:val="21"/>
        </w:rPr>
        <w:t>采用预制复合模块地面砂浆填充式</w:t>
      </w:r>
      <w:r>
        <w:rPr>
          <w:sz w:val="21"/>
          <w:szCs w:val="21"/>
        </w:rPr>
        <w:t>供暖地面时</w:t>
      </w:r>
      <w:r>
        <w:rPr>
          <w:rFonts w:hint="default" w:eastAsia="宋体"/>
          <w:color w:val="auto"/>
          <w:sz w:val="21"/>
          <w:szCs w:val="21"/>
        </w:rPr>
        <w:t>，</w:t>
      </w:r>
      <w:r>
        <w:rPr>
          <w:sz w:val="21"/>
          <w:szCs w:val="21"/>
        </w:rPr>
        <w:t>绝热层压缩强度不小于200kPa</w:t>
      </w:r>
      <w:r>
        <w:rPr>
          <w:rFonts w:hint="eastAsia"/>
          <w:sz w:val="21"/>
          <w:szCs w:val="21"/>
          <w:lang w:eastAsia="zh-CN"/>
        </w:rPr>
        <w:t>；</w:t>
      </w:r>
    </w:p>
    <w:p>
      <w:pPr>
        <w:pStyle w:val="5"/>
        <w:pageBreakBefore w:val="0"/>
        <w:wordWrap/>
        <w:overflowPunct/>
        <w:topLinePunct w:val="0"/>
        <w:bidi w:val="0"/>
        <w:spacing w:before="120" w:after="120" w:line="240" w:lineRule="auto"/>
        <w:jc w:val="right"/>
        <w:rPr>
          <w:sz w:val="21"/>
          <w:szCs w:val="21"/>
        </w:rPr>
      </w:pPr>
      <w:r>
        <w:rPr>
          <w:sz w:val="21"/>
          <w:szCs w:val="21"/>
        </w:rPr>
        <w:t>表3</w:t>
      </w:r>
      <w:r>
        <w:rPr>
          <w:rFonts w:hint="eastAsia"/>
          <w:sz w:val="21"/>
          <w:szCs w:val="21"/>
        </w:rPr>
        <w:t xml:space="preserve"> </w:t>
      </w:r>
      <w:r>
        <w:rPr>
          <w:sz w:val="21"/>
          <w:szCs w:val="21"/>
        </w:rPr>
        <w:t>绝热层最小热阻值</w:t>
      </w:r>
      <w:r>
        <w:rPr>
          <w:rFonts w:hint="eastAsia"/>
          <w:sz w:val="21"/>
          <w:szCs w:val="21"/>
          <w:lang w:val="en-US" w:eastAsia="zh-CN"/>
        </w:rPr>
        <w:t xml:space="preserve">                 </w:t>
      </w:r>
      <w:r>
        <w:rPr>
          <w:rFonts w:ascii="Times New Roman" w:hAnsi="Times New Roman" w:cs="Times New Roman"/>
          <w:sz w:val="21"/>
          <w:szCs w:val="21"/>
        </w:rPr>
        <w:t>（</w:t>
      </w:r>
      <w:r>
        <w:rPr>
          <w:rFonts w:hint="eastAsia" w:ascii="Times New Roman" w:hAnsi="Times New Roman" w:cs="Times New Roman"/>
          <w:sz w:val="21"/>
          <w:szCs w:val="21"/>
          <w:lang w:val="en-US" w:eastAsia="zh-CN"/>
        </w:rPr>
        <w:t>单位：</w:t>
      </w:r>
      <w:r>
        <w:rPr>
          <w:rFonts w:ascii="Times New Roman" w:hAnsi="Times New Roman" w:cs="Times New Roman"/>
          <w:sz w:val="21"/>
          <w:szCs w:val="21"/>
        </w:rPr>
        <w:t>m</w:t>
      </w:r>
      <w:r>
        <w:rPr>
          <w:rFonts w:ascii="Times New Roman" w:hAnsi="Times New Roman" w:cs="Times New Roman"/>
          <w:sz w:val="21"/>
          <w:szCs w:val="21"/>
          <w:vertAlign w:val="superscript"/>
        </w:rPr>
        <w:t>2</w:t>
      </w:r>
      <w:r>
        <w:rPr>
          <w:rFonts w:ascii="Times New Roman" w:hAnsi="Times New Roman" w:cs="Times New Roman"/>
          <w:sz w:val="21"/>
          <w:szCs w:val="21"/>
        </w:rPr>
        <w:t>·K/W）</w:t>
      </w:r>
    </w:p>
    <w:tbl>
      <w:tblPr>
        <w:tblStyle w:val="231"/>
        <w:tblW w:w="5024" w:type="pct"/>
        <w:tblInd w:w="0" w:type="dxa"/>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autofit"/>
        <w:tblCellMar>
          <w:top w:w="0" w:type="dxa"/>
          <w:left w:w="0" w:type="dxa"/>
          <w:bottom w:w="0" w:type="dxa"/>
          <w:right w:w="0" w:type="dxa"/>
        </w:tblCellMar>
      </w:tblPr>
      <w:tblGrid>
        <w:gridCol w:w="6518"/>
        <w:gridCol w:w="3182"/>
      </w:tblGrid>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3359" w:type="pct"/>
            <w:tcBorders>
              <w:right w:val="single" w:color="231F20" w:sz="2" w:space="0"/>
            </w:tcBorders>
            <w:vAlign w:val="center"/>
          </w:tcPr>
          <w:p>
            <w:pPr>
              <w:pageBreakBefore w:val="0"/>
              <w:wordWrap/>
              <w:overflowPunct/>
              <w:topLinePunct w:val="0"/>
              <w:bidi w:val="0"/>
              <w:spacing w:line="240" w:lineRule="auto"/>
              <w:ind w:hanging="5"/>
              <w:jc w:val="center"/>
              <w:rPr>
                <w:rFonts w:ascii="Times New Roman" w:hAnsi="Times New Roman" w:cs="Times New Roman"/>
                <w:sz w:val="18"/>
                <w:szCs w:val="18"/>
              </w:rPr>
            </w:pPr>
            <w:r>
              <w:rPr>
                <w:rFonts w:ascii="Times New Roman" w:hAnsi="Times New Roman" w:cs="Times New Roman"/>
                <w:sz w:val="18"/>
                <w:szCs w:val="18"/>
              </w:rPr>
              <w:t>绝热层位置</w:t>
            </w:r>
          </w:p>
        </w:tc>
        <w:tc>
          <w:tcPr>
            <w:tcW w:w="1640" w:type="pct"/>
            <w:tcBorders>
              <w:lef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最小热阻值R</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3359" w:type="pct"/>
            <w:tcBorders>
              <w:bottom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供暖楼层之间的楼板上</w:t>
            </w:r>
          </w:p>
        </w:tc>
        <w:tc>
          <w:tcPr>
            <w:tcW w:w="1640" w:type="pct"/>
            <w:tcBorders>
              <w:left w:val="single" w:color="231F20" w:sz="2" w:space="0"/>
              <w:bottom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0.40</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3359" w:type="pct"/>
            <w:tcBorders>
              <w:top w:val="single" w:color="231F20" w:sz="2" w:space="0"/>
              <w:bottom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与非供暖房间相邻的楼板上</w:t>
            </w:r>
          </w:p>
        </w:tc>
        <w:tc>
          <w:tcPr>
            <w:tcW w:w="1640" w:type="pct"/>
            <w:tcBorders>
              <w:top w:val="single" w:color="231F20" w:sz="2" w:space="0"/>
              <w:left w:val="single" w:color="231F20" w:sz="2" w:space="0"/>
              <w:bottom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0.49</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3359" w:type="pct"/>
            <w:tcBorders>
              <w:top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与土壤接触的底层，或直接与室外空气接触的楼板上</w:t>
            </w:r>
          </w:p>
        </w:tc>
        <w:tc>
          <w:tcPr>
            <w:tcW w:w="1640" w:type="pct"/>
            <w:tcBorders>
              <w:top w:val="single" w:color="231F20" w:sz="2" w:space="0"/>
              <w:lef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0.73</w:t>
            </w:r>
          </w:p>
        </w:tc>
      </w:tr>
    </w:tbl>
    <w:p>
      <w:pPr>
        <w:keepNext w:val="0"/>
        <w:keepLines w:val="0"/>
        <w:pageBreakBefore w:val="0"/>
        <w:widowControl w:val="0"/>
        <w:numPr>
          <w:ilvl w:val="0"/>
          <w:numId w:val="45"/>
        </w:numPr>
        <w:kinsoku/>
        <w:wordWrap/>
        <w:overflowPunct/>
        <w:topLinePunct w:val="0"/>
        <w:autoSpaceDE w:val="0"/>
        <w:autoSpaceDN w:val="0"/>
        <w:bidi w:val="0"/>
        <w:adjustRightInd w:val="0"/>
        <w:snapToGrid w:val="0"/>
        <w:spacing w:before="157" w:beforeLines="50" w:line="240" w:lineRule="auto"/>
        <w:ind w:firstLine="420"/>
        <w:textAlignment w:val="auto"/>
        <w:rPr>
          <w:sz w:val="21"/>
          <w:szCs w:val="21"/>
        </w:rPr>
      </w:pPr>
      <w:r>
        <w:rPr>
          <w:color w:val="auto"/>
          <w:sz w:val="21"/>
          <w:szCs w:val="21"/>
        </w:rPr>
        <w:t>以外露楼板、与非采暖房间相邻的房间地板、与土壤接触的底层地面作为供暖辐射面时，必须设置绝热层。</w:t>
      </w:r>
      <w:r>
        <w:rPr>
          <w:sz w:val="21"/>
          <w:szCs w:val="21"/>
        </w:rPr>
        <w:t>设置绝热层时，绝热层与土壤之间应设置防潮层。潮湿房间的混凝土填充式供暖地面的填充层上、预制沟槽保温板或预制轻薄板供暖板地面的面层下，应设置隔离层</w:t>
      </w:r>
      <w:r>
        <w:rPr>
          <w:rFonts w:hint="eastAsia"/>
          <w:sz w:val="21"/>
          <w:szCs w:val="21"/>
          <w:lang w:eastAsia="zh-CN"/>
        </w:rPr>
        <w:t>；</w:t>
      </w:r>
    </w:p>
    <w:p>
      <w:pPr>
        <w:pageBreakBefore w:val="0"/>
        <w:numPr>
          <w:ilvl w:val="0"/>
          <w:numId w:val="45"/>
        </w:numPr>
        <w:wordWrap/>
        <w:overflowPunct/>
        <w:topLinePunct w:val="0"/>
        <w:bidi w:val="0"/>
        <w:spacing w:line="240" w:lineRule="auto"/>
        <w:ind w:firstLine="420"/>
        <w:rPr>
          <w:sz w:val="21"/>
          <w:szCs w:val="21"/>
        </w:rPr>
      </w:pPr>
      <w:r>
        <w:rPr>
          <w:sz w:val="21"/>
          <w:szCs w:val="21"/>
        </w:rPr>
        <w:t>采用预制沟槽保温板时，房间内未铺设供暖板的部位和敷设输配管的部分应铺设</w:t>
      </w:r>
      <w:r>
        <w:rPr>
          <w:rFonts w:hint="default" w:eastAsia="宋体"/>
          <w:color w:val="auto"/>
          <w:sz w:val="21"/>
          <w:szCs w:val="21"/>
        </w:rPr>
        <w:t>填充板</w:t>
      </w:r>
      <w:r>
        <w:rPr>
          <w:sz w:val="21"/>
          <w:szCs w:val="21"/>
        </w:rPr>
        <w:t>。</w:t>
      </w:r>
    </w:p>
    <w:p>
      <w:pPr>
        <w:keepNext w:val="0"/>
        <w:keepLines w:val="0"/>
        <w:pageBreakBefore w:val="0"/>
        <w:widowControl w:val="0"/>
        <w:numPr>
          <w:ilvl w:val="0"/>
          <w:numId w:val="43"/>
        </w:numPr>
        <w:kinsoku/>
        <w:wordWrap/>
        <w:overflowPunct/>
        <w:topLinePunct w:val="0"/>
        <w:autoSpaceDE/>
        <w:autoSpaceDN/>
        <w:bidi w:val="0"/>
        <w:adjustRightInd w:val="0"/>
        <w:snapToGrid/>
        <w:spacing w:before="313" w:beforeLines="100" w:after="313" w:afterLines="100" w:line="240" w:lineRule="auto"/>
        <w:ind w:left="0" w:leftChars="0" w:firstLine="0" w:firstLineChars="0"/>
        <w:textAlignment w:val="auto"/>
        <w:rPr>
          <w:rFonts w:hint="eastAsia" w:ascii="黑体" w:hAnsi="黑体" w:eastAsia="黑体" w:cs="黑体"/>
          <w:sz w:val="21"/>
          <w:szCs w:val="21"/>
        </w:rPr>
      </w:pPr>
      <w:r>
        <w:rPr>
          <w:rFonts w:hint="eastAsia" w:ascii="黑体" w:hAnsi="黑体" w:eastAsia="黑体" w:cs="黑体"/>
          <w:sz w:val="21"/>
          <w:szCs w:val="21"/>
        </w:rPr>
        <w:t>加热管</w:t>
      </w:r>
      <w:r>
        <w:rPr>
          <w:rFonts w:hint="eastAsia" w:ascii="黑体" w:hAnsi="黑体" w:eastAsia="黑体" w:cs="黑体"/>
          <w:color w:val="auto"/>
          <w:sz w:val="21"/>
          <w:szCs w:val="21"/>
          <w:highlight w:val="none"/>
        </w:rPr>
        <w:t>敷设应符</w:t>
      </w:r>
      <w:r>
        <w:rPr>
          <w:rFonts w:hint="eastAsia" w:ascii="黑体" w:hAnsi="黑体" w:eastAsia="黑体" w:cs="黑体"/>
          <w:sz w:val="21"/>
          <w:szCs w:val="21"/>
        </w:rPr>
        <w:t>合下列规定：</w:t>
      </w:r>
    </w:p>
    <w:p>
      <w:pPr>
        <w:pageBreakBefore w:val="0"/>
        <w:numPr>
          <w:ilvl w:val="0"/>
          <w:numId w:val="46"/>
        </w:numPr>
        <w:wordWrap/>
        <w:overflowPunct/>
        <w:topLinePunct w:val="0"/>
        <w:bidi w:val="0"/>
        <w:spacing w:line="240" w:lineRule="auto"/>
        <w:ind w:firstLine="420"/>
        <w:rPr>
          <w:sz w:val="21"/>
          <w:szCs w:val="21"/>
        </w:rPr>
      </w:pPr>
      <w:r>
        <w:rPr>
          <w:rFonts w:hint="eastAsia"/>
          <w:sz w:val="21"/>
          <w:szCs w:val="21"/>
        </w:rPr>
        <w:t>加热管的敷设间距应根据房间所需供热量、室内计算温度、平均水温、地面传热热阻等确定</w:t>
      </w:r>
      <w:r>
        <w:rPr>
          <w:rFonts w:hint="eastAsia"/>
          <w:sz w:val="21"/>
          <w:szCs w:val="21"/>
          <w:lang w:eastAsia="zh-CN"/>
        </w:rPr>
        <w:t>，</w:t>
      </w:r>
      <w:r>
        <w:rPr>
          <w:rFonts w:hint="eastAsia"/>
          <w:sz w:val="21"/>
          <w:szCs w:val="21"/>
          <w:lang w:val="en-US" w:eastAsia="zh-CN"/>
        </w:rPr>
        <w:t>具体计算方法参照JGJ 142的相关规定</w:t>
      </w:r>
      <w:r>
        <w:rPr>
          <w:rFonts w:hint="eastAsia"/>
          <w:sz w:val="21"/>
          <w:szCs w:val="21"/>
          <w:lang w:eastAsia="zh-CN"/>
        </w:rPr>
        <w:t>；</w:t>
      </w:r>
    </w:p>
    <w:p>
      <w:pPr>
        <w:pageBreakBefore w:val="0"/>
        <w:numPr>
          <w:ilvl w:val="0"/>
          <w:numId w:val="46"/>
        </w:numPr>
        <w:wordWrap/>
        <w:overflowPunct/>
        <w:topLinePunct w:val="0"/>
        <w:bidi w:val="0"/>
        <w:spacing w:line="240" w:lineRule="auto"/>
        <w:ind w:firstLine="420"/>
        <w:rPr>
          <w:sz w:val="21"/>
          <w:szCs w:val="21"/>
        </w:rPr>
      </w:pPr>
      <w:r>
        <w:rPr>
          <w:rFonts w:hint="eastAsia"/>
          <w:sz w:val="21"/>
          <w:szCs w:val="21"/>
        </w:rPr>
        <w:t>连接在同一分水器、集水器上的同管径环路的长度宜接近；当每个分支环路上设置流量调节装置时，各分支环路加热管的敷设长度差宜控制在30%内；现场敷设加热管时，各环路管长度不宜大于120m；当各环路长度差距较大时，宜采用不同管径的加热管，或在每个分支环路上设置平衡装置；</w:t>
      </w:r>
    </w:p>
    <w:p>
      <w:pPr>
        <w:pageBreakBefore w:val="0"/>
        <w:numPr>
          <w:ilvl w:val="0"/>
          <w:numId w:val="46"/>
        </w:numPr>
        <w:wordWrap/>
        <w:overflowPunct/>
        <w:topLinePunct w:val="0"/>
        <w:bidi w:val="0"/>
        <w:spacing w:line="240" w:lineRule="auto"/>
        <w:ind w:firstLine="420"/>
        <w:rPr>
          <w:rFonts w:hint="eastAsia"/>
          <w:sz w:val="21"/>
          <w:szCs w:val="21"/>
        </w:rPr>
      </w:pPr>
      <w:r>
        <w:rPr>
          <w:rFonts w:hint="eastAsia"/>
          <w:sz w:val="21"/>
          <w:szCs w:val="21"/>
        </w:rPr>
        <w:t>每个主要房间应独立设置环路，面积小的附属房间内的加热管可串联；</w:t>
      </w:r>
    </w:p>
    <w:p>
      <w:pPr>
        <w:pageBreakBefore w:val="0"/>
        <w:numPr>
          <w:ilvl w:val="0"/>
          <w:numId w:val="46"/>
        </w:numPr>
        <w:wordWrap/>
        <w:overflowPunct/>
        <w:topLinePunct w:val="0"/>
        <w:bidi w:val="0"/>
        <w:spacing w:line="240" w:lineRule="auto"/>
        <w:ind w:firstLine="420"/>
        <w:rPr>
          <w:rFonts w:hint="eastAsia"/>
          <w:sz w:val="21"/>
          <w:szCs w:val="21"/>
        </w:rPr>
      </w:pPr>
      <w:r>
        <w:rPr>
          <w:rFonts w:hint="eastAsia"/>
          <w:sz w:val="21"/>
          <w:szCs w:val="21"/>
        </w:rPr>
        <w:t>进深大于6m的房间，以距外墙6m为界分区</w:t>
      </w:r>
      <w:r>
        <w:rPr>
          <w:rFonts w:hint="eastAsia"/>
          <w:sz w:val="21"/>
          <w:szCs w:val="21"/>
          <w:lang w:eastAsia="zh-CN"/>
        </w:rPr>
        <w:t>，</w:t>
      </w:r>
      <w:r>
        <w:rPr>
          <w:rFonts w:hint="eastAsia"/>
          <w:sz w:val="21"/>
          <w:szCs w:val="21"/>
          <w:lang w:val="en-US" w:eastAsia="zh-CN"/>
        </w:rPr>
        <w:t>分别</w:t>
      </w:r>
      <w:r>
        <w:rPr>
          <w:rFonts w:hint="eastAsia"/>
          <w:sz w:val="21"/>
          <w:szCs w:val="21"/>
        </w:rPr>
        <w:t>计算热负荷，各区域应独立设置环路；</w:t>
      </w:r>
    </w:p>
    <w:p>
      <w:pPr>
        <w:pageBreakBefore w:val="0"/>
        <w:numPr>
          <w:ilvl w:val="0"/>
          <w:numId w:val="46"/>
        </w:numPr>
        <w:wordWrap/>
        <w:overflowPunct/>
        <w:topLinePunct w:val="0"/>
        <w:bidi w:val="0"/>
        <w:spacing w:line="240" w:lineRule="auto"/>
        <w:ind w:firstLine="420"/>
        <w:rPr>
          <w:color w:val="auto"/>
          <w:sz w:val="21"/>
          <w:szCs w:val="21"/>
          <w:highlight w:val="none"/>
        </w:rPr>
      </w:pPr>
      <w:r>
        <w:rPr>
          <w:rFonts w:hint="eastAsia"/>
          <w:color w:val="auto"/>
          <w:sz w:val="21"/>
          <w:szCs w:val="21"/>
          <w:highlight w:val="none"/>
        </w:rPr>
        <w:t>不同标高的房间地面不宜共用一个环路</w:t>
      </w:r>
      <w:r>
        <w:rPr>
          <w:rFonts w:hint="eastAsia"/>
          <w:color w:val="auto"/>
          <w:sz w:val="21"/>
          <w:szCs w:val="21"/>
          <w:highlight w:val="none"/>
          <w:lang w:eastAsia="zh-CN"/>
        </w:rPr>
        <w:t>；</w:t>
      </w:r>
    </w:p>
    <w:p>
      <w:pPr>
        <w:pageBreakBefore w:val="0"/>
        <w:numPr>
          <w:ilvl w:val="0"/>
          <w:numId w:val="46"/>
        </w:numPr>
        <w:wordWrap/>
        <w:overflowPunct/>
        <w:topLinePunct w:val="0"/>
        <w:bidi w:val="0"/>
        <w:spacing w:line="240" w:lineRule="auto"/>
        <w:ind w:firstLine="420"/>
        <w:rPr>
          <w:b w:val="0"/>
          <w:bCs w:val="0"/>
          <w:sz w:val="21"/>
          <w:szCs w:val="21"/>
        </w:rPr>
      </w:pPr>
      <w:r>
        <w:rPr>
          <w:b w:val="0"/>
          <w:bCs w:val="0"/>
          <w:sz w:val="21"/>
          <w:szCs w:val="21"/>
        </w:rPr>
        <w:t>采用</w:t>
      </w:r>
      <w:r>
        <w:rPr>
          <w:rFonts w:hint="eastAsia" w:eastAsia="宋体"/>
          <w:b w:val="0"/>
          <w:bCs w:val="0"/>
          <w:color w:val="auto"/>
          <w:sz w:val="21"/>
          <w:szCs w:val="21"/>
        </w:rPr>
        <w:t>预制沟槽保温板</w:t>
      </w:r>
      <w:r>
        <w:rPr>
          <w:b w:val="0"/>
          <w:bCs w:val="0"/>
          <w:sz w:val="21"/>
          <w:szCs w:val="21"/>
        </w:rPr>
        <w:t>时，分水器、集水器与加热区域之间的连接管，应敷设在预制沟槽保温板中。</w:t>
      </w:r>
    </w:p>
    <w:p>
      <w:pPr>
        <w:keepNext w:val="0"/>
        <w:keepLines w:val="0"/>
        <w:pageBreakBefore w:val="0"/>
        <w:widowControl w:val="0"/>
        <w:numPr>
          <w:ilvl w:val="0"/>
          <w:numId w:val="43"/>
        </w:numPr>
        <w:kinsoku/>
        <w:wordWrap/>
        <w:overflowPunct/>
        <w:topLinePunct w:val="0"/>
        <w:autoSpaceDE/>
        <w:autoSpaceDN/>
        <w:bidi w:val="0"/>
        <w:adjustRightInd w:val="0"/>
        <w:snapToGrid/>
        <w:spacing w:before="313" w:beforeLines="100" w:line="240" w:lineRule="auto"/>
        <w:ind w:left="0" w:leftChars="0" w:firstLine="0" w:firstLineChars="0"/>
        <w:textAlignment w:val="auto"/>
        <w:rPr>
          <w:sz w:val="21"/>
          <w:szCs w:val="21"/>
        </w:rPr>
      </w:pPr>
      <w:bookmarkStart w:id="73" w:name="bookmark39"/>
      <w:bookmarkEnd w:id="73"/>
      <w:r>
        <w:rPr>
          <w:sz w:val="21"/>
          <w:szCs w:val="21"/>
        </w:rPr>
        <w:t>采用混凝土或砂浆填充式的加热管地面供暖时，填充层和面层的构</w:t>
      </w:r>
      <w:r>
        <w:rPr>
          <w:rFonts w:hint="default" w:eastAsia="宋体"/>
          <w:color w:val="auto"/>
          <w:sz w:val="21"/>
          <w:szCs w:val="21"/>
          <w:highlight w:val="none"/>
        </w:rPr>
        <w:t>造</w:t>
      </w:r>
      <w:r>
        <w:rPr>
          <w:rFonts w:hint="default"/>
          <w:color w:val="auto"/>
          <w:sz w:val="21"/>
          <w:szCs w:val="21"/>
          <w:highlight w:val="none"/>
        </w:rPr>
        <w:t>应</w:t>
      </w:r>
      <w:r>
        <w:rPr>
          <w:rFonts w:hint="default" w:eastAsia="宋体"/>
          <w:color w:val="auto"/>
          <w:sz w:val="21"/>
          <w:szCs w:val="21"/>
          <w:highlight w:val="none"/>
        </w:rPr>
        <w:t>符</w:t>
      </w:r>
      <w:r>
        <w:rPr>
          <w:color w:val="auto"/>
          <w:sz w:val="21"/>
          <w:szCs w:val="21"/>
        </w:rPr>
        <w:t>合下列规定</w:t>
      </w:r>
      <w:r>
        <w:rPr>
          <w:sz w:val="21"/>
          <w:szCs w:val="21"/>
        </w:rPr>
        <w:t>：</w:t>
      </w:r>
    </w:p>
    <w:p>
      <w:pPr>
        <w:pageBreakBefore w:val="0"/>
        <w:numPr>
          <w:ilvl w:val="0"/>
          <w:numId w:val="47"/>
        </w:numPr>
        <w:wordWrap/>
        <w:overflowPunct/>
        <w:topLinePunct w:val="0"/>
        <w:bidi w:val="0"/>
        <w:spacing w:line="240" w:lineRule="auto"/>
        <w:ind w:firstLine="420"/>
        <w:rPr>
          <w:sz w:val="21"/>
          <w:szCs w:val="21"/>
        </w:rPr>
      </w:pPr>
      <w:r>
        <w:rPr>
          <w:rFonts w:hint="eastAsia"/>
          <w:sz w:val="21"/>
          <w:szCs w:val="21"/>
        </w:rPr>
        <w:t>填充层材料与厚度宜按表4中的要求值确定；</w:t>
      </w:r>
    </w:p>
    <w:p>
      <w:pPr>
        <w:pageBreakBefore w:val="0"/>
        <w:numPr>
          <w:ilvl w:val="0"/>
          <w:numId w:val="47"/>
        </w:numPr>
        <w:wordWrap/>
        <w:overflowPunct/>
        <w:topLinePunct w:val="0"/>
        <w:bidi w:val="0"/>
        <w:spacing w:line="240" w:lineRule="auto"/>
        <w:ind w:firstLine="420"/>
        <w:rPr>
          <w:sz w:val="21"/>
          <w:szCs w:val="21"/>
        </w:rPr>
      </w:pPr>
      <w:r>
        <w:rPr>
          <w:rFonts w:hint="eastAsia"/>
          <w:sz w:val="21"/>
          <w:szCs w:val="21"/>
        </w:rPr>
        <w:t>混凝土或砂浆填充层上部应根据面层需要铺设找平层；</w:t>
      </w:r>
    </w:p>
    <w:p>
      <w:pPr>
        <w:pageBreakBefore w:val="0"/>
        <w:numPr>
          <w:ilvl w:val="0"/>
          <w:numId w:val="47"/>
        </w:numPr>
        <w:wordWrap/>
        <w:overflowPunct/>
        <w:topLinePunct w:val="0"/>
        <w:bidi w:val="0"/>
        <w:spacing w:line="240" w:lineRule="auto"/>
        <w:ind w:firstLine="420"/>
        <w:rPr>
          <w:sz w:val="21"/>
          <w:szCs w:val="21"/>
        </w:rPr>
      </w:pPr>
      <w:r>
        <w:rPr>
          <w:rFonts w:hint="eastAsia"/>
          <w:sz w:val="21"/>
          <w:szCs w:val="21"/>
        </w:rPr>
        <w:t>在餐客厅、书房、卧室等无防水要求的非潮湿房间内，水泥砂浆填充层可兼作面层找平层；</w:t>
      </w:r>
    </w:p>
    <w:p>
      <w:pPr>
        <w:pageBreakBefore w:val="0"/>
        <w:numPr>
          <w:ilvl w:val="0"/>
          <w:numId w:val="47"/>
        </w:numPr>
        <w:wordWrap/>
        <w:overflowPunct/>
        <w:topLinePunct w:val="0"/>
        <w:bidi w:val="0"/>
        <w:spacing w:line="240" w:lineRule="auto"/>
        <w:ind w:firstLine="420"/>
        <w:rPr>
          <w:sz w:val="21"/>
          <w:szCs w:val="21"/>
        </w:rPr>
      </w:pPr>
      <w:r>
        <w:rPr>
          <w:rFonts w:hint="eastAsia"/>
          <w:color w:val="auto"/>
          <w:sz w:val="21"/>
          <w:szCs w:val="21"/>
          <w:highlight w:val="none"/>
        </w:rPr>
        <w:t>在厨房、卫生间</w:t>
      </w:r>
      <w:r>
        <w:rPr>
          <w:rFonts w:hint="eastAsia"/>
          <w:sz w:val="21"/>
          <w:szCs w:val="21"/>
        </w:rPr>
        <w:t>潮湿房间的填充层上，应设防水层。</w:t>
      </w:r>
    </w:p>
    <w:p>
      <w:pPr>
        <w:pStyle w:val="5"/>
        <w:pageBreakBefore w:val="0"/>
        <w:wordWrap/>
        <w:overflowPunct/>
        <w:topLinePunct w:val="0"/>
        <w:bidi w:val="0"/>
        <w:spacing w:before="120" w:after="120" w:line="240" w:lineRule="auto"/>
        <w:jc w:val="right"/>
        <w:rPr>
          <w:rFonts w:hint="eastAsia" w:eastAsia="黑体"/>
          <w:sz w:val="21"/>
          <w:szCs w:val="21"/>
          <w:lang w:eastAsia="zh-CN"/>
        </w:rPr>
      </w:pPr>
      <w:r>
        <w:rPr>
          <w:sz w:val="21"/>
          <w:szCs w:val="21"/>
        </w:rPr>
        <w:t>表4</w:t>
      </w:r>
      <w:r>
        <w:rPr>
          <w:rFonts w:hint="eastAsia"/>
          <w:sz w:val="21"/>
          <w:szCs w:val="21"/>
          <w:lang w:val="en-US" w:eastAsia="zh-CN"/>
        </w:rPr>
        <w:t xml:space="preserve"> </w:t>
      </w:r>
      <w:r>
        <w:rPr>
          <w:sz w:val="21"/>
          <w:szCs w:val="21"/>
        </w:rPr>
        <w:t>填充层材料</w:t>
      </w:r>
      <w:r>
        <w:rPr>
          <w:rFonts w:hint="eastAsia"/>
          <w:sz w:val="21"/>
          <w:szCs w:val="21"/>
          <w:lang w:val="en-US" w:eastAsia="zh-CN"/>
        </w:rPr>
        <w:t>和</w:t>
      </w:r>
      <w:r>
        <w:rPr>
          <w:rFonts w:hint="default"/>
          <w:sz w:val="21"/>
          <w:szCs w:val="21"/>
          <w:lang w:val="en-US"/>
        </w:rPr>
        <w:t>厚度</w:t>
      </w:r>
      <w:r>
        <w:rPr>
          <w:sz w:val="21"/>
          <w:szCs w:val="21"/>
        </w:rPr>
        <w:t>要求</w:t>
      </w:r>
      <w:r>
        <w:rPr>
          <w:rFonts w:hint="eastAsia"/>
          <w:sz w:val="21"/>
          <w:szCs w:val="21"/>
          <w:lang w:val="en-US" w:eastAsia="zh-CN"/>
        </w:rPr>
        <w:t xml:space="preserve">                      </w:t>
      </w:r>
      <w:r>
        <w:rPr>
          <w:rFonts w:hint="eastAsia"/>
          <w:sz w:val="21"/>
          <w:szCs w:val="21"/>
          <w:lang w:eastAsia="zh-CN"/>
        </w:rPr>
        <w:t>（</w:t>
      </w:r>
      <w:r>
        <w:rPr>
          <w:rFonts w:hint="eastAsia"/>
          <w:sz w:val="21"/>
          <w:szCs w:val="21"/>
          <w:lang w:val="en-US" w:eastAsia="zh-CN"/>
        </w:rPr>
        <w:t>单位：mm</w:t>
      </w:r>
      <w:r>
        <w:rPr>
          <w:rFonts w:hint="eastAsia"/>
          <w:sz w:val="21"/>
          <w:szCs w:val="21"/>
          <w:lang w:eastAsia="zh-CN"/>
        </w:rPr>
        <w:t>）</w:t>
      </w:r>
    </w:p>
    <w:tbl>
      <w:tblPr>
        <w:tblStyle w:val="231"/>
        <w:tblW w:w="4998" w:type="pct"/>
        <w:tblInd w:w="0" w:type="dxa"/>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autofit"/>
        <w:tblCellMar>
          <w:top w:w="0" w:type="dxa"/>
          <w:left w:w="0" w:type="dxa"/>
          <w:bottom w:w="0" w:type="dxa"/>
          <w:right w:w="0" w:type="dxa"/>
        </w:tblCellMar>
      </w:tblPr>
      <w:tblGrid>
        <w:gridCol w:w="3218"/>
        <w:gridCol w:w="3211"/>
        <w:gridCol w:w="3221"/>
      </w:tblGrid>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1667" w:type="pct"/>
            <w:tcBorders>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填充层材料（标号）</w:t>
            </w:r>
          </w:p>
        </w:tc>
        <w:tc>
          <w:tcPr>
            <w:tcW w:w="1663" w:type="pct"/>
            <w:tcBorders>
              <w:left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加热管外径D</w:t>
            </w:r>
          </w:p>
        </w:tc>
        <w:tc>
          <w:tcPr>
            <w:tcW w:w="1668" w:type="pct"/>
            <w:tcBorders>
              <w:lef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填充层最小/最大厚度</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1667" w:type="pct"/>
            <w:tcBorders>
              <w:bottom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混凝土C</w:t>
            </w:r>
            <w:r>
              <w:rPr>
                <w:rFonts w:hint="eastAsia" w:ascii="Times New Roman" w:hAnsi="Times New Roman" w:cs="Times New Roman"/>
                <w:sz w:val="18"/>
                <w:szCs w:val="18"/>
              </w:rPr>
              <w:t>20</w:t>
            </w:r>
          </w:p>
        </w:tc>
        <w:tc>
          <w:tcPr>
            <w:tcW w:w="1663" w:type="pct"/>
            <w:tcBorders>
              <w:left w:val="single" w:color="231F20" w:sz="2" w:space="0"/>
              <w:bottom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16≤D≤20</w:t>
            </w:r>
          </w:p>
        </w:tc>
        <w:tc>
          <w:tcPr>
            <w:tcW w:w="1668" w:type="pct"/>
            <w:tcBorders>
              <w:left w:val="single" w:color="231F20" w:sz="2" w:space="0"/>
              <w:bottom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40/60</w:t>
            </w:r>
          </w:p>
        </w:tc>
      </w:tr>
      <w:tr>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397" w:hRule="atLeast"/>
        </w:trPr>
        <w:tc>
          <w:tcPr>
            <w:tcW w:w="1667" w:type="pct"/>
            <w:tcBorders>
              <w:top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水泥砂浆M10</w:t>
            </w:r>
          </w:p>
        </w:tc>
        <w:tc>
          <w:tcPr>
            <w:tcW w:w="1663" w:type="pct"/>
            <w:tcBorders>
              <w:top w:val="single" w:color="231F20" w:sz="2" w:space="0"/>
              <w:left w:val="single" w:color="231F20" w:sz="2" w:space="0"/>
              <w:righ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3.8≤D≤10</w:t>
            </w:r>
          </w:p>
        </w:tc>
        <w:tc>
          <w:tcPr>
            <w:tcW w:w="1668" w:type="pct"/>
            <w:tcBorders>
              <w:top w:val="single" w:color="231F20" w:sz="2" w:space="0"/>
              <w:left w:val="single" w:color="231F20" w:sz="2" w:space="0"/>
            </w:tcBorders>
            <w:vAlign w:val="center"/>
          </w:tcPr>
          <w:p>
            <w:pPr>
              <w:pageBreakBefore w:val="0"/>
              <w:wordWrap/>
              <w:overflowPunct/>
              <w:topLinePunct w:val="0"/>
              <w:bidi w:val="0"/>
              <w:spacing w:line="240" w:lineRule="auto"/>
              <w:ind w:left="707" w:hanging="707" w:hangingChars="393"/>
              <w:jc w:val="center"/>
              <w:rPr>
                <w:rFonts w:ascii="Times New Roman" w:hAnsi="Times New Roman" w:cs="Times New Roman"/>
                <w:sz w:val="18"/>
                <w:szCs w:val="18"/>
              </w:rPr>
            </w:pPr>
            <w:r>
              <w:rPr>
                <w:rFonts w:ascii="Times New Roman" w:hAnsi="Times New Roman" w:cs="Times New Roman"/>
                <w:sz w:val="18"/>
                <w:szCs w:val="18"/>
              </w:rPr>
              <w:t>15/30</w:t>
            </w:r>
          </w:p>
        </w:tc>
      </w:tr>
    </w:tbl>
    <w:p>
      <w:pPr>
        <w:keepNext w:val="0"/>
        <w:keepLines w:val="0"/>
        <w:pageBreakBefore w:val="0"/>
        <w:widowControl w:val="0"/>
        <w:numPr>
          <w:ilvl w:val="0"/>
          <w:numId w:val="43"/>
        </w:numPr>
        <w:kinsoku/>
        <w:wordWrap/>
        <w:overflowPunct/>
        <w:topLinePunct w:val="0"/>
        <w:autoSpaceDE w:val="0"/>
        <w:autoSpaceDN w:val="0"/>
        <w:bidi w:val="0"/>
        <w:adjustRightInd w:val="0"/>
        <w:snapToGrid w:val="0"/>
        <w:spacing w:before="313" w:beforeLines="100" w:line="240" w:lineRule="auto"/>
        <w:ind w:left="0" w:leftChars="0" w:firstLine="0" w:firstLineChars="0"/>
        <w:textAlignment w:val="auto"/>
        <w:rPr>
          <w:color w:val="auto"/>
          <w:sz w:val="21"/>
          <w:szCs w:val="21"/>
          <w:highlight w:val="none"/>
        </w:rPr>
      </w:pPr>
      <w:r>
        <w:rPr>
          <w:color w:val="auto"/>
          <w:sz w:val="21"/>
          <w:szCs w:val="21"/>
          <w:highlight w:val="none"/>
        </w:rPr>
        <w:t>地面供暖房间的地面面层</w:t>
      </w:r>
      <w:r>
        <w:rPr>
          <w:rFonts w:hint="eastAsia"/>
          <w:color w:val="auto"/>
          <w:sz w:val="21"/>
          <w:szCs w:val="21"/>
          <w:highlight w:val="none"/>
        </w:rPr>
        <w:t>应</w:t>
      </w:r>
      <w:r>
        <w:rPr>
          <w:color w:val="auto"/>
          <w:sz w:val="21"/>
          <w:szCs w:val="21"/>
          <w:highlight w:val="none"/>
        </w:rPr>
        <w:t>符合下列</w:t>
      </w:r>
      <w:r>
        <w:rPr>
          <w:rFonts w:hint="eastAsia"/>
          <w:color w:val="auto"/>
          <w:sz w:val="21"/>
          <w:szCs w:val="21"/>
          <w:highlight w:val="none"/>
        </w:rPr>
        <w:t>规定</w:t>
      </w:r>
      <w:r>
        <w:rPr>
          <w:color w:val="auto"/>
          <w:sz w:val="21"/>
          <w:szCs w:val="21"/>
          <w:highlight w:val="none"/>
        </w:rPr>
        <w:t>：</w:t>
      </w:r>
    </w:p>
    <w:p>
      <w:pPr>
        <w:pageBreakBefore w:val="0"/>
        <w:numPr>
          <w:ilvl w:val="0"/>
          <w:numId w:val="48"/>
        </w:numPr>
        <w:wordWrap/>
        <w:overflowPunct/>
        <w:topLinePunct w:val="0"/>
        <w:bidi w:val="0"/>
        <w:spacing w:line="240" w:lineRule="auto"/>
        <w:ind w:firstLine="420"/>
        <w:rPr>
          <w:sz w:val="21"/>
          <w:szCs w:val="21"/>
        </w:rPr>
      </w:pPr>
      <w:r>
        <w:rPr>
          <w:rFonts w:hint="eastAsia"/>
          <w:sz w:val="21"/>
          <w:szCs w:val="21"/>
        </w:rPr>
        <w:t>采用热阻较小的材料；</w:t>
      </w:r>
    </w:p>
    <w:p>
      <w:pPr>
        <w:pageBreakBefore w:val="0"/>
        <w:numPr>
          <w:ilvl w:val="0"/>
          <w:numId w:val="48"/>
        </w:numPr>
        <w:wordWrap/>
        <w:overflowPunct/>
        <w:topLinePunct w:val="0"/>
        <w:bidi w:val="0"/>
        <w:spacing w:line="240" w:lineRule="auto"/>
        <w:ind w:firstLine="420"/>
        <w:rPr>
          <w:sz w:val="21"/>
          <w:szCs w:val="21"/>
        </w:rPr>
      </w:pPr>
      <w:r>
        <w:rPr>
          <w:rFonts w:hint="eastAsia"/>
          <w:sz w:val="21"/>
          <w:szCs w:val="21"/>
        </w:rPr>
        <w:t>采用龙骨地板面层时，加热管顶面与面层地板的间距应为</w:t>
      </w:r>
      <w:r>
        <w:rPr>
          <w:rStyle w:val="33"/>
          <w:rFonts w:hint="eastAsia"/>
          <w:b w:val="0"/>
          <w:bCs w:val="0"/>
          <w:color w:val="auto"/>
          <w:sz w:val="21"/>
          <w:szCs w:val="21"/>
          <w:lang w:val="en-US" w:eastAsia="zh-CN"/>
        </w:rPr>
        <w:t>3</w:t>
      </w:r>
      <w:r>
        <w:rPr>
          <w:b w:val="0"/>
          <w:bCs w:val="0"/>
          <w:sz w:val="21"/>
          <w:szCs w:val="21"/>
        </w:rPr>
        <w:t>~1</w:t>
      </w:r>
      <w:r>
        <w:rPr>
          <w:rFonts w:hint="eastAsia"/>
          <w:b w:val="0"/>
          <w:bCs w:val="0"/>
          <w:sz w:val="21"/>
          <w:szCs w:val="21"/>
          <w:lang w:val="en-US" w:eastAsia="zh-CN"/>
        </w:rPr>
        <w:t>5</w:t>
      </w:r>
      <w:r>
        <w:rPr>
          <w:b w:val="0"/>
          <w:bCs w:val="0"/>
          <w:sz w:val="21"/>
          <w:szCs w:val="21"/>
        </w:rPr>
        <w:t>mm</w:t>
      </w:r>
      <w:r>
        <w:rPr>
          <w:rFonts w:hint="eastAsia"/>
          <w:sz w:val="21"/>
          <w:szCs w:val="21"/>
        </w:rPr>
        <w:t>；</w:t>
      </w:r>
    </w:p>
    <w:p>
      <w:pPr>
        <w:pageBreakBefore w:val="0"/>
        <w:numPr>
          <w:ilvl w:val="0"/>
          <w:numId w:val="48"/>
        </w:numPr>
        <w:wordWrap/>
        <w:overflowPunct/>
        <w:topLinePunct w:val="0"/>
        <w:bidi w:val="0"/>
        <w:spacing w:line="240" w:lineRule="auto"/>
        <w:ind w:firstLine="420"/>
        <w:rPr>
          <w:sz w:val="21"/>
          <w:szCs w:val="21"/>
        </w:rPr>
      </w:pPr>
      <w:r>
        <w:rPr>
          <w:rFonts w:hint="eastAsia"/>
          <w:sz w:val="21"/>
          <w:szCs w:val="21"/>
        </w:rPr>
        <w:t>地面上不宜铺设高热阻地毯或脚垫</w:t>
      </w:r>
      <w:r>
        <w:rPr>
          <w:rFonts w:hint="eastAsia"/>
          <w:sz w:val="21"/>
          <w:szCs w:val="21"/>
          <w:lang w:eastAsia="zh-CN"/>
        </w:rPr>
        <w:t>；</w:t>
      </w:r>
    </w:p>
    <w:p>
      <w:pPr>
        <w:pageBreakBefore w:val="0"/>
        <w:numPr>
          <w:ilvl w:val="0"/>
          <w:numId w:val="48"/>
        </w:numPr>
        <w:wordWrap/>
        <w:overflowPunct/>
        <w:topLinePunct w:val="0"/>
        <w:bidi w:val="0"/>
        <w:spacing w:line="240" w:lineRule="auto"/>
        <w:ind w:firstLine="420"/>
        <w:rPr>
          <w:rFonts w:hint="eastAsia"/>
          <w:b w:val="0"/>
          <w:bCs w:val="0"/>
          <w:sz w:val="21"/>
          <w:szCs w:val="21"/>
        </w:rPr>
      </w:pPr>
      <w:r>
        <w:rPr>
          <w:rFonts w:hint="eastAsia"/>
          <w:b w:val="0"/>
          <w:bCs w:val="0"/>
          <w:sz w:val="21"/>
          <w:szCs w:val="21"/>
        </w:rPr>
        <w:t>当采用预制沟槽保温板地面供暖，面层为木地板时，应在保温板与面层之间设置均热层；当面层为瓷砖、地毯、软木地板或塑料地板等脆性或软性材质时，还</w:t>
      </w:r>
      <w:r>
        <w:rPr>
          <w:rFonts w:hint="eastAsia"/>
          <w:b w:val="0"/>
          <w:bCs w:val="0"/>
          <w:sz w:val="21"/>
          <w:szCs w:val="21"/>
          <w:lang w:val="en-US" w:eastAsia="zh-CN"/>
        </w:rPr>
        <w:t>应</w:t>
      </w:r>
      <w:r>
        <w:rPr>
          <w:rFonts w:hint="eastAsia"/>
          <w:b w:val="0"/>
          <w:bCs w:val="0"/>
          <w:sz w:val="21"/>
          <w:szCs w:val="21"/>
        </w:rPr>
        <w:t>在均热层与面层之间铺设具有一定抗压强度的保护层，同一回路区域的地面温差不应大于3℃。</w:t>
      </w:r>
    </w:p>
    <w:p>
      <w:pPr>
        <w:keepNext w:val="0"/>
        <w:keepLines w:val="0"/>
        <w:pageBreakBefore w:val="0"/>
        <w:widowControl w:val="0"/>
        <w:numPr>
          <w:ilvl w:val="0"/>
          <w:numId w:val="43"/>
        </w:numPr>
        <w:kinsoku/>
        <w:wordWrap/>
        <w:overflowPunct/>
        <w:topLinePunct w:val="0"/>
        <w:autoSpaceDE w:val="0"/>
        <w:autoSpaceDN w:val="0"/>
        <w:bidi w:val="0"/>
        <w:adjustRightInd w:val="0"/>
        <w:snapToGrid w:val="0"/>
        <w:spacing w:before="313" w:beforeLines="100" w:after="313" w:afterLines="100" w:line="240" w:lineRule="auto"/>
        <w:ind w:left="0" w:leftChars="0" w:firstLine="0" w:firstLineChars="0"/>
        <w:textAlignment w:val="auto"/>
        <w:rPr>
          <w:sz w:val="28"/>
          <w:szCs w:val="28"/>
        </w:rPr>
      </w:pPr>
      <w:r>
        <w:rPr>
          <w:color w:val="auto"/>
          <w:sz w:val="21"/>
          <w:szCs w:val="21"/>
          <w:highlight w:val="none"/>
        </w:rPr>
        <w:t>地面供暖的地面荷重应符合GB50009的</w:t>
      </w:r>
      <w:r>
        <w:rPr>
          <w:rFonts w:hint="eastAsia"/>
          <w:color w:val="auto"/>
          <w:sz w:val="21"/>
          <w:szCs w:val="21"/>
          <w:highlight w:val="none"/>
        </w:rPr>
        <w:t>相关规定</w:t>
      </w:r>
      <w:r>
        <w:rPr>
          <w:color w:val="auto"/>
          <w:sz w:val="21"/>
          <w:szCs w:val="21"/>
          <w:highlight w:val="none"/>
        </w:rPr>
        <w:t>。</w:t>
      </w:r>
    </w:p>
    <w:p>
      <w:pPr>
        <w:pStyle w:val="3"/>
        <w:numPr>
          <w:ilvl w:val="0"/>
          <w:numId w:val="33"/>
        </w:numPr>
        <w:bidi w:val="0"/>
        <w:ind w:left="0" w:leftChars="0" w:firstLine="0" w:firstLineChars="0"/>
      </w:pPr>
      <w:r>
        <w:rPr>
          <w:rFonts w:hint="eastAsia"/>
          <w:lang w:val="en-US" w:eastAsia="zh-CN"/>
        </w:rPr>
        <w:t>输配管道</w:t>
      </w:r>
    </w:p>
    <w:p>
      <w:pPr>
        <w:pStyle w:val="4"/>
        <w:numPr>
          <w:ilvl w:val="0"/>
          <w:numId w:val="49"/>
        </w:numPr>
        <w:bidi w:val="0"/>
        <w:ind w:left="0" w:leftChars="0" w:firstLine="0" w:firstLineChars="0"/>
      </w:pPr>
      <w:bookmarkStart w:id="74" w:name="bookmark14"/>
      <w:bookmarkEnd w:id="74"/>
      <w:r>
        <w:t>一般规定</w:t>
      </w:r>
    </w:p>
    <w:p>
      <w:pPr>
        <w:pageBreakBefore w:val="0"/>
        <w:numPr>
          <w:ilvl w:val="0"/>
          <w:numId w:val="50"/>
        </w:numPr>
        <w:wordWrap/>
        <w:overflowPunct/>
        <w:topLinePunct w:val="0"/>
        <w:bidi w:val="0"/>
        <w:spacing w:line="240" w:lineRule="auto"/>
        <w:ind w:left="0" w:leftChars="0" w:firstLine="0" w:firstLineChars="0"/>
        <w:rPr>
          <w:sz w:val="21"/>
          <w:szCs w:val="21"/>
        </w:rPr>
      </w:pPr>
      <w:bookmarkStart w:id="75" w:name="bookmark15"/>
      <w:bookmarkEnd w:id="75"/>
      <w:r>
        <w:rPr>
          <w:rFonts w:hint="eastAsia"/>
          <w:sz w:val="21"/>
          <w:szCs w:val="21"/>
          <w:lang w:val="en-US" w:eastAsia="zh-CN"/>
        </w:rPr>
        <w:t>输配</w:t>
      </w:r>
      <w:r>
        <w:rPr>
          <w:sz w:val="21"/>
          <w:szCs w:val="21"/>
          <w:highlight w:val="none"/>
        </w:rPr>
        <w:t>管道敷设在</w:t>
      </w:r>
      <w:r>
        <w:rPr>
          <w:rFonts w:hint="eastAsia"/>
          <w:sz w:val="21"/>
          <w:szCs w:val="21"/>
          <w:highlight w:val="none"/>
          <w:lang w:val="en-US" w:eastAsia="zh-CN"/>
        </w:rPr>
        <w:t>设备</w:t>
      </w:r>
      <w:r>
        <w:rPr>
          <w:sz w:val="21"/>
          <w:szCs w:val="21"/>
          <w:highlight w:val="none"/>
        </w:rPr>
        <w:t>层、阁楼及顶棚内等导致无益热损失较大的空间内</w:t>
      </w:r>
      <w:r>
        <w:rPr>
          <w:rFonts w:hint="eastAsia"/>
          <w:sz w:val="21"/>
          <w:szCs w:val="21"/>
          <w:highlight w:val="none"/>
          <w:lang w:val="en-US" w:eastAsia="zh-CN"/>
        </w:rPr>
        <w:t>时</w:t>
      </w:r>
      <w:r>
        <w:rPr>
          <w:sz w:val="21"/>
          <w:szCs w:val="21"/>
        </w:rPr>
        <w:t>，应</w:t>
      </w:r>
      <w:r>
        <w:rPr>
          <w:rFonts w:hint="eastAsia"/>
          <w:sz w:val="21"/>
          <w:szCs w:val="21"/>
          <w:lang w:val="en-US" w:eastAsia="zh-CN"/>
        </w:rPr>
        <w:t>做</w:t>
      </w:r>
      <w:r>
        <w:rPr>
          <w:sz w:val="21"/>
          <w:szCs w:val="21"/>
        </w:rPr>
        <w:t>保温</w:t>
      </w:r>
      <w:r>
        <w:rPr>
          <w:rFonts w:hint="eastAsia"/>
          <w:sz w:val="21"/>
          <w:szCs w:val="21"/>
          <w:lang w:val="en-US" w:eastAsia="zh-CN"/>
        </w:rPr>
        <w:t>处理</w:t>
      </w:r>
      <w:r>
        <w:rPr>
          <w:rFonts w:hint="eastAsia"/>
          <w:sz w:val="21"/>
          <w:szCs w:val="21"/>
          <w:lang w:eastAsia="zh-CN"/>
        </w:rPr>
        <w:t>。</w:t>
      </w:r>
    </w:p>
    <w:p>
      <w:pPr>
        <w:pageBreakBefore w:val="0"/>
        <w:numPr>
          <w:ilvl w:val="0"/>
          <w:numId w:val="50"/>
        </w:numPr>
        <w:wordWrap/>
        <w:overflowPunct/>
        <w:topLinePunct w:val="0"/>
        <w:bidi w:val="0"/>
        <w:spacing w:line="240" w:lineRule="auto"/>
        <w:ind w:left="0" w:leftChars="0" w:firstLine="0" w:firstLineChars="0"/>
        <w:rPr>
          <w:sz w:val="21"/>
          <w:szCs w:val="21"/>
        </w:rPr>
      </w:pPr>
      <w:r>
        <w:rPr>
          <w:rFonts w:hint="eastAsia"/>
          <w:sz w:val="21"/>
          <w:szCs w:val="21"/>
          <w:lang w:val="en-US" w:eastAsia="zh-CN"/>
        </w:rPr>
        <w:t>输配</w:t>
      </w:r>
      <w:r>
        <w:rPr>
          <w:sz w:val="21"/>
          <w:szCs w:val="21"/>
          <w:highlight w:val="none"/>
        </w:rPr>
        <w:t>管道</w:t>
      </w:r>
      <w:r>
        <w:rPr>
          <w:sz w:val="21"/>
          <w:szCs w:val="21"/>
        </w:rPr>
        <w:t>的设计应进行水力平衡计算，</w:t>
      </w:r>
      <w:r>
        <w:rPr>
          <w:rFonts w:hint="eastAsia"/>
          <w:sz w:val="21"/>
          <w:szCs w:val="21"/>
          <w:lang w:val="en-US" w:eastAsia="zh-CN"/>
        </w:rPr>
        <w:t>计算方法参照GB 50736的相关规定，</w:t>
      </w:r>
      <w:r>
        <w:rPr>
          <w:sz w:val="21"/>
          <w:szCs w:val="21"/>
        </w:rPr>
        <w:t>并应采取措施使各并联环路之间</w:t>
      </w:r>
      <w:r>
        <w:rPr>
          <w:rFonts w:hint="eastAsia"/>
          <w:sz w:val="21"/>
          <w:szCs w:val="21"/>
        </w:rPr>
        <w:t>（</w:t>
      </w:r>
      <w:r>
        <w:rPr>
          <w:sz w:val="21"/>
          <w:szCs w:val="21"/>
        </w:rPr>
        <w:t>不包括共用段</w:t>
      </w:r>
      <w:r>
        <w:rPr>
          <w:rFonts w:hint="eastAsia"/>
          <w:sz w:val="21"/>
          <w:szCs w:val="21"/>
        </w:rPr>
        <w:t>）</w:t>
      </w:r>
      <w:r>
        <w:rPr>
          <w:sz w:val="21"/>
          <w:szCs w:val="21"/>
        </w:rPr>
        <w:t>的压力损失相对差额不大于15%。</w:t>
      </w:r>
    </w:p>
    <w:p>
      <w:pPr>
        <w:pageBreakBefore w:val="0"/>
        <w:numPr>
          <w:ilvl w:val="0"/>
          <w:numId w:val="50"/>
        </w:numPr>
        <w:wordWrap/>
        <w:overflowPunct/>
        <w:topLinePunct w:val="0"/>
        <w:bidi w:val="0"/>
        <w:spacing w:line="240" w:lineRule="auto"/>
        <w:ind w:left="0" w:leftChars="0" w:firstLine="0" w:firstLineChars="0"/>
        <w:rPr>
          <w:sz w:val="21"/>
          <w:szCs w:val="21"/>
        </w:rPr>
      </w:pPr>
      <w:r>
        <w:rPr>
          <w:sz w:val="21"/>
          <w:szCs w:val="21"/>
        </w:rPr>
        <w:t>供暖系统总压力应符合下列规定：</w:t>
      </w:r>
    </w:p>
    <w:p>
      <w:pPr>
        <w:pageBreakBefore w:val="0"/>
        <w:numPr>
          <w:ilvl w:val="0"/>
          <w:numId w:val="51"/>
        </w:numPr>
        <w:wordWrap/>
        <w:overflowPunct/>
        <w:topLinePunct w:val="0"/>
        <w:bidi w:val="0"/>
        <w:spacing w:line="240" w:lineRule="auto"/>
        <w:ind w:firstLine="420"/>
        <w:rPr>
          <w:rFonts w:hint="eastAsia"/>
          <w:b w:val="0"/>
          <w:bCs w:val="0"/>
          <w:sz w:val="21"/>
          <w:szCs w:val="21"/>
        </w:rPr>
      </w:pPr>
      <w:r>
        <w:rPr>
          <w:rFonts w:hint="eastAsia"/>
          <w:b w:val="0"/>
          <w:bCs w:val="0"/>
          <w:sz w:val="21"/>
          <w:szCs w:val="21"/>
        </w:rPr>
        <w:t>应满足供暖系统水力平衡；</w:t>
      </w:r>
    </w:p>
    <w:p>
      <w:pPr>
        <w:pageBreakBefore w:val="0"/>
        <w:numPr>
          <w:ilvl w:val="0"/>
          <w:numId w:val="51"/>
        </w:numPr>
        <w:wordWrap/>
        <w:overflowPunct/>
        <w:topLinePunct w:val="0"/>
        <w:bidi w:val="0"/>
        <w:spacing w:line="240" w:lineRule="auto"/>
        <w:ind w:firstLine="420"/>
        <w:rPr>
          <w:rFonts w:hint="eastAsia"/>
          <w:b w:val="0"/>
          <w:bCs w:val="0"/>
          <w:sz w:val="21"/>
          <w:szCs w:val="21"/>
        </w:rPr>
      </w:pPr>
      <w:r>
        <w:rPr>
          <w:rFonts w:hint="eastAsia"/>
          <w:b w:val="0"/>
          <w:bCs w:val="0"/>
          <w:sz w:val="21"/>
          <w:szCs w:val="21"/>
        </w:rPr>
        <w:t>总压力损失的附加值宜取10%</w:t>
      </w:r>
      <w:r>
        <w:rPr>
          <w:rFonts w:hint="eastAsia"/>
          <w:b w:val="0"/>
          <w:bCs w:val="0"/>
          <w:sz w:val="21"/>
          <w:szCs w:val="21"/>
          <w:lang w:eastAsia="zh-CN"/>
        </w:rPr>
        <w:t>；</w:t>
      </w:r>
    </w:p>
    <w:p>
      <w:pPr>
        <w:pageBreakBefore w:val="0"/>
        <w:numPr>
          <w:ilvl w:val="0"/>
          <w:numId w:val="51"/>
        </w:numPr>
        <w:wordWrap/>
        <w:overflowPunct/>
        <w:topLinePunct w:val="0"/>
        <w:bidi w:val="0"/>
        <w:spacing w:line="240" w:lineRule="auto"/>
        <w:ind w:firstLine="420"/>
        <w:rPr>
          <w:rFonts w:hint="eastAsia"/>
          <w:b w:val="0"/>
          <w:bCs w:val="0"/>
          <w:sz w:val="21"/>
          <w:szCs w:val="21"/>
        </w:rPr>
      </w:pPr>
      <w:bookmarkStart w:id="76" w:name="OLE_LINK60"/>
      <w:r>
        <w:rPr>
          <w:rFonts w:hint="eastAsia"/>
          <w:b w:val="0"/>
          <w:bCs w:val="0"/>
          <w:sz w:val="21"/>
          <w:szCs w:val="21"/>
          <w:lang w:val="en-US" w:eastAsia="zh-CN"/>
        </w:rPr>
        <w:t>输配</w:t>
      </w:r>
      <w:r>
        <w:rPr>
          <w:rFonts w:hint="eastAsia"/>
          <w:b w:val="0"/>
          <w:bCs w:val="0"/>
          <w:sz w:val="21"/>
          <w:szCs w:val="21"/>
        </w:rPr>
        <w:t>管道</w:t>
      </w:r>
      <w:bookmarkEnd w:id="76"/>
      <w:r>
        <w:rPr>
          <w:rFonts w:hint="eastAsia"/>
          <w:b w:val="0"/>
          <w:bCs w:val="0"/>
          <w:sz w:val="21"/>
          <w:szCs w:val="21"/>
        </w:rPr>
        <w:t>中的热水流速应根据系统的水力平衡要求及防噪声要求等因素确定，最大流速不宜超过表5的限值。</w:t>
      </w:r>
    </w:p>
    <w:p>
      <w:pPr>
        <w:pStyle w:val="5"/>
        <w:pageBreakBefore w:val="0"/>
        <w:wordWrap/>
        <w:overflowPunct/>
        <w:topLinePunct w:val="0"/>
        <w:bidi w:val="0"/>
        <w:spacing w:before="120" w:after="120" w:line="240" w:lineRule="auto"/>
        <w:jc w:val="right"/>
        <w:rPr>
          <w:rFonts w:hint="eastAsia" w:eastAsia="黑体"/>
          <w:sz w:val="21"/>
          <w:szCs w:val="21"/>
          <w:lang w:eastAsia="zh-CN"/>
        </w:rPr>
      </w:pPr>
      <w:r>
        <w:rPr>
          <w:sz w:val="21"/>
          <w:szCs w:val="21"/>
        </w:rPr>
        <w:t>表5</w:t>
      </w:r>
      <w:r>
        <w:rPr>
          <w:rFonts w:hint="eastAsia"/>
          <w:sz w:val="21"/>
          <w:szCs w:val="21"/>
          <w:lang w:val="en-US" w:eastAsia="zh-CN"/>
        </w:rPr>
        <w:t xml:space="preserve"> 输配</w:t>
      </w:r>
      <w:r>
        <w:rPr>
          <w:rFonts w:hint="eastAsia"/>
          <w:sz w:val="21"/>
          <w:szCs w:val="21"/>
        </w:rPr>
        <w:t>管道最大水</w:t>
      </w:r>
      <w:r>
        <w:rPr>
          <w:sz w:val="21"/>
          <w:szCs w:val="21"/>
        </w:rPr>
        <w:t>流速推荐值</w:t>
      </w:r>
      <w:r>
        <w:rPr>
          <w:rFonts w:hint="eastAsia"/>
          <w:sz w:val="21"/>
          <w:szCs w:val="21"/>
          <w:lang w:val="en-US" w:eastAsia="zh-CN"/>
        </w:rPr>
        <w:t xml:space="preserve">                 </w:t>
      </w:r>
      <w:r>
        <w:rPr>
          <w:rFonts w:hint="eastAsia"/>
          <w:sz w:val="21"/>
          <w:szCs w:val="21"/>
          <w:lang w:eastAsia="zh-CN"/>
        </w:rPr>
        <w:t>（</w:t>
      </w:r>
      <w:r>
        <w:rPr>
          <w:rFonts w:hint="eastAsia"/>
          <w:sz w:val="21"/>
          <w:szCs w:val="21"/>
          <w:lang w:val="en-US" w:eastAsia="zh-CN"/>
        </w:rPr>
        <w:t>单位：m/s</w:t>
      </w:r>
      <w:r>
        <w:rPr>
          <w:rFonts w:hint="eastAsia"/>
          <w:sz w:val="21"/>
          <w:szCs w:val="21"/>
          <w:lang w:eastAsia="zh-CN"/>
        </w:rPr>
        <w:t>）</w:t>
      </w:r>
    </w:p>
    <w:tbl>
      <w:tblPr>
        <w:tblStyle w:val="231"/>
        <w:tblW w:w="98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23"/>
        <w:gridCol w:w="1077"/>
        <w:gridCol w:w="1077"/>
        <w:gridCol w:w="1077"/>
        <w:gridCol w:w="1077"/>
        <w:gridCol w:w="1077"/>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23"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hint="eastAsia" w:ascii="Times New Roman" w:hAnsi="Times New Roman" w:cs="Times New Roman"/>
                <w:sz w:val="18"/>
                <w:szCs w:val="18"/>
              </w:rPr>
              <w:t>输配管</w:t>
            </w:r>
            <w:r>
              <w:rPr>
                <w:rFonts w:ascii="Times New Roman" w:hAnsi="Times New Roman" w:cs="Times New Roman"/>
                <w:sz w:val="18"/>
                <w:szCs w:val="18"/>
              </w:rPr>
              <w:t>道管径DN</w:t>
            </w:r>
            <w:r>
              <w:rPr>
                <w:rFonts w:hint="eastAsia" w:ascii="Times New Roman" w:hAnsi="Times New Roman" w:cs="Times New Roman"/>
                <w:sz w:val="18"/>
                <w:szCs w:val="18"/>
              </w:rPr>
              <w:t>（</w:t>
            </w:r>
            <w:r>
              <w:rPr>
                <w:rFonts w:ascii="Times New Roman" w:hAnsi="Times New Roman" w:cs="Times New Roman"/>
                <w:sz w:val="18"/>
                <w:szCs w:val="18"/>
              </w:rPr>
              <w:t>mm</w:t>
            </w:r>
            <w:r>
              <w:rPr>
                <w:rFonts w:hint="eastAsia" w:ascii="Times New Roman" w:hAnsi="Times New Roman" w:cs="Times New Roman"/>
                <w:sz w:val="18"/>
                <w:szCs w:val="18"/>
              </w:rPr>
              <w:t>）</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15</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20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25</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32</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40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23"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有特殊安静要求的</w:t>
            </w:r>
            <w:r>
              <w:rPr>
                <w:rFonts w:hint="eastAsia" w:ascii="Times New Roman" w:hAnsi="Times New Roman" w:cs="Times New Roman"/>
                <w:sz w:val="18"/>
                <w:szCs w:val="18"/>
              </w:rPr>
              <w:t>输配管</w:t>
            </w:r>
            <w:r>
              <w:rPr>
                <w:rFonts w:ascii="Times New Roman" w:hAnsi="Times New Roman" w:cs="Times New Roman"/>
                <w:sz w:val="18"/>
                <w:szCs w:val="18"/>
              </w:rPr>
              <w:t>道</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0.50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0.65</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0.80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1.00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1.00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3423"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一般</w:t>
            </w:r>
            <w:r>
              <w:rPr>
                <w:rFonts w:hint="eastAsia" w:ascii="Times New Roman" w:hAnsi="Times New Roman" w:cs="Times New Roman"/>
                <w:sz w:val="18"/>
                <w:szCs w:val="18"/>
              </w:rPr>
              <w:t>输配管</w:t>
            </w:r>
            <w:r>
              <w:rPr>
                <w:rFonts w:ascii="Times New Roman" w:hAnsi="Times New Roman" w:cs="Times New Roman"/>
                <w:sz w:val="18"/>
                <w:szCs w:val="18"/>
              </w:rPr>
              <w:t>道</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0.80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1.00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1.20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1.40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1.80</w:t>
            </w:r>
          </w:p>
        </w:tc>
        <w:tc>
          <w:tcPr>
            <w:tcW w:w="1077" w:type="dxa"/>
            <w:vAlign w:val="center"/>
          </w:tcPr>
          <w:p>
            <w:pPr>
              <w:pageBreakBefore w:val="0"/>
              <w:wordWrap/>
              <w:overflowPunct/>
              <w:topLinePunct w:val="0"/>
              <w:bidi w:val="0"/>
              <w:spacing w:line="240" w:lineRule="auto"/>
              <w:ind w:left="360" w:hanging="360" w:hangingChars="200"/>
              <w:jc w:val="center"/>
              <w:rPr>
                <w:rFonts w:ascii="Times New Roman" w:hAnsi="Times New Roman" w:cs="Times New Roman"/>
                <w:sz w:val="18"/>
                <w:szCs w:val="18"/>
              </w:rPr>
            </w:pPr>
            <w:r>
              <w:rPr>
                <w:rFonts w:ascii="Times New Roman" w:hAnsi="Times New Roman" w:cs="Times New Roman"/>
                <w:sz w:val="18"/>
                <w:szCs w:val="18"/>
              </w:rPr>
              <w:t>2.00</w:t>
            </w:r>
          </w:p>
        </w:tc>
      </w:tr>
    </w:tbl>
    <w:p>
      <w:pPr>
        <w:pStyle w:val="4"/>
        <w:numPr>
          <w:ilvl w:val="0"/>
          <w:numId w:val="49"/>
        </w:numPr>
        <w:bidi w:val="0"/>
        <w:ind w:left="0" w:leftChars="0" w:firstLine="0" w:firstLineChars="0"/>
      </w:pPr>
      <w:r>
        <w:t>散热器</w:t>
      </w:r>
      <w:r>
        <w:rPr>
          <w:rFonts w:hint="eastAsia"/>
          <w:lang w:val="en-US" w:eastAsia="zh-CN"/>
        </w:rPr>
        <w:t>供暖输配管道</w:t>
      </w:r>
      <w:r>
        <w:t>设计</w:t>
      </w:r>
    </w:p>
    <w:p>
      <w:pPr>
        <w:pageBreakBefore w:val="0"/>
        <w:numPr>
          <w:ilvl w:val="0"/>
          <w:numId w:val="52"/>
        </w:numPr>
        <w:wordWrap/>
        <w:overflowPunct/>
        <w:topLinePunct w:val="0"/>
        <w:bidi w:val="0"/>
        <w:spacing w:line="240" w:lineRule="auto"/>
        <w:ind w:left="0" w:leftChars="0" w:firstLine="0" w:firstLineChars="0"/>
        <w:rPr>
          <w:rFonts w:hint="eastAsia"/>
          <w:sz w:val="21"/>
          <w:szCs w:val="21"/>
        </w:rPr>
      </w:pPr>
      <w:bookmarkStart w:id="77" w:name="bookmark16"/>
      <w:bookmarkEnd w:id="77"/>
      <w:r>
        <w:rPr>
          <w:rFonts w:hint="eastAsia"/>
          <w:sz w:val="21"/>
          <w:szCs w:val="21"/>
        </w:rPr>
        <w:t>应采用并联方式连接，每台散热器接管处应单独设置关断和调节功能的阀门</w:t>
      </w:r>
      <w:r>
        <w:rPr>
          <w:rFonts w:hint="eastAsia"/>
          <w:sz w:val="21"/>
          <w:szCs w:val="21"/>
          <w:lang w:eastAsia="zh-CN"/>
        </w:rPr>
        <w:t>。</w:t>
      </w:r>
    </w:p>
    <w:p>
      <w:pPr>
        <w:pageBreakBefore w:val="0"/>
        <w:numPr>
          <w:ilvl w:val="0"/>
          <w:numId w:val="52"/>
        </w:numPr>
        <w:wordWrap/>
        <w:overflowPunct/>
        <w:topLinePunct w:val="0"/>
        <w:bidi w:val="0"/>
        <w:spacing w:line="240" w:lineRule="auto"/>
        <w:ind w:left="0" w:leftChars="0" w:firstLine="0" w:firstLineChars="0"/>
        <w:rPr>
          <w:rFonts w:hint="eastAsia"/>
          <w:sz w:val="21"/>
          <w:szCs w:val="21"/>
        </w:rPr>
      </w:pPr>
      <w:r>
        <w:rPr>
          <w:rFonts w:hint="eastAsia"/>
          <w:sz w:val="21"/>
          <w:szCs w:val="21"/>
        </w:rPr>
        <w:t>高差大于等于2m的输配管网，最高点应设置排气阀门，最低点应设置泄水阀门</w:t>
      </w:r>
      <w:r>
        <w:rPr>
          <w:rFonts w:hint="eastAsia"/>
          <w:sz w:val="21"/>
          <w:szCs w:val="21"/>
          <w:lang w:eastAsia="zh-CN"/>
        </w:rPr>
        <w:t>。</w:t>
      </w:r>
    </w:p>
    <w:p>
      <w:pPr>
        <w:pageBreakBefore w:val="0"/>
        <w:numPr>
          <w:ilvl w:val="0"/>
          <w:numId w:val="52"/>
        </w:numPr>
        <w:wordWrap/>
        <w:overflowPunct/>
        <w:topLinePunct w:val="0"/>
        <w:bidi w:val="0"/>
        <w:spacing w:line="240" w:lineRule="auto"/>
        <w:ind w:left="0" w:leftChars="0" w:firstLine="0" w:firstLineChars="0"/>
        <w:rPr>
          <w:rFonts w:hint="eastAsia"/>
          <w:sz w:val="21"/>
          <w:szCs w:val="21"/>
        </w:rPr>
      </w:pPr>
      <w:r>
        <w:rPr>
          <w:rFonts w:hint="eastAsia"/>
          <w:sz w:val="21"/>
          <w:szCs w:val="21"/>
        </w:rPr>
        <w:t>支管的坡度应</w:t>
      </w:r>
      <w:r>
        <w:rPr>
          <w:rFonts w:hint="eastAsia"/>
          <w:sz w:val="21"/>
          <w:szCs w:val="21"/>
          <w:lang w:val="en-US" w:eastAsia="zh-CN"/>
        </w:rPr>
        <w:t>不小于</w:t>
      </w:r>
      <w:r>
        <w:rPr>
          <w:rFonts w:hint="eastAsia"/>
          <w:sz w:val="21"/>
          <w:szCs w:val="21"/>
        </w:rPr>
        <w:t>1%，坡向应利于排气和泄水。</w:t>
      </w:r>
    </w:p>
    <w:p>
      <w:pPr>
        <w:pageBreakBefore w:val="0"/>
        <w:numPr>
          <w:ilvl w:val="0"/>
          <w:numId w:val="52"/>
        </w:numPr>
        <w:wordWrap/>
        <w:overflowPunct/>
        <w:topLinePunct w:val="0"/>
        <w:bidi w:val="0"/>
        <w:spacing w:line="240" w:lineRule="auto"/>
        <w:ind w:left="0" w:leftChars="0" w:firstLine="0" w:firstLineChars="0"/>
        <w:rPr>
          <w:rFonts w:hint="eastAsia"/>
          <w:sz w:val="21"/>
          <w:szCs w:val="21"/>
        </w:rPr>
      </w:pPr>
      <w:r>
        <w:rPr>
          <w:rFonts w:hint="eastAsia"/>
          <w:sz w:val="21"/>
          <w:szCs w:val="21"/>
        </w:rPr>
        <w:t>管道宜采用暗装敷设方式，如需明装敷设应设置保护壳管，保护壳管应耐高温、耐老化。</w:t>
      </w:r>
    </w:p>
    <w:p>
      <w:pPr>
        <w:pageBreakBefore w:val="0"/>
        <w:numPr>
          <w:ilvl w:val="0"/>
          <w:numId w:val="52"/>
        </w:numPr>
        <w:wordWrap/>
        <w:overflowPunct/>
        <w:topLinePunct w:val="0"/>
        <w:bidi w:val="0"/>
        <w:spacing w:line="240" w:lineRule="auto"/>
        <w:ind w:left="0" w:leftChars="0" w:firstLine="0" w:firstLineChars="0"/>
        <w:rPr>
          <w:sz w:val="21"/>
          <w:szCs w:val="21"/>
        </w:rPr>
      </w:pPr>
      <w:r>
        <w:rPr>
          <w:rFonts w:hint="eastAsia"/>
          <w:sz w:val="21"/>
          <w:szCs w:val="21"/>
          <w:lang w:val="en-US" w:eastAsia="zh-CN"/>
        </w:rPr>
        <w:t>输配</w:t>
      </w:r>
      <w:r>
        <w:rPr>
          <w:rFonts w:hint="eastAsia"/>
          <w:sz w:val="21"/>
          <w:szCs w:val="21"/>
        </w:rPr>
        <w:t>管道</w:t>
      </w:r>
      <w:r>
        <w:rPr>
          <w:rFonts w:hint="eastAsia"/>
          <w:sz w:val="21"/>
          <w:szCs w:val="21"/>
          <w:lang w:val="en-US" w:eastAsia="zh-CN"/>
        </w:rPr>
        <w:t>宜</w:t>
      </w:r>
      <w:r>
        <w:rPr>
          <w:rFonts w:hint="eastAsia"/>
          <w:sz w:val="21"/>
          <w:szCs w:val="21"/>
        </w:rPr>
        <w:t>采用</w:t>
      </w:r>
      <w:r>
        <w:rPr>
          <w:rFonts w:hint="eastAsia"/>
          <w:sz w:val="21"/>
          <w:szCs w:val="21"/>
          <w:lang w:val="en-US" w:eastAsia="zh-CN"/>
        </w:rPr>
        <w:t>双管连接</w:t>
      </w:r>
      <w:r>
        <w:rPr>
          <w:rFonts w:hint="eastAsia"/>
          <w:sz w:val="21"/>
          <w:szCs w:val="21"/>
        </w:rPr>
        <w:t>异程式、</w:t>
      </w:r>
      <w:r>
        <w:rPr>
          <w:rFonts w:hint="eastAsia"/>
          <w:sz w:val="21"/>
          <w:szCs w:val="21"/>
          <w:lang w:val="en-US" w:eastAsia="zh-CN"/>
        </w:rPr>
        <w:t>双管连接</w:t>
      </w:r>
      <w:r>
        <w:rPr>
          <w:rFonts w:hint="eastAsia"/>
          <w:sz w:val="21"/>
          <w:szCs w:val="21"/>
        </w:rPr>
        <w:t>同程式</w:t>
      </w:r>
      <w:r>
        <w:rPr>
          <w:rFonts w:hint="eastAsia"/>
          <w:sz w:val="21"/>
          <w:szCs w:val="21"/>
          <w:lang w:eastAsia="zh-CN"/>
        </w:rPr>
        <w:t>、</w:t>
      </w:r>
      <w:r>
        <w:rPr>
          <w:rFonts w:hint="eastAsia"/>
          <w:sz w:val="21"/>
          <w:szCs w:val="21"/>
          <w:lang w:val="en-US" w:eastAsia="zh-CN"/>
        </w:rPr>
        <w:t>双管连接</w:t>
      </w:r>
      <w:r>
        <w:rPr>
          <w:rFonts w:hint="eastAsia"/>
          <w:sz w:val="21"/>
          <w:szCs w:val="21"/>
        </w:rPr>
        <w:t>章鱼式</w:t>
      </w:r>
      <w:r>
        <w:rPr>
          <w:rFonts w:hint="eastAsia"/>
          <w:sz w:val="21"/>
          <w:szCs w:val="21"/>
          <w:lang w:eastAsia="zh-CN"/>
        </w:rPr>
        <w:t>，</w:t>
      </w:r>
      <w:r>
        <w:rPr>
          <w:rFonts w:hint="eastAsia"/>
          <w:sz w:val="21"/>
          <w:szCs w:val="21"/>
          <w:lang w:val="en-US" w:eastAsia="zh-CN"/>
        </w:rPr>
        <w:t>管网</w:t>
      </w:r>
      <w:r>
        <w:rPr>
          <w:rFonts w:hint="eastAsia"/>
          <w:sz w:val="21"/>
          <w:szCs w:val="21"/>
        </w:rPr>
        <w:t>示意图详见图</w:t>
      </w:r>
      <w:r>
        <w:rPr>
          <w:rFonts w:hint="eastAsia"/>
          <w:sz w:val="21"/>
          <w:szCs w:val="21"/>
          <w:lang w:val="en-US" w:eastAsia="zh-CN"/>
        </w:rPr>
        <w:t>2、图3、</w:t>
      </w:r>
      <w:r>
        <w:rPr>
          <w:rFonts w:hint="eastAsia"/>
          <w:sz w:val="21"/>
          <w:szCs w:val="21"/>
        </w:rPr>
        <w:t>图</w:t>
      </w:r>
      <w:r>
        <w:rPr>
          <w:rFonts w:hint="eastAsia"/>
          <w:sz w:val="21"/>
          <w:szCs w:val="21"/>
          <w:lang w:val="en-US" w:eastAsia="zh-CN"/>
        </w:rPr>
        <w:t>4</w:t>
      </w:r>
      <w:r>
        <w:rPr>
          <w:rFonts w:hint="eastAsia"/>
          <w:sz w:val="21"/>
          <w:szCs w:val="21"/>
        </w:rPr>
        <w:t>。</w:t>
      </w:r>
    </w:p>
    <w:p>
      <w:pPr>
        <w:pageBreakBefore w:val="0"/>
        <w:widowControl/>
        <w:wordWrap/>
        <w:overflowPunct/>
        <w:topLinePunct w:val="0"/>
        <w:autoSpaceDE/>
        <w:autoSpaceDN/>
        <w:bidi w:val="0"/>
        <w:adjustRightInd/>
        <w:snapToGrid/>
        <w:spacing w:line="240" w:lineRule="auto"/>
        <w:jc w:val="center"/>
        <w:rPr>
          <w:rFonts w:ascii="宋体" w:hAnsi="宋体" w:eastAsia="宋体" w:cs="宋体"/>
          <w:color w:val="auto"/>
          <w:kern w:val="0"/>
          <w:sz w:val="28"/>
          <w:szCs w:val="28"/>
        </w:rPr>
      </w:pPr>
      <w:r>
        <w:rPr>
          <w:rFonts w:ascii="宋体" w:hAnsi="宋体" w:eastAsia="宋体" w:cs="宋体"/>
          <w:color w:val="auto"/>
          <w:kern w:val="0"/>
          <w:sz w:val="28"/>
          <w:szCs w:val="28"/>
        </w:rPr>
        <w:drawing>
          <wp:inline distT="0" distB="0" distL="0" distR="0">
            <wp:extent cx="5457825" cy="2054225"/>
            <wp:effectExtent l="0" t="0" r="13335" b="3175"/>
            <wp:docPr id="1" name="图片 1" descr="C:\Users\Administrator\AppData\Roaming\Tencent\Users\516505661\QQ\WinTemp\RichOle\B@XG6OQDC21KZM`IY1B01V5.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C:\Users\Administrator\AppData\Roaming\Tencent\Users\516505661\QQ\WinTemp\RichOle\B@XG6OQDC21KZM`IY1B01V5.png"/>
                    <pic:cNvPicPr>
                      <a:picLocks noChangeAspect="true" noChangeArrowheads="true"/>
                    </pic:cNvPicPr>
                  </pic:nvPicPr>
                  <pic:blipFill>
                    <a:blip r:embed="rId30"/>
                    <a:srcRect/>
                    <a:stretch>
                      <a:fillRect/>
                    </a:stretch>
                  </pic:blipFill>
                  <pic:spPr>
                    <a:xfrm>
                      <a:off x="0" y="0"/>
                      <a:ext cx="5458020" cy="2054447"/>
                    </a:xfrm>
                    <a:prstGeom prst="rect">
                      <a:avLst/>
                    </a:prstGeom>
                    <a:noFill/>
                    <a:ln w="9525">
                      <a:noFill/>
                      <a:miter lim="800000"/>
                      <a:headEnd/>
                      <a:tailEnd/>
                    </a:ln>
                  </pic:spPr>
                </pic:pic>
              </a:graphicData>
            </a:graphic>
          </wp:inline>
        </w:drawing>
      </w:r>
    </w:p>
    <w:p>
      <w:pPr>
        <w:pageBreakBefore w:val="0"/>
        <w:widowControl/>
        <w:wordWrap/>
        <w:overflowPunct/>
        <w:topLinePunct w:val="0"/>
        <w:autoSpaceDE/>
        <w:autoSpaceDN/>
        <w:bidi w:val="0"/>
        <w:adjustRightInd/>
        <w:snapToGrid/>
        <w:spacing w:line="240" w:lineRule="auto"/>
        <w:jc w:val="center"/>
        <w:rPr>
          <w:rFonts w:hint="eastAsia" w:ascii="黑体" w:hAnsi="黑体" w:eastAsia="黑体" w:cs="黑体"/>
        </w:rPr>
      </w:pPr>
      <w:r>
        <w:rPr>
          <w:rFonts w:hint="eastAsia" w:ascii="黑体" w:hAnsi="黑体" w:eastAsia="黑体" w:cs="黑体"/>
        </w:rPr>
        <w:t>图</w:t>
      </w:r>
      <w:r>
        <w:rPr>
          <w:rFonts w:hint="eastAsia" w:ascii="黑体" w:hAnsi="黑体" w:eastAsia="黑体" w:cs="黑体"/>
          <w:lang w:val="en-US" w:eastAsia="zh-CN"/>
        </w:rPr>
        <w:t>2</w:t>
      </w:r>
      <w:r>
        <w:rPr>
          <w:rFonts w:hint="eastAsia" w:ascii="黑体" w:hAnsi="黑体" w:eastAsia="黑体" w:cs="黑体"/>
        </w:rPr>
        <w:t xml:space="preserve"> </w:t>
      </w:r>
      <w:r>
        <w:rPr>
          <w:rFonts w:hint="eastAsia" w:ascii="黑体" w:hAnsi="黑体" w:eastAsia="黑体" w:cs="黑体"/>
          <w:lang w:val="en-US" w:eastAsia="zh-CN"/>
        </w:rPr>
        <w:t>双管连接</w:t>
      </w:r>
      <w:r>
        <w:rPr>
          <w:rFonts w:hint="eastAsia" w:ascii="黑体" w:hAnsi="黑体" w:eastAsia="黑体" w:cs="黑体"/>
        </w:rPr>
        <w:t>异程式管网示意图</w:t>
      </w:r>
    </w:p>
    <w:p>
      <w:pPr>
        <w:pageBreakBefore w:val="0"/>
        <w:widowControl/>
        <w:wordWrap/>
        <w:overflowPunct/>
        <w:topLinePunct w:val="0"/>
        <w:autoSpaceDE/>
        <w:autoSpaceDN/>
        <w:bidi w:val="0"/>
        <w:adjustRightInd/>
        <w:snapToGrid/>
        <w:spacing w:line="240" w:lineRule="auto"/>
        <w:jc w:val="center"/>
        <w:rPr>
          <w:rFonts w:ascii="宋体" w:hAnsi="宋体" w:cs="宋体"/>
          <w:kern w:val="0"/>
          <w:sz w:val="28"/>
          <w:szCs w:val="28"/>
        </w:rPr>
      </w:pPr>
      <w:r>
        <w:rPr>
          <w:rFonts w:ascii="宋体" w:hAnsi="宋体" w:cs="宋体"/>
          <w:kern w:val="0"/>
          <w:sz w:val="28"/>
          <w:szCs w:val="28"/>
        </w:rPr>
        <w:drawing>
          <wp:inline distT="0" distB="0" distL="0" distR="0">
            <wp:extent cx="5458460" cy="1836420"/>
            <wp:effectExtent l="0" t="0" r="12700" b="7620"/>
            <wp:docPr id="2" name="图片 10" descr="C:\Users\Administrator\AppData\Roaming\Tencent\Users\516505661\QQ\WinTemp\RichOle\D0%`L4(D229T7SSEY{V3~JP.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0" descr="C:\Users\Administrator\AppData\Roaming\Tencent\Users\516505661\QQ\WinTemp\RichOle\D0%`L4(D229T7SSEY{V3~JP.png"/>
                    <pic:cNvPicPr>
                      <a:picLocks noChangeAspect="true" noChangeArrowheads="true"/>
                    </pic:cNvPicPr>
                  </pic:nvPicPr>
                  <pic:blipFill>
                    <a:blip r:embed="rId31"/>
                    <a:srcRect/>
                    <a:stretch>
                      <a:fillRect/>
                    </a:stretch>
                  </pic:blipFill>
                  <pic:spPr>
                    <a:xfrm>
                      <a:off x="0" y="0"/>
                      <a:ext cx="5462876" cy="1838394"/>
                    </a:xfrm>
                    <a:prstGeom prst="rect">
                      <a:avLst/>
                    </a:prstGeom>
                    <a:noFill/>
                    <a:ln w="9525">
                      <a:noFill/>
                      <a:miter lim="800000"/>
                      <a:headEnd/>
                      <a:tailEnd/>
                    </a:ln>
                  </pic:spPr>
                </pic:pic>
              </a:graphicData>
            </a:graphic>
          </wp:inline>
        </w:drawing>
      </w:r>
    </w:p>
    <w:p>
      <w:pPr>
        <w:pStyle w:val="5"/>
        <w:pageBreakBefore w:val="0"/>
        <w:wordWrap/>
        <w:overflowPunct/>
        <w:topLinePunct w:val="0"/>
        <w:bidi w:val="0"/>
        <w:spacing w:line="240" w:lineRule="auto"/>
        <w:jc w:val="center"/>
        <w:rPr>
          <w:sz w:val="21"/>
          <w:szCs w:val="21"/>
        </w:rPr>
      </w:pPr>
      <w:r>
        <w:rPr>
          <w:sz w:val="21"/>
          <w:szCs w:val="21"/>
        </w:rPr>
        <w:t>图</w:t>
      </w:r>
      <w:r>
        <w:rPr>
          <w:rFonts w:hint="eastAsia"/>
          <w:sz w:val="21"/>
          <w:szCs w:val="21"/>
          <w:lang w:val="en-US" w:eastAsia="zh-CN"/>
        </w:rPr>
        <w:t>3</w:t>
      </w:r>
      <w:r>
        <w:rPr>
          <w:rFonts w:hint="eastAsia"/>
          <w:sz w:val="21"/>
          <w:szCs w:val="21"/>
        </w:rPr>
        <w:t xml:space="preserve"> </w:t>
      </w:r>
      <w:r>
        <w:rPr>
          <w:rFonts w:hint="eastAsia"/>
          <w:sz w:val="21"/>
          <w:szCs w:val="21"/>
          <w:lang w:val="en-US" w:eastAsia="zh-CN"/>
        </w:rPr>
        <w:t>双管连接</w:t>
      </w:r>
      <w:r>
        <w:rPr>
          <w:sz w:val="21"/>
          <w:szCs w:val="21"/>
        </w:rPr>
        <w:t>同程式管网示意图</w:t>
      </w:r>
    </w:p>
    <w:p>
      <w:pPr>
        <w:pageBreakBefore w:val="0"/>
        <w:widowControl/>
        <w:wordWrap/>
        <w:overflowPunct/>
        <w:topLinePunct w:val="0"/>
        <w:autoSpaceDE/>
        <w:autoSpaceDN/>
        <w:bidi w:val="0"/>
        <w:adjustRightInd/>
        <w:snapToGrid/>
        <w:spacing w:line="240" w:lineRule="auto"/>
        <w:jc w:val="center"/>
        <w:rPr>
          <w:rFonts w:ascii="宋体" w:hAnsi="宋体" w:cs="宋体"/>
          <w:kern w:val="0"/>
          <w:sz w:val="28"/>
          <w:szCs w:val="28"/>
        </w:rPr>
      </w:pPr>
      <w:r>
        <w:rPr>
          <w:rFonts w:ascii="宋体" w:hAnsi="宋体" w:cs="宋体"/>
          <w:kern w:val="0"/>
          <w:sz w:val="28"/>
          <w:szCs w:val="28"/>
        </w:rPr>
        <w:drawing>
          <wp:inline distT="0" distB="0" distL="0" distR="0">
            <wp:extent cx="5737860" cy="2052320"/>
            <wp:effectExtent l="0" t="0" r="7620" b="5080"/>
            <wp:docPr id="6" name="图片 6" descr="C:\Users\Administrator\AppData\Roaming\Tencent\Users\516505661\QQ\WinTemp\RichOle\ZY%TLD5I}WJ%`EA[HTBRQ(F.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C:\Users\Administrator\AppData\Roaming\Tencent\Users\516505661\QQ\WinTemp\RichOle\ZY%TLD5I}WJ%`EA[HTBRQ(F.png"/>
                    <pic:cNvPicPr>
                      <a:picLocks noChangeAspect="true" noChangeArrowheads="true"/>
                    </pic:cNvPicPr>
                  </pic:nvPicPr>
                  <pic:blipFill>
                    <a:blip r:embed="rId32"/>
                    <a:srcRect/>
                    <a:stretch>
                      <a:fillRect/>
                    </a:stretch>
                  </pic:blipFill>
                  <pic:spPr>
                    <a:xfrm>
                      <a:off x="0" y="0"/>
                      <a:ext cx="5747470" cy="2056233"/>
                    </a:xfrm>
                    <a:prstGeom prst="rect">
                      <a:avLst/>
                    </a:prstGeom>
                    <a:noFill/>
                    <a:ln w="9525">
                      <a:noFill/>
                      <a:miter lim="800000"/>
                      <a:headEnd/>
                      <a:tailEnd/>
                    </a:ln>
                  </pic:spPr>
                </pic:pic>
              </a:graphicData>
            </a:graphic>
          </wp:inline>
        </w:drawing>
      </w:r>
    </w:p>
    <w:p>
      <w:pPr>
        <w:keepNext w:val="0"/>
        <w:keepLines w:val="0"/>
        <w:pageBreakBefore w:val="0"/>
        <w:widowControl/>
        <w:kinsoku/>
        <w:wordWrap/>
        <w:overflowPunct/>
        <w:topLinePunct w:val="0"/>
        <w:autoSpaceDE/>
        <w:autoSpaceDN/>
        <w:bidi w:val="0"/>
        <w:adjustRightInd/>
        <w:snapToGrid/>
        <w:spacing w:after="313" w:afterLines="100" w:line="240" w:lineRule="auto"/>
        <w:jc w:val="center"/>
        <w:textAlignment w:val="auto"/>
        <w:rPr>
          <w:rFonts w:hint="eastAsia" w:ascii="黑体" w:hAnsi="黑体" w:eastAsia="黑体" w:cs="黑体"/>
          <w:kern w:val="0"/>
          <w:sz w:val="21"/>
          <w:szCs w:val="21"/>
        </w:rPr>
      </w:pPr>
      <w:r>
        <w:rPr>
          <w:rFonts w:hint="eastAsia" w:ascii="黑体" w:hAnsi="黑体" w:eastAsia="黑体" w:cs="黑体"/>
          <w:sz w:val="21"/>
          <w:szCs w:val="21"/>
        </w:rPr>
        <w:t>图</w:t>
      </w:r>
      <w:r>
        <w:rPr>
          <w:rFonts w:hint="eastAsia" w:ascii="黑体" w:hAnsi="黑体" w:eastAsia="黑体" w:cs="黑体"/>
          <w:sz w:val="21"/>
          <w:szCs w:val="21"/>
          <w:lang w:val="en-US" w:eastAsia="zh-CN"/>
        </w:rPr>
        <w:t>4</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双管连接</w:t>
      </w:r>
      <w:r>
        <w:rPr>
          <w:rFonts w:hint="eastAsia" w:ascii="黑体" w:hAnsi="黑体" w:eastAsia="黑体" w:cs="黑体"/>
          <w:sz w:val="21"/>
          <w:szCs w:val="21"/>
        </w:rPr>
        <w:t>章鱼式管网示意图</w:t>
      </w:r>
    </w:p>
    <w:p>
      <w:pPr>
        <w:pageBreakBefore w:val="0"/>
        <w:numPr>
          <w:ilvl w:val="0"/>
          <w:numId w:val="52"/>
        </w:numPr>
        <w:wordWrap/>
        <w:overflowPunct/>
        <w:topLinePunct w:val="0"/>
        <w:bidi w:val="0"/>
        <w:spacing w:line="240" w:lineRule="auto"/>
        <w:ind w:left="0" w:leftChars="0" w:firstLine="0" w:firstLineChars="0"/>
        <w:rPr>
          <w:rFonts w:hint="eastAsia"/>
          <w:sz w:val="21"/>
          <w:szCs w:val="21"/>
        </w:rPr>
      </w:pPr>
      <w:r>
        <w:rPr>
          <w:rFonts w:hint="eastAsia"/>
          <w:sz w:val="21"/>
          <w:szCs w:val="21"/>
        </w:rPr>
        <w:drawing>
          <wp:anchor distT="0" distB="0" distL="0" distR="0" simplePos="0" relativeHeight="251662336" behindDoc="1" locked="0" layoutInCell="1" allowOverlap="1">
            <wp:simplePos x="0" y="0"/>
            <wp:positionH relativeFrom="column">
              <wp:posOffset>1205865</wp:posOffset>
            </wp:positionH>
            <wp:positionV relativeFrom="paragraph">
              <wp:posOffset>582295</wp:posOffset>
            </wp:positionV>
            <wp:extent cx="6350" cy="275590"/>
            <wp:effectExtent l="0" t="0" r="0" b="0"/>
            <wp:wrapNone/>
            <wp:docPr id="9" name="IM 10"/>
            <wp:cNvGraphicFramePr/>
            <a:graphic xmlns:a="http://schemas.openxmlformats.org/drawingml/2006/main">
              <a:graphicData uri="http://schemas.openxmlformats.org/drawingml/2006/picture">
                <pic:pic xmlns:pic="http://schemas.openxmlformats.org/drawingml/2006/picture">
                  <pic:nvPicPr>
                    <pic:cNvPr id="9" name="IM 10"/>
                    <pic:cNvPicPr/>
                  </pic:nvPicPr>
                  <pic:blipFill>
                    <a:blip r:embed="rId33"/>
                    <a:stretch>
                      <a:fillRect/>
                    </a:stretch>
                  </pic:blipFill>
                  <pic:spPr>
                    <a:xfrm>
                      <a:off x="0" y="0"/>
                      <a:ext cx="6350" cy="275589"/>
                    </a:xfrm>
                    <a:prstGeom prst="rect">
                      <a:avLst/>
                    </a:prstGeom>
                  </pic:spPr>
                </pic:pic>
              </a:graphicData>
            </a:graphic>
          </wp:anchor>
        </w:drawing>
      </w:r>
      <w:r>
        <w:rPr>
          <w:rFonts w:hint="eastAsia"/>
          <w:sz w:val="21"/>
          <w:szCs w:val="21"/>
        </w:rPr>
        <w:t>同一房间的两组散热器，</w:t>
      </w:r>
      <w:r>
        <w:rPr>
          <w:rFonts w:hint="eastAsia"/>
          <w:sz w:val="21"/>
          <w:szCs w:val="21"/>
          <w:lang w:val="en-US" w:eastAsia="zh-CN"/>
        </w:rPr>
        <w:t>宜</w:t>
      </w:r>
      <w:r>
        <w:rPr>
          <w:rFonts w:hint="eastAsia"/>
          <w:sz w:val="21"/>
          <w:szCs w:val="21"/>
        </w:rPr>
        <w:t>采用上下接口同侧</w:t>
      </w:r>
      <w:r>
        <w:rPr>
          <w:rFonts w:hint="eastAsia"/>
          <w:sz w:val="21"/>
          <w:szCs w:val="21"/>
          <w:lang w:val="en-US" w:eastAsia="zh-CN"/>
        </w:rPr>
        <w:t>双管并联的</w:t>
      </w:r>
      <w:r>
        <w:rPr>
          <w:rFonts w:hint="eastAsia"/>
          <w:sz w:val="21"/>
          <w:szCs w:val="21"/>
        </w:rPr>
        <w:t>连接方式，散热器之间的上下连接管应与散热器接口同径。</w:t>
      </w:r>
    </w:p>
    <w:p>
      <w:pPr>
        <w:pStyle w:val="4"/>
        <w:numPr>
          <w:ilvl w:val="0"/>
          <w:numId w:val="49"/>
        </w:numPr>
        <w:bidi w:val="0"/>
        <w:ind w:left="0" w:leftChars="0" w:firstLine="0" w:firstLineChars="0"/>
        <w:rPr>
          <w:rFonts w:hint="eastAsia"/>
          <w:lang w:val="en-US" w:eastAsia="zh-CN"/>
        </w:rPr>
      </w:pPr>
      <w:r>
        <w:rPr>
          <w:rFonts w:hint="eastAsia"/>
          <w:lang w:val="en-US" w:eastAsia="zh-CN"/>
        </w:rPr>
        <w:t>地面供暖输配管道设计</w:t>
      </w:r>
    </w:p>
    <w:p>
      <w:pPr>
        <w:pageBreakBefore w:val="0"/>
        <w:numPr>
          <w:ilvl w:val="0"/>
          <w:numId w:val="53"/>
        </w:numPr>
        <w:wordWrap/>
        <w:overflowPunct/>
        <w:topLinePunct w:val="0"/>
        <w:bidi w:val="0"/>
        <w:spacing w:line="240" w:lineRule="auto"/>
        <w:ind w:left="0" w:leftChars="0" w:firstLine="0" w:firstLineChars="0"/>
        <w:rPr>
          <w:strike w:val="0"/>
          <w:sz w:val="21"/>
          <w:szCs w:val="21"/>
        </w:rPr>
      </w:pPr>
      <w:r>
        <w:rPr>
          <w:strike w:val="0"/>
          <w:sz w:val="21"/>
          <w:szCs w:val="21"/>
        </w:rPr>
        <w:t>输配管</w:t>
      </w:r>
      <w:r>
        <w:rPr>
          <w:rFonts w:hint="eastAsia"/>
          <w:strike w:val="0"/>
          <w:sz w:val="21"/>
          <w:szCs w:val="21"/>
        </w:rPr>
        <w:t>内热水</w:t>
      </w:r>
      <w:r>
        <w:rPr>
          <w:strike w:val="0"/>
          <w:sz w:val="21"/>
          <w:szCs w:val="21"/>
        </w:rPr>
        <w:t>流速不宜小于0.25m/s。</w:t>
      </w:r>
    </w:p>
    <w:p>
      <w:pPr>
        <w:pageBreakBefore w:val="0"/>
        <w:numPr>
          <w:ilvl w:val="0"/>
          <w:numId w:val="53"/>
        </w:numPr>
        <w:wordWrap/>
        <w:overflowPunct/>
        <w:topLinePunct w:val="0"/>
        <w:bidi w:val="0"/>
        <w:spacing w:line="240" w:lineRule="auto"/>
        <w:ind w:left="0" w:leftChars="0" w:firstLine="0" w:firstLineChars="0"/>
        <w:rPr>
          <w:strike w:val="0"/>
          <w:sz w:val="21"/>
          <w:szCs w:val="21"/>
        </w:rPr>
      </w:pPr>
      <w:r>
        <w:rPr>
          <w:rFonts w:hint="eastAsia"/>
          <w:strike w:val="0"/>
          <w:sz w:val="21"/>
          <w:szCs w:val="21"/>
        </w:rPr>
        <w:t>每个环路进、出水口应分别与分水器、集水器相连接。分水器、集水器最大截面流速不宜大于0.8 m/s。每组分水器、集水器分支环路不宜多于8路。每个分支环路供回水管上均应设置可关断阀门</w:t>
      </w:r>
      <w:r>
        <w:rPr>
          <w:strike w:val="0"/>
          <w:sz w:val="21"/>
          <w:szCs w:val="21"/>
        </w:rPr>
        <w:t>。</w:t>
      </w:r>
    </w:p>
    <w:p>
      <w:pPr>
        <w:pageBreakBefore w:val="0"/>
        <w:numPr>
          <w:ilvl w:val="0"/>
          <w:numId w:val="53"/>
        </w:numPr>
        <w:wordWrap/>
        <w:overflowPunct/>
        <w:topLinePunct w:val="0"/>
        <w:bidi w:val="0"/>
        <w:spacing w:line="240" w:lineRule="auto"/>
        <w:ind w:left="0" w:leftChars="0" w:firstLine="0" w:firstLineChars="0"/>
        <w:rPr>
          <w:color w:val="auto"/>
          <w:sz w:val="21"/>
          <w:szCs w:val="21"/>
        </w:rPr>
      </w:pPr>
      <w:r>
        <w:rPr>
          <w:sz w:val="21"/>
          <w:szCs w:val="21"/>
        </w:rPr>
        <w:t>分水器前应设置过滤器，分水器与集水器的总出水管之间宜设置旁</w:t>
      </w:r>
      <w:r>
        <w:rPr>
          <w:color w:val="auto"/>
          <w:sz w:val="21"/>
          <w:szCs w:val="21"/>
        </w:rPr>
        <w:t>通管，旁通管上应设置阀门。每组分水器、集水器</w:t>
      </w:r>
      <w:r>
        <w:rPr>
          <w:rFonts w:hint="eastAsia"/>
          <w:color w:val="auto"/>
          <w:sz w:val="21"/>
          <w:szCs w:val="21"/>
          <w:lang w:val="en-US" w:eastAsia="zh-CN"/>
        </w:rPr>
        <w:t>应</w:t>
      </w:r>
      <w:r>
        <w:rPr>
          <w:color w:val="auto"/>
          <w:sz w:val="21"/>
          <w:szCs w:val="21"/>
        </w:rPr>
        <w:t>安装下列阀门和附件：</w:t>
      </w:r>
    </w:p>
    <w:p>
      <w:pPr>
        <w:pageBreakBefore w:val="0"/>
        <w:numPr>
          <w:ilvl w:val="0"/>
          <w:numId w:val="54"/>
        </w:numPr>
        <w:wordWrap/>
        <w:overflowPunct/>
        <w:topLinePunct w:val="0"/>
        <w:bidi w:val="0"/>
        <w:spacing w:line="240" w:lineRule="auto"/>
        <w:ind w:firstLine="420"/>
        <w:rPr>
          <w:rFonts w:hint="eastAsia"/>
          <w:b w:val="0"/>
          <w:bCs w:val="0"/>
          <w:sz w:val="21"/>
          <w:szCs w:val="21"/>
        </w:rPr>
      </w:pPr>
      <w:r>
        <w:rPr>
          <w:rFonts w:hint="eastAsia"/>
          <w:b w:val="0"/>
          <w:bCs w:val="0"/>
          <w:sz w:val="21"/>
          <w:szCs w:val="21"/>
        </w:rPr>
        <w:t>关断阀、泄水阀、压差旁通阀（采用整组分水器、集水器温控不安装压差旁通阀）；</w:t>
      </w:r>
    </w:p>
    <w:p>
      <w:pPr>
        <w:pageBreakBefore w:val="0"/>
        <w:numPr>
          <w:ilvl w:val="0"/>
          <w:numId w:val="54"/>
        </w:numPr>
        <w:wordWrap/>
        <w:overflowPunct/>
        <w:topLinePunct w:val="0"/>
        <w:bidi w:val="0"/>
        <w:spacing w:line="240" w:lineRule="auto"/>
        <w:ind w:firstLine="420"/>
        <w:rPr>
          <w:rFonts w:hint="eastAsia"/>
          <w:b w:val="0"/>
          <w:bCs w:val="0"/>
          <w:sz w:val="21"/>
          <w:szCs w:val="21"/>
        </w:rPr>
      </w:pPr>
      <w:r>
        <w:rPr>
          <w:rFonts w:hint="eastAsia"/>
          <w:b w:val="0"/>
          <w:bCs w:val="0"/>
          <w:sz w:val="21"/>
          <w:szCs w:val="21"/>
        </w:rPr>
        <w:t>分水器、集水器上均应安装手动或自动排气阀；</w:t>
      </w:r>
    </w:p>
    <w:p>
      <w:pPr>
        <w:pageBreakBefore w:val="0"/>
        <w:numPr>
          <w:ilvl w:val="0"/>
          <w:numId w:val="54"/>
        </w:numPr>
        <w:wordWrap/>
        <w:overflowPunct/>
        <w:topLinePunct w:val="0"/>
        <w:bidi w:val="0"/>
        <w:spacing w:line="240" w:lineRule="auto"/>
        <w:ind w:firstLine="420"/>
        <w:rPr>
          <w:rFonts w:hint="eastAsia"/>
          <w:b w:val="0"/>
          <w:bCs w:val="0"/>
          <w:sz w:val="21"/>
          <w:szCs w:val="21"/>
        </w:rPr>
      </w:pPr>
      <w:r>
        <w:rPr>
          <w:rFonts w:hint="eastAsia"/>
          <w:b w:val="0"/>
          <w:bCs w:val="0"/>
          <w:sz w:val="21"/>
          <w:szCs w:val="21"/>
        </w:rPr>
        <w:t>采用分区域控制的系统，每支路宜安装流量调节阀。</w:t>
      </w:r>
    </w:p>
    <w:p>
      <w:pPr>
        <w:pageBreakBefore w:val="0"/>
        <w:numPr>
          <w:ilvl w:val="0"/>
          <w:numId w:val="53"/>
        </w:numPr>
        <w:wordWrap/>
        <w:overflowPunct/>
        <w:topLinePunct w:val="0"/>
        <w:bidi w:val="0"/>
        <w:spacing w:line="240" w:lineRule="auto"/>
        <w:ind w:left="0" w:leftChars="0" w:firstLine="0" w:firstLineChars="0"/>
        <w:rPr>
          <w:sz w:val="21"/>
          <w:szCs w:val="21"/>
        </w:rPr>
      </w:pPr>
      <w:r>
        <w:rPr>
          <w:sz w:val="21"/>
          <w:szCs w:val="21"/>
        </w:rPr>
        <w:t>每个分支环路埋设部分不应设置连接件。</w:t>
      </w:r>
    </w:p>
    <w:p>
      <w:pPr>
        <w:pageBreakBefore w:val="0"/>
        <w:numPr>
          <w:ilvl w:val="0"/>
          <w:numId w:val="53"/>
        </w:numPr>
        <w:wordWrap/>
        <w:overflowPunct/>
        <w:topLinePunct w:val="0"/>
        <w:bidi w:val="0"/>
        <w:spacing w:line="240" w:lineRule="auto"/>
        <w:ind w:left="0" w:leftChars="0" w:firstLine="0" w:firstLineChars="0"/>
        <w:rPr>
          <w:sz w:val="21"/>
          <w:szCs w:val="21"/>
        </w:rPr>
      </w:pPr>
      <w:r>
        <w:rPr>
          <w:sz w:val="21"/>
          <w:szCs w:val="21"/>
        </w:rPr>
        <w:t>分水器、集水器环路的总压力损失不宜大于30 kPa。</w:t>
      </w:r>
    </w:p>
    <w:p>
      <w:pPr>
        <w:pStyle w:val="4"/>
        <w:numPr>
          <w:ilvl w:val="0"/>
          <w:numId w:val="49"/>
        </w:numPr>
        <w:bidi w:val="0"/>
        <w:ind w:left="0" w:leftChars="0" w:firstLine="0" w:firstLineChars="0"/>
        <w:rPr>
          <w:rFonts w:hint="eastAsia"/>
          <w:lang w:val="en-US" w:eastAsia="zh-CN"/>
        </w:rPr>
      </w:pPr>
      <w:r>
        <w:rPr>
          <w:rFonts w:hint="eastAsia"/>
          <w:lang w:val="en-US" w:eastAsia="zh-CN"/>
        </w:rPr>
        <w:t>混水装置及去耦罐设计</w:t>
      </w:r>
    </w:p>
    <w:p>
      <w:pPr>
        <w:pageBreakBefore w:val="0"/>
        <w:numPr>
          <w:ilvl w:val="0"/>
          <w:numId w:val="55"/>
        </w:numPr>
        <w:wordWrap/>
        <w:overflowPunct/>
        <w:topLinePunct w:val="0"/>
        <w:bidi w:val="0"/>
        <w:spacing w:line="240" w:lineRule="auto"/>
        <w:ind w:left="0" w:leftChars="0" w:firstLine="0" w:firstLineChars="0"/>
        <w:rPr>
          <w:sz w:val="21"/>
          <w:szCs w:val="21"/>
        </w:rPr>
      </w:pPr>
      <w:bookmarkStart w:id="78" w:name="bookmark17"/>
      <w:bookmarkEnd w:id="78"/>
      <w:bookmarkStart w:id="79" w:name="OLE_LINK8"/>
      <w:bookmarkStart w:id="80" w:name="OLE_LINK7"/>
      <w:r>
        <w:rPr>
          <w:rFonts w:hint="eastAsia"/>
          <w:sz w:val="21"/>
          <w:szCs w:val="21"/>
        </w:rPr>
        <w:t>当</w:t>
      </w:r>
      <w:r>
        <w:rPr>
          <w:rFonts w:hint="eastAsia"/>
          <w:sz w:val="21"/>
          <w:szCs w:val="21"/>
          <w:lang w:val="en-US" w:eastAsia="zh-CN"/>
        </w:rPr>
        <w:t>采暖炉</w:t>
      </w:r>
      <w:r>
        <w:rPr>
          <w:rFonts w:hint="eastAsia"/>
          <w:sz w:val="21"/>
          <w:szCs w:val="21"/>
        </w:rPr>
        <w:t>产生的热水温度、压力或流量不</w:t>
      </w:r>
      <w:r>
        <w:rPr>
          <w:rFonts w:hint="eastAsia"/>
          <w:sz w:val="21"/>
          <w:szCs w:val="21"/>
          <w:lang w:val="en-US" w:eastAsia="zh-CN"/>
        </w:rPr>
        <w:t>满足加热管设计要求</w:t>
      </w:r>
      <w:r>
        <w:rPr>
          <w:rFonts w:hint="eastAsia"/>
          <w:sz w:val="21"/>
          <w:szCs w:val="21"/>
          <w:lang w:eastAsia="zh-CN"/>
        </w:rPr>
        <w:t>，</w:t>
      </w:r>
      <w:r>
        <w:rPr>
          <w:rFonts w:hint="eastAsia"/>
          <w:sz w:val="21"/>
          <w:szCs w:val="21"/>
          <w:lang w:val="en-US" w:eastAsia="zh-CN"/>
        </w:rPr>
        <w:t>或采用</w:t>
      </w:r>
      <w:r>
        <w:rPr>
          <w:sz w:val="21"/>
          <w:szCs w:val="21"/>
        </w:rPr>
        <w:t>散热器供暖</w:t>
      </w:r>
      <w:r>
        <w:rPr>
          <w:rFonts w:hint="eastAsia"/>
          <w:sz w:val="21"/>
          <w:szCs w:val="21"/>
          <w:lang w:val="en-US" w:eastAsia="zh-CN"/>
        </w:rPr>
        <w:t>和</w:t>
      </w:r>
      <w:r>
        <w:rPr>
          <w:sz w:val="21"/>
          <w:szCs w:val="21"/>
        </w:rPr>
        <w:t>地面供暖</w:t>
      </w:r>
      <w:r>
        <w:rPr>
          <w:rFonts w:hint="eastAsia"/>
          <w:sz w:val="21"/>
          <w:szCs w:val="21"/>
          <w:lang w:eastAsia="zh-CN"/>
        </w:rPr>
        <w:t>混合安装</w:t>
      </w:r>
      <w:r>
        <w:rPr>
          <w:sz w:val="21"/>
          <w:szCs w:val="21"/>
        </w:rPr>
        <w:t>时</w:t>
      </w:r>
      <w:r>
        <w:rPr>
          <w:rFonts w:hint="eastAsia"/>
          <w:sz w:val="21"/>
          <w:szCs w:val="21"/>
        </w:rPr>
        <w:t>，应增加混水装置</w:t>
      </w:r>
      <w:r>
        <w:rPr>
          <w:rFonts w:hint="eastAsia"/>
          <w:sz w:val="21"/>
          <w:szCs w:val="21"/>
          <w:lang w:val="en-US" w:eastAsia="zh-CN"/>
        </w:rPr>
        <w:t>或去耦罐等。</w:t>
      </w:r>
    </w:p>
    <w:p>
      <w:pPr>
        <w:pageBreakBefore w:val="0"/>
        <w:numPr>
          <w:ilvl w:val="0"/>
          <w:numId w:val="55"/>
        </w:numPr>
        <w:wordWrap/>
        <w:overflowPunct/>
        <w:topLinePunct w:val="0"/>
        <w:bidi w:val="0"/>
        <w:spacing w:line="240" w:lineRule="auto"/>
        <w:ind w:left="0" w:leftChars="0" w:firstLine="0" w:firstLineChars="0"/>
        <w:rPr>
          <w:sz w:val="21"/>
          <w:szCs w:val="21"/>
        </w:rPr>
      </w:pPr>
      <w:r>
        <w:rPr>
          <w:sz w:val="21"/>
          <w:szCs w:val="21"/>
        </w:rPr>
        <w:t>混水装置</w:t>
      </w:r>
      <w:r>
        <w:rPr>
          <w:rFonts w:hint="eastAsia"/>
          <w:sz w:val="21"/>
          <w:szCs w:val="21"/>
          <w:lang w:val="en-US" w:eastAsia="zh-CN"/>
        </w:rPr>
        <w:t>应与</w:t>
      </w:r>
      <w:r>
        <w:rPr>
          <w:rFonts w:hint="eastAsia"/>
          <w:sz w:val="21"/>
          <w:szCs w:val="21"/>
        </w:rPr>
        <w:t>分水器、集水器</w:t>
      </w:r>
      <w:r>
        <w:rPr>
          <w:rFonts w:hint="eastAsia"/>
          <w:sz w:val="21"/>
          <w:szCs w:val="21"/>
          <w:lang w:val="en-US" w:eastAsia="zh-CN"/>
        </w:rPr>
        <w:t>直接相连</w:t>
      </w:r>
      <w:r>
        <w:rPr>
          <w:sz w:val="21"/>
          <w:szCs w:val="21"/>
        </w:rPr>
        <w:t>。</w:t>
      </w:r>
    </w:p>
    <w:p>
      <w:pPr>
        <w:pageBreakBefore w:val="0"/>
        <w:numPr>
          <w:ilvl w:val="0"/>
          <w:numId w:val="55"/>
        </w:numPr>
        <w:wordWrap/>
        <w:overflowPunct/>
        <w:topLinePunct w:val="0"/>
        <w:bidi w:val="0"/>
        <w:spacing w:line="240" w:lineRule="auto"/>
        <w:ind w:left="0" w:leftChars="0" w:firstLine="0" w:firstLineChars="0"/>
        <w:rPr>
          <w:sz w:val="21"/>
          <w:szCs w:val="21"/>
        </w:rPr>
      </w:pPr>
      <w:r>
        <w:rPr>
          <w:rFonts w:hint="eastAsia"/>
          <w:sz w:val="21"/>
          <w:szCs w:val="21"/>
          <w:lang w:val="en-US" w:eastAsia="zh-CN"/>
        </w:rPr>
        <w:t>去耦罐应设置在采暖炉与</w:t>
      </w:r>
      <w:r>
        <w:rPr>
          <w:rFonts w:hint="eastAsia"/>
          <w:sz w:val="21"/>
          <w:szCs w:val="21"/>
        </w:rPr>
        <w:t>分水器、集水器</w:t>
      </w:r>
      <w:r>
        <w:rPr>
          <w:rFonts w:hint="eastAsia"/>
          <w:sz w:val="21"/>
          <w:szCs w:val="21"/>
          <w:lang w:val="en-US" w:eastAsia="zh-CN"/>
        </w:rPr>
        <w:t>之间。</w:t>
      </w:r>
    </w:p>
    <w:p>
      <w:pPr>
        <w:pageBreakBefore w:val="0"/>
        <w:numPr>
          <w:ilvl w:val="0"/>
          <w:numId w:val="55"/>
        </w:numPr>
        <w:wordWrap/>
        <w:overflowPunct/>
        <w:topLinePunct w:val="0"/>
        <w:bidi w:val="0"/>
        <w:spacing w:line="240" w:lineRule="auto"/>
        <w:ind w:left="0" w:leftChars="0" w:firstLine="0" w:firstLineChars="0"/>
        <w:rPr>
          <w:sz w:val="21"/>
          <w:szCs w:val="21"/>
        </w:rPr>
      </w:pPr>
      <w:r>
        <w:rPr>
          <w:rFonts w:hint="eastAsia"/>
          <w:sz w:val="21"/>
          <w:szCs w:val="21"/>
          <w:lang w:val="en-US" w:eastAsia="zh-CN"/>
        </w:rPr>
        <w:t>混水装置及去耦罐不宜靠近卧室。</w:t>
      </w:r>
    </w:p>
    <w:bookmarkEnd w:id="79"/>
    <w:bookmarkEnd w:id="80"/>
    <w:p>
      <w:pPr>
        <w:pStyle w:val="3"/>
        <w:numPr>
          <w:ilvl w:val="0"/>
          <w:numId w:val="33"/>
        </w:numPr>
        <w:bidi w:val="0"/>
        <w:ind w:left="0" w:leftChars="0" w:firstLine="0" w:firstLineChars="0"/>
        <w:rPr>
          <w:rFonts w:hint="eastAsia"/>
          <w:lang w:val="en-US" w:eastAsia="zh-CN"/>
        </w:rPr>
      </w:pPr>
      <w:r>
        <w:rPr>
          <w:rFonts w:hint="eastAsia"/>
          <w:lang w:val="en-US" w:eastAsia="zh-CN"/>
        </w:rPr>
        <w:t>温控装置</w:t>
      </w:r>
    </w:p>
    <w:p>
      <w:pPr>
        <w:pStyle w:val="4"/>
        <w:numPr>
          <w:ilvl w:val="0"/>
          <w:numId w:val="56"/>
        </w:numPr>
        <w:bidi w:val="0"/>
        <w:ind w:left="0" w:leftChars="0" w:firstLine="0" w:firstLineChars="0"/>
        <w:rPr>
          <w:rFonts w:hint="eastAsia"/>
          <w:lang w:val="en-US" w:eastAsia="zh-CN"/>
        </w:rPr>
      </w:pPr>
      <w:bookmarkStart w:id="81" w:name="bookmark18"/>
      <w:bookmarkEnd w:id="81"/>
      <w:r>
        <w:rPr>
          <w:rFonts w:hint="eastAsia"/>
          <w:lang w:val="en-US" w:eastAsia="zh-CN"/>
        </w:rPr>
        <w:t>一般规定</w:t>
      </w:r>
    </w:p>
    <w:p>
      <w:pPr>
        <w:pageBreakBefore w:val="0"/>
        <w:numPr>
          <w:ilvl w:val="0"/>
          <w:numId w:val="57"/>
        </w:numPr>
        <w:wordWrap/>
        <w:overflowPunct/>
        <w:topLinePunct w:val="0"/>
        <w:bidi w:val="0"/>
        <w:spacing w:line="240" w:lineRule="auto"/>
        <w:ind w:left="0" w:leftChars="0" w:firstLine="0" w:firstLineChars="0"/>
        <w:rPr>
          <w:sz w:val="21"/>
          <w:szCs w:val="21"/>
        </w:rPr>
      </w:pPr>
      <w:r>
        <w:rPr>
          <w:rFonts w:hint="eastAsia"/>
          <w:sz w:val="21"/>
          <w:szCs w:val="21"/>
        </w:rPr>
        <w:t>供暖系统中应</w:t>
      </w:r>
      <w:r>
        <w:rPr>
          <w:rFonts w:hint="eastAsia"/>
          <w:sz w:val="21"/>
          <w:szCs w:val="21"/>
          <w:lang w:val="en-US" w:eastAsia="zh-CN"/>
        </w:rPr>
        <w:t>分房间</w:t>
      </w:r>
      <w:r>
        <w:rPr>
          <w:rFonts w:hint="eastAsia"/>
          <w:sz w:val="21"/>
          <w:szCs w:val="21"/>
        </w:rPr>
        <w:t>设置调节室内空气温度的温控</w:t>
      </w:r>
      <w:r>
        <w:rPr>
          <w:rFonts w:hint="eastAsia"/>
          <w:sz w:val="21"/>
          <w:szCs w:val="21"/>
          <w:lang w:val="en-US" w:eastAsia="zh-CN"/>
        </w:rPr>
        <w:t>装置</w:t>
      </w:r>
      <w:r>
        <w:rPr>
          <w:sz w:val="21"/>
          <w:szCs w:val="21"/>
        </w:rPr>
        <w:t>。</w:t>
      </w:r>
    </w:p>
    <w:p>
      <w:pPr>
        <w:pageBreakBefore w:val="0"/>
        <w:numPr>
          <w:ilvl w:val="0"/>
          <w:numId w:val="57"/>
        </w:numPr>
        <w:wordWrap/>
        <w:overflowPunct/>
        <w:topLinePunct w:val="0"/>
        <w:bidi w:val="0"/>
        <w:spacing w:line="240" w:lineRule="auto"/>
        <w:ind w:left="0" w:leftChars="0" w:firstLine="0" w:firstLineChars="0"/>
        <w:rPr>
          <w:sz w:val="21"/>
          <w:szCs w:val="21"/>
        </w:rPr>
      </w:pPr>
      <w:r>
        <w:rPr>
          <w:rFonts w:hint="eastAsia" w:eastAsia="宋体" w:cstheme="minorBidi"/>
          <w:color w:val="auto"/>
          <w:spacing w:val="0"/>
          <w:kern w:val="2"/>
          <w:position w:val="0"/>
          <w:sz w:val="21"/>
          <w:szCs w:val="21"/>
        </w:rPr>
        <w:t>温控</w:t>
      </w:r>
      <w:r>
        <w:rPr>
          <w:rFonts w:hint="eastAsia"/>
          <w:sz w:val="21"/>
          <w:szCs w:val="21"/>
          <w:lang w:val="en-US" w:eastAsia="zh-CN"/>
        </w:rPr>
        <w:t>装置</w:t>
      </w:r>
      <w:r>
        <w:rPr>
          <w:sz w:val="21"/>
          <w:szCs w:val="21"/>
        </w:rPr>
        <w:t>应能正确反映室内</w:t>
      </w:r>
      <w:r>
        <w:rPr>
          <w:rFonts w:hint="eastAsia"/>
          <w:sz w:val="21"/>
          <w:szCs w:val="21"/>
        </w:rPr>
        <w:t>空气</w:t>
      </w:r>
      <w:r>
        <w:rPr>
          <w:sz w:val="21"/>
          <w:szCs w:val="21"/>
        </w:rPr>
        <w:t>温度</w:t>
      </w:r>
      <w:r>
        <w:rPr>
          <w:rFonts w:hint="eastAsia"/>
          <w:sz w:val="21"/>
          <w:szCs w:val="21"/>
        </w:rPr>
        <w:t>，</w:t>
      </w:r>
      <w:r>
        <w:rPr>
          <w:sz w:val="21"/>
          <w:szCs w:val="21"/>
        </w:rPr>
        <w:t>避免阳光直射和覆盖遮挡，</w:t>
      </w:r>
      <w:r>
        <w:rPr>
          <w:rFonts w:hint="eastAsia"/>
          <w:sz w:val="21"/>
          <w:szCs w:val="21"/>
        </w:rPr>
        <w:t>不应</w:t>
      </w:r>
      <w:r>
        <w:rPr>
          <w:rFonts w:hint="eastAsia"/>
          <w:sz w:val="21"/>
          <w:szCs w:val="21"/>
          <w:lang w:val="en-US" w:eastAsia="zh-CN"/>
        </w:rPr>
        <w:t>设置</w:t>
      </w:r>
      <w:r>
        <w:rPr>
          <w:rFonts w:hint="eastAsia"/>
          <w:sz w:val="21"/>
          <w:szCs w:val="21"/>
        </w:rPr>
        <w:t>在潮湿、高温的环境内</w:t>
      </w:r>
      <w:r>
        <w:rPr>
          <w:sz w:val="21"/>
          <w:szCs w:val="21"/>
        </w:rPr>
        <w:t>。</w:t>
      </w:r>
    </w:p>
    <w:p>
      <w:pPr>
        <w:pageBreakBefore w:val="0"/>
        <w:numPr>
          <w:ilvl w:val="0"/>
          <w:numId w:val="57"/>
        </w:numPr>
        <w:wordWrap/>
        <w:overflowPunct/>
        <w:topLinePunct w:val="0"/>
        <w:bidi w:val="0"/>
        <w:spacing w:line="240" w:lineRule="auto"/>
        <w:ind w:left="0" w:leftChars="0" w:firstLine="0" w:firstLineChars="0"/>
        <w:rPr>
          <w:sz w:val="21"/>
          <w:szCs w:val="21"/>
        </w:rPr>
      </w:pPr>
      <w:r>
        <w:rPr>
          <w:rFonts w:hint="eastAsia"/>
          <w:sz w:val="21"/>
          <w:szCs w:val="21"/>
        </w:rPr>
        <w:t>温控</w:t>
      </w:r>
      <w:r>
        <w:rPr>
          <w:rFonts w:hint="eastAsia"/>
          <w:sz w:val="21"/>
          <w:szCs w:val="21"/>
          <w:lang w:val="en-US" w:eastAsia="zh-CN"/>
        </w:rPr>
        <w:t>装置</w:t>
      </w:r>
      <w:r>
        <w:rPr>
          <w:sz w:val="21"/>
          <w:szCs w:val="21"/>
        </w:rPr>
        <w:t>如需接入智能化控制系统，应在</w:t>
      </w:r>
      <w:r>
        <w:rPr>
          <w:rFonts w:hint="eastAsia"/>
          <w:sz w:val="21"/>
          <w:szCs w:val="21"/>
        </w:rPr>
        <w:t>温控</w:t>
      </w:r>
      <w:r>
        <w:rPr>
          <w:rFonts w:hint="eastAsia"/>
          <w:sz w:val="21"/>
          <w:szCs w:val="21"/>
          <w:lang w:val="en-US" w:eastAsia="zh-CN"/>
        </w:rPr>
        <w:t>装置</w:t>
      </w:r>
      <w:r>
        <w:rPr>
          <w:sz w:val="21"/>
          <w:szCs w:val="21"/>
        </w:rPr>
        <w:t>上预留相应接口。</w:t>
      </w:r>
    </w:p>
    <w:p>
      <w:pPr>
        <w:pStyle w:val="4"/>
        <w:numPr>
          <w:ilvl w:val="0"/>
          <w:numId w:val="56"/>
        </w:numPr>
        <w:bidi w:val="0"/>
        <w:ind w:left="0" w:leftChars="0" w:firstLine="0" w:firstLineChars="0"/>
        <w:rPr>
          <w:rFonts w:hint="eastAsia"/>
          <w:lang w:val="en-US" w:eastAsia="zh-CN"/>
        </w:rPr>
      </w:pPr>
      <w:r>
        <w:rPr>
          <w:rFonts w:hint="eastAsia"/>
          <w:lang w:val="en-US" w:eastAsia="zh-CN"/>
        </w:rPr>
        <w:t>散热器供暖温控装置设计</w:t>
      </w:r>
    </w:p>
    <w:p>
      <w:pPr>
        <w:pageBreakBefore w:val="0"/>
        <w:numPr>
          <w:ilvl w:val="0"/>
          <w:numId w:val="58"/>
        </w:numPr>
        <w:wordWrap/>
        <w:overflowPunct/>
        <w:topLinePunct w:val="0"/>
        <w:bidi w:val="0"/>
        <w:spacing w:line="240" w:lineRule="auto"/>
        <w:ind w:left="0" w:leftChars="0" w:firstLine="0" w:firstLineChars="0"/>
        <w:rPr>
          <w:sz w:val="21"/>
          <w:szCs w:val="21"/>
        </w:rPr>
      </w:pPr>
      <w:bookmarkStart w:id="82" w:name="bookmark19"/>
      <w:bookmarkEnd w:id="82"/>
      <w:r>
        <w:rPr>
          <w:sz w:val="21"/>
          <w:szCs w:val="21"/>
        </w:rPr>
        <w:t>双管</w:t>
      </w:r>
      <w:r>
        <w:rPr>
          <w:rFonts w:hint="default"/>
          <w:sz w:val="21"/>
          <w:szCs w:val="21"/>
          <w:lang w:val="en-US" w:eastAsia="zh-CN"/>
        </w:rPr>
        <w:t>输配管道</w:t>
      </w:r>
      <w:r>
        <w:rPr>
          <w:sz w:val="21"/>
          <w:szCs w:val="21"/>
        </w:rPr>
        <w:t>中每组散热器的供水支管上应设置两通恒温控制阀，宜采用有阻力预调节或平衡功能的恒温控制阀</w:t>
      </w:r>
      <w:r>
        <w:rPr>
          <w:rFonts w:hint="eastAsia"/>
          <w:sz w:val="21"/>
          <w:szCs w:val="21"/>
        </w:rPr>
        <w:t>；</w:t>
      </w:r>
      <w:r>
        <w:rPr>
          <w:sz w:val="21"/>
          <w:szCs w:val="21"/>
        </w:rPr>
        <w:t>水平双管</w:t>
      </w:r>
      <w:r>
        <w:rPr>
          <w:rFonts w:hint="default"/>
          <w:sz w:val="21"/>
          <w:szCs w:val="21"/>
          <w:lang w:val="en-US" w:eastAsia="zh-CN"/>
        </w:rPr>
        <w:t>输配管道控制阀</w:t>
      </w:r>
      <w:r>
        <w:rPr>
          <w:sz w:val="21"/>
          <w:szCs w:val="21"/>
        </w:rPr>
        <w:t>阀柄及阀头</w:t>
      </w:r>
      <w:r>
        <w:rPr>
          <w:rFonts w:hint="eastAsia"/>
          <w:sz w:val="21"/>
          <w:szCs w:val="21"/>
        </w:rPr>
        <w:t>（</w:t>
      </w:r>
      <w:r>
        <w:rPr>
          <w:sz w:val="21"/>
          <w:szCs w:val="21"/>
        </w:rPr>
        <w:t>传感器</w:t>
      </w:r>
      <w:r>
        <w:rPr>
          <w:rFonts w:hint="eastAsia"/>
          <w:sz w:val="21"/>
          <w:szCs w:val="21"/>
        </w:rPr>
        <w:t>）应</w:t>
      </w:r>
      <w:r>
        <w:rPr>
          <w:sz w:val="21"/>
          <w:szCs w:val="21"/>
        </w:rPr>
        <w:t>与地面保持水平</w:t>
      </w:r>
      <w:r>
        <w:rPr>
          <w:rFonts w:hint="eastAsia"/>
          <w:sz w:val="21"/>
          <w:szCs w:val="21"/>
          <w:lang w:eastAsia="zh-CN"/>
        </w:rPr>
        <w:t>。</w:t>
      </w:r>
    </w:p>
    <w:p>
      <w:pPr>
        <w:pageBreakBefore w:val="0"/>
        <w:numPr>
          <w:ilvl w:val="0"/>
          <w:numId w:val="58"/>
        </w:numPr>
        <w:wordWrap/>
        <w:overflowPunct/>
        <w:topLinePunct w:val="0"/>
        <w:bidi w:val="0"/>
        <w:spacing w:line="240" w:lineRule="auto"/>
        <w:ind w:left="0" w:leftChars="0" w:firstLine="0" w:firstLineChars="0"/>
        <w:rPr>
          <w:sz w:val="21"/>
          <w:szCs w:val="21"/>
        </w:rPr>
      </w:pPr>
      <w:r>
        <w:rPr>
          <w:sz w:val="21"/>
          <w:szCs w:val="21"/>
        </w:rPr>
        <w:t>恒温控制阀的</w:t>
      </w:r>
      <w:r>
        <w:rPr>
          <w:rFonts w:hint="eastAsia"/>
          <w:sz w:val="21"/>
          <w:szCs w:val="21"/>
          <w:lang w:val="en-US" w:eastAsia="zh-CN"/>
        </w:rPr>
        <w:t>选择</w:t>
      </w:r>
      <w:r>
        <w:rPr>
          <w:sz w:val="21"/>
          <w:szCs w:val="21"/>
        </w:rPr>
        <w:t>应符合下列规定</w:t>
      </w:r>
      <w:r>
        <w:rPr>
          <w:rFonts w:hint="eastAsia"/>
          <w:sz w:val="21"/>
          <w:szCs w:val="21"/>
        </w:rPr>
        <w:t>：</w:t>
      </w:r>
    </w:p>
    <w:p>
      <w:pPr>
        <w:pageBreakBefore w:val="0"/>
        <w:numPr>
          <w:ilvl w:val="0"/>
          <w:numId w:val="59"/>
        </w:numPr>
        <w:wordWrap/>
        <w:overflowPunct/>
        <w:topLinePunct w:val="0"/>
        <w:bidi w:val="0"/>
        <w:spacing w:line="240" w:lineRule="auto"/>
        <w:ind w:firstLine="420"/>
        <w:rPr>
          <w:rFonts w:hint="eastAsia"/>
          <w:b w:val="0"/>
          <w:bCs w:val="0"/>
          <w:sz w:val="21"/>
          <w:szCs w:val="21"/>
        </w:rPr>
      </w:pPr>
      <w:r>
        <w:rPr>
          <w:rFonts w:hint="eastAsia"/>
          <w:b w:val="0"/>
          <w:bCs w:val="0"/>
          <w:sz w:val="21"/>
          <w:szCs w:val="21"/>
        </w:rPr>
        <w:t>散热器恒温控制阀的规格及</w:t>
      </w:r>
      <w:r>
        <w:rPr>
          <w:rFonts w:hint="eastAsia" w:ascii="黑体" w:hAnsi="黑体" w:eastAsia="黑体" w:cs="黑体"/>
          <w:b w:val="0"/>
          <w:bCs w:val="0"/>
          <w:sz w:val="21"/>
          <w:szCs w:val="21"/>
        </w:rPr>
        <w:t>KV</w:t>
      </w:r>
      <w:r>
        <w:rPr>
          <w:rFonts w:hint="eastAsia"/>
          <w:b w:val="0"/>
          <w:bCs w:val="0"/>
          <w:sz w:val="21"/>
          <w:szCs w:val="21"/>
        </w:rPr>
        <w:t>值应根据通过散热器的水量及压差选择确定；</w:t>
      </w:r>
    </w:p>
    <w:p>
      <w:pPr>
        <w:pageBreakBefore w:val="0"/>
        <w:numPr>
          <w:ilvl w:val="0"/>
          <w:numId w:val="59"/>
        </w:numPr>
        <w:wordWrap/>
        <w:overflowPunct/>
        <w:topLinePunct w:val="0"/>
        <w:bidi w:val="0"/>
        <w:spacing w:line="240" w:lineRule="auto"/>
        <w:ind w:firstLine="420"/>
        <w:rPr>
          <w:rFonts w:hint="eastAsia"/>
          <w:b w:val="0"/>
          <w:bCs w:val="0"/>
          <w:sz w:val="21"/>
          <w:szCs w:val="21"/>
        </w:rPr>
      </w:pPr>
      <w:r>
        <w:rPr>
          <w:rFonts w:hint="eastAsia"/>
          <w:b w:val="0"/>
          <w:bCs w:val="0"/>
          <w:sz w:val="21"/>
          <w:szCs w:val="21"/>
        </w:rPr>
        <w:t>应根据水力平衡需要，选用基础型温控阀、带预调节功能的温控阀、动态压差自平衡温控阀；恒温控制阀宜具有带水、带压清堵或更换阀芯以及防冻设定的功能，散热器冬季长期不使用时应将恒温阀调至防冻模式</w:t>
      </w:r>
      <w:r>
        <w:rPr>
          <w:rFonts w:hint="default"/>
          <w:b w:val="0"/>
          <w:bCs w:val="0"/>
          <w:sz w:val="21"/>
          <w:szCs w:val="21"/>
          <w:lang w:eastAsia="zh-CN"/>
        </w:rPr>
        <w:t>。</w:t>
      </w:r>
    </w:p>
    <w:p>
      <w:pPr>
        <w:pStyle w:val="4"/>
        <w:numPr>
          <w:ilvl w:val="0"/>
          <w:numId w:val="56"/>
        </w:numPr>
        <w:bidi w:val="0"/>
        <w:ind w:left="0" w:leftChars="0" w:firstLine="0" w:firstLineChars="0"/>
        <w:rPr>
          <w:rFonts w:hint="eastAsia"/>
          <w:lang w:val="en-US" w:eastAsia="zh-CN"/>
        </w:rPr>
      </w:pPr>
      <w:r>
        <w:rPr>
          <w:rFonts w:hint="eastAsia"/>
          <w:lang w:val="en-US" w:eastAsia="zh-CN"/>
        </w:rPr>
        <w:t>地面供暖温控装置设计</w:t>
      </w:r>
    </w:p>
    <w:p>
      <w:pPr>
        <w:pageBreakBefore w:val="0"/>
        <w:numPr>
          <w:ilvl w:val="0"/>
          <w:numId w:val="60"/>
        </w:numPr>
        <w:wordWrap/>
        <w:overflowPunct/>
        <w:topLinePunct w:val="0"/>
        <w:bidi w:val="0"/>
        <w:spacing w:line="240" w:lineRule="auto"/>
        <w:ind w:left="0" w:leftChars="0" w:firstLine="0" w:firstLineChars="0"/>
        <w:rPr>
          <w:sz w:val="21"/>
          <w:szCs w:val="21"/>
        </w:rPr>
      </w:pPr>
      <w:r>
        <w:rPr>
          <w:sz w:val="21"/>
          <w:szCs w:val="21"/>
        </w:rPr>
        <w:t>地面供暖系统室温控制可采用分环路控制</w:t>
      </w:r>
      <w:r>
        <w:rPr>
          <w:rFonts w:hint="eastAsia"/>
          <w:sz w:val="21"/>
          <w:szCs w:val="21"/>
          <w:lang w:val="en-US" w:eastAsia="zh-CN"/>
        </w:rPr>
        <w:t>或</w:t>
      </w:r>
      <w:r>
        <w:rPr>
          <w:sz w:val="21"/>
          <w:szCs w:val="21"/>
        </w:rPr>
        <w:t>总体控制方式，自动控制阀宜采用热电阀,也可采用</w:t>
      </w:r>
      <w:r>
        <w:rPr>
          <w:rFonts w:hint="eastAsia"/>
          <w:sz w:val="21"/>
          <w:szCs w:val="21"/>
          <w:lang w:val="en-US" w:eastAsia="zh-CN"/>
        </w:rPr>
        <w:t>恒温控制</w:t>
      </w:r>
      <w:r>
        <w:rPr>
          <w:sz w:val="21"/>
          <w:szCs w:val="21"/>
        </w:rPr>
        <w:t>阀</w:t>
      </w:r>
      <w:r>
        <w:rPr>
          <w:rFonts w:hint="eastAsia"/>
          <w:sz w:val="21"/>
          <w:szCs w:val="21"/>
          <w:lang w:val="en-US" w:eastAsia="zh-CN"/>
        </w:rPr>
        <w:t>或</w:t>
      </w:r>
      <w:r>
        <w:rPr>
          <w:sz w:val="21"/>
          <w:szCs w:val="21"/>
        </w:rPr>
        <w:t>电动</w:t>
      </w:r>
      <w:r>
        <w:rPr>
          <w:rFonts w:hint="eastAsia"/>
          <w:sz w:val="21"/>
          <w:szCs w:val="21"/>
          <w:lang w:val="en-US" w:eastAsia="zh-CN"/>
        </w:rPr>
        <w:t>控制</w:t>
      </w:r>
      <w:r>
        <w:rPr>
          <w:sz w:val="21"/>
          <w:szCs w:val="21"/>
        </w:rPr>
        <w:t>阀，</w:t>
      </w:r>
      <w:r>
        <w:rPr>
          <w:color w:val="auto"/>
          <w:sz w:val="21"/>
          <w:szCs w:val="21"/>
        </w:rPr>
        <w:t>并</w:t>
      </w:r>
      <w:r>
        <w:rPr>
          <w:rFonts w:hint="eastAsia"/>
          <w:color w:val="auto"/>
          <w:sz w:val="21"/>
          <w:szCs w:val="21"/>
        </w:rPr>
        <w:t>应</w:t>
      </w:r>
      <w:r>
        <w:rPr>
          <w:color w:val="auto"/>
          <w:sz w:val="21"/>
          <w:szCs w:val="21"/>
        </w:rPr>
        <w:t>符</w:t>
      </w:r>
      <w:r>
        <w:rPr>
          <w:sz w:val="21"/>
          <w:szCs w:val="21"/>
        </w:rPr>
        <w:t>合下列</w:t>
      </w:r>
      <w:r>
        <w:rPr>
          <w:rFonts w:hint="eastAsia"/>
          <w:sz w:val="21"/>
          <w:szCs w:val="21"/>
        </w:rPr>
        <w:t>规定</w:t>
      </w:r>
      <w:r>
        <w:rPr>
          <w:sz w:val="21"/>
          <w:szCs w:val="21"/>
        </w:rPr>
        <w:t>：</w:t>
      </w:r>
    </w:p>
    <w:p>
      <w:pPr>
        <w:pageBreakBefore w:val="0"/>
        <w:numPr>
          <w:ilvl w:val="0"/>
          <w:numId w:val="61"/>
        </w:numPr>
        <w:wordWrap/>
        <w:overflowPunct/>
        <w:topLinePunct w:val="0"/>
        <w:bidi w:val="0"/>
        <w:spacing w:line="240" w:lineRule="auto"/>
        <w:ind w:firstLine="420"/>
        <w:rPr>
          <w:rFonts w:hint="eastAsia"/>
          <w:b w:val="0"/>
          <w:bCs w:val="0"/>
          <w:sz w:val="21"/>
          <w:szCs w:val="21"/>
        </w:rPr>
      </w:pPr>
      <w:r>
        <w:rPr>
          <w:rFonts w:hint="eastAsia"/>
          <w:b w:val="0"/>
          <w:bCs w:val="0"/>
          <w:sz w:val="21"/>
          <w:szCs w:val="21"/>
        </w:rPr>
        <w:t>当采用分环路控制时，应在分水器或集水器的各个分支管上分别设置自动控制阀；</w:t>
      </w:r>
    </w:p>
    <w:p>
      <w:pPr>
        <w:pageBreakBefore w:val="0"/>
        <w:numPr>
          <w:ilvl w:val="0"/>
          <w:numId w:val="61"/>
        </w:numPr>
        <w:wordWrap/>
        <w:overflowPunct/>
        <w:topLinePunct w:val="0"/>
        <w:bidi w:val="0"/>
        <w:spacing w:line="240" w:lineRule="auto"/>
        <w:ind w:firstLine="420"/>
        <w:rPr>
          <w:rFonts w:hint="eastAsia"/>
          <w:b w:val="0"/>
          <w:bCs w:val="0"/>
          <w:sz w:val="21"/>
          <w:szCs w:val="21"/>
        </w:rPr>
      </w:pPr>
      <w:r>
        <w:rPr>
          <w:rFonts w:hint="eastAsia"/>
          <w:b w:val="0"/>
          <w:bCs w:val="0"/>
          <w:sz w:val="21"/>
          <w:szCs w:val="21"/>
        </w:rPr>
        <w:t>当采用总体控制时，应在分水器或集水器总管上设置自动控制阀。</w:t>
      </w:r>
    </w:p>
    <w:p>
      <w:pPr>
        <w:pageBreakBefore w:val="0"/>
        <w:numPr>
          <w:ilvl w:val="0"/>
          <w:numId w:val="60"/>
        </w:numPr>
        <w:wordWrap/>
        <w:overflowPunct/>
        <w:topLinePunct w:val="0"/>
        <w:bidi w:val="0"/>
        <w:spacing w:line="240" w:lineRule="auto"/>
        <w:ind w:left="0" w:leftChars="0" w:firstLine="0" w:firstLineChars="0"/>
        <w:rPr>
          <w:strike w:val="0"/>
          <w:sz w:val="21"/>
          <w:szCs w:val="21"/>
        </w:rPr>
      </w:pPr>
      <w:r>
        <w:rPr>
          <w:rFonts w:hint="eastAsia"/>
          <w:strike w:val="0"/>
          <w:sz w:val="21"/>
          <w:szCs w:val="21"/>
          <w:lang w:val="en-US" w:eastAsia="zh-CN"/>
        </w:rPr>
        <w:t>安装在</w:t>
      </w:r>
      <w:r>
        <w:rPr>
          <w:strike w:val="0"/>
          <w:sz w:val="21"/>
          <w:szCs w:val="21"/>
        </w:rPr>
        <w:t>卫生间</w:t>
      </w:r>
      <w:r>
        <w:rPr>
          <w:rFonts w:hint="default"/>
          <w:strike w:val="0"/>
          <w:sz w:val="21"/>
          <w:szCs w:val="21"/>
          <w:lang w:val="en-US" w:eastAsia="zh-CN"/>
        </w:rPr>
        <w:t>干区</w:t>
      </w:r>
      <w:r>
        <w:rPr>
          <w:rFonts w:hint="default" w:eastAsia="宋体" w:cstheme="minorBidi"/>
          <w:color w:val="auto"/>
          <w:spacing w:val="0"/>
          <w:kern w:val="2"/>
          <w:sz w:val="21"/>
          <w:szCs w:val="21"/>
        </w:rPr>
        <w:t>等潮湿区域</w:t>
      </w:r>
      <w:r>
        <w:rPr>
          <w:rFonts w:hint="eastAsia"/>
          <w:strike w:val="0"/>
          <w:sz w:val="21"/>
          <w:szCs w:val="21"/>
          <w:lang w:val="en-US" w:eastAsia="zh-CN"/>
        </w:rPr>
        <w:t>的</w:t>
      </w:r>
      <w:r>
        <w:rPr>
          <w:strike w:val="0"/>
          <w:sz w:val="21"/>
          <w:szCs w:val="21"/>
        </w:rPr>
        <w:t>室温型温控器</w:t>
      </w:r>
      <w:r>
        <w:rPr>
          <w:rFonts w:hint="eastAsia"/>
          <w:strike w:val="0"/>
          <w:sz w:val="21"/>
          <w:szCs w:val="21"/>
          <w:lang w:eastAsia="zh-CN"/>
        </w:rPr>
        <w:t>，</w:t>
      </w:r>
      <w:r>
        <w:rPr>
          <w:rFonts w:hint="eastAsia"/>
          <w:strike w:val="0"/>
          <w:sz w:val="21"/>
          <w:szCs w:val="21"/>
          <w:lang w:val="en-US" w:eastAsia="zh-CN"/>
        </w:rPr>
        <w:t>其</w:t>
      </w:r>
      <w:r>
        <w:rPr>
          <w:strike w:val="0"/>
          <w:sz w:val="21"/>
          <w:szCs w:val="21"/>
        </w:rPr>
        <w:t>防护等级和设置位置应符合国家现行相关标准的</w:t>
      </w:r>
      <w:r>
        <w:rPr>
          <w:rFonts w:hint="eastAsia"/>
          <w:strike w:val="0"/>
          <w:sz w:val="21"/>
          <w:szCs w:val="21"/>
          <w:lang w:val="en-US" w:eastAsia="zh-CN"/>
        </w:rPr>
        <w:t>规定。</w:t>
      </w:r>
    </w:p>
    <w:p>
      <w:pPr>
        <w:pageBreakBefore w:val="0"/>
        <w:numPr>
          <w:ilvl w:val="0"/>
          <w:numId w:val="60"/>
        </w:numPr>
        <w:wordWrap/>
        <w:overflowPunct/>
        <w:topLinePunct w:val="0"/>
        <w:bidi w:val="0"/>
        <w:spacing w:line="240" w:lineRule="auto"/>
        <w:ind w:left="0" w:leftChars="0" w:firstLine="0" w:firstLineChars="0"/>
        <w:rPr>
          <w:strike w:val="0"/>
          <w:sz w:val="21"/>
          <w:szCs w:val="21"/>
        </w:rPr>
      </w:pPr>
      <w:r>
        <w:rPr>
          <w:strike w:val="0"/>
          <w:sz w:val="21"/>
          <w:szCs w:val="21"/>
        </w:rPr>
        <w:t>温控器设置高度宜距地面1.4m，也可与照明开关在同一水平线上并列设置。</w:t>
      </w:r>
    </w:p>
    <w:p>
      <w:pPr>
        <w:pStyle w:val="105"/>
        <w:pageBreakBefore w:val="0"/>
        <w:wordWrap/>
        <w:overflowPunct/>
        <w:topLinePunct w:val="0"/>
        <w:bidi w:val="0"/>
        <w:spacing w:before="312" w:after="312" w:line="240" w:lineRule="auto"/>
        <w:rPr>
          <w:rFonts w:hint="default" w:hAnsi="Times New Roman" w:cs="Times New Roman"/>
          <w:szCs w:val="21"/>
        </w:rPr>
      </w:pPr>
      <w:bookmarkStart w:id="83" w:name="_Toc32701"/>
      <w:bookmarkStart w:id="84" w:name="_Toc6043"/>
      <w:r>
        <w:rPr>
          <w:rFonts w:hint="eastAsia" w:hAnsi="Times New Roman" w:cs="Times New Roman"/>
          <w:szCs w:val="21"/>
          <w:lang w:val="en-US" w:eastAsia="zh-CN"/>
        </w:rPr>
        <w:t>材料</w:t>
      </w:r>
      <w:bookmarkEnd w:id="59"/>
      <w:bookmarkEnd w:id="83"/>
      <w:bookmarkEnd w:id="84"/>
    </w:p>
    <w:p>
      <w:pPr>
        <w:pStyle w:val="3"/>
        <w:numPr>
          <w:ilvl w:val="0"/>
          <w:numId w:val="62"/>
        </w:numPr>
        <w:bidi w:val="0"/>
        <w:ind w:left="0" w:leftChars="0" w:firstLine="0" w:firstLineChars="0"/>
        <w:rPr>
          <w:rFonts w:hint="eastAsia"/>
        </w:rPr>
      </w:pPr>
      <w:bookmarkStart w:id="85" w:name="_Toc2434"/>
      <w:r>
        <w:t>散热器材料</w:t>
      </w:r>
      <w:bookmarkEnd w:id="85"/>
    </w:p>
    <w:p>
      <w:pPr>
        <w:pageBreakBefore w:val="0"/>
        <w:numPr>
          <w:ilvl w:val="0"/>
          <w:numId w:val="63"/>
        </w:numPr>
        <w:wordWrap/>
        <w:overflowPunct/>
        <w:topLinePunct w:val="0"/>
        <w:bidi w:val="0"/>
        <w:spacing w:line="240" w:lineRule="auto"/>
        <w:ind w:left="0" w:leftChars="0" w:firstLine="0" w:firstLineChars="0"/>
        <w:rPr>
          <w:sz w:val="21"/>
          <w:szCs w:val="21"/>
        </w:rPr>
      </w:pPr>
      <w:bookmarkStart w:id="86" w:name="_Toc6224"/>
      <w:r>
        <w:rPr>
          <w:sz w:val="21"/>
          <w:szCs w:val="21"/>
        </w:rPr>
        <w:t>散热器</w:t>
      </w:r>
      <w:r>
        <w:rPr>
          <w:rFonts w:hint="default"/>
          <w:sz w:val="21"/>
          <w:szCs w:val="21"/>
          <w:lang w:val="en-US" w:eastAsia="zh-CN"/>
        </w:rPr>
        <w:t>宜</w:t>
      </w:r>
      <w:r>
        <w:rPr>
          <w:sz w:val="21"/>
          <w:szCs w:val="21"/>
        </w:rPr>
        <w:t>选用符合绿色建材评价相关标准和技术要求的</w:t>
      </w:r>
      <w:r>
        <w:rPr>
          <w:rFonts w:hint="eastAsia"/>
          <w:sz w:val="21"/>
          <w:szCs w:val="21"/>
        </w:rPr>
        <w:t>产品</w:t>
      </w:r>
      <w:r>
        <w:rPr>
          <w:rFonts w:hint="eastAsia"/>
          <w:sz w:val="21"/>
          <w:szCs w:val="21"/>
          <w:lang w:eastAsia="zh-CN"/>
        </w:rPr>
        <w:t>。</w:t>
      </w:r>
    </w:p>
    <w:p>
      <w:pPr>
        <w:pageBreakBefore w:val="0"/>
        <w:numPr>
          <w:ilvl w:val="0"/>
          <w:numId w:val="63"/>
        </w:numPr>
        <w:wordWrap/>
        <w:overflowPunct/>
        <w:topLinePunct w:val="0"/>
        <w:bidi w:val="0"/>
        <w:spacing w:line="240" w:lineRule="auto"/>
        <w:ind w:left="0" w:leftChars="0" w:firstLine="0" w:firstLineChars="0"/>
        <w:rPr>
          <w:sz w:val="21"/>
          <w:szCs w:val="21"/>
        </w:rPr>
      </w:pPr>
      <w:r>
        <w:rPr>
          <w:sz w:val="21"/>
          <w:szCs w:val="21"/>
        </w:rPr>
        <w:t>应根据供暖系统的压力要求，确定散热器的工作压力，并符合国家现行有关产品标准规定</w:t>
      </w:r>
      <w:r>
        <w:rPr>
          <w:rFonts w:hint="eastAsia"/>
          <w:sz w:val="21"/>
          <w:szCs w:val="21"/>
          <w:lang w:eastAsia="zh-CN"/>
        </w:rPr>
        <w:t>。</w:t>
      </w:r>
    </w:p>
    <w:p>
      <w:pPr>
        <w:pageBreakBefore w:val="0"/>
        <w:numPr>
          <w:ilvl w:val="0"/>
          <w:numId w:val="63"/>
        </w:numPr>
        <w:wordWrap/>
        <w:overflowPunct/>
        <w:topLinePunct w:val="0"/>
        <w:bidi w:val="0"/>
        <w:spacing w:line="240" w:lineRule="auto"/>
        <w:ind w:left="0" w:leftChars="0" w:firstLine="0" w:firstLineChars="0"/>
        <w:rPr>
          <w:sz w:val="21"/>
          <w:szCs w:val="21"/>
        </w:rPr>
      </w:pPr>
      <w:r>
        <w:rPr>
          <w:rFonts w:hint="eastAsia"/>
          <w:sz w:val="21"/>
          <w:szCs w:val="21"/>
        </w:rPr>
        <w:t>钢制散热器应符合下列规定：</w:t>
      </w:r>
    </w:p>
    <w:p>
      <w:pPr>
        <w:pageBreakBefore w:val="0"/>
        <w:numPr>
          <w:ilvl w:val="0"/>
          <w:numId w:val="64"/>
        </w:numPr>
        <w:wordWrap/>
        <w:overflowPunct/>
        <w:topLinePunct w:val="0"/>
        <w:bidi w:val="0"/>
        <w:spacing w:line="240" w:lineRule="auto"/>
        <w:ind w:firstLine="420"/>
        <w:rPr>
          <w:sz w:val="21"/>
          <w:szCs w:val="21"/>
        </w:rPr>
      </w:pPr>
      <w:r>
        <w:rPr>
          <w:rFonts w:hint="eastAsia"/>
          <w:sz w:val="21"/>
          <w:szCs w:val="21"/>
          <w:lang w:val="en-US" w:eastAsia="zh-CN"/>
        </w:rPr>
        <w:t>工作压力不应大于1.0MPa，</w:t>
      </w:r>
      <w:r>
        <w:rPr>
          <w:rFonts w:hint="eastAsia"/>
          <w:sz w:val="21"/>
          <w:szCs w:val="21"/>
        </w:rPr>
        <w:t>且应满</w:t>
      </w:r>
      <w:r>
        <w:rPr>
          <w:rFonts w:hint="eastAsia"/>
          <w:color w:val="auto"/>
          <w:sz w:val="21"/>
          <w:szCs w:val="21"/>
        </w:rPr>
        <w:t>足</w:t>
      </w:r>
      <w:r>
        <w:rPr>
          <w:rFonts w:hint="eastAsia"/>
          <w:color w:val="auto"/>
          <w:sz w:val="21"/>
          <w:szCs w:val="21"/>
          <w:lang w:val="en-US" w:eastAsia="zh-CN"/>
        </w:rPr>
        <w:t>供</w:t>
      </w:r>
      <w:r>
        <w:rPr>
          <w:rFonts w:hint="eastAsia"/>
          <w:color w:val="auto"/>
          <w:sz w:val="21"/>
          <w:szCs w:val="21"/>
        </w:rPr>
        <w:t>暖系统的工</w:t>
      </w:r>
      <w:r>
        <w:rPr>
          <w:rFonts w:hint="eastAsia"/>
          <w:sz w:val="21"/>
          <w:szCs w:val="21"/>
        </w:rPr>
        <w:t>作压力要求；</w:t>
      </w:r>
    </w:p>
    <w:p>
      <w:pPr>
        <w:pageBreakBefore w:val="0"/>
        <w:numPr>
          <w:ilvl w:val="0"/>
          <w:numId w:val="64"/>
        </w:numPr>
        <w:wordWrap/>
        <w:overflowPunct/>
        <w:topLinePunct w:val="0"/>
        <w:bidi w:val="0"/>
        <w:spacing w:line="240" w:lineRule="auto"/>
        <w:ind w:firstLine="420"/>
        <w:rPr>
          <w:sz w:val="21"/>
          <w:szCs w:val="21"/>
        </w:rPr>
      </w:pPr>
      <w:r>
        <w:rPr>
          <w:rFonts w:hint="eastAsia"/>
          <w:sz w:val="21"/>
          <w:szCs w:val="21"/>
        </w:rPr>
        <w:t>标准散热量应大于或等于制造厂明示标准散热量的95%；</w:t>
      </w:r>
    </w:p>
    <w:p>
      <w:pPr>
        <w:pageBreakBefore w:val="0"/>
        <w:numPr>
          <w:ilvl w:val="0"/>
          <w:numId w:val="64"/>
        </w:numPr>
        <w:wordWrap/>
        <w:overflowPunct/>
        <w:topLinePunct w:val="0"/>
        <w:bidi w:val="0"/>
        <w:spacing w:line="240" w:lineRule="auto"/>
        <w:ind w:firstLine="420"/>
        <w:rPr>
          <w:sz w:val="21"/>
          <w:szCs w:val="21"/>
        </w:rPr>
      </w:pPr>
      <w:r>
        <w:rPr>
          <w:rFonts w:hint="eastAsia"/>
          <w:sz w:val="21"/>
          <w:szCs w:val="21"/>
        </w:rPr>
        <w:t>最小金属热强度应符合表6的要求</w:t>
      </w:r>
      <w:r>
        <w:rPr>
          <w:rFonts w:hint="eastAsia"/>
          <w:sz w:val="21"/>
          <w:szCs w:val="21"/>
          <w:lang w:eastAsia="zh-CN"/>
        </w:rPr>
        <w:t>；</w:t>
      </w:r>
    </w:p>
    <w:p>
      <w:pPr>
        <w:pStyle w:val="5"/>
        <w:pageBreakBefore w:val="0"/>
        <w:wordWrap/>
        <w:overflowPunct/>
        <w:topLinePunct w:val="0"/>
        <w:bidi w:val="0"/>
        <w:spacing w:before="120" w:after="120" w:line="240" w:lineRule="auto"/>
        <w:jc w:val="right"/>
        <w:rPr>
          <w:rFonts w:hint="eastAsia"/>
          <w:sz w:val="21"/>
          <w:szCs w:val="21"/>
        </w:rPr>
      </w:pPr>
      <w:r>
        <w:rPr>
          <w:rFonts w:hint="eastAsia"/>
          <w:sz w:val="21"/>
          <w:szCs w:val="21"/>
        </w:rPr>
        <w:t>表6 最小金属热强度</w:t>
      </w:r>
      <w:r>
        <w:rPr>
          <w:rFonts w:hint="eastAsia"/>
          <w:sz w:val="21"/>
          <w:szCs w:val="21"/>
          <w:lang w:val="en-US" w:eastAsia="zh-CN"/>
        </w:rPr>
        <w:t xml:space="preserve">               </w:t>
      </w:r>
      <w:r>
        <w:rPr>
          <w:rFonts w:hint="eastAsia"/>
          <w:sz w:val="21"/>
          <w:szCs w:val="21"/>
        </w:rPr>
        <w:t>（单位：W/（kg·K））</w:t>
      </w:r>
    </w:p>
    <w:tbl>
      <w:tblPr>
        <w:tblStyle w:val="231"/>
        <w:tblW w:w="93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4"/>
        <w:gridCol w:w="1366"/>
        <w:gridCol w:w="1126"/>
        <w:gridCol w:w="1531"/>
        <w:gridCol w:w="1531"/>
        <w:gridCol w:w="1083"/>
        <w:gridCol w:w="13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jc w:val="center"/>
        </w:trPr>
        <w:tc>
          <w:tcPr>
            <w:tcW w:w="1364"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散热器类别</w:t>
            </w:r>
          </w:p>
        </w:tc>
        <w:tc>
          <w:tcPr>
            <w:tcW w:w="1366"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薄壁流道</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钢制柱型和钢管散热器</w:t>
            </w:r>
          </w:p>
        </w:tc>
        <w:tc>
          <w:tcPr>
            <w:tcW w:w="1126"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厚壁流道</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钢制柱型和钢管散热器</w:t>
            </w:r>
          </w:p>
        </w:tc>
        <w:tc>
          <w:tcPr>
            <w:tcW w:w="1531"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薄壁流道钢管</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对流散热器</w:t>
            </w:r>
          </w:p>
        </w:tc>
        <w:tc>
          <w:tcPr>
            <w:tcW w:w="1531"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厚壁流道钢管</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对流散热器</w:t>
            </w:r>
          </w:p>
        </w:tc>
        <w:tc>
          <w:tcPr>
            <w:tcW w:w="1083"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钢制板型</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散热器</w:t>
            </w:r>
          </w:p>
        </w:tc>
        <w:tc>
          <w:tcPr>
            <w:tcW w:w="1344"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钢制卫浴型</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散热器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64"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最小金属</w:t>
            </w:r>
          </w:p>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热强度</w:t>
            </w:r>
          </w:p>
        </w:tc>
        <w:tc>
          <w:tcPr>
            <w:tcW w:w="1366"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0.75</w:t>
            </w:r>
          </w:p>
        </w:tc>
        <w:tc>
          <w:tcPr>
            <w:tcW w:w="1126"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0.50</w:t>
            </w:r>
          </w:p>
        </w:tc>
        <w:tc>
          <w:tcPr>
            <w:tcW w:w="1531" w:type="dxa"/>
            <w:vAlign w:val="center"/>
          </w:tcPr>
          <w:p>
            <w:pPr>
              <w:pageBreakBefore w:val="0"/>
              <w:wordWrap/>
              <w:overflowPunct/>
              <w:topLinePunct w:val="0"/>
              <w:bidi w:val="0"/>
              <w:spacing w:before="37" w:line="240" w:lineRule="auto"/>
              <w:ind w:left="710" w:leftChars="0" w:hanging="710" w:hangingChars="366"/>
              <w:jc w:val="center"/>
              <w:rPr>
                <w:rFonts w:hint="eastAsia" w:ascii="宋体" w:hAnsi="宋体" w:eastAsia="宋体" w:cs="宋体"/>
                <w:spacing w:val="7"/>
                <w:sz w:val="18"/>
                <w:szCs w:val="18"/>
              </w:rPr>
            </w:pPr>
            <w:r>
              <w:rPr>
                <w:rFonts w:hint="eastAsia" w:ascii="宋体" w:hAnsi="宋体" w:eastAsia="宋体" w:cs="宋体"/>
                <w:spacing w:val="7"/>
                <w:sz w:val="18"/>
                <w:szCs w:val="18"/>
              </w:rPr>
              <w:t>0.95</w:t>
            </w:r>
          </w:p>
        </w:tc>
        <w:tc>
          <w:tcPr>
            <w:tcW w:w="1531" w:type="dxa"/>
            <w:vAlign w:val="center"/>
          </w:tcPr>
          <w:p>
            <w:pPr>
              <w:pageBreakBefore w:val="0"/>
              <w:wordWrap/>
              <w:overflowPunct/>
              <w:topLinePunct w:val="0"/>
              <w:bidi w:val="0"/>
              <w:spacing w:before="37" w:line="240" w:lineRule="auto"/>
              <w:ind w:left="710" w:leftChars="0" w:hanging="710" w:hangingChars="366"/>
              <w:jc w:val="center"/>
              <w:rPr>
                <w:rFonts w:hint="eastAsia" w:ascii="宋体" w:hAnsi="宋体" w:eastAsia="宋体" w:cs="宋体"/>
                <w:spacing w:val="7"/>
                <w:sz w:val="18"/>
                <w:szCs w:val="18"/>
              </w:rPr>
            </w:pPr>
            <w:r>
              <w:rPr>
                <w:rFonts w:hint="eastAsia" w:ascii="宋体" w:hAnsi="宋体" w:eastAsia="宋体" w:cs="宋体"/>
                <w:spacing w:val="7"/>
                <w:sz w:val="18"/>
                <w:szCs w:val="18"/>
              </w:rPr>
              <w:t>0.70</w:t>
            </w:r>
          </w:p>
        </w:tc>
        <w:tc>
          <w:tcPr>
            <w:tcW w:w="1083"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0.95</w:t>
            </w:r>
          </w:p>
        </w:tc>
        <w:tc>
          <w:tcPr>
            <w:tcW w:w="1344" w:type="dxa"/>
            <w:vAlign w:val="center"/>
          </w:tcPr>
          <w:p>
            <w:pPr>
              <w:pageBreakBefore w:val="0"/>
              <w:wordWrap/>
              <w:overflowPunct/>
              <w:topLinePunct w:val="0"/>
              <w:bidi w:val="0"/>
              <w:spacing w:before="37" w:line="240" w:lineRule="auto"/>
              <w:jc w:val="center"/>
              <w:rPr>
                <w:rFonts w:hint="eastAsia" w:ascii="宋体" w:hAnsi="宋体" w:eastAsia="宋体" w:cs="宋体"/>
                <w:spacing w:val="7"/>
                <w:sz w:val="18"/>
                <w:szCs w:val="18"/>
              </w:rPr>
            </w:pPr>
            <w:r>
              <w:rPr>
                <w:rFonts w:hint="eastAsia" w:ascii="宋体" w:hAnsi="宋体" w:eastAsia="宋体" w:cs="宋体"/>
                <w:spacing w:val="7"/>
                <w:sz w:val="18"/>
                <w:szCs w:val="18"/>
              </w:rPr>
              <w:t>0.80</w:t>
            </w:r>
          </w:p>
        </w:tc>
      </w:tr>
    </w:tbl>
    <w:p>
      <w:pPr>
        <w:pageBreakBefore w:val="0"/>
        <w:numPr>
          <w:ilvl w:val="0"/>
          <w:numId w:val="64"/>
        </w:numPr>
        <w:wordWrap/>
        <w:overflowPunct/>
        <w:topLinePunct w:val="0"/>
        <w:bidi w:val="0"/>
        <w:spacing w:before="0" w:beforeLines="-2147483648" w:line="240" w:lineRule="auto"/>
        <w:ind w:firstLine="420"/>
        <w:rPr>
          <w:sz w:val="21"/>
          <w:szCs w:val="21"/>
        </w:rPr>
      </w:pPr>
      <w:r>
        <w:rPr>
          <w:rFonts w:hint="eastAsia"/>
          <w:sz w:val="21"/>
          <w:szCs w:val="21"/>
          <w:lang w:val="en-US" w:eastAsia="zh-CN"/>
        </w:rPr>
        <w:t>钢管散热器质量应符合JG/T 148</w:t>
      </w:r>
      <w:r>
        <w:rPr>
          <w:sz w:val="21"/>
          <w:szCs w:val="21"/>
        </w:rPr>
        <w:t>的</w:t>
      </w:r>
      <w:r>
        <w:rPr>
          <w:rFonts w:hint="eastAsia"/>
          <w:sz w:val="21"/>
          <w:szCs w:val="21"/>
          <w:lang w:val="en-US" w:eastAsia="zh-CN"/>
        </w:rPr>
        <w:t>相关规定，</w:t>
      </w:r>
      <w:r>
        <w:rPr>
          <w:rFonts w:hint="eastAsia"/>
          <w:sz w:val="21"/>
          <w:szCs w:val="21"/>
        </w:rPr>
        <w:t>厚壁</w:t>
      </w:r>
      <w:r>
        <w:rPr>
          <w:rFonts w:hint="eastAsia"/>
          <w:sz w:val="21"/>
          <w:szCs w:val="21"/>
          <w:lang w:val="en-US" w:eastAsia="zh-CN"/>
        </w:rPr>
        <w:t>型散热器</w:t>
      </w:r>
      <w:r>
        <w:rPr>
          <w:rFonts w:hint="eastAsia"/>
          <w:sz w:val="21"/>
          <w:szCs w:val="21"/>
        </w:rPr>
        <w:t>成品流道壁厚不应小于1.8mm；薄壁</w:t>
      </w:r>
      <w:r>
        <w:rPr>
          <w:rFonts w:hint="eastAsia"/>
          <w:sz w:val="21"/>
          <w:szCs w:val="21"/>
          <w:lang w:val="en-US" w:eastAsia="zh-CN"/>
        </w:rPr>
        <w:t>型散热器</w:t>
      </w:r>
      <w:r>
        <w:rPr>
          <w:rFonts w:hint="eastAsia"/>
          <w:sz w:val="21"/>
          <w:szCs w:val="21"/>
        </w:rPr>
        <w:t>成品流道壁厚不应小于1.0 mm</w:t>
      </w:r>
      <w:r>
        <w:rPr>
          <w:rFonts w:hint="eastAsia"/>
          <w:sz w:val="21"/>
          <w:szCs w:val="21"/>
          <w:lang w:eastAsia="zh-CN"/>
        </w:rPr>
        <w:t>；</w:t>
      </w:r>
    </w:p>
    <w:p>
      <w:pPr>
        <w:pageBreakBefore w:val="0"/>
        <w:numPr>
          <w:ilvl w:val="0"/>
          <w:numId w:val="64"/>
        </w:numPr>
        <w:wordWrap/>
        <w:overflowPunct/>
        <w:topLinePunct w:val="0"/>
        <w:bidi w:val="0"/>
        <w:spacing w:line="240" w:lineRule="auto"/>
        <w:ind w:firstLine="420"/>
        <w:rPr>
          <w:sz w:val="21"/>
          <w:szCs w:val="21"/>
        </w:rPr>
      </w:pPr>
      <w:r>
        <w:rPr>
          <w:rFonts w:hint="eastAsia"/>
          <w:sz w:val="21"/>
          <w:szCs w:val="21"/>
          <w:lang w:val="en-US" w:eastAsia="zh-CN"/>
        </w:rPr>
        <w:t>钢制</w:t>
      </w:r>
      <w:r>
        <w:rPr>
          <w:rFonts w:hint="eastAsia"/>
          <w:sz w:val="21"/>
          <w:szCs w:val="21"/>
        </w:rPr>
        <w:t>板</w:t>
      </w:r>
      <w:r>
        <w:rPr>
          <w:rFonts w:hint="eastAsia"/>
          <w:sz w:val="21"/>
          <w:szCs w:val="21"/>
          <w:lang w:val="en-US" w:eastAsia="zh-CN"/>
        </w:rPr>
        <w:t>型散热器质量应符合JG/T 2</w:t>
      </w:r>
      <w:r>
        <w:rPr>
          <w:sz w:val="21"/>
          <w:szCs w:val="21"/>
        </w:rPr>
        <w:t>的</w:t>
      </w:r>
      <w:r>
        <w:rPr>
          <w:rFonts w:hint="eastAsia"/>
          <w:sz w:val="21"/>
          <w:szCs w:val="21"/>
          <w:lang w:val="en-US" w:eastAsia="zh-CN"/>
        </w:rPr>
        <w:t>相关规定，</w:t>
      </w:r>
      <w:r>
        <w:rPr>
          <w:rFonts w:hint="eastAsia"/>
          <w:sz w:val="21"/>
          <w:szCs w:val="21"/>
        </w:rPr>
        <w:t>成品流道壁厚不应小于1.0 mm</w:t>
      </w:r>
      <w:r>
        <w:rPr>
          <w:rFonts w:hint="eastAsia"/>
          <w:sz w:val="21"/>
          <w:szCs w:val="21"/>
          <w:lang w:eastAsia="zh-CN"/>
        </w:rPr>
        <w:t>；</w:t>
      </w:r>
    </w:p>
    <w:p>
      <w:pPr>
        <w:pageBreakBefore w:val="0"/>
        <w:numPr>
          <w:ilvl w:val="0"/>
          <w:numId w:val="64"/>
        </w:numPr>
        <w:wordWrap/>
        <w:overflowPunct/>
        <w:topLinePunct w:val="0"/>
        <w:bidi w:val="0"/>
        <w:spacing w:line="240" w:lineRule="auto"/>
        <w:ind w:firstLine="420"/>
        <w:rPr>
          <w:sz w:val="21"/>
          <w:szCs w:val="21"/>
        </w:rPr>
      </w:pPr>
      <w:r>
        <w:rPr>
          <w:rFonts w:hint="eastAsia"/>
          <w:sz w:val="21"/>
          <w:szCs w:val="21"/>
        </w:rPr>
        <w:t>散热器内不应有游离焊渣残留，水流通道最小当量直径不应小于10mm。</w:t>
      </w:r>
    </w:p>
    <w:p>
      <w:pPr>
        <w:pageBreakBefore w:val="0"/>
        <w:numPr>
          <w:ilvl w:val="0"/>
          <w:numId w:val="63"/>
        </w:numPr>
        <w:wordWrap/>
        <w:overflowPunct/>
        <w:topLinePunct w:val="0"/>
        <w:bidi w:val="0"/>
        <w:spacing w:line="240" w:lineRule="auto"/>
        <w:ind w:left="0" w:leftChars="0" w:firstLine="0" w:firstLineChars="0"/>
        <w:rPr>
          <w:sz w:val="21"/>
          <w:szCs w:val="21"/>
        </w:rPr>
      </w:pPr>
      <w:r>
        <w:rPr>
          <w:sz w:val="21"/>
          <w:szCs w:val="21"/>
        </w:rPr>
        <w:t>压铸铝</w:t>
      </w:r>
      <w:r>
        <w:rPr>
          <w:rFonts w:hint="eastAsia"/>
          <w:sz w:val="21"/>
          <w:szCs w:val="21"/>
          <w:lang w:val="en-US" w:eastAsia="zh-CN"/>
        </w:rPr>
        <w:t>合金</w:t>
      </w:r>
      <w:r>
        <w:rPr>
          <w:sz w:val="21"/>
          <w:szCs w:val="21"/>
        </w:rPr>
        <w:t>散热器</w:t>
      </w:r>
      <w:r>
        <w:rPr>
          <w:rFonts w:hint="eastAsia"/>
          <w:sz w:val="21"/>
          <w:szCs w:val="21"/>
          <w:lang w:val="en-US" w:eastAsia="zh-CN"/>
        </w:rPr>
        <w:t>质量</w:t>
      </w:r>
      <w:r>
        <w:rPr>
          <w:sz w:val="21"/>
          <w:szCs w:val="21"/>
        </w:rPr>
        <w:t>应符合</w:t>
      </w:r>
      <w:r>
        <w:rPr>
          <w:rFonts w:hint="eastAsia"/>
          <w:sz w:val="21"/>
          <w:szCs w:val="21"/>
        </w:rPr>
        <w:t>JG/T</w:t>
      </w:r>
      <w:r>
        <w:rPr>
          <w:rFonts w:hint="eastAsia"/>
          <w:sz w:val="21"/>
          <w:szCs w:val="21"/>
          <w:lang w:val="en-US" w:eastAsia="zh-CN"/>
        </w:rPr>
        <w:t xml:space="preserve"> </w:t>
      </w:r>
      <w:r>
        <w:rPr>
          <w:rFonts w:hint="eastAsia"/>
          <w:sz w:val="21"/>
          <w:szCs w:val="21"/>
        </w:rPr>
        <w:t>293</w:t>
      </w:r>
      <w:r>
        <w:rPr>
          <w:sz w:val="21"/>
          <w:szCs w:val="21"/>
        </w:rPr>
        <w:t>的</w:t>
      </w:r>
      <w:r>
        <w:rPr>
          <w:rFonts w:hint="eastAsia"/>
          <w:sz w:val="21"/>
          <w:szCs w:val="21"/>
          <w:lang w:val="en-US" w:eastAsia="zh-CN"/>
        </w:rPr>
        <w:t>相关</w:t>
      </w:r>
      <w:r>
        <w:rPr>
          <w:sz w:val="21"/>
          <w:szCs w:val="21"/>
        </w:rPr>
        <w:t>规定</w:t>
      </w:r>
      <w:r>
        <w:rPr>
          <w:rFonts w:hint="eastAsia"/>
          <w:sz w:val="21"/>
          <w:szCs w:val="21"/>
          <w:lang w:eastAsia="zh-CN"/>
        </w:rPr>
        <w:t>，</w:t>
      </w:r>
      <w:r>
        <w:rPr>
          <w:sz w:val="21"/>
          <w:szCs w:val="21"/>
        </w:rPr>
        <w:t>工作压力不应大于1.0MPa</w:t>
      </w:r>
      <w:r>
        <w:rPr>
          <w:rFonts w:hint="eastAsia"/>
          <w:sz w:val="21"/>
          <w:szCs w:val="21"/>
          <w:lang w:eastAsia="zh-CN"/>
        </w:rPr>
        <w:t>，</w:t>
      </w:r>
      <w:r>
        <w:rPr>
          <w:sz w:val="21"/>
          <w:szCs w:val="21"/>
        </w:rPr>
        <w:t>试验压力应为工作压力的1.5倍</w:t>
      </w:r>
      <w:r>
        <w:rPr>
          <w:rFonts w:hint="eastAsia"/>
          <w:sz w:val="21"/>
          <w:szCs w:val="21"/>
          <w:lang w:eastAsia="zh-CN"/>
        </w:rPr>
        <w:t>，</w:t>
      </w:r>
      <w:r>
        <w:rPr>
          <w:rFonts w:hint="eastAsia"/>
          <w:sz w:val="21"/>
          <w:szCs w:val="21"/>
          <w:lang w:val="en-US" w:eastAsia="zh-CN"/>
        </w:rPr>
        <w:t>还</w:t>
      </w:r>
      <w:r>
        <w:rPr>
          <w:rFonts w:hint="eastAsia"/>
          <w:sz w:val="21"/>
          <w:szCs w:val="21"/>
        </w:rPr>
        <w:t>应符合下列规定：</w:t>
      </w:r>
    </w:p>
    <w:p>
      <w:pPr>
        <w:pageBreakBefore w:val="0"/>
        <w:numPr>
          <w:ilvl w:val="0"/>
          <w:numId w:val="65"/>
        </w:numPr>
        <w:wordWrap/>
        <w:overflowPunct/>
        <w:topLinePunct w:val="0"/>
        <w:bidi w:val="0"/>
        <w:spacing w:line="240" w:lineRule="auto"/>
        <w:ind w:firstLine="420"/>
        <w:rPr>
          <w:sz w:val="21"/>
          <w:szCs w:val="21"/>
        </w:rPr>
      </w:pPr>
      <w:r>
        <w:rPr>
          <w:rFonts w:hint="eastAsia"/>
          <w:sz w:val="21"/>
          <w:szCs w:val="21"/>
        </w:rPr>
        <w:t>整体式散热器壁厚不应小于1.5mm</w:t>
      </w:r>
      <w:r>
        <w:rPr>
          <w:rFonts w:hint="eastAsia"/>
          <w:sz w:val="21"/>
          <w:szCs w:val="21"/>
          <w:lang w:eastAsia="zh-CN"/>
        </w:rPr>
        <w:t>；</w:t>
      </w:r>
    </w:p>
    <w:p>
      <w:pPr>
        <w:pageBreakBefore w:val="0"/>
        <w:numPr>
          <w:ilvl w:val="0"/>
          <w:numId w:val="65"/>
        </w:numPr>
        <w:wordWrap/>
        <w:overflowPunct/>
        <w:topLinePunct w:val="0"/>
        <w:bidi w:val="0"/>
        <w:spacing w:line="240" w:lineRule="auto"/>
        <w:ind w:firstLine="420"/>
        <w:rPr>
          <w:sz w:val="21"/>
          <w:szCs w:val="21"/>
        </w:rPr>
      </w:pPr>
      <w:r>
        <w:rPr>
          <w:rFonts w:hint="eastAsia"/>
          <w:sz w:val="21"/>
          <w:szCs w:val="21"/>
        </w:rPr>
        <w:t>组合式散热器主体水道壁厚不应小于1.4mm</w:t>
      </w:r>
      <w:r>
        <w:rPr>
          <w:rFonts w:hint="eastAsia"/>
          <w:sz w:val="21"/>
          <w:szCs w:val="21"/>
          <w:lang w:eastAsia="zh-CN"/>
        </w:rPr>
        <w:t>；</w:t>
      </w:r>
    </w:p>
    <w:p>
      <w:pPr>
        <w:pageBreakBefore w:val="0"/>
        <w:numPr>
          <w:ilvl w:val="0"/>
          <w:numId w:val="65"/>
        </w:numPr>
        <w:wordWrap/>
        <w:overflowPunct/>
        <w:topLinePunct w:val="0"/>
        <w:bidi w:val="0"/>
        <w:spacing w:line="240" w:lineRule="auto"/>
        <w:ind w:firstLine="420"/>
        <w:rPr>
          <w:rFonts w:hint="eastAsia"/>
          <w:sz w:val="21"/>
          <w:szCs w:val="21"/>
        </w:rPr>
      </w:pPr>
      <w:r>
        <w:rPr>
          <w:rFonts w:hint="eastAsia"/>
          <w:sz w:val="21"/>
          <w:szCs w:val="21"/>
        </w:rPr>
        <w:t>复合式散热器水道采用直缝电焊钢管时，管材壁厚不应小于1.8 mm</w:t>
      </w:r>
      <w:r>
        <w:rPr>
          <w:rFonts w:hint="eastAsia"/>
          <w:sz w:val="21"/>
          <w:szCs w:val="21"/>
          <w:lang w:eastAsia="zh-CN"/>
        </w:rPr>
        <w:t>；</w:t>
      </w:r>
      <w:r>
        <w:rPr>
          <w:rFonts w:hint="eastAsia"/>
          <w:sz w:val="21"/>
          <w:szCs w:val="21"/>
        </w:rPr>
        <w:t>水道采用不锈钢管时，管材壁厚不应小于1.5mm。</w:t>
      </w:r>
    </w:p>
    <w:p>
      <w:pPr>
        <w:pStyle w:val="3"/>
        <w:numPr>
          <w:ilvl w:val="0"/>
          <w:numId w:val="62"/>
        </w:numPr>
        <w:bidi w:val="0"/>
        <w:ind w:left="0" w:leftChars="0" w:firstLine="0" w:firstLineChars="0"/>
        <w:rPr>
          <w:rFonts w:hint="eastAsia"/>
        </w:rPr>
      </w:pPr>
      <w:r>
        <w:rPr>
          <w:rFonts w:hint="default"/>
          <w:lang w:val="en-US" w:eastAsia="zh-CN"/>
        </w:rPr>
        <w:t>地面供暖</w:t>
      </w:r>
      <w:r>
        <w:t>地面</w:t>
      </w:r>
      <w:r>
        <w:rPr>
          <w:rFonts w:hint="default"/>
          <w:lang w:val="en-US" w:eastAsia="zh-CN"/>
        </w:rPr>
        <w:t>构造</w:t>
      </w:r>
      <w:r>
        <w:t>材料</w:t>
      </w:r>
      <w:bookmarkEnd w:id="86"/>
    </w:p>
    <w:p>
      <w:pPr>
        <w:pStyle w:val="4"/>
        <w:numPr>
          <w:ilvl w:val="0"/>
          <w:numId w:val="66"/>
        </w:numPr>
        <w:bidi w:val="0"/>
        <w:ind w:left="0" w:leftChars="0" w:firstLine="0" w:firstLineChars="0"/>
        <w:rPr>
          <w:rFonts w:hint="eastAsia"/>
        </w:rPr>
      </w:pPr>
      <w:r>
        <w:rPr>
          <w:rFonts w:hint="eastAsia"/>
        </w:rPr>
        <w:t>绝热层</w:t>
      </w:r>
    </w:p>
    <w:p>
      <w:pPr>
        <w:pageBreakBefore w:val="0"/>
        <w:numPr>
          <w:ilvl w:val="0"/>
          <w:numId w:val="67"/>
        </w:numPr>
        <w:wordWrap/>
        <w:overflowPunct/>
        <w:topLinePunct w:val="0"/>
        <w:bidi w:val="0"/>
        <w:spacing w:line="240" w:lineRule="auto"/>
        <w:ind w:left="0" w:leftChars="0" w:firstLine="0" w:firstLineChars="0"/>
        <w:rPr>
          <w:sz w:val="21"/>
          <w:szCs w:val="21"/>
        </w:rPr>
      </w:pPr>
      <w:r>
        <w:rPr>
          <w:rFonts w:hint="eastAsia"/>
          <w:sz w:val="21"/>
          <w:szCs w:val="21"/>
        </w:rPr>
        <w:t>应采用导热系数小、符合GB 8624</w:t>
      </w:r>
      <w:r>
        <w:rPr>
          <w:rFonts w:hint="eastAsia"/>
          <w:sz w:val="21"/>
          <w:szCs w:val="21"/>
          <w:lang w:val="en-US" w:eastAsia="zh-CN"/>
        </w:rPr>
        <w:t>相关</w:t>
      </w:r>
      <w:r>
        <w:rPr>
          <w:rFonts w:hint="eastAsia"/>
          <w:sz w:val="21"/>
          <w:szCs w:val="21"/>
        </w:rPr>
        <w:t>规定的难燃或不燃、具有足够承载能力的材料，且不应含有殖菌源，不应有散发异味及可能危害健康的挥发物。</w:t>
      </w:r>
    </w:p>
    <w:p>
      <w:pPr>
        <w:pageBreakBefore w:val="0"/>
        <w:numPr>
          <w:ilvl w:val="0"/>
          <w:numId w:val="67"/>
        </w:numPr>
        <w:wordWrap/>
        <w:overflowPunct/>
        <w:topLinePunct w:val="0"/>
        <w:bidi w:val="0"/>
        <w:spacing w:line="240" w:lineRule="auto"/>
        <w:ind w:left="0" w:leftChars="0" w:firstLine="0" w:firstLineChars="0"/>
        <w:rPr>
          <w:rFonts w:hint="eastAsia"/>
          <w:sz w:val="21"/>
          <w:szCs w:val="21"/>
        </w:rPr>
      </w:pPr>
      <w:r>
        <w:rPr>
          <w:rFonts w:hint="eastAsia"/>
          <w:sz w:val="21"/>
          <w:szCs w:val="21"/>
        </w:rPr>
        <w:t>采用的聚苯乙烯泡沫塑料板材主要技术指标应符合表7的规定。</w:t>
      </w:r>
    </w:p>
    <w:p>
      <w:pPr>
        <w:pStyle w:val="5"/>
        <w:pageBreakBefore w:val="0"/>
        <w:wordWrap/>
        <w:overflowPunct/>
        <w:topLinePunct w:val="0"/>
        <w:bidi w:val="0"/>
        <w:spacing w:before="120" w:after="120" w:line="240" w:lineRule="auto"/>
        <w:jc w:val="center"/>
        <w:rPr>
          <w:rFonts w:hint="eastAsia"/>
          <w:sz w:val="21"/>
          <w:szCs w:val="21"/>
        </w:rPr>
      </w:pPr>
      <w:r>
        <w:rPr>
          <w:rFonts w:hint="eastAsia"/>
          <w:sz w:val="21"/>
          <w:szCs w:val="21"/>
        </w:rPr>
        <w:t>表7</w:t>
      </w:r>
      <w:r>
        <w:rPr>
          <w:rFonts w:hint="eastAsia"/>
          <w:sz w:val="21"/>
          <w:szCs w:val="21"/>
          <w:lang w:val="en-US" w:eastAsia="zh-CN"/>
        </w:rPr>
        <w:t xml:space="preserve"> </w:t>
      </w:r>
      <w:r>
        <w:rPr>
          <w:rFonts w:hint="eastAsia"/>
          <w:sz w:val="21"/>
          <w:szCs w:val="21"/>
        </w:rPr>
        <w:t>聚苯乙烯泡沫塑料板材主要技术指标</w:t>
      </w:r>
    </w:p>
    <w:tbl>
      <w:tblPr>
        <w:tblStyle w:val="231"/>
        <w:tblW w:w="9616"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564"/>
        <w:gridCol w:w="1476"/>
        <w:gridCol w:w="1644"/>
        <w:gridCol w:w="1644"/>
        <w:gridCol w:w="114"/>
        <w:gridCol w:w="1530"/>
        <w:gridCol w:w="164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vMerge w:val="restart"/>
            <w:tcBorders>
              <w:top w:val="single" w:color="231F20" w:sz="6" w:space="0"/>
              <w:left w:val="single" w:color="231F20" w:sz="6"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项目</w:t>
            </w:r>
          </w:p>
        </w:tc>
        <w:tc>
          <w:tcPr>
            <w:tcW w:w="6576" w:type="dxa"/>
            <w:gridSpan w:val="5"/>
            <w:tcBorders>
              <w:top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性能指标</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vMerge w:val="continue"/>
            <w:tcBorders>
              <w:top w:val="nil"/>
              <w:left w:val="single" w:color="231F20" w:sz="6"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p>
        </w:tc>
        <w:tc>
          <w:tcPr>
            <w:tcW w:w="3402" w:type="dxa"/>
            <w:gridSpan w:val="3"/>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模塑</w:t>
            </w:r>
          </w:p>
        </w:tc>
        <w:tc>
          <w:tcPr>
            <w:tcW w:w="3174" w:type="dxa"/>
            <w:gridSpan w:val="2"/>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挤塑</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vMerge w:val="continue"/>
            <w:tcBorders>
              <w:top w:val="nil"/>
              <w:left w:val="single" w:color="231F20" w:sz="6" w:space="0"/>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p>
        </w:tc>
        <w:tc>
          <w:tcPr>
            <w:tcW w:w="1644" w:type="dxa"/>
            <w:tcBorders>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供暖地面绝热层</w:t>
            </w:r>
          </w:p>
        </w:tc>
        <w:tc>
          <w:tcPr>
            <w:tcW w:w="1644" w:type="dxa"/>
            <w:tcBorders>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预制沟槽保温板</w:t>
            </w:r>
          </w:p>
        </w:tc>
        <w:tc>
          <w:tcPr>
            <w:tcW w:w="1644" w:type="dxa"/>
            <w:gridSpan w:val="2"/>
            <w:tcBorders>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供暖地面绝热层</w:t>
            </w:r>
          </w:p>
        </w:tc>
        <w:tc>
          <w:tcPr>
            <w:tcW w:w="1644" w:type="dxa"/>
            <w:tcBorders>
              <w:bottom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预制沟槽保温板</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top w:val="single" w:color="231F20" w:sz="6" w:space="0"/>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类别</w:t>
            </w:r>
          </w:p>
        </w:tc>
        <w:tc>
          <w:tcPr>
            <w:tcW w:w="1644" w:type="dxa"/>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 xml:space="preserve">Ⅱ </w:t>
            </w:r>
            <w:r>
              <w:rPr>
                <w:rFonts w:hint="eastAsia" w:ascii="Times New Roman" w:hAnsi="Times New Roman" w:cs="Times New Roman"/>
                <w:sz w:val="18"/>
                <w:szCs w:val="18"/>
                <w:vertAlign w:val="superscript"/>
              </w:rPr>
              <w:t>a</w:t>
            </w:r>
          </w:p>
        </w:tc>
        <w:tc>
          <w:tcPr>
            <w:tcW w:w="1644" w:type="dxa"/>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 xml:space="preserve">Ⅲ </w:t>
            </w:r>
            <w:r>
              <w:rPr>
                <w:rFonts w:hint="eastAsia" w:ascii="Times New Roman" w:hAnsi="Times New Roman" w:cs="Times New Roman"/>
                <w:sz w:val="18"/>
                <w:szCs w:val="18"/>
                <w:vertAlign w:val="superscript"/>
              </w:rPr>
              <w:t>a</w:t>
            </w:r>
          </w:p>
        </w:tc>
        <w:tc>
          <w:tcPr>
            <w:tcW w:w="1644" w:type="dxa"/>
            <w:gridSpan w:val="2"/>
            <w:tcBorders>
              <w:top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W200</w:t>
            </w:r>
            <w:r>
              <w:rPr>
                <w:rFonts w:hint="eastAsia" w:ascii="Times New Roman" w:hAnsi="Times New Roman" w:cs="Times New Roman"/>
                <w:sz w:val="18"/>
                <w:szCs w:val="18"/>
                <w:vertAlign w:val="superscript"/>
              </w:rPr>
              <w:t>b</w:t>
            </w:r>
          </w:p>
        </w:tc>
        <w:tc>
          <w:tcPr>
            <w:tcW w:w="1644" w:type="dxa"/>
            <w:tcBorders>
              <w:top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X150/W200</w:t>
            </w:r>
            <w:r>
              <w:rPr>
                <w:rFonts w:hint="eastAsia" w:ascii="Times New Roman" w:hAnsi="Times New Roman" w:cs="Times New Roman"/>
                <w:sz w:val="18"/>
                <w:szCs w:val="18"/>
                <w:vertAlign w:val="superscript"/>
              </w:rPr>
              <w:t>b</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表观密度/（kg/m</w:t>
            </w:r>
            <w:r>
              <w:rPr>
                <w:rFonts w:hint="eastAsia" w:ascii="Times New Roman" w:hAnsi="Times New Roman" w:cs="Times New Roman"/>
                <w:sz w:val="18"/>
                <w:szCs w:val="18"/>
                <w:vertAlign w:val="superscript"/>
              </w:rPr>
              <w:t>3</w:t>
            </w:r>
            <w:r>
              <w:rPr>
                <w:rFonts w:hint="eastAsia" w:ascii="Times New Roman" w:hAnsi="Times New Roman" w:cs="Times New Roman"/>
                <w:sz w:val="18"/>
                <w:szCs w:val="18"/>
              </w:rPr>
              <w:t>）</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≥30</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 xml:space="preserve">压缩强度 </w:t>
            </w:r>
            <w:r>
              <w:rPr>
                <w:rFonts w:hint="eastAsia" w:ascii="Times New Roman" w:hAnsi="Times New Roman" w:cs="Times New Roman"/>
                <w:sz w:val="18"/>
                <w:szCs w:val="18"/>
                <w:vertAlign w:val="superscript"/>
              </w:rPr>
              <w:t>c</w:t>
            </w:r>
            <w:r>
              <w:rPr>
                <w:rFonts w:hint="eastAsia" w:ascii="Times New Roman" w:hAnsi="Times New Roman" w:cs="Times New Roman"/>
                <w:sz w:val="18"/>
                <w:szCs w:val="18"/>
              </w:rPr>
              <w:t>/kPa</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≥200</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≥200</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 xml:space="preserve">导热系数 </w:t>
            </w:r>
            <w:r>
              <w:rPr>
                <w:rFonts w:hint="eastAsia" w:ascii="Times New Roman" w:hAnsi="Times New Roman" w:cs="Times New Roman"/>
                <w:sz w:val="18"/>
                <w:szCs w:val="18"/>
                <w:vertAlign w:val="superscript"/>
              </w:rPr>
              <w:t>d</w:t>
            </w:r>
            <w:r>
              <w:rPr>
                <w:rFonts w:hint="eastAsia" w:ascii="Times New Roman" w:hAnsi="Times New Roman" w:cs="Times New Roman"/>
                <w:sz w:val="18"/>
                <w:szCs w:val="18"/>
              </w:rPr>
              <w:t>/［W/（m·K）］</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.037</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.037</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.034</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.034</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尺寸稳定性/ %</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水蒸气透过系数/［ng/（Pa·m·s）］</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≤4 .5</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≤4 .5</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 .5</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 .5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3040"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吸水率（体积分数）/%</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≤4 .0</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 .0</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≤1 .0</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≤1 .0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1564" w:type="dxa"/>
            <w:vMerge w:val="restart"/>
            <w:tcBorders>
              <w:left w:val="single" w:color="231F20" w:sz="6"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熔结性</w:t>
            </w:r>
          </w:p>
        </w:tc>
        <w:tc>
          <w:tcPr>
            <w:tcW w:w="1476"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断裂弯曲负荷</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25</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35</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1564" w:type="dxa"/>
            <w:vMerge w:val="continue"/>
            <w:tcBorders>
              <w:top w:val="nil"/>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p>
        </w:tc>
        <w:tc>
          <w:tcPr>
            <w:tcW w:w="1476"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弯曲变形</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一</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1564" w:type="dxa"/>
            <w:vMerge w:val="restart"/>
            <w:tcBorders>
              <w:left w:val="single" w:color="231F20" w:sz="6"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燃烧性能</w:t>
            </w:r>
          </w:p>
        </w:tc>
        <w:tc>
          <w:tcPr>
            <w:tcW w:w="1476"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氧指数</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≥30</w:t>
            </w:r>
          </w:p>
        </w:tc>
        <w:tc>
          <w:tcPr>
            <w:tcW w:w="1644"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≥30</w:t>
            </w:r>
          </w:p>
        </w:tc>
        <w:tc>
          <w:tcPr>
            <w:tcW w:w="1644" w:type="dxa"/>
            <w:gridSpan w:val="2"/>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644"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1564" w:type="dxa"/>
            <w:vMerge w:val="continue"/>
            <w:tcBorders>
              <w:top w:val="nil"/>
              <w:left w:val="single" w:color="231F20" w:sz="6" w:space="0"/>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p>
        </w:tc>
        <w:tc>
          <w:tcPr>
            <w:tcW w:w="1476" w:type="dxa"/>
            <w:tcBorders>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燃烧分级</w:t>
            </w:r>
          </w:p>
        </w:tc>
        <w:tc>
          <w:tcPr>
            <w:tcW w:w="6576" w:type="dxa"/>
            <w:gridSpan w:val="5"/>
            <w:tcBorders>
              <w:bottom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达到 B1 级</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50" w:hRule="atLeast"/>
          <w:jc w:val="center"/>
        </w:trPr>
        <w:tc>
          <w:tcPr>
            <w:tcW w:w="9616" w:type="dxa"/>
            <w:gridSpan w:val="7"/>
            <w:tcBorders>
              <w:top w:val="single" w:color="231F20" w:sz="6" w:space="0"/>
              <w:left w:val="single" w:color="231F20" w:sz="6" w:space="0"/>
              <w:bottom w:val="single" w:color="231F20" w:sz="6" w:space="0"/>
              <w:right w:val="single" w:color="231F20" w:sz="6" w:space="0"/>
            </w:tcBorders>
          </w:tcPr>
          <w:p>
            <w:pPr>
              <w:pageBreakBefore w:val="0"/>
              <w:numPr>
                <w:ilvl w:val="0"/>
                <w:numId w:val="0"/>
              </w:numPr>
              <w:tabs>
                <w:tab w:val="left" w:pos="0"/>
              </w:tabs>
              <w:wordWrap/>
              <w:overflowPunct/>
              <w:topLinePunct w:val="0"/>
              <w:bidi w:val="0"/>
              <w:spacing w:line="240" w:lineRule="auto"/>
              <w:ind w:leftChars="0"/>
              <w:jc w:val="both"/>
              <w:rPr>
                <w:rFonts w:hint="eastAsia" w:ascii="Times New Roman" w:hAnsi="Times New Roman" w:cs="Times New Roman"/>
                <w:sz w:val="18"/>
                <w:szCs w:val="18"/>
              </w:rPr>
            </w:pPr>
            <w:r>
              <w:rPr>
                <w:rFonts w:hint="eastAsia" w:ascii="Times New Roman" w:hAnsi="Times New Roman" w:cs="Times New Roman"/>
                <w:sz w:val="18"/>
                <w:szCs w:val="18"/>
                <w:lang w:val="en-US" w:eastAsia="zh-CN"/>
              </w:rPr>
              <w:t>注1：</w:t>
            </w:r>
            <w:r>
              <w:rPr>
                <w:rFonts w:hint="eastAsia" w:ascii="Times New Roman" w:hAnsi="Times New Roman" w:cs="Times New Roman"/>
                <w:sz w:val="18"/>
                <w:szCs w:val="18"/>
              </w:rPr>
              <w:t>模塑Ⅱ型密度范围在20~30 kg/m</w:t>
            </w:r>
            <w:r>
              <w:rPr>
                <w:rFonts w:hint="eastAsia" w:ascii="Times New Roman" w:hAnsi="Times New Roman" w:cs="Times New Roman"/>
                <w:sz w:val="18"/>
                <w:szCs w:val="18"/>
                <w:vertAlign w:val="superscript"/>
              </w:rPr>
              <w:t>3</w:t>
            </w:r>
            <w:r>
              <w:rPr>
                <w:rFonts w:hint="eastAsia" w:ascii="Times New Roman" w:hAnsi="Times New Roman" w:cs="Times New Roman"/>
                <w:sz w:val="18"/>
                <w:szCs w:val="18"/>
              </w:rPr>
              <w:t xml:space="preserve"> 之间，Ⅲ型密度范围在30 kg/m</w:t>
            </w:r>
            <w:r>
              <w:rPr>
                <w:rFonts w:hint="eastAsia" w:ascii="Times New Roman" w:hAnsi="Times New Roman" w:cs="Times New Roman"/>
                <w:sz w:val="18"/>
                <w:szCs w:val="18"/>
                <w:vertAlign w:val="superscript"/>
              </w:rPr>
              <w:t>3</w:t>
            </w:r>
            <w:r>
              <w:rPr>
                <w:rFonts w:hint="eastAsia" w:ascii="Times New Roman" w:hAnsi="Times New Roman" w:cs="Times New Roman"/>
                <w:sz w:val="18"/>
                <w:szCs w:val="18"/>
              </w:rPr>
              <w:t>~40 kg/m</w:t>
            </w:r>
            <w:r>
              <w:rPr>
                <w:rFonts w:hint="eastAsia" w:ascii="Times New Roman" w:hAnsi="Times New Roman" w:cs="Times New Roman"/>
                <w:sz w:val="18"/>
                <w:szCs w:val="18"/>
                <w:vertAlign w:val="superscript"/>
              </w:rPr>
              <w:t>3</w:t>
            </w:r>
            <w:r>
              <w:rPr>
                <w:rFonts w:hint="eastAsia" w:ascii="Times New Roman" w:hAnsi="Times New Roman" w:cs="Times New Roman"/>
                <w:sz w:val="18"/>
                <w:szCs w:val="18"/>
              </w:rPr>
              <w:t>之间。</w:t>
            </w:r>
          </w:p>
          <w:p>
            <w:pPr>
              <w:pageBreakBefore w:val="0"/>
              <w:numPr>
                <w:ilvl w:val="0"/>
                <w:numId w:val="0"/>
              </w:numPr>
              <w:tabs>
                <w:tab w:val="left" w:pos="0"/>
              </w:tabs>
              <w:wordWrap/>
              <w:overflowPunct/>
              <w:topLinePunct w:val="0"/>
              <w:bidi w:val="0"/>
              <w:spacing w:line="240" w:lineRule="auto"/>
              <w:ind w:leftChars="0" w:firstLine="180" w:firstLineChars="100"/>
              <w:jc w:val="both"/>
              <w:rPr>
                <w:rFonts w:hint="eastAsia" w:ascii="Times New Roman" w:hAnsi="Times New Roman" w:cs="Times New Roman"/>
                <w:sz w:val="18"/>
                <w:szCs w:val="18"/>
              </w:rPr>
            </w:pPr>
            <w:r>
              <w:rPr>
                <w:rFonts w:hint="eastAsia" w:ascii="Times New Roman" w:hAnsi="Times New Roman" w:cs="Times New Roman"/>
                <w:sz w:val="18"/>
                <w:szCs w:val="18"/>
                <w:lang w:val="en-US" w:eastAsia="zh-CN"/>
              </w:rPr>
              <w:t>2：</w:t>
            </w:r>
            <w:r>
              <w:rPr>
                <w:rFonts w:hint="eastAsia" w:ascii="Times New Roman" w:hAnsi="Times New Roman" w:cs="Times New Roman"/>
                <w:sz w:val="18"/>
                <w:szCs w:val="18"/>
              </w:rPr>
              <w:t>W200 为不带表皮挤塑材料，X150为带表皮挤塑材料。</w:t>
            </w:r>
          </w:p>
          <w:p>
            <w:pPr>
              <w:pageBreakBefore w:val="0"/>
              <w:numPr>
                <w:ilvl w:val="0"/>
                <w:numId w:val="0"/>
              </w:numPr>
              <w:tabs>
                <w:tab w:val="left" w:pos="0"/>
              </w:tabs>
              <w:wordWrap/>
              <w:overflowPunct/>
              <w:topLinePunct w:val="0"/>
              <w:bidi w:val="0"/>
              <w:spacing w:line="240" w:lineRule="auto"/>
              <w:ind w:left="0" w:leftChars="0" w:firstLine="187" w:firstLineChars="104"/>
              <w:jc w:val="both"/>
              <w:rPr>
                <w:rFonts w:hint="eastAsia" w:ascii="Times New Roman" w:hAnsi="Times New Roman" w:cs="Times New Roman"/>
                <w:sz w:val="18"/>
                <w:szCs w:val="18"/>
              </w:rPr>
            </w:pPr>
            <w:r>
              <w:rPr>
                <w:rFonts w:hint="eastAsia" w:ascii="Times New Roman" w:hAnsi="Times New Roman" w:cs="Times New Roman"/>
                <w:sz w:val="18"/>
                <w:szCs w:val="18"/>
                <w:lang w:val="en-US" w:eastAsia="zh-CN"/>
              </w:rPr>
              <w:t>3：</w:t>
            </w:r>
            <w:r>
              <w:rPr>
                <w:rFonts w:hint="eastAsia" w:ascii="Times New Roman" w:hAnsi="Times New Roman" w:cs="Times New Roman"/>
                <w:sz w:val="18"/>
                <w:szCs w:val="18"/>
              </w:rPr>
              <w:t>缩强度是按GB/T 8813</w:t>
            </w:r>
            <w:r>
              <w:rPr>
                <w:rFonts w:hint="eastAsia" w:ascii="Times New Roman" w:hAnsi="Times New Roman" w:cs="Times New Roman"/>
                <w:sz w:val="18"/>
                <w:szCs w:val="18"/>
                <w:lang w:val="en-US" w:eastAsia="zh-CN"/>
              </w:rPr>
              <w:t>相关规定</w:t>
            </w:r>
            <w:r>
              <w:rPr>
                <w:rFonts w:hint="eastAsia" w:ascii="Times New Roman" w:hAnsi="Times New Roman" w:cs="Times New Roman"/>
                <w:sz w:val="18"/>
                <w:szCs w:val="18"/>
              </w:rPr>
              <w:t>的试件尺寸和试验条件下相对形变为10% 的数值。</w:t>
            </w:r>
          </w:p>
          <w:p>
            <w:pPr>
              <w:pageBreakBefore w:val="0"/>
              <w:numPr>
                <w:ilvl w:val="0"/>
                <w:numId w:val="0"/>
              </w:numPr>
              <w:tabs>
                <w:tab w:val="left" w:pos="0"/>
              </w:tabs>
              <w:wordWrap/>
              <w:overflowPunct/>
              <w:topLinePunct w:val="0"/>
              <w:bidi w:val="0"/>
              <w:spacing w:line="240" w:lineRule="auto"/>
              <w:ind w:left="0" w:leftChars="0" w:firstLine="187" w:firstLineChars="104"/>
              <w:jc w:val="both"/>
              <w:rPr>
                <w:rFonts w:hint="eastAsia" w:ascii="Times New Roman" w:hAnsi="Times New Roman" w:cs="Times New Roman"/>
                <w:sz w:val="18"/>
                <w:szCs w:val="18"/>
              </w:rPr>
            </w:pPr>
            <w:r>
              <w:rPr>
                <w:rFonts w:hint="eastAsia" w:ascii="Times New Roman" w:hAnsi="Times New Roman" w:cs="Times New Roman"/>
                <w:sz w:val="18"/>
                <w:szCs w:val="18"/>
                <w:lang w:val="en-US" w:eastAsia="zh-CN"/>
              </w:rPr>
              <w:t>4：</w:t>
            </w:r>
            <w:r>
              <w:rPr>
                <w:rFonts w:hint="eastAsia" w:ascii="Times New Roman" w:hAnsi="Times New Roman" w:cs="Times New Roman"/>
                <w:sz w:val="18"/>
                <w:szCs w:val="18"/>
              </w:rPr>
              <w:t>导热系数为25℃时的数值。</w:t>
            </w:r>
          </w:p>
          <w:p>
            <w:pPr>
              <w:pageBreakBefore w:val="0"/>
              <w:numPr>
                <w:ilvl w:val="0"/>
                <w:numId w:val="0"/>
              </w:numPr>
              <w:tabs>
                <w:tab w:val="left" w:pos="0"/>
              </w:tabs>
              <w:wordWrap/>
              <w:overflowPunct/>
              <w:topLinePunct w:val="0"/>
              <w:bidi w:val="0"/>
              <w:spacing w:line="240" w:lineRule="auto"/>
              <w:ind w:left="0" w:leftChars="0" w:firstLine="187" w:firstLineChars="104"/>
              <w:jc w:val="both"/>
              <w:rPr>
                <w:rFonts w:ascii="Times New Roman" w:hAnsi="Times New Roman" w:cs="Times New Roman"/>
                <w:sz w:val="18"/>
                <w:szCs w:val="18"/>
              </w:rPr>
            </w:pPr>
            <w:r>
              <w:rPr>
                <w:rFonts w:hint="eastAsia" w:ascii="Times New Roman" w:hAnsi="Times New Roman" w:cs="Times New Roman"/>
                <w:sz w:val="18"/>
                <w:szCs w:val="18"/>
                <w:lang w:val="en-US" w:eastAsia="zh-CN"/>
              </w:rPr>
              <w:t>5：</w:t>
            </w:r>
            <w:r>
              <w:rPr>
                <w:rFonts w:hint="eastAsia" w:ascii="Times New Roman" w:hAnsi="Times New Roman" w:cs="Times New Roman"/>
                <w:sz w:val="18"/>
                <w:szCs w:val="18"/>
              </w:rPr>
              <w:t>模塑断裂弯曲负荷或弯曲变形有一项能符合指标要求，熔结性即为合格。</w:t>
            </w:r>
          </w:p>
        </w:tc>
      </w:tr>
    </w:tbl>
    <w:p>
      <w:pPr>
        <w:keepNext w:val="0"/>
        <w:keepLines w:val="0"/>
        <w:pageBreakBefore w:val="0"/>
        <w:widowControl w:val="0"/>
        <w:numPr>
          <w:ilvl w:val="0"/>
          <w:numId w:val="67"/>
        </w:numPr>
        <w:kinsoku/>
        <w:wordWrap/>
        <w:overflowPunct/>
        <w:topLinePunct w:val="0"/>
        <w:autoSpaceDE w:val="0"/>
        <w:autoSpaceDN w:val="0"/>
        <w:bidi w:val="0"/>
        <w:adjustRightInd w:val="0"/>
        <w:snapToGrid w:val="0"/>
        <w:spacing w:line="240" w:lineRule="auto"/>
        <w:ind w:left="0" w:leftChars="0" w:firstLine="0" w:firstLineChars="0"/>
        <w:textAlignment w:val="auto"/>
        <w:rPr>
          <w:strike w:val="0"/>
          <w:color w:val="auto"/>
          <w:sz w:val="21"/>
          <w:szCs w:val="21"/>
        </w:rPr>
      </w:pPr>
      <w:r>
        <w:rPr>
          <w:rFonts w:hint="eastAsia"/>
          <w:strike w:val="0"/>
          <w:sz w:val="21"/>
          <w:szCs w:val="21"/>
        </w:rPr>
        <w:t>预制沟槽保温板及其金属均热层</w:t>
      </w:r>
      <w:r>
        <w:rPr>
          <w:rFonts w:hint="eastAsia"/>
          <w:strike w:val="0"/>
          <w:color w:val="auto"/>
          <w:sz w:val="21"/>
          <w:szCs w:val="21"/>
          <w:lang w:eastAsia="zh-CN"/>
        </w:rPr>
        <w:t>应符合</w:t>
      </w:r>
      <w:r>
        <w:rPr>
          <w:rFonts w:hint="eastAsia"/>
          <w:strike w:val="0"/>
          <w:color w:val="auto"/>
          <w:sz w:val="21"/>
          <w:szCs w:val="21"/>
          <w:lang w:val="en-US" w:eastAsia="zh-CN"/>
        </w:rPr>
        <w:t>JGJ142的相关</w:t>
      </w:r>
      <w:r>
        <w:rPr>
          <w:rFonts w:hint="eastAsia"/>
          <w:strike w:val="0"/>
          <w:color w:val="auto"/>
          <w:sz w:val="21"/>
          <w:szCs w:val="21"/>
          <w:lang w:eastAsia="zh-CN"/>
        </w:rPr>
        <w:t>规定</w:t>
      </w:r>
      <w:r>
        <w:rPr>
          <w:rFonts w:hint="eastAsia"/>
          <w:strike w:val="0"/>
          <w:color w:val="auto"/>
          <w:sz w:val="21"/>
          <w:szCs w:val="21"/>
        </w:rPr>
        <w:t>：</w:t>
      </w:r>
    </w:p>
    <w:p>
      <w:pPr>
        <w:keepNext w:val="0"/>
        <w:keepLines w:val="0"/>
        <w:pageBreakBefore w:val="0"/>
        <w:widowControl w:val="0"/>
        <w:numPr>
          <w:ilvl w:val="0"/>
          <w:numId w:val="67"/>
        </w:numPr>
        <w:kinsoku/>
        <w:wordWrap/>
        <w:overflowPunct/>
        <w:topLinePunct w:val="0"/>
        <w:autoSpaceDE/>
        <w:autoSpaceDN/>
        <w:bidi w:val="0"/>
        <w:adjustRightInd w:val="0"/>
        <w:snapToGrid/>
        <w:spacing w:line="240" w:lineRule="auto"/>
        <w:ind w:left="0" w:leftChars="0" w:firstLine="0" w:firstLineChars="0"/>
        <w:textAlignment w:val="auto"/>
        <w:rPr>
          <w:sz w:val="21"/>
          <w:szCs w:val="21"/>
        </w:rPr>
      </w:pPr>
      <w:r>
        <w:rPr>
          <w:rFonts w:hint="eastAsia"/>
          <w:strike w:val="0"/>
          <w:sz w:val="21"/>
          <w:szCs w:val="21"/>
        </w:rPr>
        <w:t>当采用其他绝热材料时，其技术指标应按表7的规定选用同等效果的绝热材料</w:t>
      </w:r>
      <w:r>
        <w:rPr>
          <w:rFonts w:hint="eastAsia"/>
          <w:sz w:val="21"/>
          <w:szCs w:val="21"/>
        </w:rPr>
        <w:t>。</w:t>
      </w:r>
    </w:p>
    <w:p>
      <w:pPr>
        <w:pageBreakBefore w:val="0"/>
        <w:numPr>
          <w:ilvl w:val="0"/>
          <w:numId w:val="67"/>
        </w:numPr>
        <w:wordWrap/>
        <w:overflowPunct/>
        <w:topLinePunct w:val="0"/>
        <w:bidi w:val="0"/>
        <w:spacing w:line="240" w:lineRule="auto"/>
        <w:ind w:left="0" w:leftChars="0" w:firstLine="0" w:firstLineChars="0"/>
        <w:rPr>
          <w:sz w:val="21"/>
          <w:szCs w:val="21"/>
        </w:rPr>
      </w:pPr>
      <w:r>
        <w:rPr>
          <w:rFonts w:hint="eastAsia"/>
          <w:sz w:val="21"/>
          <w:szCs w:val="21"/>
          <w:lang w:val="en-US" w:eastAsia="zh-CN"/>
        </w:rPr>
        <w:t>预制复合模块</w:t>
      </w:r>
      <w:r>
        <w:rPr>
          <w:rFonts w:hint="eastAsia"/>
          <w:sz w:val="21"/>
          <w:szCs w:val="21"/>
        </w:rPr>
        <w:t>尺寸应与敷设的加热部件外径吻合，且应符合表</w:t>
      </w:r>
      <w:r>
        <w:rPr>
          <w:rFonts w:hint="eastAsia"/>
          <w:sz w:val="21"/>
          <w:szCs w:val="21"/>
          <w:lang w:val="en-US" w:eastAsia="zh-CN"/>
        </w:rPr>
        <w:t>8</w:t>
      </w:r>
      <w:r>
        <w:rPr>
          <w:rFonts w:hint="eastAsia"/>
          <w:sz w:val="21"/>
          <w:szCs w:val="21"/>
        </w:rPr>
        <w:t>的要求。</w:t>
      </w:r>
    </w:p>
    <w:p>
      <w:pPr>
        <w:pStyle w:val="5"/>
        <w:pageBreakBefore w:val="0"/>
        <w:wordWrap/>
        <w:overflowPunct/>
        <w:topLinePunct w:val="0"/>
        <w:bidi w:val="0"/>
        <w:spacing w:before="120" w:after="120" w:line="240" w:lineRule="auto"/>
        <w:jc w:val="center"/>
        <w:rPr>
          <w:rFonts w:hint="eastAsia"/>
          <w:sz w:val="21"/>
          <w:szCs w:val="21"/>
        </w:rPr>
      </w:pPr>
      <w:r>
        <w:rPr>
          <w:rFonts w:hint="eastAsia"/>
          <w:sz w:val="21"/>
          <w:szCs w:val="21"/>
        </w:rPr>
        <w:t>表</w:t>
      </w:r>
      <w:r>
        <w:rPr>
          <w:rFonts w:hint="eastAsia"/>
          <w:sz w:val="21"/>
          <w:szCs w:val="21"/>
          <w:lang w:val="en-US" w:eastAsia="zh-CN"/>
        </w:rPr>
        <w:t>8 预制复合模块</w:t>
      </w:r>
      <w:r>
        <w:rPr>
          <w:rFonts w:hint="eastAsia"/>
          <w:sz w:val="21"/>
          <w:szCs w:val="21"/>
        </w:rPr>
        <w:t>技术指标</w:t>
      </w:r>
    </w:p>
    <w:tbl>
      <w:tblPr>
        <w:tblStyle w:val="231"/>
        <w:tblW w:w="9598"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158"/>
        <w:gridCol w:w="1984"/>
        <w:gridCol w:w="1910"/>
        <w:gridCol w:w="3546"/>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top w:val="single" w:color="231F20" w:sz="6" w:space="0"/>
              <w:left w:val="single" w:color="231F20" w:sz="6" w:space="0"/>
              <w:bottom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项目</w:t>
            </w:r>
          </w:p>
        </w:tc>
        <w:tc>
          <w:tcPr>
            <w:tcW w:w="1910" w:type="dxa"/>
            <w:tcBorders>
              <w:top w:val="single" w:color="231F20" w:sz="6" w:space="0"/>
              <w:bottom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单位</w:t>
            </w:r>
          </w:p>
        </w:tc>
        <w:tc>
          <w:tcPr>
            <w:tcW w:w="3546" w:type="dxa"/>
            <w:tcBorders>
              <w:top w:val="single" w:color="231F20" w:sz="6" w:space="0"/>
              <w:bottom w:val="single" w:color="auto" w:sz="4"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指标</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2158" w:type="dxa"/>
            <w:vMerge w:val="restart"/>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尺寸偏差（EPS）</w:t>
            </w:r>
          </w:p>
        </w:tc>
        <w:tc>
          <w:tcPr>
            <w:tcW w:w="1984"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长度</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mm</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2158" w:type="dxa"/>
            <w:vMerge w:val="continue"/>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p>
        </w:tc>
        <w:tc>
          <w:tcPr>
            <w:tcW w:w="1984"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宽度</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mm</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7" w:hRule="atLeast"/>
          <w:jc w:val="center"/>
        </w:trPr>
        <w:tc>
          <w:tcPr>
            <w:tcW w:w="9598" w:type="dxa"/>
            <w:gridSpan w:val="4"/>
            <w:tcBorders>
              <w:top w:val="single" w:color="auto" w:sz="4" w:space="0"/>
              <w:left w:val="nil"/>
              <w:bottom w:val="single" w:color="auto" w:sz="4" w:space="0"/>
              <w:right w:val="nil"/>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黑体" w:hAnsi="黑体" w:eastAsia="黑体" w:cs="黑体"/>
                <w:sz w:val="21"/>
                <w:szCs w:val="21"/>
              </w:rPr>
              <w:t>表</w:t>
            </w:r>
            <w:r>
              <w:rPr>
                <w:rFonts w:hint="eastAsia" w:ascii="黑体" w:hAnsi="黑体" w:eastAsia="黑体" w:cs="黑体"/>
                <w:sz w:val="21"/>
                <w:szCs w:val="21"/>
                <w:lang w:val="en-US" w:eastAsia="zh-CN"/>
              </w:rPr>
              <w:t>8 预制复合模块</w:t>
            </w:r>
            <w:r>
              <w:rPr>
                <w:rFonts w:hint="eastAsia" w:ascii="黑体" w:hAnsi="黑体" w:eastAsia="黑体" w:cs="黑体"/>
                <w:sz w:val="21"/>
                <w:szCs w:val="21"/>
              </w:rPr>
              <w:t>技术指标</w:t>
            </w:r>
            <w:r>
              <w:rPr>
                <w:rFonts w:hint="eastAsia" w:ascii="黑体" w:hAnsi="黑体" w:eastAsia="黑体" w:cs="黑体"/>
                <w:sz w:val="21"/>
                <w:szCs w:val="21"/>
                <w:lang w:eastAsia="zh-CN"/>
              </w:rPr>
              <w:t>（</w:t>
            </w:r>
            <w:r>
              <w:rPr>
                <w:rFonts w:hint="eastAsia" w:ascii="黑体" w:hAnsi="黑体" w:eastAsia="黑体" w:cs="黑体"/>
                <w:sz w:val="21"/>
                <w:szCs w:val="21"/>
                <w:lang w:val="en-US" w:eastAsia="zh-CN"/>
              </w:rPr>
              <w:t>续）</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项目</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单位</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指标</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2158"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尺寸偏差（EPS）</w:t>
            </w:r>
          </w:p>
        </w:tc>
        <w:tc>
          <w:tcPr>
            <w:tcW w:w="1984"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厚度</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mm</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2158"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bookmarkStart w:id="87" w:name="bookmark42"/>
            <w:bookmarkEnd w:id="87"/>
            <w:r>
              <w:rPr>
                <w:rFonts w:hint="eastAsia" w:ascii="Times New Roman" w:hAnsi="Times New Roman" w:cs="Times New Roman"/>
                <w:sz w:val="18"/>
                <w:szCs w:val="18"/>
              </w:rPr>
              <w:t>尺寸偏差（HIPS）</w:t>
            </w:r>
          </w:p>
        </w:tc>
        <w:tc>
          <w:tcPr>
            <w:tcW w:w="1984"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厚度</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mm</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top w:val="single" w:color="auto" w:sz="4" w:space="0"/>
              <w:left w:val="single" w:color="231F20" w:sz="6"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压缩强度</w:t>
            </w:r>
          </w:p>
        </w:tc>
        <w:tc>
          <w:tcPr>
            <w:tcW w:w="1910" w:type="dxa"/>
            <w:tcBorders>
              <w:top w:val="single" w:color="auto" w:sz="4" w:space="0"/>
              <w:bottom w:val="nil"/>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kPa</w:t>
            </w:r>
          </w:p>
        </w:tc>
        <w:tc>
          <w:tcPr>
            <w:tcW w:w="3546" w:type="dxa"/>
            <w:tcBorders>
              <w:top w:val="single" w:color="auto" w:sz="4" w:space="0"/>
              <w:bottom w:val="nil"/>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≥150</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项目</w:t>
            </w:r>
          </w:p>
        </w:tc>
        <w:tc>
          <w:tcPr>
            <w:tcW w:w="1910"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单位</w:t>
            </w:r>
          </w:p>
        </w:tc>
        <w:tc>
          <w:tcPr>
            <w:tcW w:w="3546" w:type="dxa"/>
            <w:tcBorders>
              <w:top w:val="single" w:color="auto" w:sz="4" w:space="0"/>
              <w:left w:val="single" w:color="auto" w:sz="4" w:space="0"/>
              <w:bottom w:val="single" w:color="auto" w:sz="4" w:space="0"/>
              <w:right w:val="single" w:color="auto" w:sz="4" w:space="0"/>
            </w:tcBorders>
            <w:vAlign w:val="center"/>
          </w:tcPr>
          <w:p>
            <w:pPr>
              <w:pageBreakBefore w:val="0"/>
              <w:wordWrap/>
              <w:overflowPunct/>
              <w:topLinePunct w:val="0"/>
              <w:bidi w:val="0"/>
              <w:spacing w:line="240" w:lineRule="auto"/>
              <w:jc w:val="center"/>
              <w:rPr>
                <w:rFonts w:hint="eastAsia" w:ascii="Times New Roman" w:hAnsi="Times New Roman" w:cs="Times New Roman"/>
                <w:sz w:val="18"/>
                <w:szCs w:val="18"/>
              </w:rPr>
            </w:pPr>
            <w:r>
              <w:rPr>
                <w:rFonts w:hint="eastAsia" w:ascii="Times New Roman" w:hAnsi="Times New Roman" w:cs="Times New Roman"/>
                <w:sz w:val="18"/>
                <w:szCs w:val="18"/>
              </w:rPr>
              <w:t>指标</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top w:val="single" w:color="auto" w:sz="4" w:space="0"/>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导热系数（平均温度25 ℃±2 ℃）</w:t>
            </w:r>
          </w:p>
        </w:tc>
        <w:tc>
          <w:tcPr>
            <w:tcW w:w="1910" w:type="dxa"/>
            <w:tcBorders>
              <w:top w:val="single" w:color="auto" w:sz="4"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W/（m·K）</w:t>
            </w:r>
          </w:p>
        </w:tc>
        <w:tc>
          <w:tcPr>
            <w:tcW w:w="3546" w:type="dxa"/>
            <w:tcBorders>
              <w:top w:val="single" w:color="auto" w:sz="4"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.037</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吸水率（v/v）</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&lt;2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水蒸气透过系数</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ng/（Pa·m·s）</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≤4 .5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 xml:space="preserve">尺寸稳定性（23 ℃±2 ℃ , </w:t>
            </w:r>
          </w:p>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相对湿度 90%，48 h）</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燃烧性能</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B1</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甲醛</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mg/m3</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.05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TVOC</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mg/m3</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≤0 .5</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2" w:hRule="atLeast"/>
          <w:jc w:val="center"/>
        </w:trPr>
        <w:tc>
          <w:tcPr>
            <w:tcW w:w="4142" w:type="dxa"/>
            <w:gridSpan w:val="2"/>
            <w:tcBorders>
              <w:lef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外观</w:t>
            </w:r>
          </w:p>
        </w:tc>
        <w:tc>
          <w:tcPr>
            <w:tcW w:w="1910" w:type="dxa"/>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3546" w:type="dxa"/>
            <w:tcBorders>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lang w:val="en-US" w:eastAsia="zh-CN"/>
              </w:rPr>
              <w:t>模块</w:t>
            </w:r>
            <w:r>
              <w:rPr>
                <w:rFonts w:hint="eastAsia" w:ascii="Times New Roman" w:hAnsi="Times New Roman" w:cs="Times New Roman"/>
                <w:sz w:val="18"/>
                <w:szCs w:val="18"/>
              </w:rPr>
              <w:t>不</w:t>
            </w:r>
            <w:r>
              <w:rPr>
                <w:rFonts w:hint="eastAsia" w:ascii="Times New Roman" w:hAnsi="Times New Roman" w:cs="Times New Roman"/>
                <w:sz w:val="18"/>
                <w:szCs w:val="18"/>
                <w:lang w:val="en-US" w:eastAsia="zh-CN"/>
              </w:rPr>
              <w:t>应</w:t>
            </w:r>
            <w:r>
              <w:rPr>
                <w:rFonts w:hint="eastAsia" w:ascii="Times New Roman" w:hAnsi="Times New Roman" w:cs="Times New Roman"/>
                <w:sz w:val="18"/>
                <w:szCs w:val="18"/>
              </w:rPr>
              <w:t>有明显裂痕、</w:t>
            </w:r>
            <w:r>
              <w:rPr>
                <w:rFonts w:hint="eastAsia" w:ascii="Times New Roman" w:hAnsi="Times New Roman" w:cs="Times New Roman"/>
                <w:sz w:val="18"/>
                <w:szCs w:val="18"/>
                <w:lang w:val="en-US" w:eastAsia="zh-CN"/>
              </w:rPr>
              <w:t>缺失、</w:t>
            </w:r>
            <w:r>
              <w:rPr>
                <w:rFonts w:hint="eastAsia" w:ascii="Times New Roman" w:hAnsi="Times New Roman" w:cs="Times New Roman"/>
                <w:sz w:val="18"/>
                <w:szCs w:val="18"/>
              </w:rPr>
              <w:t xml:space="preserve"> 色 差 ；边 角 破 损 不 超 过 25 mm；搭 边 处 不 能 有 破 损 ； HIPS 吸覆应完整且均匀，杜绝吸覆失败</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jc w:val="center"/>
        </w:trPr>
        <w:tc>
          <w:tcPr>
            <w:tcW w:w="4142" w:type="dxa"/>
            <w:gridSpan w:val="2"/>
            <w:tcBorders>
              <w:left w:val="single" w:color="231F20" w:sz="6" w:space="0"/>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长期使用温度</w:t>
            </w:r>
          </w:p>
        </w:tc>
        <w:tc>
          <w:tcPr>
            <w:tcW w:w="1910" w:type="dxa"/>
            <w:tcBorders>
              <w:bottom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3546" w:type="dxa"/>
            <w:tcBorders>
              <w:bottom w:val="single" w:color="231F20" w:sz="6" w:space="0"/>
              <w:right w:val="single" w:color="231F20" w:sz="6" w:space="0"/>
            </w:tcBorders>
            <w:vAlign w:val="center"/>
          </w:tcPr>
          <w:p>
            <w:pPr>
              <w:pageBreakBefore w:val="0"/>
              <w:wordWrap/>
              <w:overflowPunct/>
              <w:topLinePunct w:val="0"/>
              <w:bidi w:val="0"/>
              <w:spacing w:line="240" w:lineRule="auto"/>
              <w:jc w:val="center"/>
              <w:rPr>
                <w:rFonts w:ascii="Times New Roman" w:hAnsi="Times New Roman" w:cs="Times New Roman"/>
                <w:sz w:val="18"/>
                <w:szCs w:val="18"/>
              </w:rPr>
            </w:pPr>
            <w:r>
              <w:rPr>
                <w:rFonts w:hint="eastAsia" w:ascii="Times New Roman" w:hAnsi="Times New Roman" w:cs="Times New Roman"/>
                <w:sz w:val="18"/>
                <w:szCs w:val="18"/>
              </w:rPr>
              <w:t>≤75</w:t>
            </w:r>
          </w:p>
        </w:tc>
      </w:tr>
    </w:tbl>
    <w:p>
      <w:pPr>
        <w:pStyle w:val="4"/>
        <w:numPr>
          <w:ilvl w:val="0"/>
          <w:numId w:val="66"/>
        </w:numPr>
        <w:bidi w:val="0"/>
        <w:ind w:left="0" w:leftChars="0" w:firstLine="0" w:firstLineChars="0"/>
        <w:rPr>
          <w:rFonts w:hint="eastAsia"/>
        </w:rPr>
      </w:pPr>
      <w:r>
        <w:rPr>
          <w:rFonts w:hint="eastAsia"/>
        </w:rPr>
        <w:t>填充层</w:t>
      </w:r>
    </w:p>
    <w:p>
      <w:pPr>
        <w:pStyle w:val="13"/>
        <w:keepNext w:val="0"/>
        <w:keepLines w:val="0"/>
        <w:pageBreakBefore w:val="0"/>
        <w:widowControl w:val="0"/>
        <w:numPr>
          <w:ilvl w:val="0"/>
          <w:numId w:val="68"/>
        </w:numPr>
        <w:kinsoku/>
        <w:wordWrap/>
        <w:overflowPunct/>
        <w:topLinePunct w:val="0"/>
        <w:autoSpaceDE/>
        <w:autoSpaceDN/>
        <w:bidi w:val="0"/>
        <w:adjustRightInd w:val="0"/>
        <w:snapToGrid/>
        <w:spacing w:after="0" w:line="240" w:lineRule="auto"/>
        <w:ind w:left="0" w:leftChars="0" w:firstLine="0" w:firstLineChars="0"/>
        <w:textAlignment w:val="auto"/>
        <w:rPr>
          <w:rFonts w:hAnsi="Calibri"/>
          <w:sz w:val="21"/>
          <w:szCs w:val="21"/>
        </w:rPr>
      </w:pPr>
      <w:r>
        <w:rPr>
          <w:rFonts w:hAnsi="Calibri"/>
          <w:sz w:val="21"/>
          <w:szCs w:val="21"/>
        </w:rPr>
        <w:t>豆石混凝土填充层强度等级宜为C20，豆石粒径宜为5</w:t>
      </w:r>
      <w:r>
        <w:rPr>
          <w:rFonts w:hint="eastAsia" w:ascii="Times New Roman" w:hAnsi="Times New Roman" w:cs="Times New Roman"/>
          <w:sz w:val="21"/>
          <w:szCs w:val="21"/>
        </w:rPr>
        <w:t>~</w:t>
      </w:r>
      <w:r>
        <w:rPr>
          <w:rFonts w:hAnsi="Calibri"/>
          <w:sz w:val="21"/>
          <w:szCs w:val="21"/>
        </w:rPr>
        <w:t>12 mm。</w:t>
      </w:r>
    </w:p>
    <w:p>
      <w:pPr>
        <w:pStyle w:val="13"/>
        <w:keepNext w:val="0"/>
        <w:keepLines w:val="0"/>
        <w:pageBreakBefore w:val="0"/>
        <w:widowControl w:val="0"/>
        <w:numPr>
          <w:ilvl w:val="0"/>
          <w:numId w:val="68"/>
        </w:numPr>
        <w:kinsoku/>
        <w:wordWrap/>
        <w:overflowPunct/>
        <w:topLinePunct w:val="0"/>
        <w:autoSpaceDE/>
        <w:autoSpaceDN/>
        <w:bidi w:val="0"/>
        <w:adjustRightInd w:val="0"/>
        <w:snapToGrid/>
        <w:spacing w:after="0" w:line="240" w:lineRule="auto"/>
        <w:ind w:left="0" w:leftChars="0" w:firstLine="0" w:firstLineChars="0"/>
        <w:textAlignment w:val="auto"/>
        <w:rPr>
          <w:rFonts w:hAnsi="Calibri"/>
          <w:sz w:val="21"/>
          <w:szCs w:val="21"/>
        </w:rPr>
      </w:pPr>
      <w:r>
        <w:rPr>
          <w:rFonts w:hAnsi="Calibri"/>
          <w:sz w:val="21"/>
          <w:szCs w:val="21"/>
        </w:rPr>
        <w:t>水泥砂浆填充层</w:t>
      </w:r>
      <w:r>
        <w:rPr>
          <w:rFonts w:hint="eastAsia" w:hAnsi="Calibri"/>
          <w:sz w:val="21"/>
          <w:szCs w:val="21"/>
          <w:lang w:eastAsia="zh-CN"/>
        </w:rPr>
        <w:t>应符合下列规定</w:t>
      </w:r>
      <w:r>
        <w:rPr>
          <w:rFonts w:hAnsi="Calibri"/>
          <w:sz w:val="21"/>
          <w:szCs w:val="21"/>
        </w:rPr>
        <w:t>：</w:t>
      </w:r>
    </w:p>
    <w:p>
      <w:pPr>
        <w:pStyle w:val="13"/>
        <w:keepNext w:val="0"/>
        <w:keepLines w:val="0"/>
        <w:pageBreakBefore w:val="0"/>
        <w:widowControl w:val="0"/>
        <w:numPr>
          <w:ilvl w:val="0"/>
          <w:numId w:val="69"/>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应选用中粗砂水泥，且含泥量不应大于5%；</w:t>
      </w:r>
    </w:p>
    <w:p>
      <w:pPr>
        <w:pStyle w:val="13"/>
        <w:keepNext w:val="0"/>
        <w:keepLines w:val="0"/>
        <w:pageBreakBefore w:val="0"/>
        <w:widowControl w:val="0"/>
        <w:numPr>
          <w:ilvl w:val="0"/>
          <w:numId w:val="69"/>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宜选用硅酸盐水泥或矿渣硅酸盐水泥；</w:t>
      </w:r>
    </w:p>
    <w:p>
      <w:pPr>
        <w:pStyle w:val="13"/>
        <w:keepNext w:val="0"/>
        <w:keepLines w:val="0"/>
        <w:pageBreakBefore w:val="0"/>
        <w:widowControl w:val="0"/>
        <w:numPr>
          <w:ilvl w:val="0"/>
          <w:numId w:val="69"/>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水泥砂浆体积比不应小于1∶3；</w:t>
      </w:r>
    </w:p>
    <w:p>
      <w:pPr>
        <w:pStyle w:val="13"/>
        <w:keepNext w:val="0"/>
        <w:keepLines w:val="0"/>
        <w:pageBreakBefore w:val="0"/>
        <w:widowControl w:val="0"/>
        <w:numPr>
          <w:ilvl w:val="0"/>
          <w:numId w:val="69"/>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强度等级不应低于M10。</w:t>
      </w:r>
    </w:p>
    <w:p>
      <w:pPr>
        <w:pStyle w:val="13"/>
        <w:keepNext w:val="0"/>
        <w:keepLines w:val="0"/>
        <w:pageBreakBefore w:val="0"/>
        <w:widowControl w:val="0"/>
        <w:numPr>
          <w:ilvl w:val="0"/>
          <w:numId w:val="68"/>
        </w:numPr>
        <w:kinsoku/>
        <w:wordWrap/>
        <w:overflowPunct/>
        <w:topLinePunct w:val="0"/>
        <w:autoSpaceDE/>
        <w:autoSpaceDN/>
        <w:bidi w:val="0"/>
        <w:adjustRightInd w:val="0"/>
        <w:snapToGrid/>
        <w:spacing w:after="0" w:line="240" w:lineRule="auto"/>
        <w:ind w:left="0" w:leftChars="0" w:firstLine="0" w:firstLineChars="0"/>
        <w:textAlignment w:val="auto"/>
        <w:rPr>
          <w:rFonts w:hint="default" w:hAnsi="Calibri"/>
          <w:sz w:val="21"/>
          <w:szCs w:val="21"/>
        </w:rPr>
      </w:pPr>
      <w:r>
        <w:rPr>
          <w:rFonts w:hint="default" w:hAnsi="Calibri"/>
          <w:sz w:val="21"/>
          <w:szCs w:val="21"/>
        </w:rPr>
        <w:t>石膏基砂浆填充层应符合下列规定：</w:t>
      </w:r>
    </w:p>
    <w:p>
      <w:pPr>
        <w:pStyle w:val="13"/>
        <w:keepNext w:val="0"/>
        <w:keepLines w:val="0"/>
        <w:pageBreakBefore w:val="0"/>
        <w:widowControl w:val="0"/>
        <w:numPr>
          <w:ilvl w:val="0"/>
          <w:numId w:val="70"/>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重金属含量符合GB 18582对腻子的相关规定；</w:t>
      </w:r>
    </w:p>
    <w:p>
      <w:pPr>
        <w:pStyle w:val="13"/>
        <w:keepNext w:val="0"/>
        <w:keepLines w:val="0"/>
        <w:pageBreakBefore w:val="0"/>
        <w:widowControl w:val="0"/>
        <w:numPr>
          <w:ilvl w:val="0"/>
          <w:numId w:val="70"/>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水溶性氯离子</w:t>
      </w:r>
      <w:r>
        <w:rPr>
          <w:rFonts w:hint="eastAsia" w:hAnsi="Calibri"/>
          <w:sz w:val="21"/>
          <w:szCs w:val="21"/>
          <w:lang w:val="en-US" w:eastAsia="zh-CN"/>
        </w:rPr>
        <w:t>含量</w:t>
      </w:r>
      <w:r>
        <w:rPr>
          <w:rFonts w:hint="default" w:hAnsi="Calibri"/>
          <w:sz w:val="21"/>
          <w:szCs w:val="21"/>
          <w:lang w:val="en-US" w:eastAsia="zh-CN"/>
        </w:rPr>
        <w:t>不大于</w:t>
      </w:r>
      <w:r>
        <w:rPr>
          <w:rFonts w:hAnsi="Calibri"/>
          <w:sz w:val="21"/>
          <w:szCs w:val="21"/>
        </w:rPr>
        <w:t>0.006%，水溶性氧化钠含量</w:t>
      </w:r>
      <w:r>
        <w:rPr>
          <w:rFonts w:hint="default" w:hAnsi="Calibri"/>
          <w:sz w:val="21"/>
          <w:szCs w:val="21"/>
          <w:lang w:val="en-US" w:eastAsia="zh-CN"/>
        </w:rPr>
        <w:t>不大于</w:t>
      </w:r>
      <w:r>
        <w:rPr>
          <w:rFonts w:hAnsi="Calibri"/>
          <w:sz w:val="21"/>
          <w:szCs w:val="21"/>
        </w:rPr>
        <w:t>0.06%；</w:t>
      </w:r>
    </w:p>
    <w:p>
      <w:pPr>
        <w:pStyle w:val="13"/>
        <w:keepNext w:val="0"/>
        <w:keepLines w:val="0"/>
        <w:pageBreakBefore w:val="0"/>
        <w:widowControl w:val="0"/>
        <w:numPr>
          <w:ilvl w:val="0"/>
          <w:numId w:val="70"/>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28d绝干抗压强度</w:t>
      </w:r>
      <w:r>
        <w:rPr>
          <w:rFonts w:hint="eastAsia" w:hAnsi="Calibri"/>
          <w:sz w:val="21"/>
          <w:szCs w:val="21"/>
          <w:lang w:val="en-US" w:eastAsia="zh-CN"/>
        </w:rPr>
        <w:t>不小于</w:t>
      </w:r>
      <w:r>
        <w:rPr>
          <w:rFonts w:hAnsi="Calibri"/>
          <w:sz w:val="21"/>
          <w:szCs w:val="21"/>
        </w:rPr>
        <w:t>20MPa，28d绝干抗折强度</w:t>
      </w:r>
      <w:r>
        <w:rPr>
          <w:rFonts w:hint="eastAsia" w:hAnsi="Calibri"/>
          <w:sz w:val="21"/>
          <w:szCs w:val="21"/>
          <w:lang w:val="en-US" w:eastAsia="zh-CN"/>
        </w:rPr>
        <w:t>不小于</w:t>
      </w:r>
      <w:r>
        <w:rPr>
          <w:rFonts w:hAnsi="Calibri"/>
          <w:sz w:val="21"/>
          <w:szCs w:val="21"/>
        </w:rPr>
        <w:t>5MPa；</w:t>
      </w:r>
    </w:p>
    <w:p>
      <w:pPr>
        <w:pStyle w:val="13"/>
        <w:keepNext w:val="0"/>
        <w:keepLines w:val="0"/>
        <w:pageBreakBefore w:val="0"/>
        <w:widowControl w:val="0"/>
        <w:numPr>
          <w:ilvl w:val="0"/>
          <w:numId w:val="70"/>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Ansi="Calibri"/>
          <w:sz w:val="21"/>
          <w:szCs w:val="21"/>
        </w:rPr>
        <w:t>不含磷石膏，建筑石膏选用4.0等级。</w:t>
      </w:r>
    </w:p>
    <w:p>
      <w:pPr>
        <w:pStyle w:val="4"/>
        <w:numPr>
          <w:ilvl w:val="0"/>
          <w:numId w:val="66"/>
        </w:numPr>
        <w:bidi w:val="0"/>
        <w:ind w:left="0" w:leftChars="0" w:firstLine="0" w:firstLineChars="0"/>
        <w:rPr>
          <w:rFonts w:hint="eastAsia"/>
        </w:rPr>
      </w:pPr>
      <w:r>
        <w:rPr>
          <w:rFonts w:hint="eastAsia"/>
          <w:lang w:val="en-US" w:eastAsia="zh-CN"/>
        </w:rPr>
        <w:t>加热管</w:t>
      </w:r>
    </w:p>
    <w:p>
      <w:pPr>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leftChars="0" w:firstLine="0" w:firstLineChars="0"/>
        <w:textAlignment w:val="auto"/>
        <w:rPr>
          <w:sz w:val="21"/>
          <w:szCs w:val="21"/>
        </w:rPr>
      </w:pPr>
      <w:bookmarkStart w:id="88" w:name="_Toc24642"/>
      <w:r>
        <w:rPr>
          <w:rFonts w:hint="eastAsia"/>
          <w:sz w:val="21"/>
          <w:szCs w:val="21"/>
        </w:rPr>
        <w:t>应满足设计使用寿命、施工和环保性能要求，管道质量应符合GB/T 28799. 1和GB/T 18997. 2的</w:t>
      </w:r>
      <w:r>
        <w:rPr>
          <w:rFonts w:hint="eastAsia"/>
          <w:sz w:val="21"/>
          <w:szCs w:val="21"/>
          <w:lang w:val="en-US" w:eastAsia="zh-CN"/>
        </w:rPr>
        <w:t>相关</w:t>
      </w:r>
      <w:r>
        <w:rPr>
          <w:rFonts w:hint="eastAsia"/>
          <w:sz w:val="21"/>
          <w:szCs w:val="21"/>
        </w:rPr>
        <w:t>规定；</w:t>
      </w:r>
    </w:p>
    <w:p>
      <w:pPr>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leftChars="0" w:firstLine="0" w:firstLineChars="0"/>
        <w:textAlignment w:val="auto"/>
        <w:rPr>
          <w:sz w:val="21"/>
          <w:szCs w:val="21"/>
        </w:rPr>
      </w:pPr>
      <w:r>
        <w:rPr>
          <w:rFonts w:hint="eastAsia"/>
          <w:sz w:val="21"/>
          <w:szCs w:val="21"/>
        </w:rPr>
        <w:t>设计压力不应小于0. 4 MPa；使用条件应满足GB/T 18991 中的4级；</w:t>
      </w:r>
    </w:p>
    <w:p>
      <w:pPr>
        <w:keepNext w:val="0"/>
        <w:keepLines w:val="0"/>
        <w:pageBreakBefore w:val="0"/>
        <w:widowControl w:val="0"/>
        <w:numPr>
          <w:ilvl w:val="0"/>
          <w:numId w:val="71"/>
        </w:numPr>
        <w:kinsoku/>
        <w:wordWrap/>
        <w:overflowPunct/>
        <w:topLinePunct w:val="0"/>
        <w:autoSpaceDE/>
        <w:autoSpaceDN/>
        <w:bidi w:val="0"/>
        <w:adjustRightInd w:val="0"/>
        <w:snapToGrid/>
        <w:spacing w:line="240" w:lineRule="auto"/>
        <w:ind w:left="0" w:leftChars="0" w:firstLine="0" w:firstLineChars="0"/>
        <w:textAlignment w:val="auto"/>
        <w:rPr>
          <w:sz w:val="21"/>
          <w:szCs w:val="21"/>
        </w:rPr>
      </w:pPr>
      <w:r>
        <w:rPr>
          <w:rFonts w:hint="eastAsia"/>
          <w:sz w:val="21"/>
          <w:szCs w:val="21"/>
        </w:rPr>
        <w:t>外表面应光滑、平整、干净、无明显划痕、凹陷、气泡等缺陷，且应具有下列资料：</w:t>
      </w:r>
    </w:p>
    <w:p>
      <w:pPr>
        <w:pStyle w:val="13"/>
        <w:keepNext w:val="0"/>
        <w:keepLines w:val="0"/>
        <w:pageBreakBefore w:val="0"/>
        <w:widowControl w:val="0"/>
        <w:numPr>
          <w:ilvl w:val="0"/>
          <w:numId w:val="72"/>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int="default" w:hAnsi="Calibri"/>
          <w:sz w:val="21"/>
          <w:szCs w:val="21"/>
        </w:rPr>
        <w:t>有效期内的管材型式检验报告或</w:t>
      </w:r>
      <w:r>
        <w:rPr>
          <w:rFonts w:hint="eastAsia" w:hAnsi="Calibri"/>
          <w:sz w:val="21"/>
          <w:szCs w:val="21"/>
          <w:lang w:val="en-US" w:eastAsia="zh-CN"/>
        </w:rPr>
        <w:t>有效的</w:t>
      </w:r>
      <w:r>
        <w:rPr>
          <w:rFonts w:hint="default" w:hAnsi="Calibri"/>
          <w:sz w:val="21"/>
          <w:szCs w:val="21"/>
        </w:rPr>
        <w:t>第三方检测报告；</w:t>
      </w:r>
    </w:p>
    <w:p>
      <w:pPr>
        <w:pStyle w:val="13"/>
        <w:keepNext w:val="0"/>
        <w:keepLines w:val="0"/>
        <w:pageBreakBefore w:val="0"/>
        <w:widowControl w:val="0"/>
        <w:numPr>
          <w:ilvl w:val="0"/>
          <w:numId w:val="72"/>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int="default" w:hAnsi="Calibri"/>
          <w:sz w:val="21"/>
          <w:szCs w:val="21"/>
        </w:rPr>
        <w:t>出厂检测报告及产品合格证；</w:t>
      </w:r>
    </w:p>
    <w:p>
      <w:pPr>
        <w:pStyle w:val="13"/>
        <w:keepNext w:val="0"/>
        <w:keepLines w:val="0"/>
        <w:pageBreakBefore w:val="0"/>
        <w:widowControl w:val="0"/>
        <w:numPr>
          <w:ilvl w:val="0"/>
          <w:numId w:val="72"/>
        </w:numPr>
        <w:kinsoku/>
        <w:wordWrap/>
        <w:overflowPunct/>
        <w:topLinePunct w:val="0"/>
        <w:autoSpaceDE/>
        <w:autoSpaceDN/>
        <w:bidi w:val="0"/>
        <w:adjustRightInd w:val="0"/>
        <w:snapToGrid/>
        <w:spacing w:after="0" w:line="240" w:lineRule="auto"/>
        <w:ind w:firstLine="420"/>
        <w:textAlignment w:val="auto"/>
        <w:rPr>
          <w:rFonts w:hAnsi="Calibri"/>
          <w:sz w:val="21"/>
          <w:szCs w:val="21"/>
        </w:rPr>
      </w:pPr>
      <w:r>
        <w:rPr>
          <w:rFonts w:hint="default" w:hAnsi="Calibri"/>
          <w:sz w:val="21"/>
          <w:szCs w:val="21"/>
        </w:rPr>
        <w:t>有特殊要求的管材</w:t>
      </w:r>
      <w:r>
        <w:rPr>
          <w:rFonts w:hint="eastAsia" w:hAnsi="Calibri"/>
          <w:sz w:val="21"/>
          <w:szCs w:val="21"/>
          <w:lang w:eastAsia="zh-CN"/>
        </w:rPr>
        <w:t>，</w:t>
      </w:r>
      <w:r>
        <w:rPr>
          <w:rFonts w:hint="default" w:hAnsi="Calibri"/>
          <w:sz w:val="21"/>
          <w:szCs w:val="21"/>
        </w:rPr>
        <w:t>应具有相应的技术说明书。</w:t>
      </w:r>
    </w:p>
    <w:p>
      <w:pPr>
        <w:pageBreakBefore w:val="0"/>
        <w:numPr>
          <w:ilvl w:val="0"/>
          <w:numId w:val="71"/>
        </w:numPr>
        <w:wordWrap/>
        <w:overflowPunct/>
        <w:topLinePunct w:val="0"/>
        <w:bidi w:val="0"/>
        <w:spacing w:line="240" w:lineRule="auto"/>
        <w:ind w:left="0" w:leftChars="0" w:firstLine="0" w:firstLineChars="0"/>
        <w:rPr>
          <w:rFonts w:hint="eastAsia"/>
          <w:sz w:val="21"/>
          <w:szCs w:val="21"/>
        </w:rPr>
      </w:pPr>
      <w:r>
        <w:rPr>
          <w:rFonts w:hint="eastAsia"/>
          <w:sz w:val="21"/>
          <w:szCs w:val="21"/>
        </w:rPr>
        <w:t>宜使用带阻氧层的管材</w:t>
      </w:r>
      <w:r>
        <w:rPr>
          <w:rFonts w:hint="eastAsia"/>
          <w:sz w:val="21"/>
          <w:szCs w:val="21"/>
          <w:lang w:eastAsia="zh-CN"/>
        </w:rPr>
        <w:t>。</w:t>
      </w:r>
    </w:p>
    <w:p>
      <w:pPr>
        <w:pStyle w:val="3"/>
        <w:numPr>
          <w:ilvl w:val="0"/>
          <w:numId w:val="62"/>
        </w:numPr>
        <w:bidi w:val="0"/>
        <w:ind w:left="0" w:leftChars="0" w:firstLine="0" w:firstLineChars="0"/>
        <w:rPr>
          <w:rFonts w:hint="eastAsia"/>
        </w:rPr>
      </w:pPr>
      <w:r>
        <w:rPr>
          <w:rFonts w:hint="eastAsia"/>
        </w:rPr>
        <w:t>分水器、集水器</w:t>
      </w:r>
    </w:p>
    <w:p>
      <w:pPr>
        <w:pageBreakBefore w:val="0"/>
        <w:numPr>
          <w:ilvl w:val="-1"/>
          <w:numId w:val="0"/>
        </w:numPr>
        <w:wordWrap/>
        <w:overflowPunct/>
        <w:topLinePunct w:val="0"/>
        <w:bidi w:val="0"/>
        <w:spacing w:line="240" w:lineRule="auto"/>
        <w:ind w:left="315" w:leftChars="150" w:firstLine="105" w:firstLineChars="50"/>
        <w:rPr>
          <w:rFonts w:hint="eastAsia"/>
          <w:sz w:val="21"/>
          <w:szCs w:val="21"/>
          <w:lang w:eastAsia="zh-CN"/>
        </w:rPr>
      </w:pPr>
      <w:r>
        <w:rPr>
          <w:rFonts w:hint="eastAsia"/>
          <w:sz w:val="21"/>
          <w:szCs w:val="21"/>
        </w:rPr>
        <w:t>应符合GB/T 29730的</w:t>
      </w:r>
      <w:r>
        <w:rPr>
          <w:rFonts w:hint="eastAsia"/>
          <w:sz w:val="21"/>
          <w:szCs w:val="21"/>
          <w:lang w:val="en-US" w:eastAsia="zh-CN"/>
        </w:rPr>
        <w:t>相关</w:t>
      </w:r>
      <w:r>
        <w:rPr>
          <w:rFonts w:hint="eastAsia"/>
          <w:sz w:val="21"/>
          <w:szCs w:val="21"/>
        </w:rPr>
        <w:t>规定，</w:t>
      </w:r>
      <w:r>
        <w:rPr>
          <w:rFonts w:hint="eastAsia"/>
          <w:sz w:val="21"/>
          <w:szCs w:val="21"/>
          <w:lang w:val="en-US" w:eastAsia="zh-CN"/>
        </w:rPr>
        <w:t>宜</w:t>
      </w:r>
      <w:r>
        <w:rPr>
          <w:rFonts w:hint="eastAsia"/>
          <w:sz w:val="21"/>
          <w:szCs w:val="21"/>
        </w:rPr>
        <w:t>选用具有可调阀芯的产品</w:t>
      </w:r>
      <w:r>
        <w:rPr>
          <w:rFonts w:hint="eastAsia"/>
          <w:sz w:val="21"/>
          <w:szCs w:val="21"/>
          <w:lang w:eastAsia="zh-CN"/>
        </w:rPr>
        <w:t>。</w:t>
      </w:r>
    </w:p>
    <w:p>
      <w:pPr>
        <w:pStyle w:val="3"/>
        <w:numPr>
          <w:ilvl w:val="0"/>
          <w:numId w:val="62"/>
        </w:numPr>
        <w:bidi w:val="0"/>
        <w:ind w:left="0" w:leftChars="0" w:firstLine="0" w:firstLineChars="0"/>
        <w:rPr>
          <w:rFonts w:hint="eastAsia"/>
          <w:lang w:eastAsia="zh-CN"/>
        </w:rPr>
      </w:pPr>
      <w:r>
        <w:rPr>
          <w:rFonts w:hint="eastAsia"/>
          <w:lang w:eastAsia="zh-CN"/>
        </w:rPr>
        <w:t>燃气不锈钢波纹软管</w:t>
      </w:r>
    </w:p>
    <w:p>
      <w:pPr>
        <w:pageBreakBefore w:val="0"/>
        <w:numPr>
          <w:ilvl w:val="0"/>
          <w:numId w:val="73"/>
        </w:numPr>
        <w:wordWrap/>
        <w:overflowPunct/>
        <w:topLinePunct w:val="0"/>
        <w:bidi w:val="0"/>
        <w:spacing w:line="240" w:lineRule="auto"/>
        <w:ind w:left="0" w:leftChars="0" w:firstLine="0" w:firstLineChars="0"/>
        <w:rPr>
          <w:rFonts w:hint="eastAsia"/>
          <w:sz w:val="21"/>
          <w:szCs w:val="21"/>
          <w:lang w:eastAsia="zh-CN"/>
        </w:rPr>
      </w:pPr>
      <w:r>
        <w:rPr>
          <w:rFonts w:hint="eastAsia"/>
          <w:sz w:val="21"/>
          <w:szCs w:val="21"/>
          <w:lang w:eastAsia="zh-CN"/>
        </w:rPr>
        <w:t>燃气用具连接用不锈钢波纹软管</w:t>
      </w:r>
      <w:r>
        <w:rPr>
          <w:rFonts w:hint="eastAsia"/>
          <w:sz w:val="21"/>
          <w:szCs w:val="21"/>
          <w:lang w:val="en-US" w:eastAsia="zh-CN"/>
        </w:rPr>
        <w:t>应</w:t>
      </w:r>
      <w:r>
        <w:rPr>
          <w:rFonts w:hint="eastAsia"/>
          <w:sz w:val="21"/>
          <w:szCs w:val="21"/>
          <w:lang w:eastAsia="zh-CN"/>
        </w:rPr>
        <w:t>符合GB 41317的相关规定；燃气输送用不锈钢波纹软管应符合GB</w:t>
      </w:r>
      <w:r>
        <w:rPr>
          <w:rFonts w:hint="eastAsia"/>
          <w:sz w:val="21"/>
          <w:szCs w:val="21"/>
          <w:lang w:val="en-US" w:eastAsia="zh-CN"/>
        </w:rPr>
        <w:t>/</w:t>
      </w:r>
      <w:r>
        <w:rPr>
          <w:rFonts w:hint="eastAsia"/>
          <w:sz w:val="21"/>
          <w:szCs w:val="21"/>
          <w:lang w:eastAsia="zh-CN"/>
        </w:rPr>
        <w:t>T26002的相关规定。</w:t>
      </w:r>
    </w:p>
    <w:p>
      <w:pPr>
        <w:pageBreakBefore w:val="0"/>
        <w:numPr>
          <w:ilvl w:val="0"/>
          <w:numId w:val="73"/>
        </w:numPr>
        <w:wordWrap/>
        <w:overflowPunct/>
        <w:topLinePunct w:val="0"/>
        <w:bidi w:val="0"/>
        <w:spacing w:line="240" w:lineRule="auto"/>
        <w:ind w:left="0" w:leftChars="0" w:firstLine="0" w:firstLineChars="0"/>
        <w:rPr>
          <w:rFonts w:hint="default"/>
          <w:sz w:val="21"/>
          <w:szCs w:val="21"/>
          <w:lang w:eastAsia="zh-CN"/>
        </w:rPr>
      </w:pPr>
      <w:r>
        <w:rPr>
          <w:rFonts w:hint="eastAsia"/>
          <w:sz w:val="21"/>
          <w:szCs w:val="21"/>
          <w:lang w:val="en-US" w:eastAsia="zh-CN"/>
        </w:rPr>
        <w:t>应</w:t>
      </w:r>
      <w:r>
        <w:rPr>
          <w:sz w:val="21"/>
          <w:szCs w:val="21"/>
        </w:rPr>
        <w:t>具备3C认证标志。</w:t>
      </w:r>
    </w:p>
    <w:p>
      <w:pPr>
        <w:pStyle w:val="3"/>
        <w:numPr>
          <w:ilvl w:val="0"/>
          <w:numId w:val="62"/>
        </w:numPr>
        <w:bidi w:val="0"/>
        <w:ind w:left="0" w:leftChars="0" w:firstLine="0" w:firstLineChars="0"/>
        <w:rPr>
          <w:rFonts w:hint="eastAsia"/>
          <w:lang w:eastAsia="zh-CN"/>
        </w:rPr>
      </w:pPr>
      <w:r>
        <w:rPr>
          <w:rFonts w:hint="eastAsia"/>
          <w:lang w:val="en-US" w:eastAsia="zh-CN"/>
        </w:rPr>
        <w:t>其他材料要求</w:t>
      </w:r>
    </w:p>
    <w:p>
      <w:pPr>
        <w:pageBreakBefore w:val="0"/>
        <w:wordWrap/>
        <w:overflowPunct/>
        <w:topLinePunct w:val="0"/>
        <w:bidi w:val="0"/>
        <w:spacing w:line="240" w:lineRule="auto"/>
        <w:ind w:left="0" w:leftChars="0" w:firstLine="420" w:firstLineChars="200"/>
        <w:rPr>
          <w:rFonts w:hint="eastAsia"/>
          <w:lang w:eastAsia="zh-CN"/>
        </w:rPr>
      </w:pPr>
      <w:r>
        <w:rPr>
          <w:rFonts w:hint="eastAsia"/>
          <w:lang w:eastAsia="zh-CN"/>
        </w:rPr>
        <w:t>供暖系统中所使用的</w:t>
      </w:r>
      <w:r>
        <w:rPr>
          <w:rFonts w:hint="eastAsia"/>
          <w:lang w:val="en-US" w:eastAsia="zh-CN"/>
        </w:rPr>
        <w:t>其他</w:t>
      </w:r>
      <w:r>
        <w:rPr>
          <w:rFonts w:hint="eastAsia"/>
          <w:lang w:eastAsia="zh-CN"/>
        </w:rPr>
        <w:t>材料均应符合国家和行业有关标准的规定。</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89" w:name="_Toc3767"/>
      <w:bookmarkStart w:id="90" w:name="_Toc25450"/>
      <w:r>
        <w:rPr>
          <w:rFonts w:hint="eastAsia" w:hAnsi="Times New Roman" w:cs="Times New Roman"/>
          <w:szCs w:val="21"/>
          <w:lang w:val="en-US" w:eastAsia="zh-CN"/>
        </w:rPr>
        <w:t>施工准备</w:t>
      </w:r>
      <w:bookmarkEnd w:id="89"/>
      <w:bookmarkEnd w:id="90"/>
    </w:p>
    <w:p>
      <w:pPr>
        <w:pageBreakBefore w:val="0"/>
        <w:numPr>
          <w:ilvl w:val="0"/>
          <w:numId w:val="74"/>
        </w:numPr>
        <w:wordWrap/>
        <w:overflowPunct/>
        <w:topLinePunct w:val="0"/>
        <w:bidi w:val="0"/>
        <w:spacing w:line="240" w:lineRule="auto"/>
        <w:ind w:left="0" w:leftChars="0" w:firstLine="0" w:firstLineChars="0"/>
        <w:rPr>
          <w:sz w:val="21"/>
          <w:szCs w:val="21"/>
        </w:rPr>
      </w:pPr>
      <w:r>
        <w:rPr>
          <w:rFonts w:hint="eastAsia"/>
          <w:color w:val="auto"/>
          <w:sz w:val="21"/>
          <w:szCs w:val="21"/>
        </w:rPr>
        <w:t>施工组织设计或施工方案应已批准，采用</w:t>
      </w:r>
      <w:r>
        <w:rPr>
          <w:rFonts w:hint="eastAsia"/>
          <w:sz w:val="21"/>
          <w:szCs w:val="21"/>
        </w:rPr>
        <w:t>的技术标准和质量控制措施文件应齐全并已完成技术交底</w:t>
      </w:r>
      <w:r>
        <w:rPr>
          <w:rFonts w:hint="eastAsia"/>
          <w:sz w:val="21"/>
          <w:szCs w:val="21"/>
          <w:lang w:eastAsia="zh-CN"/>
        </w:rPr>
        <w:t>。</w:t>
      </w:r>
    </w:p>
    <w:p>
      <w:pPr>
        <w:pageBreakBefore w:val="0"/>
        <w:numPr>
          <w:ilvl w:val="0"/>
          <w:numId w:val="74"/>
        </w:numPr>
        <w:wordWrap/>
        <w:overflowPunct/>
        <w:topLinePunct w:val="0"/>
        <w:bidi w:val="0"/>
        <w:spacing w:line="240" w:lineRule="auto"/>
        <w:ind w:left="0" w:leftChars="0" w:firstLine="0" w:firstLineChars="0"/>
        <w:rPr>
          <w:color w:val="auto"/>
          <w:sz w:val="21"/>
          <w:szCs w:val="21"/>
        </w:rPr>
      </w:pPr>
      <w:r>
        <w:rPr>
          <w:rFonts w:hint="eastAsia"/>
          <w:sz w:val="21"/>
          <w:szCs w:val="21"/>
        </w:rPr>
        <w:t>材</w:t>
      </w:r>
      <w:r>
        <w:rPr>
          <w:rFonts w:hint="eastAsia"/>
          <w:color w:val="auto"/>
          <w:sz w:val="21"/>
          <w:szCs w:val="21"/>
        </w:rPr>
        <w:t>料进场检验合格并满足安装要求</w:t>
      </w:r>
      <w:r>
        <w:rPr>
          <w:rFonts w:hint="eastAsia"/>
          <w:color w:val="auto"/>
          <w:sz w:val="21"/>
          <w:szCs w:val="21"/>
          <w:lang w:eastAsia="zh-CN"/>
        </w:rPr>
        <w:t>。</w:t>
      </w:r>
    </w:p>
    <w:p>
      <w:pPr>
        <w:pageBreakBefore w:val="0"/>
        <w:numPr>
          <w:ilvl w:val="0"/>
          <w:numId w:val="7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施工现场具有供水、供电条件，储放材料的场所</w:t>
      </w:r>
      <w:r>
        <w:rPr>
          <w:rFonts w:hint="eastAsia"/>
          <w:strike w:val="0"/>
          <w:dstrike w:val="0"/>
          <w:color w:val="auto"/>
          <w:sz w:val="21"/>
          <w:szCs w:val="21"/>
          <w:lang w:val="en-US" w:eastAsia="zh-CN"/>
        </w:rPr>
        <w:t>已</w:t>
      </w:r>
      <w:r>
        <w:rPr>
          <w:rFonts w:hint="eastAsia"/>
          <w:color w:val="auto"/>
          <w:sz w:val="21"/>
          <w:szCs w:val="21"/>
        </w:rPr>
        <w:t>配置消防设施</w:t>
      </w:r>
      <w:r>
        <w:rPr>
          <w:rFonts w:hint="eastAsia"/>
          <w:color w:val="auto"/>
          <w:sz w:val="21"/>
          <w:szCs w:val="21"/>
          <w:lang w:eastAsia="zh-CN"/>
        </w:rPr>
        <w:t>。</w:t>
      </w:r>
    </w:p>
    <w:p>
      <w:pPr>
        <w:pageBreakBefore w:val="0"/>
        <w:numPr>
          <w:ilvl w:val="0"/>
          <w:numId w:val="74"/>
        </w:numPr>
        <w:wordWrap/>
        <w:overflowPunct/>
        <w:topLinePunct w:val="0"/>
        <w:bidi w:val="0"/>
        <w:spacing w:line="240" w:lineRule="auto"/>
        <w:ind w:left="0" w:leftChars="0" w:firstLine="0" w:firstLineChars="0"/>
        <w:rPr>
          <w:color w:val="auto"/>
          <w:sz w:val="21"/>
          <w:szCs w:val="21"/>
        </w:rPr>
      </w:pPr>
      <w:r>
        <w:rPr>
          <w:rFonts w:hint="eastAsia"/>
          <w:color w:val="auto"/>
          <w:sz w:val="21"/>
          <w:szCs w:val="21"/>
          <w:lang w:val="en-US" w:eastAsia="zh-CN"/>
        </w:rPr>
        <w:t>室内</w:t>
      </w:r>
      <w:r>
        <w:rPr>
          <w:rFonts w:hint="eastAsia"/>
          <w:color w:val="auto"/>
          <w:sz w:val="21"/>
          <w:szCs w:val="21"/>
        </w:rPr>
        <w:t>已完成墙面粉刷（不含面层），外窗、外门应已安装完毕，地面应已清理干净，卫生间应做完闭水试验并</w:t>
      </w:r>
      <w:r>
        <w:rPr>
          <w:rFonts w:hint="eastAsia"/>
          <w:color w:val="auto"/>
          <w:sz w:val="21"/>
          <w:szCs w:val="21"/>
          <w:lang w:val="en-US" w:eastAsia="zh-CN"/>
        </w:rPr>
        <w:t>通</w:t>
      </w:r>
      <w:r>
        <w:rPr>
          <w:rFonts w:hint="eastAsia"/>
          <w:color w:val="auto"/>
          <w:sz w:val="21"/>
          <w:szCs w:val="21"/>
        </w:rPr>
        <w:t>过验收</w:t>
      </w:r>
      <w:r>
        <w:rPr>
          <w:rFonts w:hint="eastAsia"/>
          <w:color w:val="auto"/>
          <w:sz w:val="21"/>
          <w:szCs w:val="21"/>
          <w:lang w:eastAsia="zh-CN"/>
        </w:rPr>
        <w:t>。</w:t>
      </w:r>
    </w:p>
    <w:p>
      <w:pPr>
        <w:pageBreakBefore w:val="0"/>
        <w:numPr>
          <w:ilvl w:val="0"/>
          <w:numId w:val="7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电线及插座已安装完成。</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91" w:name="_Toc4111"/>
      <w:bookmarkStart w:id="92" w:name="_Toc18304"/>
      <w:bookmarkStart w:id="93" w:name="_Toc29968"/>
      <w:r>
        <w:rPr>
          <w:rFonts w:hint="eastAsia" w:hAnsi="Times New Roman" w:cs="Times New Roman"/>
          <w:szCs w:val="21"/>
          <w:lang w:val="en-US" w:eastAsia="zh-CN"/>
        </w:rPr>
        <w:t>输配管</w:t>
      </w:r>
      <w:bookmarkEnd w:id="91"/>
      <w:r>
        <w:rPr>
          <w:rFonts w:hint="eastAsia" w:hAnsi="Times New Roman" w:cs="Times New Roman"/>
          <w:szCs w:val="21"/>
          <w:lang w:val="en-US" w:eastAsia="zh-CN"/>
        </w:rPr>
        <w:t>网施工</w:t>
      </w:r>
      <w:bookmarkEnd w:id="92"/>
      <w:bookmarkEnd w:id="93"/>
    </w:p>
    <w:p>
      <w:pPr>
        <w:pStyle w:val="3"/>
        <w:numPr>
          <w:ilvl w:val="0"/>
          <w:numId w:val="75"/>
        </w:numPr>
        <w:bidi w:val="0"/>
        <w:ind w:left="0" w:leftChars="0" w:firstLine="0" w:firstLineChars="0"/>
      </w:pPr>
      <w:r>
        <w:rPr>
          <w:rFonts w:hint="eastAsia"/>
        </w:rPr>
        <w:t>分水器、集水器的安装</w:t>
      </w:r>
      <w:r>
        <w:rPr>
          <w:rFonts w:hint="eastAsia"/>
          <w:lang w:eastAsia="zh-CN"/>
        </w:rPr>
        <w:t>应符合下列规定</w:t>
      </w:r>
      <w:r>
        <w:rPr>
          <w:rFonts w:hint="eastAsia"/>
        </w:rPr>
        <w:t>：</w:t>
      </w:r>
    </w:p>
    <w:p>
      <w:pPr>
        <w:pageBreakBefore w:val="0"/>
        <w:numPr>
          <w:ilvl w:val="0"/>
          <w:numId w:val="76"/>
        </w:numPr>
        <w:wordWrap/>
        <w:overflowPunct/>
        <w:topLinePunct w:val="0"/>
        <w:bidi w:val="0"/>
        <w:spacing w:line="240" w:lineRule="auto"/>
        <w:ind w:firstLine="420" w:firstLineChars="200"/>
        <w:rPr>
          <w:sz w:val="21"/>
          <w:szCs w:val="21"/>
        </w:rPr>
      </w:pPr>
      <w:r>
        <w:rPr>
          <w:rFonts w:hint="eastAsia"/>
          <w:sz w:val="21"/>
          <w:szCs w:val="21"/>
        </w:rPr>
        <w:t>分水器、集水器</w:t>
      </w:r>
      <w:r>
        <w:rPr>
          <w:rFonts w:hint="eastAsia"/>
          <w:sz w:val="21"/>
          <w:szCs w:val="21"/>
          <w:lang w:val="en-US" w:eastAsia="zh-CN"/>
        </w:rPr>
        <w:t>的安装</w:t>
      </w:r>
      <w:r>
        <w:rPr>
          <w:rFonts w:hint="eastAsia"/>
          <w:sz w:val="21"/>
          <w:szCs w:val="21"/>
        </w:rPr>
        <w:t>应符合设计文件要求；</w:t>
      </w:r>
    </w:p>
    <w:p>
      <w:pPr>
        <w:pageBreakBefore w:val="0"/>
        <w:numPr>
          <w:ilvl w:val="0"/>
          <w:numId w:val="76"/>
        </w:numPr>
        <w:wordWrap/>
        <w:overflowPunct/>
        <w:topLinePunct w:val="0"/>
        <w:bidi w:val="0"/>
        <w:spacing w:line="240" w:lineRule="auto"/>
        <w:ind w:firstLine="420" w:firstLineChars="200"/>
        <w:rPr>
          <w:sz w:val="21"/>
          <w:szCs w:val="21"/>
        </w:rPr>
      </w:pPr>
      <w:r>
        <w:rPr>
          <w:rFonts w:hint="eastAsia"/>
          <w:color w:val="auto"/>
          <w:sz w:val="21"/>
          <w:szCs w:val="21"/>
        </w:rPr>
        <w:t>分水器、集水器应水平安装</w:t>
      </w:r>
      <w:r>
        <w:rPr>
          <w:rFonts w:hint="eastAsia"/>
          <w:color w:val="auto"/>
          <w:sz w:val="21"/>
          <w:szCs w:val="21"/>
          <w:lang w:val="en-US" w:eastAsia="zh-CN"/>
        </w:rPr>
        <w:t>，</w:t>
      </w:r>
      <w:r>
        <w:rPr>
          <w:rFonts w:hint="eastAsia"/>
          <w:color w:val="auto"/>
          <w:sz w:val="21"/>
          <w:szCs w:val="21"/>
        </w:rPr>
        <w:t>宜</w:t>
      </w:r>
      <w:r>
        <w:rPr>
          <w:rFonts w:hint="eastAsia"/>
          <w:sz w:val="21"/>
          <w:szCs w:val="21"/>
          <w:lang w:val="en-US" w:eastAsia="zh-CN"/>
        </w:rPr>
        <w:t>将</w:t>
      </w:r>
      <w:r>
        <w:rPr>
          <w:rFonts w:hint="eastAsia"/>
          <w:sz w:val="21"/>
          <w:szCs w:val="21"/>
        </w:rPr>
        <w:t>分水器安装</w:t>
      </w:r>
      <w:r>
        <w:rPr>
          <w:rFonts w:hint="eastAsia"/>
          <w:sz w:val="21"/>
          <w:szCs w:val="21"/>
          <w:lang w:val="en-US" w:eastAsia="zh-CN"/>
        </w:rPr>
        <w:t>在</w:t>
      </w:r>
      <w:r>
        <w:rPr>
          <w:rFonts w:hint="eastAsia"/>
          <w:sz w:val="21"/>
          <w:szCs w:val="21"/>
        </w:rPr>
        <w:t>上，</w:t>
      </w:r>
      <w:r>
        <w:rPr>
          <w:rFonts w:hint="eastAsia"/>
          <w:sz w:val="21"/>
          <w:szCs w:val="21"/>
          <w:lang w:val="en-US" w:eastAsia="zh-CN"/>
        </w:rPr>
        <w:t>集水器</w:t>
      </w:r>
      <w:r>
        <w:rPr>
          <w:rFonts w:hint="eastAsia"/>
          <w:sz w:val="21"/>
          <w:szCs w:val="21"/>
        </w:rPr>
        <w:t>安装</w:t>
      </w:r>
      <w:r>
        <w:rPr>
          <w:rFonts w:hint="eastAsia"/>
          <w:sz w:val="21"/>
          <w:szCs w:val="21"/>
          <w:lang w:val="en-US" w:eastAsia="zh-CN"/>
        </w:rPr>
        <w:t>在下，中心距宜为200mm</w:t>
      </w:r>
      <w:r>
        <w:rPr>
          <w:rFonts w:hint="eastAsia"/>
          <w:sz w:val="21"/>
          <w:szCs w:val="21"/>
        </w:rPr>
        <w:t>，集水器中心</w:t>
      </w:r>
      <w:r>
        <w:rPr>
          <w:rFonts w:hint="eastAsia"/>
          <w:sz w:val="21"/>
          <w:szCs w:val="21"/>
          <w:lang w:val="en-US" w:eastAsia="zh-CN"/>
        </w:rPr>
        <w:t>距</w:t>
      </w:r>
      <w:r>
        <w:rPr>
          <w:rFonts w:hint="eastAsia"/>
          <w:sz w:val="21"/>
          <w:szCs w:val="21"/>
        </w:rPr>
        <w:t>地面装饰完成面不</w:t>
      </w:r>
      <w:r>
        <w:rPr>
          <w:rFonts w:hint="eastAsia"/>
          <w:sz w:val="21"/>
          <w:szCs w:val="21"/>
          <w:lang w:val="en-US" w:eastAsia="zh-CN"/>
        </w:rPr>
        <w:t>应</w:t>
      </w:r>
      <w:r>
        <w:rPr>
          <w:rFonts w:hint="eastAsia"/>
          <w:sz w:val="21"/>
          <w:szCs w:val="21"/>
        </w:rPr>
        <w:t>小于300mm；</w:t>
      </w:r>
    </w:p>
    <w:p>
      <w:pPr>
        <w:pageBreakBefore w:val="0"/>
        <w:numPr>
          <w:ilvl w:val="0"/>
          <w:numId w:val="76"/>
        </w:numPr>
        <w:wordWrap/>
        <w:overflowPunct/>
        <w:topLinePunct w:val="0"/>
        <w:bidi w:val="0"/>
        <w:spacing w:line="240" w:lineRule="auto"/>
        <w:ind w:firstLine="420" w:firstLineChars="200"/>
        <w:rPr>
          <w:sz w:val="21"/>
          <w:szCs w:val="21"/>
        </w:rPr>
      </w:pPr>
      <w:r>
        <w:rPr>
          <w:rFonts w:hint="eastAsia"/>
          <w:sz w:val="21"/>
          <w:szCs w:val="21"/>
        </w:rPr>
        <w:t>分水器、集水器左右</w:t>
      </w:r>
      <w:r>
        <w:rPr>
          <w:rFonts w:hint="eastAsia"/>
          <w:sz w:val="21"/>
          <w:szCs w:val="21"/>
          <w:lang w:val="en-US" w:eastAsia="zh-CN"/>
        </w:rPr>
        <w:t>应</w:t>
      </w:r>
      <w:r>
        <w:rPr>
          <w:rFonts w:hint="eastAsia"/>
          <w:sz w:val="21"/>
          <w:szCs w:val="21"/>
        </w:rPr>
        <w:t>留有</w:t>
      </w:r>
      <w:r>
        <w:rPr>
          <w:rFonts w:hint="eastAsia"/>
          <w:sz w:val="21"/>
          <w:szCs w:val="21"/>
          <w:lang w:val="en-US" w:eastAsia="zh-CN"/>
        </w:rPr>
        <w:t>不小于</w:t>
      </w:r>
      <w:r>
        <w:rPr>
          <w:rFonts w:hint="eastAsia"/>
          <w:sz w:val="21"/>
          <w:szCs w:val="21"/>
        </w:rPr>
        <w:t>100mm</w:t>
      </w:r>
      <w:r>
        <w:rPr>
          <w:rFonts w:hint="eastAsia"/>
          <w:sz w:val="21"/>
          <w:szCs w:val="21"/>
          <w:lang w:val="en-US" w:eastAsia="zh-CN"/>
        </w:rPr>
        <w:t>的</w:t>
      </w:r>
      <w:r>
        <w:rPr>
          <w:rFonts w:hint="eastAsia"/>
          <w:sz w:val="21"/>
          <w:szCs w:val="21"/>
        </w:rPr>
        <w:t>检修空间</w:t>
      </w:r>
      <w:r>
        <w:rPr>
          <w:rFonts w:hint="eastAsia"/>
          <w:sz w:val="21"/>
          <w:szCs w:val="21"/>
          <w:lang w:eastAsia="zh-CN"/>
        </w:rPr>
        <w:t>；</w:t>
      </w:r>
    </w:p>
    <w:p>
      <w:pPr>
        <w:pageBreakBefore w:val="0"/>
        <w:numPr>
          <w:ilvl w:val="0"/>
          <w:numId w:val="76"/>
        </w:numPr>
        <w:wordWrap/>
        <w:overflowPunct/>
        <w:topLinePunct w:val="0"/>
        <w:bidi w:val="0"/>
        <w:spacing w:line="240" w:lineRule="auto"/>
        <w:ind w:firstLine="420" w:firstLineChars="200"/>
        <w:rPr>
          <w:rFonts w:hint="eastAsia"/>
          <w:color w:val="auto"/>
          <w:sz w:val="21"/>
          <w:szCs w:val="21"/>
          <w:highlight w:val="none"/>
        </w:rPr>
      </w:pPr>
      <w:r>
        <w:rPr>
          <w:rFonts w:hint="eastAsia"/>
          <w:sz w:val="21"/>
          <w:szCs w:val="21"/>
          <w:highlight w:val="none"/>
        </w:rPr>
        <w:t>分水器、集水器的安装位置应利于</w:t>
      </w:r>
      <w:r>
        <w:rPr>
          <w:rFonts w:hint="eastAsia"/>
          <w:sz w:val="21"/>
          <w:szCs w:val="21"/>
          <w:highlight w:val="none"/>
          <w:lang w:val="en-US" w:eastAsia="zh-CN"/>
        </w:rPr>
        <w:t>输配管道及加热管</w:t>
      </w:r>
      <w:r>
        <w:rPr>
          <w:rFonts w:hint="eastAsia"/>
          <w:sz w:val="21"/>
          <w:szCs w:val="21"/>
          <w:highlight w:val="none"/>
        </w:rPr>
        <w:t>敷设，</w:t>
      </w:r>
      <w:r>
        <w:rPr>
          <w:rFonts w:hint="eastAsia"/>
          <w:sz w:val="21"/>
          <w:szCs w:val="21"/>
          <w:highlight w:val="none"/>
          <w:lang w:val="en-US" w:eastAsia="zh-CN"/>
        </w:rPr>
        <w:t>宜</w:t>
      </w:r>
      <w:r>
        <w:rPr>
          <w:rFonts w:hint="eastAsia"/>
          <w:color w:val="auto"/>
          <w:sz w:val="21"/>
          <w:szCs w:val="21"/>
          <w:highlight w:val="none"/>
        </w:rPr>
        <w:t>邻近地漏</w:t>
      </w:r>
      <w:r>
        <w:rPr>
          <w:rFonts w:hint="eastAsia"/>
          <w:color w:val="auto"/>
          <w:sz w:val="21"/>
          <w:szCs w:val="21"/>
          <w:highlight w:val="none"/>
          <w:lang w:eastAsia="zh-CN"/>
        </w:rPr>
        <w:t>；</w:t>
      </w:r>
    </w:p>
    <w:p>
      <w:pPr>
        <w:pageBreakBefore w:val="0"/>
        <w:numPr>
          <w:ilvl w:val="0"/>
          <w:numId w:val="76"/>
        </w:numPr>
        <w:wordWrap/>
        <w:overflowPunct/>
        <w:topLinePunct w:val="0"/>
        <w:bidi w:val="0"/>
        <w:spacing w:line="240" w:lineRule="auto"/>
        <w:ind w:firstLine="420" w:firstLineChars="200"/>
        <w:rPr>
          <w:rFonts w:hint="eastAsia"/>
          <w:color w:val="auto"/>
          <w:sz w:val="21"/>
          <w:szCs w:val="21"/>
          <w:highlight w:val="none"/>
        </w:rPr>
      </w:pPr>
      <w:r>
        <w:rPr>
          <w:rFonts w:hint="eastAsia"/>
          <w:color w:val="auto"/>
          <w:sz w:val="21"/>
          <w:szCs w:val="21"/>
          <w:highlight w:val="none"/>
        </w:rPr>
        <w:t>分水器、集水器的接管应有序排列，对应的上、下管接头为一个供回水回路</w:t>
      </w:r>
      <w:r>
        <w:rPr>
          <w:rFonts w:hint="eastAsia"/>
          <w:color w:val="auto"/>
          <w:sz w:val="21"/>
          <w:szCs w:val="21"/>
          <w:highlight w:val="none"/>
          <w:lang w:eastAsia="zh-CN"/>
        </w:rPr>
        <w:t>，</w:t>
      </w:r>
      <w:r>
        <w:rPr>
          <w:rFonts w:hint="eastAsia"/>
          <w:color w:val="auto"/>
          <w:sz w:val="21"/>
          <w:szCs w:val="21"/>
          <w:highlight w:val="none"/>
        </w:rPr>
        <w:t>每个回路应有识别标志，并记录归档</w:t>
      </w:r>
      <w:r>
        <w:rPr>
          <w:rFonts w:hint="eastAsia"/>
          <w:color w:val="auto"/>
          <w:sz w:val="21"/>
          <w:szCs w:val="21"/>
          <w:highlight w:val="none"/>
          <w:lang w:eastAsia="zh-CN"/>
        </w:rPr>
        <w:t>；</w:t>
      </w:r>
    </w:p>
    <w:p>
      <w:pPr>
        <w:pageBreakBefore w:val="0"/>
        <w:numPr>
          <w:ilvl w:val="0"/>
          <w:numId w:val="76"/>
        </w:numPr>
        <w:wordWrap/>
        <w:overflowPunct/>
        <w:topLinePunct w:val="0"/>
        <w:bidi w:val="0"/>
        <w:spacing w:line="240" w:lineRule="auto"/>
        <w:ind w:firstLine="420" w:firstLineChars="200"/>
        <w:rPr>
          <w:color w:val="auto"/>
          <w:sz w:val="21"/>
          <w:szCs w:val="21"/>
          <w:highlight w:val="none"/>
        </w:rPr>
      </w:pPr>
      <w:r>
        <w:rPr>
          <w:rFonts w:hint="eastAsia"/>
          <w:color w:val="auto"/>
          <w:sz w:val="21"/>
          <w:szCs w:val="21"/>
          <w:highlight w:val="none"/>
        </w:rPr>
        <w:t>安装2组及以上分水器时分水器不应串联</w:t>
      </w:r>
      <w:r>
        <w:rPr>
          <w:rFonts w:hint="eastAsia"/>
          <w:color w:val="auto"/>
          <w:sz w:val="21"/>
          <w:szCs w:val="21"/>
          <w:highlight w:val="none"/>
          <w:lang w:eastAsia="zh-CN"/>
        </w:rPr>
        <w:t>。</w:t>
      </w:r>
    </w:p>
    <w:p>
      <w:pPr>
        <w:pStyle w:val="3"/>
        <w:numPr>
          <w:ilvl w:val="0"/>
          <w:numId w:val="75"/>
        </w:numPr>
        <w:bidi w:val="0"/>
        <w:ind w:left="0" w:leftChars="0" w:firstLine="0" w:firstLineChars="0"/>
      </w:pPr>
      <w:r>
        <w:rPr>
          <w:rFonts w:hint="eastAsia" w:ascii="宋体" w:hAnsi="宋体" w:eastAsia="宋体" w:cs="宋体"/>
        </w:rPr>
        <w:t>混水</w:t>
      </w:r>
      <w:r>
        <w:rPr>
          <w:rFonts w:hint="eastAsia" w:ascii="宋体" w:hAnsi="宋体" w:eastAsia="宋体" w:cs="宋体"/>
          <w:lang w:val="en-US" w:eastAsia="zh-CN"/>
        </w:rPr>
        <w:t>装置应设置独立插座，且</w:t>
      </w:r>
      <w:r>
        <w:rPr>
          <w:rFonts w:hint="eastAsia" w:ascii="宋体" w:hAnsi="宋体" w:eastAsia="宋体" w:cs="宋体"/>
        </w:rPr>
        <w:t>可靠接地</w:t>
      </w:r>
      <w:r>
        <w:rPr>
          <w:rFonts w:hint="eastAsia" w:ascii="宋体" w:hAnsi="宋体" w:eastAsia="宋体" w:cs="宋体"/>
          <w:lang w:val="en-US" w:eastAsia="zh-CN"/>
        </w:rPr>
        <w:t>，插座位于</w:t>
      </w:r>
      <w:r>
        <w:rPr>
          <w:rFonts w:hint="eastAsia" w:ascii="宋体" w:hAnsi="宋体" w:eastAsia="宋体" w:cs="宋体"/>
        </w:rPr>
        <w:t>混水</w:t>
      </w:r>
      <w:r>
        <w:rPr>
          <w:rFonts w:hint="eastAsia" w:ascii="宋体" w:hAnsi="宋体" w:eastAsia="宋体" w:cs="宋体"/>
          <w:lang w:val="en-US" w:eastAsia="zh-CN"/>
        </w:rPr>
        <w:t>装置</w:t>
      </w:r>
      <w:r>
        <w:rPr>
          <w:rFonts w:hint="eastAsia" w:ascii="宋体" w:hAnsi="宋体" w:eastAsia="宋体" w:cs="宋体"/>
        </w:rPr>
        <w:t>上方，距离混水泵不宜小于100mm</w:t>
      </w:r>
      <w:r>
        <w:rPr>
          <w:rFonts w:hint="eastAsia" w:ascii="宋体" w:hAnsi="宋体" w:eastAsia="宋体" w:cs="宋体"/>
          <w:lang w:eastAsia="zh-CN"/>
        </w:rPr>
        <w:t>。</w:t>
      </w:r>
    </w:p>
    <w:p>
      <w:pPr>
        <w:pStyle w:val="3"/>
        <w:numPr>
          <w:ilvl w:val="0"/>
          <w:numId w:val="75"/>
        </w:numPr>
        <w:bidi w:val="0"/>
        <w:ind w:left="0" w:leftChars="0" w:firstLine="0" w:firstLineChars="0"/>
      </w:pPr>
      <w:r>
        <w:rPr>
          <w:rFonts w:hint="eastAsia"/>
          <w:lang w:eastAsia="zh-CN"/>
        </w:rPr>
        <w:t>去耦罐</w:t>
      </w:r>
      <w:r>
        <w:rPr>
          <w:rFonts w:hint="eastAsia"/>
        </w:rPr>
        <w:t>安装</w:t>
      </w:r>
      <w:r>
        <w:rPr>
          <w:rFonts w:hint="eastAsia"/>
          <w:lang w:eastAsia="zh-CN"/>
        </w:rPr>
        <w:t>应符合下列规定</w:t>
      </w:r>
      <w:r>
        <w:rPr>
          <w:rFonts w:hint="eastAsia"/>
        </w:rPr>
        <w:t>：</w:t>
      </w:r>
    </w:p>
    <w:p>
      <w:pPr>
        <w:pageBreakBefore w:val="0"/>
        <w:numPr>
          <w:ilvl w:val="0"/>
          <w:numId w:val="77"/>
        </w:numPr>
        <w:wordWrap/>
        <w:overflowPunct/>
        <w:topLinePunct w:val="0"/>
        <w:bidi w:val="0"/>
        <w:spacing w:line="240" w:lineRule="auto"/>
        <w:ind w:firstLine="420" w:firstLineChars="200"/>
        <w:rPr>
          <w:color w:val="auto"/>
          <w:sz w:val="21"/>
          <w:szCs w:val="21"/>
          <w:highlight w:val="none"/>
        </w:rPr>
      </w:pPr>
      <w:r>
        <w:rPr>
          <w:rFonts w:hint="eastAsia"/>
          <w:color w:val="auto"/>
          <w:sz w:val="21"/>
          <w:szCs w:val="21"/>
          <w:highlight w:val="none"/>
          <w:lang w:val="en-US" w:eastAsia="zh-CN"/>
        </w:rPr>
        <w:t>进水</w:t>
      </w:r>
      <w:r>
        <w:rPr>
          <w:rFonts w:hint="eastAsia"/>
          <w:color w:val="auto"/>
          <w:sz w:val="21"/>
          <w:szCs w:val="21"/>
          <w:highlight w:val="none"/>
        </w:rPr>
        <w:t>管道和排</w:t>
      </w:r>
      <w:r>
        <w:rPr>
          <w:rFonts w:hint="eastAsia"/>
          <w:color w:val="auto"/>
          <w:sz w:val="21"/>
          <w:szCs w:val="21"/>
          <w:highlight w:val="none"/>
          <w:lang w:val="en-US" w:eastAsia="zh-CN"/>
        </w:rPr>
        <w:t>水</w:t>
      </w:r>
      <w:r>
        <w:rPr>
          <w:rFonts w:hint="eastAsia"/>
          <w:color w:val="auto"/>
          <w:sz w:val="21"/>
          <w:szCs w:val="21"/>
          <w:highlight w:val="none"/>
        </w:rPr>
        <w:t>管道应</w:t>
      </w:r>
      <w:r>
        <w:rPr>
          <w:rFonts w:hint="eastAsia"/>
          <w:color w:val="auto"/>
          <w:sz w:val="21"/>
          <w:szCs w:val="21"/>
          <w:highlight w:val="none"/>
          <w:lang w:val="en-US" w:eastAsia="zh-CN"/>
        </w:rPr>
        <w:t>设置独立</w:t>
      </w:r>
      <w:r>
        <w:rPr>
          <w:rFonts w:hint="eastAsia"/>
          <w:color w:val="auto"/>
          <w:sz w:val="21"/>
          <w:szCs w:val="21"/>
          <w:highlight w:val="none"/>
        </w:rPr>
        <w:t>支架；</w:t>
      </w:r>
    </w:p>
    <w:p>
      <w:pPr>
        <w:pageBreakBefore w:val="0"/>
        <w:numPr>
          <w:ilvl w:val="0"/>
          <w:numId w:val="77"/>
        </w:numPr>
        <w:wordWrap/>
        <w:overflowPunct/>
        <w:topLinePunct w:val="0"/>
        <w:bidi w:val="0"/>
        <w:spacing w:line="240" w:lineRule="auto"/>
        <w:ind w:firstLine="420" w:firstLineChars="200"/>
        <w:rPr>
          <w:color w:val="auto"/>
          <w:sz w:val="21"/>
          <w:szCs w:val="21"/>
          <w:highlight w:val="none"/>
        </w:rPr>
      </w:pPr>
      <w:r>
        <w:rPr>
          <w:rFonts w:hint="eastAsia"/>
          <w:color w:val="auto"/>
          <w:sz w:val="21"/>
          <w:szCs w:val="21"/>
          <w:highlight w:val="none"/>
          <w:lang w:val="en-US" w:eastAsia="zh-CN"/>
        </w:rPr>
        <w:t>去</w:t>
      </w:r>
      <w:r>
        <w:rPr>
          <w:rFonts w:hint="eastAsia"/>
          <w:color w:val="auto"/>
          <w:sz w:val="21"/>
          <w:szCs w:val="21"/>
          <w:highlight w:val="none"/>
          <w:lang w:eastAsia="zh-CN"/>
        </w:rPr>
        <w:t>耦</w:t>
      </w:r>
      <w:r>
        <w:rPr>
          <w:rFonts w:hint="eastAsia"/>
          <w:color w:val="auto"/>
          <w:sz w:val="21"/>
          <w:szCs w:val="21"/>
          <w:highlight w:val="none"/>
          <w:lang w:val="en-US" w:eastAsia="zh-CN"/>
        </w:rPr>
        <w:t>罐配备的循环泵应设置独立支架，紧邻去</w:t>
      </w:r>
      <w:r>
        <w:rPr>
          <w:rFonts w:hint="eastAsia"/>
          <w:color w:val="auto"/>
          <w:sz w:val="21"/>
          <w:szCs w:val="21"/>
          <w:highlight w:val="none"/>
          <w:lang w:eastAsia="zh-CN"/>
        </w:rPr>
        <w:t>耦</w:t>
      </w:r>
      <w:r>
        <w:rPr>
          <w:rFonts w:hint="eastAsia"/>
          <w:color w:val="auto"/>
          <w:sz w:val="21"/>
          <w:szCs w:val="21"/>
          <w:highlight w:val="none"/>
          <w:lang w:val="en-US" w:eastAsia="zh-CN"/>
        </w:rPr>
        <w:t>罐且水平安装，且应设置</w:t>
      </w:r>
      <w:r>
        <w:rPr>
          <w:rFonts w:hint="eastAsia"/>
          <w:color w:val="auto"/>
          <w:sz w:val="21"/>
          <w:szCs w:val="21"/>
          <w:highlight w:val="none"/>
        </w:rPr>
        <w:t>可靠接地</w:t>
      </w:r>
      <w:r>
        <w:rPr>
          <w:rFonts w:hint="eastAsia"/>
          <w:color w:val="auto"/>
          <w:sz w:val="21"/>
          <w:szCs w:val="21"/>
          <w:highlight w:val="none"/>
          <w:lang w:val="en-US" w:eastAsia="zh-CN"/>
        </w:rPr>
        <w:t>的独立插座，插座位于</w:t>
      </w:r>
      <w:r>
        <w:rPr>
          <w:rFonts w:hint="eastAsia"/>
          <w:color w:val="auto"/>
          <w:sz w:val="21"/>
          <w:szCs w:val="21"/>
          <w:highlight w:val="none"/>
          <w:lang w:eastAsia="zh-CN"/>
        </w:rPr>
        <w:t>去耦罐</w:t>
      </w:r>
      <w:r>
        <w:rPr>
          <w:rFonts w:hint="eastAsia"/>
          <w:color w:val="auto"/>
          <w:sz w:val="21"/>
          <w:szCs w:val="21"/>
          <w:highlight w:val="none"/>
        </w:rPr>
        <w:t>上方，距离罐体不宜小于100mm；</w:t>
      </w:r>
    </w:p>
    <w:p>
      <w:pPr>
        <w:pStyle w:val="3"/>
        <w:numPr>
          <w:ilvl w:val="0"/>
          <w:numId w:val="75"/>
        </w:numPr>
        <w:bidi w:val="0"/>
        <w:ind w:left="0" w:leftChars="0" w:firstLine="0" w:firstLineChars="0"/>
      </w:pPr>
      <w:r>
        <w:rPr>
          <w:rFonts w:hint="eastAsia"/>
          <w:lang w:val="en-US" w:eastAsia="zh-CN"/>
        </w:rPr>
        <w:t>输配</w:t>
      </w:r>
      <w:r>
        <w:rPr>
          <w:rFonts w:hint="eastAsia"/>
        </w:rPr>
        <w:t>管道</w:t>
      </w:r>
      <w:r>
        <w:rPr>
          <w:rFonts w:hint="eastAsia"/>
          <w:lang w:val="en-US" w:eastAsia="zh-CN"/>
        </w:rPr>
        <w:t>的安装应符合下列规定：</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应按</w:t>
      </w:r>
      <w:r>
        <w:rPr>
          <w:rFonts w:hint="eastAsia"/>
          <w:sz w:val="21"/>
          <w:szCs w:val="21"/>
          <w:highlight w:val="none"/>
          <w:lang w:val="en-US" w:eastAsia="zh-CN"/>
        </w:rPr>
        <w:t>设计文件施工</w:t>
      </w:r>
      <w:r>
        <w:rPr>
          <w:rFonts w:hint="eastAsia"/>
          <w:sz w:val="21"/>
          <w:szCs w:val="21"/>
          <w:highlight w:val="none"/>
        </w:rPr>
        <w:t>，</w:t>
      </w:r>
      <w:r>
        <w:rPr>
          <w:rFonts w:hint="eastAsia"/>
          <w:sz w:val="21"/>
          <w:szCs w:val="21"/>
          <w:highlight w:val="none"/>
          <w:lang w:val="en-US" w:eastAsia="zh-CN"/>
        </w:rPr>
        <w:t>并</w:t>
      </w:r>
      <w:r>
        <w:rPr>
          <w:rFonts w:hint="eastAsia"/>
          <w:sz w:val="21"/>
          <w:szCs w:val="21"/>
          <w:highlight w:val="none"/>
        </w:rPr>
        <w:t>核定管道的管径、</w:t>
      </w:r>
      <w:r>
        <w:rPr>
          <w:rFonts w:hint="eastAsia"/>
          <w:color w:val="auto"/>
          <w:sz w:val="21"/>
          <w:szCs w:val="21"/>
          <w:highlight w:val="none"/>
          <w:lang w:val="en-US" w:eastAsia="zh-CN"/>
        </w:rPr>
        <w:t>材质</w:t>
      </w:r>
      <w:r>
        <w:rPr>
          <w:rFonts w:hint="eastAsia"/>
          <w:sz w:val="21"/>
          <w:szCs w:val="21"/>
          <w:highlight w:val="none"/>
        </w:rPr>
        <w:t>，检查管道外观质量</w:t>
      </w:r>
      <w:r>
        <w:rPr>
          <w:rFonts w:hint="eastAsia"/>
          <w:sz w:val="21"/>
          <w:szCs w:val="21"/>
          <w:highlight w:val="none"/>
          <w:lang w:eastAsia="zh-CN"/>
        </w:rPr>
        <w:t>，</w:t>
      </w:r>
      <w:r>
        <w:rPr>
          <w:rFonts w:hint="eastAsia"/>
          <w:sz w:val="21"/>
          <w:szCs w:val="21"/>
          <w:highlight w:val="none"/>
          <w:lang w:val="en-US" w:eastAsia="zh-CN"/>
        </w:rPr>
        <w:t>管道</w:t>
      </w:r>
      <w:r>
        <w:rPr>
          <w:rFonts w:hint="eastAsia"/>
          <w:sz w:val="21"/>
          <w:szCs w:val="21"/>
          <w:highlight w:val="none"/>
        </w:rPr>
        <w:t>内部不应有杂质</w:t>
      </w:r>
      <w:r>
        <w:rPr>
          <w:rFonts w:hint="eastAsia"/>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lang w:val="en-US" w:eastAsia="zh-CN"/>
        </w:rPr>
        <w:t>管道</w:t>
      </w:r>
      <w:r>
        <w:rPr>
          <w:rFonts w:hint="eastAsia"/>
          <w:sz w:val="21"/>
          <w:szCs w:val="21"/>
          <w:highlight w:val="none"/>
        </w:rPr>
        <w:t>安装间断或完毕时，敞口处应</w:t>
      </w:r>
      <w:r>
        <w:rPr>
          <w:rFonts w:hint="eastAsia"/>
          <w:color w:val="auto"/>
          <w:sz w:val="21"/>
          <w:szCs w:val="21"/>
          <w:highlight w:val="none"/>
          <w:lang w:val="en-US" w:eastAsia="zh-CN"/>
        </w:rPr>
        <w:t>及</w:t>
      </w:r>
      <w:r>
        <w:rPr>
          <w:rFonts w:hint="eastAsia"/>
          <w:color w:val="auto"/>
          <w:sz w:val="21"/>
          <w:szCs w:val="21"/>
          <w:highlight w:val="none"/>
        </w:rPr>
        <w:t>时</w:t>
      </w:r>
      <w:r>
        <w:rPr>
          <w:rFonts w:hint="eastAsia"/>
          <w:sz w:val="21"/>
          <w:szCs w:val="21"/>
          <w:highlight w:val="none"/>
        </w:rPr>
        <w:t>封堵</w:t>
      </w:r>
      <w:r>
        <w:rPr>
          <w:rFonts w:hint="eastAsia"/>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管道切割应采用专用工具，切口应平整，断口面应与管轴线垂直</w:t>
      </w:r>
      <w:r>
        <w:rPr>
          <w:rFonts w:hint="eastAsia"/>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trike w:val="0"/>
          <w:sz w:val="21"/>
          <w:szCs w:val="21"/>
          <w:highlight w:val="none"/>
        </w:rPr>
      </w:pPr>
      <w:r>
        <w:rPr>
          <w:rFonts w:hint="eastAsia"/>
          <w:strike w:val="0"/>
          <w:sz w:val="21"/>
          <w:szCs w:val="21"/>
          <w:highlight w:val="none"/>
        </w:rPr>
        <w:t>管道安装时应防止管道扭曲、瘪管、褶皱；铜管应采用专用机械弯管，不得产生瘪管</w:t>
      </w:r>
      <w:r>
        <w:rPr>
          <w:rFonts w:hint="eastAsia"/>
          <w:strike w:val="0"/>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b w:val="0"/>
          <w:bCs w:val="0"/>
          <w:color w:val="auto"/>
          <w:sz w:val="21"/>
          <w:szCs w:val="21"/>
        </w:rPr>
        <w:t>管道穿越墙体孔洞时</w:t>
      </w:r>
      <w:r>
        <w:rPr>
          <w:rFonts w:hint="eastAsia"/>
          <w:color w:val="auto"/>
          <w:sz w:val="21"/>
          <w:szCs w:val="21"/>
        </w:rPr>
        <w:t>，应预埋套管，孔洞与管道间的空隙应采用</w:t>
      </w:r>
      <w:r>
        <w:rPr>
          <w:rFonts w:hint="eastAsia"/>
          <w:sz w:val="21"/>
          <w:szCs w:val="21"/>
        </w:rPr>
        <w:t>隔热、防水、阻燃的柔性材料填充</w:t>
      </w:r>
      <w:r>
        <w:rPr>
          <w:rFonts w:hint="eastAsia"/>
          <w:sz w:val="21"/>
          <w:szCs w:val="21"/>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管道及配件连接时，应采用对应的连接工具及配件，禁止非匹配配件及连接工具交叉使用</w:t>
      </w:r>
      <w:r>
        <w:rPr>
          <w:rFonts w:hint="eastAsia"/>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铝塑复合管的弯曲半径不应小于管道外径的6倍，铜管的弯曲半径不应小于管道外径的5倍；</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铝塑复合管与设备及配件连接时，应采用卡套式、直插式、卡压式、滑紧式管配件连接</w:t>
      </w:r>
      <w:r>
        <w:rPr>
          <w:rFonts w:hint="eastAsia"/>
          <w:sz w:val="21"/>
          <w:szCs w:val="21"/>
          <w:highlight w:val="none"/>
          <w:lang w:eastAsia="zh-CN"/>
        </w:rPr>
        <w:t>；</w:t>
      </w:r>
    </w:p>
    <w:p>
      <w:pPr>
        <w:pageBreakBefore w:val="0"/>
        <w:numPr>
          <w:ilvl w:val="0"/>
          <w:numId w:val="78"/>
        </w:numPr>
        <w:wordWrap/>
        <w:overflowPunct/>
        <w:topLinePunct w:val="0"/>
        <w:bidi w:val="0"/>
        <w:spacing w:line="240" w:lineRule="auto"/>
        <w:ind w:firstLine="420" w:firstLineChars="200"/>
        <w:rPr>
          <w:rFonts w:hint="eastAsia"/>
          <w:sz w:val="21"/>
          <w:szCs w:val="21"/>
          <w:highlight w:val="none"/>
        </w:rPr>
      </w:pPr>
      <w:r>
        <w:rPr>
          <w:rFonts w:hint="eastAsia"/>
          <w:sz w:val="21"/>
          <w:szCs w:val="21"/>
          <w:highlight w:val="none"/>
        </w:rPr>
        <w:t>铜管、不锈钢管与设备及配件连接时，宜采用卡压式、滑紧式、焊接式连接，焊接式连接施工时，宜采用管材对应的焊接材料和保护焊工艺。</w:t>
      </w:r>
    </w:p>
    <w:p>
      <w:pPr>
        <w:pageBreakBefore w:val="0"/>
        <w:numPr>
          <w:ilvl w:val="0"/>
          <w:numId w:val="75"/>
        </w:numPr>
        <w:wordWrap/>
        <w:overflowPunct/>
        <w:topLinePunct w:val="0"/>
        <w:bidi w:val="0"/>
        <w:spacing w:line="240" w:lineRule="auto"/>
        <w:ind w:left="0" w:leftChars="0" w:firstLine="0" w:firstLineChars="0"/>
        <w:rPr>
          <w:rFonts w:hint="eastAsia"/>
          <w:sz w:val="21"/>
          <w:szCs w:val="21"/>
        </w:rPr>
      </w:pPr>
      <w:r>
        <w:rPr>
          <w:rFonts w:hint="eastAsia"/>
          <w:sz w:val="21"/>
          <w:szCs w:val="21"/>
          <w:lang w:val="en-US" w:eastAsia="zh-CN"/>
        </w:rPr>
        <w:t>输配</w:t>
      </w:r>
      <w:r>
        <w:rPr>
          <w:rFonts w:hint="eastAsia"/>
          <w:sz w:val="21"/>
          <w:szCs w:val="21"/>
        </w:rPr>
        <w:t>管道</w:t>
      </w:r>
      <w:r>
        <w:rPr>
          <w:rFonts w:hint="eastAsia"/>
          <w:sz w:val="21"/>
          <w:szCs w:val="21"/>
          <w:lang w:val="en-US" w:eastAsia="zh-CN"/>
        </w:rPr>
        <w:t>管槽安装</w:t>
      </w:r>
      <w:r>
        <w:rPr>
          <w:rFonts w:hint="eastAsia"/>
          <w:sz w:val="21"/>
          <w:szCs w:val="21"/>
        </w:rPr>
        <w:t>宜配合土建预留管槽，未预留时应按设计</w:t>
      </w:r>
      <w:r>
        <w:rPr>
          <w:rFonts w:hint="eastAsia"/>
          <w:sz w:val="21"/>
          <w:szCs w:val="21"/>
          <w:lang w:val="en-US" w:eastAsia="zh-CN"/>
        </w:rPr>
        <w:t>文件</w:t>
      </w:r>
      <w:r>
        <w:rPr>
          <w:rFonts w:hint="eastAsia"/>
          <w:sz w:val="21"/>
          <w:szCs w:val="21"/>
        </w:rPr>
        <w:t>要求现场开设地面管槽和墙面管槽，管槽尺寸无设计</w:t>
      </w:r>
      <w:r>
        <w:rPr>
          <w:rFonts w:hint="eastAsia"/>
          <w:sz w:val="21"/>
          <w:szCs w:val="21"/>
          <w:lang w:val="en-US" w:eastAsia="zh-CN"/>
        </w:rPr>
        <w:t>文件</w:t>
      </w:r>
      <w:r>
        <w:rPr>
          <w:rFonts w:hint="eastAsia"/>
          <w:sz w:val="21"/>
          <w:szCs w:val="21"/>
        </w:rPr>
        <w:t>要求时应</w:t>
      </w:r>
      <w:r>
        <w:rPr>
          <w:rFonts w:hint="eastAsia"/>
          <w:sz w:val="21"/>
          <w:szCs w:val="21"/>
          <w:lang w:val="en-US" w:eastAsia="zh-CN"/>
        </w:rPr>
        <w:t>符合下列</w:t>
      </w:r>
      <w:r>
        <w:rPr>
          <w:rFonts w:hint="eastAsia"/>
          <w:sz w:val="21"/>
          <w:szCs w:val="21"/>
        </w:rPr>
        <w:t>规定：</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防水区域应在防水施工前预留管槽，因特殊原因必须在防水施工后开槽时，应在开槽后重新进行防水施工、</w:t>
      </w:r>
      <w:r>
        <w:rPr>
          <w:rFonts w:hint="eastAsia"/>
          <w:b w:val="0"/>
          <w:bCs w:val="0"/>
          <w:color w:val="auto"/>
          <w:sz w:val="21"/>
          <w:szCs w:val="21"/>
        </w:rPr>
        <w:t>防水试验</w:t>
      </w:r>
      <w:r>
        <w:rPr>
          <w:rFonts w:hint="eastAsia"/>
          <w:sz w:val="21"/>
          <w:szCs w:val="21"/>
        </w:rPr>
        <w:t>并检测合格；</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在混凝土楼板、墙面开槽时，不得损坏钢筋；</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管槽边缘应平直，单条直管槽局部弯曲偏差</w:t>
      </w:r>
      <w:r>
        <w:rPr>
          <w:rFonts w:hint="eastAsia"/>
          <w:sz w:val="21"/>
          <w:szCs w:val="21"/>
          <w:lang w:val="en-US" w:eastAsia="zh-CN"/>
        </w:rPr>
        <w:t>不应大于</w:t>
      </w:r>
      <w:r>
        <w:rPr>
          <w:rFonts w:hint="eastAsia"/>
          <w:sz w:val="21"/>
          <w:szCs w:val="21"/>
        </w:rPr>
        <w:t>5mm/1m，且全长弯曲偏差</w:t>
      </w:r>
      <w:r>
        <w:rPr>
          <w:rFonts w:hint="eastAsia"/>
          <w:sz w:val="21"/>
          <w:szCs w:val="21"/>
          <w:lang w:val="en-US" w:eastAsia="zh-CN"/>
        </w:rPr>
        <w:t>不应大于</w:t>
      </w:r>
      <w:r>
        <w:rPr>
          <w:rFonts w:hint="eastAsia"/>
          <w:sz w:val="21"/>
          <w:szCs w:val="21"/>
        </w:rPr>
        <w:t>15mm，直角转弯处应内角设置45°切角，如图</w:t>
      </w:r>
      <w:r>
        <w:rPr>
          <w:rFonts w:hint="eastAsia"/>
          <w:sz w:val="21"/>
          <w:szCs w:val="21"/>
          <w:lang w:val="en-US" w:eastAsia="zh-CN"/>
        </w:rPr>
        <w:t>5</w:t>
      </w:r>
      <w:r>
        <w:rPr>
          <w:rFonts w:hint="eastAsia"/>
          <w:sz w:val="21"/>
          <w:szCs w:val="21"/>
        </w:rPr>
        <w:t>；</w:t>
      </w:r>
    </w:p>
    <w:p>
      <w:pPr>
        <w:pageBreakBefore w:val="0"/>
        <w:wordWrap/>
        <w:overflowPunct/>
        <w:topLinePunct w:val="0"/>
        <w:bidi w:val="0"/>
        <w:spacing w:line="240" w:lineRule="auto"/>
        <w:jc w:val="center"/>
        <w:rPr>
          <w:rFonts w:hint="default" w:ascii="黑体" w:hAnsi="黑体" w:eastAsia="黑体" w:cs="黑体"/>
          <w:sz w:val="21"/>
          <w:szCs w:val="21"/>
          <w:lang w:val="en-US" w:eastAsia="zh-CN"/>
        </w:rPr>
      </w:pPr>
      <w:r>
        <w:rPr>
          <w:rFonts w:hint="eastAsia" w:ascii="黑体" w:hAnsi="黑体" w:eastAsia="黑体" w:cs="黑体"/>
          <w:kern w:val="0"/>
          <w:sz w:val="21"/>
          <w:szCs w:val="21"/>
          <w:lang w:bidi="ar"/>
        </w:rPr>
        <w:drawing>
          <wp:anchor distT="0" distB="0" distL="0" distR="0" simplePos="0" relativeHeight="251663360" behindDoc="0" locked="0" layoutInCell="1" allowOverlap="1">
            <wp:simplePos x="0" y="0"/>
            <wp:positionH relativeFrom="column">
              <wp:posOffset>1345565</wp:posOffset>
            </wp:positionH>
            <wp:positionV relativeFrom="paragraph">
              <wp:posOffset>113030</wp:posOffset>
            </wp:positionV>
            <wp:extent cx="3429635" cy="2160270"/>
            <wp:effectExtent l="0" t="0" r="14605" b="0"/>
            <wp:wrapTopAndBottom/>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noChangeArrowheads="true"/>
                    </pic:cNvPicPr>
                  </pic:nvPicPr>
                  <pic:blipFill>
                    <a:blip r:embed="rId34">
                      <a:extLst>
                        <a:ext uri="{28A0092B-C50C-407E-A947-70E740481C1C}">
                          <a14:useLocalDpi xmlns:a14="http://schemas.microsoft.com/office/drawing/2010/main" val="false"/>
                        </a:ext>
                      </a:extLst>
                    </a:blip>
                    <a:srcRect l="2367" t="27103" r="78106" b="43852"/>
                    <a:stretch>
                      <a:fillRect/>
                    </a:stretch>
                  </pic:blipFill>
                  <pic:spPr>
                    <a:xfrm>
                      <a:off x="0" y="0"/>
                      <a:ext cx="3429635" cy="2160270"/>
                    </a:xfrm>
                    <a:prstGeom prst="rect">
                      <a:avLst/>
                    </a:prstGeom>
                    <a:noFill/>
                    <a:ln>
                      <a:noFill/>
                    </a:ln>
                  </pic:spPr>
                </pic:pic>
              </a:graphicData>
            </a:graphic>
          </wp:anchor>
        </w:drawing>
      </w:r>
      <w:r>
        <w:rPr>
          <w:rFonts w:hint="eastAsia" w:ascii="黑体" w:hAnsi="黑体" w:eastAsia="黑体" w:cs="黑体"/>
          <w:sz w:val="21"/>
          <w:szCs w:val="21"/>
        </w:rPr>
        <w:t>图</w:t>
      </w:r>
      <w:r>
        <w:rPr>
          <w:rFonts w:hint="eastAsia" w:ascii="黑体" w:hAnsi="黑体" w:eastAsia="黑体" w:cs="黑体"/>
          <w:sz w:val="21"/>
          <w:szCs w:val="21"/>
          <w:lang w:val="en-US" w:eastAsia="zh-CN"/>
        </w:rPr>
        <w:t>5 管槽直角转弯处示意图</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管槽内表面应平整，不得有尖锐突出物，应预留管道固定点；</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多回路管道平行敷设时，每槽内管道不应大于两个回路。平行布槽时，槽</w:t>
      </w:r>
      <w:r>
        <w:rPr>
          <w:rFonts w:hint="eastAsia"/>
          <w:sz w:val="21"/>
          <w:szCs w:val="21"/>
          <w:lang w:val="en-US" w:eastAsia="zh-CN"/>
        </w:rPr>
        <w:t>间距应大于</w:t>
      </w:r>
      <w:r>
        <w:rPr>
          <w:rFonts w:hint="eastAsia"/>
          <w:sz w:val="21"/>
          <w:szCs w:val="21"/>
        </w:rPr>
        <w:t>100mm；</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地面管槽深度宜为30mm，单回路槽宽度宜为63</w:t>
      </w:r>
      <w:r>
        <w:rPr>
          <w:rFonts w:hint="eastAsia"/>
          <w:sz w:val="21"/>
          <w:szCs w:val="21"/>
          <w:lang w:val="en-US" w:eastAsia="zh-CN"/>
        </w:rPr>
        <w:t>mm</w:t>
      </w:r>
      <w:r>
        <w:rPr>
          <w:rFonts w:hint="eastAsia"/>
          <w:sz w:val="21"/>
          <w:szCs w:val="21"/>
        </w:rPr>
        <w:t>±2mm，双回路槽宽度宜为123</w:t>
      </w:r>
      <w:r>
        <w:rPr>
          <w:rFonts w:hint="eastAsia"/>
          <w:sz w:val="21"/>
          <w:szCs w:val="21"/>
          <w:lang w:val="en-US" w:eastAsia="zh-CN"/>
        </w:rPr>
        <w:t>mm</w:t>
      </w:r>
      <w:r>
        <w:rPr>
          <w:rFonts w:hint="eastAsia"/>
          <w:sz w:val="21"/>
          <w:szCs w:val="21"/>
        </w:rPr>
        <w:t>±2mm；墙面管槽深度宜为管道外径+10mm</w:t>
      </w:r>
      <w:r>
        <w:rPr>
          <w:rFonts w:hint="eastAsia"/>
          <w:sz w:val="21"/>
          <w:szCs w:val="21"/>
          <w:lang w:eastAsia="zh-CN"/>
        </w:rPr>
        <w:t>，</w:t>
      </w:r>
      <w:r>
        <w:rPr>
          <w:rFonts w:hint="eastAsia"/>
          <w:sz w:val="21"/>
          <w:szCs w:val="21"/>
        </w:rPr>
        <w:t>宽度宜为管道外径之和+10mm；地面管槽与墙面管槽衔接处的槽深宜为40mm；</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地面管槽内管道应采用槽板进行保护，宜采用厚度不</w:t>
      </w:r>
      <w:r>
        <w:rPr>
          <w:rFonts w:hint="eastAsia"/>
          <w:sz w:val="21"/>
          <w:szCs w:val="21"/>
          <w:lang w:val="en-US" w:eastAsia="zh-CN"/>
        </w:rPr>
        <w:t>小</w:t>
      </w:r>
      <w:r>
        <w:rPr>
          <w:rFonts w:hint="eastAsia"/>
          <w:sz w:val="21"/>
          <w:szCs w:val="21"/>
        </w:rPr>
        <w:t>于0.75mm的金属槽板，槽板之间拼接严密，不得留有缝隙；</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槽板不应高于地面找平层，槽板表面不应有明显划痕、凹陷、穿孔、锈蚀等缺陷；</w:t>
      </w:r>
    </w:p>
    <w:p>
      <w:pPr>
        <w:pageBreakBefore w:val="0"/>
        <w:numPr>
          <w:ilvl w:val="0"/>
          <w:numId w:val="79"/>
        </w:numPr>
        <w:wordWrap/>
        <w:overflowPunct/>
        <w:topLinePunct w:val="0"/>
        <w:bidi w:val="0"/>
        <w:spacing w:line="240" w:lineRule="auto"/>
        <w:ind w:firstLine="420" w:firstLineChars="200"/>
        <w:rPr>
          <w:rFonts w:hint="eastAsia"/>
          <w:sz w:val="21"/>
          <w:szCs w:val="21"/>
        </w:rPr>
      </w:pPr>
      <w:r>
        <w:rPr>
          <w:rFonts w:hint="eastAsia"/>
          <w:sz w:val="21"/>
          <w:szCs w:val="21"/>
        </w:rPr>
        <w:t>墙面管槽完成管道暗埋和隐蔽检查后，应用M10以上水泥砂浆进行回填保护，保护层厚度</w:t>
      </w:r>
      <w:r>
        <w:rPr>
          <w:rFonts w:hint="eastAsia"/>
          <w:sz w:val="21"/>
          <w:szCs w:val="21"/>
          <w:lang w:val="en-US" w:eastAsia="zh-CN"/>
        </w:rPr>
        <w:t>不应小于</w:t>
      </w:r>
      <w:r>
        <w:rPr>
          <w:rFonts w:hint="eastAsia"/>
          <w:sz w:val="21"/>
          <w:szCs w:val="21"/>
        </w:rPr>
        <w:t>15mm。回填前应在墙面洒水，回填后不得产生空鼓、裂缝、脱落，且不应凸出原始墙面。</w:t>
      </w:r>
    </w:p>
    <w:p>
      <w:pPr>
        <w:pStyle w:val="3"/>
        <w:numPr>
          <w:ilvl w:val="0"/>
          <w:numId w:val="75"/>
        </w:numPr>
        <w:bidi w:val="0"/>
        <w:ind w:left="0" w:leftChars="0" w:firstLine="0" w:firstLineChars="0"/>
        <w:rPr>
          <w:rFonts w:hint="eastAsia"/>
        </w:rPr>
      </w:pPr>
      <w:r>
        <w:rPr>
          <w:rFonts w:hint="eastAsia"/>
          <w:lang w:val="en-US" w:eastAsia="zh-CN"/>
        </w:rPr>
        <w:t>输配</w:t>
      </w:r>
      <w:r>
        <w:rPr>
          <w:rFonts w:hint="eastAsia"/>
        </w:rPr>
        <w:t>管道暗埋时，连接工艺应符合下列规定：</w:t>
      </w:r>
    </w:p>
    <w:p>
      <w:pPr>
        <w:pageBreakBefore w:val="0"/>
        <w:numPr>
          <w:ilvl w:val="0"/>
          <w:numId w:val="80"/>
        </w:numPr>
        <w:wordWrap/>
        <w:overflowPunct/>
        <w:topLinePunct w:val="0"/>
        <w:bidi w:val="0"/>
        <w:spacing w:line="240" w:lineRule="auto"/>
        <w:ind w:firstLine="420" w:firstLineChars="200"/>
        <w:rPr>
          <w:rFonts w:hint="eastAsia"/>
          <w:sz w:val="21"/>
          <w:szCs w:val="21"/>
        </w:rPr>
      </w:pPr>
      <w:r>
        <w:rPr>
          <w:rFonts w:hint="eastAsia"/>
          <w:sz w:val="21"/>
          <w:szCs w:val="21"/>
          <w:lang w:val="en-US" w:eastAsia="zh-CN"/>
        </w:rPr>
        <w:t>输配</w:t>
      </w:r>
      <w:r>
        <w:rPr>
          <w:rFonts w:hint="eastAsia"/>
          <w:sz w:val="21"/>
          <w:szCs w:val="21"/>
        </w:rPr>
        <w:t>管道</w:t>
      </w:r>
      <w:r>
        <w:rPr>
          <w:rFonts w:hint="eastAsia"/>
          <w:b w:val="0"/>
          <w:bCs w:val="0"/>
          <w:color w:val="auto"/>
          <w:sz w:val="21"/>
          <w:szCs w:val="21"/>
        </w:rPr>
        <w:t>暗埋</w:t>
      </w:r>
      <w:r>
        <w:rPr>
          <w:rFonts w:hint="eastAsia"/>
          <w:sz w:val="21"/>
          <w:szCs w:val="21"/>
        </w:rPr>
        <w:t>宜采用铝塑复合管连续敷设，</w:t>
      </w:r>
      <w:r>
        <w:rPr>
          <w:rFonts w:hint="eastAsia"/>
          <w:sz w:val="21"/>
          <w:szCs w:val="21"/>
          <w:lang w:val="en-US" w:eastAsia="zh-CN"/>
        </w:rPr>
        <w:t>采用章鱼式连接方式时</w:t>
      </w:r>
      <w:r>
        <w:rPr>
          <w:rFonts w:hint="eastAsia"/>
          <w:sz w:val="21"/>
          <w:szCs w:val="21"/>
        </w:rPr>
        <w:t>不应有接头</w:t>
      </w:r>
      <w:r>
        <w:rPr>
          <w:rFonts w:hint="eastAsia"/>
          <w:sz w:val="21"/>
          <w:szCs w:val="21"/>
          <w:lang w:eastAsia="zh-CN"/>
        </w:rPr>
        <w:t>。</w:t>
      </w:r>
    </w:p>
    <w:p>
      <w:pPr>
        <w:pageBreakBefore w:val="0"/>
        <w:numPr>
          <w:ilvl w:val="0"/>
          <w:numId w:val="80"/>
        </w:numPr>
        <w:wordWrap/>
        <w:overflowPunct/>
        <w:topLinePunct w:val="0"/>
        <w:bidi w:val="0"/>
        <w:spacing w:line="240" w:lineRule="auto"/>
        <w:ind w:firstLine="420" w:firstLineChars="200"/>
        <w:rPr>
          <w:rFonts w:hint="eastAsia"/>
          <w:sz w:val="21"/>
          <w:szCs w:val="21"/>
        </w:rPr>
      </w:pPr>
      <w:r>
        <w:rPr>
          <w:rFonts w:hint="eastAsia"/>
          <w:sz w:val="21"/>
          <w:szCs w:val="21"/>
          <w:lang w:val="en-US" w:eastAsia="zh-CN"/>
        </w:rPr>
        <w:t>输配</w:t>
      </w:r>
      <w:r>
        <w:rPr>
          <w:rFonts w:hint="eastAsia"/>
          <w:sz w:val="21"/>
          <w:szCs w:val="21"/>
        </w:rPr>
        <w:t>管道暗埋采用焊接或热熔连接工艺时，应尽量减少接头数量，管道隐蔽前应在竣工图中标记接头位置</w:t>
      </w:r>
      <w:r>
        <w:rPr>
          <w:rFonts w:hint="eastAsia"/>
          <w:sz w:val="21"/>
          <w:szCs w:val="21"/>
          <w:lang w:eastAsia="zh-CN"/>
        </w:rPr>
        <w:t>。</w:t>
      </w:r>
    </w:p>
    <w:p>
      <w:pPr>
        <w:pStyle w:val="3"/>
        <w:numPr>
          <w:ilvl w:val="0"/>
          <w:numId w:val="75"/>
        </w:numPr>
        <w:bidi w:val="0"/>
        <w:ind w:left="-1" w:leftChars="0" w:firstLine="0" w:firstLineChars="0"/>
        <w:rPr>
          <w:rFonts w:hint="eastAsia"/>
        </w:rPr>
      </w:pPr>
      <w:r>
        <w:rPr>
          <w:rFonts w:hint="eastAsia"/>
        </w:rPr>
        <w:t>供暖管道暗埋敷设应在管槽内固定，固定点要求应符合下列规定：</w:t>
      </w:r>
    </w:p>
    <w:p>
      <w:pPr>
        <w:pageBreakBefore w:val="0"/>
        <w:numPr>
          <w:ilvl w:val="0"/>
          <w:numId w:val="81"/>
        </w:numPr>
        <w:wordWrap/>
        <w:overflowPunct/>
        <w:topLinePunct w:val="0"/>
        <w:bidi w:val="0"/>
        <w:spacing w:line="240" w:lineRule="auto"/>
        <w:ind w:firstLine="420" w:firstLineChars="200"/>
        <w:rPr>
          <w:rFonts w:hint="eastAsia"/>
          <w:sz w:val="21"/>
          <w:szCs w:val="21"/>
        </w:rPr>
      </w:pPr>
      <w:r>
        <w:rPr>
          <w:rFonts w:hint="eastAsia"/>
          <w:sz w:val="21"/>
          <w:szCs w:val="21"/>
        </w:rPr>
        <w:t>直管段固定点最大间距为表</w:t>
      </w:r>
      <w:r>
        <w:rPr>
          <w:rFonts w:hint="eastAsia"/>
          <w:sz w:val="21"/>
          <w:szCs w:val="21"/>
          <w:lang w:val="en-US" w:eastAsia="zh-CN"/>
        </w:rPr>
        <w:t>9</w:t>
      </w:r>
      <w:r>
        <w:rPr>
          <w:rFonts w:hint="eastAsia"/>
          <w:sz w:val="21"/>
          <w:szCs w:val="21"/>
        </w:rPr>
        <w:t>中数值的2倍；</w:t>
      </w:r>
    </w:p>
    <w:p>
      <w:pPr>
        <w:pageBreakBefore w:val="0"/>
        <w:numPr>
          <w:ilvl w:val="0"/>
          <w:numId w:val="81"/>
        </w:numPr>
        <w:wordWrap/>
        <w:overflowPunct/>
        <w:topLinePunct w:val="0"/>
        <w:bidi w:val="0"/>
        <w:spacing w:line="240" w:lineRule="auto"/>
        <w:ind w:firstLine="420" w:firstLineChars="200"/>
        <w:rPr>
          <w:rFonts w:hint="eastAsia"/>
          <w:sz w:val="21"/>
          <w:szCs w:val="21"/>
        </w:rPr>
      </w:pPr>
      <w:r>
        <w:rPr>
          <w:rFonts w:hint="eastAsia"/>
          <w:sz w:val="21"/>
          <w:szCs w:val="21"/>
        </w:rPr>
        <w:t>管道弯曲处应在弯曲顶点和弯曲切点处进行固定，如图</w:t>
      </w:r>
      <w:r>
        <w:rPr>
          <w:rFonts w:hint="eastAsia"/>
          <w:sz w:val="21"/>
          <w:szCs w:val="21"/>
          <w:lang w:val="en-US" w:eastAsia="zh-CN"/>
        </w:rPr>
        <w:t>6</w:t>
      </w:r>
      <w:r>
        <w:rPr>
          <w:rFonts w:hint="eastAsia"/>
          <w:sz w:val="21"/>
          <w:szCs w:val="21"/>
        </w:rPr>
        <w:t>；</w:t>
      </w:r>
    </w:p>
    <w:p>
      <w:pPr>
        <w:pageBreakBefore w:val="0"/>
        <w:wordWrap/>
        <w:overflowPunct/>
        <w:topLinePunct w:val="0"/>
        <w:bidi w:val="0"/>
        <w:spacing w:line="240" w:lineRule="auto"/>
        <w:jc w:val="center"/>
        <w:rPr>
          <w:rFonts w:hint="eastAsia" w:ascii="黑体" w:hAnsi="黑体" w:eastAsia="黑体" w:cs="黑体"/>
          <w:sz w:val="21"/>
          <w:szCs w:val="21"/>
        </w:rPr>
      </w:pPr>
    </w:p>
    <w:p>
      <w:pPr>
        <w:pageBreakBefore w:val="0"/>
        <w:wordWrap/>
        <w:overflowPunct/>
        <w:topLinePunct w:val="0"/>
        <w:bidi w:val="0"/>
        <w:spacing w:line="240" w:lineRule="auto"/>
        <w:jc w:val="center"/>
        <w:rPr>
          <w:rFonts w:hint="eastAsia" w:ascii="黑体" w:hAnsi="黑体" w:eastAsia="黑体" w:cs="黑体"/>
          <w:sz w:val="21"/>
          <w:szCs w:val="21"/>
        </w:rPr>
      </w:pPr>
    </w:p>
    <w:p>
      <w:pPr>
        <w:pageBreakBefore w:val="0"/>
        <w:wordWrap/>
        <w:overflowPunct/>
        <w:topLinePunct w:val="0"/>
        <w:bidi w:val="0"/>
        <w:spacing w:line="240" w:lineRule="auto"/>
        <w:jc w:val="center"/>
        <w:rPr>
          <w:rFonts w:hint="eastAsia" w:ascii="黑体" w:hAnsi="黑体" w:eastAsia="黑体" w:cs="黑体"/>
          <w:sz w:val="21"/>
          <w:szCs w:val="21"/>
        </w:rPr>
      </w:pPr>
    </w:p>
    <w:p>
      <w:pPr>
        <w:pageBreakBefore w:val="0"/>
        <w:wordWrap/>
        <w:overflowPunct/>
        <w:topLinePunct w:val="0"/>
        <w:bidi w:val="0"/>
        <w:spacing w:line="240" w:lineRule="auto"/>
        <w:jc w:val="center"/>
        <w:rPr>
          <w:rFonts w:hint="eastAsia" w:ascii="黑体" w:hAnsi="黑体" w:eastAsia="黑体" w:cs="黑体"/>
          <w:sz w:val="21"/>
          <w:szCs w:val="21"/>
        </w:rPr>
      </w:pPr>
    </w:p>
    <w:p>
      <w:pPr>
        <w:pageBreakBefore w:val="0"/>
        <w:wordWrap/>
        <w:overflowPunct/>
        <w:topLinePunct w:val="0"/>
        <w:bidi w:val="0"/>
        <w:spacing w:line="240" w:lineRule="auto"/>
        <w:jc w:val="center"/>
        <w:rPr>
          <w:rFonts w:hint="eastAsia"/>
          <w:sz w:val="21"/>
          <w:szCs w:val="21"/>
          <w:lang w:val="en-US" w:eastAsia="zh-CN"/>
        </w:rPr>
      </w:pPr>
      <w:r>
        <w:rPr>
          <w:rFonts w:hint="eastAsia" w:ascii="黑体" w:hAnsi="黑体" w:eastAsia="黑体" w:cs="黑体"/>
          <w:kern w:val="0"/>
          <w:sz w:val="21"/>
          <w:szCs w:val="21"/>
          <w:lang w:bidi="ar"/>
        </w:rPr>
        <w:drawing>
          <wp:anchor distT="0" distB="0" distL="0" distR="0" simplePos="0" relativeHeight="251664384" behindDoc="0" locked="0" layoutInCell="1" allowOverlap="1">
            <wp:simplePos x="0" y="0"/>
            <wp:positionH relativeFrom="column">
              <wp:posOffset>1433830</wp:posOffset>
            </wp:positionH>
            <wp:positionV relativeFrom="paragraph">
              <wp:posOffset>138430</wp:posOffset>
            </wp:positionV>
            <wp:extent cx="3074670" cy="2520315"/>
            <wp:effectExtent l="0" t="0" r="0" b="0"/>
            <wp:wrapTopAndBottom/>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noChangeArrowheads="true"/>
                    </pic:cNvPicPr>
                  </pic:nvPicPr>
                  <pic:blipFill>
                    <a:blip r:embed="rId35">
                      <a:extLst>
                        <a:ext uri="{28A0092B-C50C-407E-A947-70E740481C1C}">
                          <a14:useLocalDpi xmlns:a14="http://schemas.microsoft.com/office/drawing/2010/main" val="false"/>
                        </a:ext>
                      </a:extLst>
                    </a:blip>
                    <a:srcRect l="37750" t="20000" r="45147" b="46909"/>
                    <a:stretch>
                      <a:fillRect/>
                    </a:stretch>
                  </pic:blipFill>
                  <pic:spPr>
                    <a:xfrm>
                      <a:off x="0" y="0"/>
                      <a:ext cx="3074670" cy="2520315"/>
                    </a:xfrm>
                    <a:prstGeom prst="rect">
                      <a:avLst/>
                    </a:prstGeom>
                    <a:noFill/>
                    <a:ln>
                      <a:noFill/>
                    </a:ln>
                  </pic:spPr>
                </pic:pic>
              </a:graphicData>
            </a:graphic>
          </wp:anchor>
        </w:drawing>
      </w:r>
      <w:r>
        <w:rPr>
          <w:rFonts w:hint="eastAsia" w:ascii="黑体" w:hAnsi="黑体" w:eastAsia="黑体" w:cs="黑体"/>
          <w:sz w:val="21"/>
          <w:szCs w:val="21"/>
        </w:rPr>
        <w:t>图</w:t>
      </w:r>
      <w:r>
        <w:rPr>
          <w:rFonts w:hint="eastAsia" w:ascii="黑体" w:hAnsi="黑体" w:eastAsia="黑体" w:cs="黑体"/>
          <w:sz w:val="21"/>
          <w:szCs w:val="21"/>
          <w:lang w:val="en-US" w:eastAsia="zh-CN"/>
        </w:rPr>
        <w:t>6 管道弯曲处固定要求示意图</w:t>
      </w:r>
    </w:p>
    <w:p>
      <w:pPr>
        <w:pageBreakBefore w:val="0"/>
        <w:numPr>
          <w:ilvl w:val="0"/>
          <w:numId w:val="81"/>
        </w:numPr>
        <w:wordWrap/>
        <w:overflowPunct/>
        <w:topLinePunct w:val="0"/>
        <w:bidi w:val="0"/>
        <w:spacing w:line="240" w:lineRule="auto"/>
        <w:ind w:firstLine="420" w:firstLineChars="200"/>
        <w:rPr>
          <w:rFonts w:hint="eastAsia" w:eastAsia="宋体"/>
          <w:sz w:val="21"/>
          <w:szCs w:val="21"/>
        </w:rPr>
      </w:pPr>
      <w:r>
        <w:rPr>
          <w:rFonts w:hint="eastAsia" w:eastAsia="宋体"/>
          <w:sz w:val="21"/>
          <w:szCs w:val="21"/>
        </w:rPr>
        <w:t>管道出墙处应预留120mm，墙面贴瓷砖时应预留150mm，出墙管应垂直于墙面并固定；</w:t>
      </w:r>
    </w:p>
    <w:p>
      <w:pPr>
        <w:pageBreakBefore w:val="0"/>
        <w:numPr>
          <w:ilvl w:val="0"/>
          <w:numId w:val="81"/>
        </w:numPr>
        <w:wordWrap/>
        <w:overflowPunct/>
        <w:topLinePunct w:val="0"/>
        <w:bidi w:val="0"/>
        <w:spacing w:line="240" w:lineRule="auto"/>
        <w:ind w:firstLine="420" w:firstLineChars="200"/>
        <w:rPr>
          <w:rFonts w:hint="eastAsia"/>
          <w:sz w:val="21"/>
          <w:szCs w:val="21"/>
        </w:rPr>
      </w:pPr>
      <w:r>
        <w:rPr>
          <w:rFonts w:hint="eastAsia"/>
          <w:sz w:val="21"/>
          <w:szCs w:val="21"/>
        </w:rPr>
        <w:t>出墙管宜采用保护套管做防护处理，管道出墙处中心位置及管道间距与设计偏差</w:t>
      </w:r>
      <w:r>
        <w:rPr>
          <w:rFonts w:hint="eastAsia"/>
          <w:sz w:val="21"/>
          <w:szCs w:val="21"/>
          <w:lang w:val="en-US" w:eastAsia="zh-CN"/>
        </w:rPr>
        <w:t>不应大于</w:t>
      </w:r>
      <w:r>
        <w:rPr>
          <w:rFonts w:hint="eastAsia"/>
          <w:sz w:val="21"/>
          <w:szCs w:val="21"/>
        </w:rPr>
        <w:t>5mm；</w:t>
      </w:r>
    </w:p>
    <w:p>
      <w:pPr>
        <w:pageBreakBefore w:val="0"/>
        <w:numPr>
          <w:ilvl w:val="0"/>
          <w:numId w:val="81"/>
        </w:numPr>
        <w:wordWrap/>
        <w:overflowPunct/>
        <w:topLinePunct w:val="0"/>
        <w:bidi w:val="0"/>
        <w:spacing w:line="240" w:lineRule="auto"/>
        <w:ind w:firstLine="420" w:firstLineChars="200"/>
        <w:rPr>
          <w:rFonts w:hint="eastAsia"/>
          <w:sz w:val="21"/>
          <w:szCs w:val="21"/>
        </w:rPr>
      </w:pPr>
      <w:r>
        <w:rPr>
          <w:rFonts w:hint="eastAsia"/>
          <w:sz w:val="21"/>
          <w:szCs w:val="21"/>
        </w:rPr>
        <w:t>供暖管道地面暗埋时与分水器、集水器连接处，弯出地面的管道应装硬质套管进行保护。</w:t>
      </w:r>
    </w:p>
    <w:p>
      <w:pPr>
        <w:pageBreakBefore w:val="0"/>
        <w:numPr>
          <w:ilvl w:val="0"/>
          <w:numId w:val="75"/>
        </w:numPr>
        <w:wordWrap/>
        <w:overflowPunct/>
        <w:topLinePunct w:val="0"/>
        <w:bidi w:val="0"/>
        <w:spacing w:line="240" w:lineRule="auto"/>
        <w:ind w:left="0" w:leftChars="0" w:firstLine="0" w:firstLineChars="0"/>
        <w:rPr>
          <w:rFonts w:hint="eastAsia"/>
          <w:sz w:val="21"/>
          <w:szCs w:val="21"/>
        </w:rPr>
      </w:pPr>
      <w:r>
        <w:rPr>
          <w:rFonts w:hint="eastAsia"/>
          <w:b w:val="0"/>
          <w:bCs w:val="0"/>
          <w:color w:val="auto"/>
          <w:sz w:val="21"/>
          <w:szCs w:val="21"/>
        </w:rPr>
        <w:t>暗埋</w:t>
      </w:r>
      <w:r>
        <w:rPr>
          <w:rFonts w:hint="eastAsia"/>
          <w:b w:val="0"/>
          <w:bCs w:val="0"/>
          <w:color w:val="auto"/>
          <w:sz w:val="21"/>
          <w:szCs w:val="21"/>
          <w:lang w:val="en-US" w:eastAsia="zh-CN"/>
        </w:rPr>
        <w:t>的</w:t>
      </w:r>
      <w:r>
        <w:rPr>
          <w:rFonts w:hint="eastAsia"/>
          <w:color w:val="auto"/>
          <w:sz w:val="21"/>
          <w:szCs w:val="21"/>
          <w:lang w:val="en-US" w:eastAsia="zh-CN"/>
        </w:rPr>
        <w:t>输配</w:t>
      </w:r>
      <w:r>
        <w:rPr>
          <w:rFonts w:hint="eastAsia"/>
          <w:sz w:val="21"/>
          <w:szCs w:val="21"/>
        </w:rPr>
        <w:t>管道应</w:t>
      </w:r>
      <w:r>
        <w:rPr>
          <w:rFonts w:hint="eastAsia"/>
          <w:sz w:val="21"/>
          <w:szCs w:val="21"/>
          <w:lang w:val="en-US" w:eastAsia="zh-CN"/>
        </w:rPr>
        <w:t>在</w:t>
      </w:r>
      <w:r>
        <w:rPr>
          <w:rFonts w:hint="eastAsia"/>
          <w:sz w:val="21"/>
          <w:szCs w:val="21"/>
        </w:rPr>
        <w:t>水压试验</w:t>
      </w:r>
      <w:r>
        <w:rPr>
          <w:rFonts w:hint="eastAsia"/>
          <w:sz w:val="21"/>
          <w:szCs w:val="21"/>
          <w:lang w:val="en-US" w:eastAsia="zh-CN"/>
        </w:rPr>
        <w:t>合格</w:t>
      </w:r>
      <w:r>
        <w:rPr>
          <w:rFonts w:hint="eastAsia"/>
          <w:sz w:val="21"/>
          <w:szCs w:val="21"/>
        </w:rPr>
        <w:t>后进行绝热保温，</w:t>
      </w:r>
      <w:r>
        <w:rPr>
          <w:rFonts w:hint="eastAsia"/>
          <w:sz w:val="21"/>
          <w:szCs w:val="21"/>
          <w:lang w:val="en-US" w:eastAsia="zh-CN"/>
        </w:rPr>
        <w:t>管道</w:t>
      </w:r>
      <w:r>
        <w:rPr>
          <w:rFonts w:hint="eastAsia"/>
          <w:sz w:val="21"/>
          <w:szCs w:val="21"/>
        </w:rPr>
        <w:t>保温层接头处应采用与保温材料配套的专用胶水或胶带进行粘接密封。对于保温层填充不足的部位，应先对管道进行隔离后采用发泡剂填充。</w:t>
      </w:r>
    </w:p>
    <w:p>
      <w:pPr>
        <w:pageBreakBefore w:val="0"/>
        <w:numPr>
          <w:ilvl w:val="0"/>
          <w:numId w:val="75"/>
        </w:numPr>
        <w:wordWrap/>
        <w:overflowPunct/>
        <w:topLinePunct w:val="0"/>
        <w:bidi w:val="0"/>
        <w:spacing w:line="240" w:lineRule="auto"/>
        <w:ind w:left="0" w:leftChars="0" w:firstLine="0" w:firstLineChars="0"/>
        <w:rPr>
          <w:rFonts w:hint="eastAsia"/>
          <w:b w:val="0"/>
          <w:bCs w:val="0"/>
          <w:color w:val="auto"/>
          <w:sz w:val="21"/>
          <w:szCs w:val="21"/>
        </w:rPr>
      </w:pPr>
      <w:r>
        <w:rPr>
          <w:rFonts w:hint="eastAsia"/>
          <w:b w:val="0"/>
          <w:bCs w:val="0"/>
          <w:color w:val="auto"/>
          <w:sz w:val="21"/>
          <w:szCs w:val="21"/>
          <w:lang w:val="en-US" w:eastAsia="zh-CN"/>
        </w:rPr>
        <w:t>输配</w:t>
      </w:r>
      <w:r>
        <w:rPr>
          <w:rFonts w:hint="eastAsia"/>
          <w:b w:val="0"/>
          <w:bCs w:val="0"/>
          <w:color w:val="auto"/>
          <w:sz w:val="21"/>
          <w:szCs w:val="21"/>
        </w:rPr>
        <w:t>管道明装应采用管卡固定，宜采用专用管槽进行装饰，管槽或管卡应根据固定点材质，用专用锚栓固定，安装应</w:t>
      </w:r>
      <w:r>
        <w:rPr>
          <w:rFonts w:hint="eastAsia"/>
          <w:b w:val="0"/>
          <w:bCs w:val="0"/>
          <w:color w:val="auto"/>
          <w:sz w:val="21"/>
          <w:szCs w:val="21"/>
          <w:lang w:val="en-US" w:eastAsia="zh-CN"/>
        </w:rPr>
        <w:t>符合下列</w:t>
      </w:r>
      <w:r>
        <w:rPr>
          <w:rFonts w:hint="eastAsia"/>
          <w:b w:val="0"/>
          <w:bCs w:val="0"/>
          <w:color w:val="auto"/>
          <w:sz w:val="21"/>
          <w:szCs w:val="21"/>
        </w:rPr>
        <w:t>规定：</w:t>
      </w:r>
    </w:p>
    <w:p>
      <w:pPr>
        <w:pageBreakBefore w:val="0"/>
        <w:numPr>
          <w:ilvl w:val="0"/>
          <w:numId w:val="82"/>
        </w:numPr>
        <w:wordWrap/>
        <w:overflowPunct/>
        <w:topLinePunct w:val="0"/>
        <w:bidi w:val="0"/>
        <w:spacing w:line="240" w:lineRule="auto"/>
        <w:ind w:firstLine="420" w:firstLineChars="200"/>
        <w:rPr>
          <w:rFonts w:hint="eastAsia"/>
          <w:sz w:val="21"/>
          <w:szCs w:val="21"/>
        </w:rPr>
      </w:pPr>
      <w:r>
        <w:rPr>
          <w:rFonts w:hint="eastAsia"/>
          <w:sz w:val="21"/>
          <w:szCs w:val="21"/>
        </w:rPr>
        <w:t>明装管槽、管卡安装应平直，在水平方向弯曲偏差</w:t>
      </w:r>
      <w:r>
        <w:rPr>
          <w:rFonts w:hint="eastAsia"/>
          <w:sz w:val="21"/>
          <w:szCs w:val="21"/>
          <w:lang w:val="en-US" w:eastAsia="zh-CN"/>
        </w:rPr>
        <w:t>不</w:t>
      </w:r>
      <w:r>
        <w:rPr>
          <w:rFonts w:hint="eastAsia"/>
          <w:sz w:val="21"/>
          <w:szCs w:val="21"/>
        </w:rPr>
        <w:t>应</w:t>
      </w:r>
      <w:r>
        <w:rPr>
          <w:rFonts w:hint="eastAsia"/>
          <w:sz w:val="21"/>
          <w:szCs w:val="21"/>
          <w:lang w:val="en-US" w:eastAsia="zh-CN"/>
        </w:rPr>
        <w:t>大于</w:t>
      </w:r>
      <w:r>
        <w:rPr>
          <w:rFonts w:hint="eastAsia"/>
          <w:sz w:val="21"/>
          <w:szCs w:val="21"/>
        </w:rPr>
        <w:t>1mm/1m，且全长弯曲偏差</w:t>
      </w:r>
      <w:r>
        <w:rPr>
          <w:rFonts w:hint="eastAsia"/>
          <w:sz w:val="21"/>
          <w:szCs w:val="21"/>
          <w:lang w:val="en-US" w:eastAsia="zh-CN"/>
        </w:rPr>
        <w:t>不</w:t>
      </w:r>
      <w:r>
        <w:rPr>
          <w:rFonts w:hint="eastAsia"/>
          <w:sz w:val="21"/>
          <w:szCs w:val="21"/>
        </w:rPr>
        <w:t>应</w:t>
      </w:r>
      <w:r>
        <w:rPr>
          <w:rFonts w:hint="eastAsia"/>
          <w:sz w:val="21"/>
          <w:szCs w:val="21"/>
          <w:lang w:val="en-US" w:eastAsia="zh-CN"/>
        </w:rPr>
        <w:t>大于</w:t>
      </w:r>
      <w:r>
        <w:rPr>
          <w:rFonts w:hint="eastAsia"/>
          <w:sz w:val="21"/>
          <w:szCs w:val="21"/>
        </w:rPr>
        <w:t>13mm；垂直方向弯曲偏差</w:t>
      </w:r>
      <w:r>
        <w:rPr>
          <w:rFonts w:hint="eastAsia"/>
          <w:sz w:val="21"/>
          <w:szCs w:val="21"/>
          <w:lang w:val="en-US" w:eastAsia="zh-CN"/>
        </w:rPr>
        <w:t>不</w:t>
      </w:r>
      <w:r>
        <w:rPr>
          <w:rFonts w:hint="eastAsia"/>
          <w:sz w:val="21"/>
          <w:szCs w:val="21"/>
        </w:rPr>
        <w:t>应</w:t>
      </w:r>
      <w:r>
        <w:rPr>
          <w:rFonts w:hint="eastAsia"/>
          <w:sz w:val="21"/>
          <w:szCs w:val="21"/>
          <w:lang w:val="en-US" w:eastAsia="zh-CN"/>
        </w:rPr>
        <w:t>大于</w:t>
      </w:r>
      <w:r>
        <w:rPr>
          <w:rFonts w:hint="eastAsia"/>
          <w:sz w:val="21"/>
          <w:szCs w:val="21"/>
        </w:rPr>
        <w:t>2mm/1m，且全长弯曲偏差</w:t>
      </w:r>
      <w:r>
        <w:rPr>
          <w:rFonts w:hint="eastAsia"/>
          <w:sz w:val="21"/>
          <w:szCs w:val="21"/>
          <w:lang w:val="en-US" w:eastAsia="zh-CN"/>
        </w:rPr>
        <w:t>不</w:t>
      </w:r>
      <w:r>
        <w:rPr>
          <w:rFonts w:hint="eastAsia"/>
          <w:sz w:val="21"/>
          <w:szCs w:val="21"/>
        </w:rPr>
        <w:t>应</w:t>
      </w:r>
      <w:r>
        <w:rPr>
          <w:rFonts w:hint="eastAsia"/>
          <w:sz w:val="21"/>
          <w:szCs w:val="21"/>
          <w:lang w:val="en-US" w:eastAsia="zh-CN"/>
        </w:rPr>
        <w:t>大于</w:t>
      </w:r>
      <w:r>
        <w:rPr>
          <w:rFonts w:hint="eastAsia"/>
          <w:sz w:val="21"/>
          <w:szCs w:val="21"/>
        </w:rPr>
        <w:t>10mm；</w:t>
      </w:r>
    </w:p>
    <w:p>
      <w:pPr>
        <w:pageBreakBefore w:val="0"/>
        <w:numPr>
          <w:ilvl w:val="0"/>
          <w:numId w:val="82"/>
        </w:numPr>
        <w:wordWrap/>
        <w:overflowPunct/>
        <w:topLinePunct w:val="0"/>
        <w:bidi w:val="0"/>
        <w:spacing w:line="240" w:lineRule="auto"/>
        <w:ind w:firstLine="420" w:firstLineChars="200"/>
        <w:rPr>
          <w:rFonts w:hint="eastAsia"/>
          <w:sz w:val="21"/>
          <w:szCs w:val="21"/>
        </w:rPr>
      </w:pPr>
      <w:r>
        <w:rPr>
          <w:rFonts w:hint="eastAsia"/>
          <w:sz w:val="21"/>
          <w:szCs w:val="21"/>
        </w:rPr>
        <w:t>明装管槽连接处，应使用专用连接件，确保接头搭接质量；</w:t>
      </w:r>
    </w:p>
    <w:p>
      <w:pPr>
        <w:pageBreakBefore w:val="0"/>
        <w:numPr>
          <w:ilvl w:val="0"/>
          <w:numId w:val="82"/>
        </w:numPr>
        <w:wordWrap/>
        <w:overflowPunct/>
        <w:topLinePunct w:val="0"/>
        <w:bidi w:val="0"/>
        <w:spacing w:line="240" w:lineRule="auto"/>
        <w:ind w:firstLine="420" w:firstLineChars="200"/>
        <w:rPr>
          <w:rFonts w:hint="eastAsia"/>
          <w:b w:val="0"/>
          <w:bCs w:val="0"/>
          <w:color w:val="auto"/>
          <w:sz w:val="21"/>
          <w:szCs w:val="21"/>
        </w:rPr>
      </w:pPr>
      <w:r>
        <w:rPr>
          <w:rFonts w:hint="eastAsia"/>
          <w:b w:val="0"/>
          <w:bCs w:val="0"/>
          <w:color w:val="auto"/>
          <w:sz w:val="21"/>
          <w:szCs w:val="21"/>
        </w:rPr>
        <w:t>明装管卡的最大间距应不大于</w:t>
      </w:r>
      <w:r>
        <w:rPr>
          <w:rFonts w:hint="eastAsia" w:ascii="宋体" w:hAnsi="宋体" w:eastAsia="宋体" w:cs="宋体"/>
          <w:b w:val="0"/>
          <w:bCs w:val="0"/>
          <w:color w:val="auto"/>
          <w:sz w:val="21"/>
          <w:szCs w:val="21"/>
          <w:u w:val="none"/>
        </w:rPr>
        <w:t>表</w:t>
      </w:r>
      <w:r>
        <w:rPr>
          <w:rFonts w:hint="eastAsia" w:ascii="宋体" w:hAnsi="宋体" w:eastAsia="宋体" w:cs="宋体"/>
          <w:b w:val="0"/>
          <w:bCs w:val="0"/>
          <w:color w:val="auto"/>
          <w:sz w:val="21"/>
          <w:szCs w:val="21"/>
          <w:u w:val="none"/>
          <w:lang w:val="en-US" w:eastAsia="zh-CN"/>
        </w:rPr>
        <w:t>9</w:t>
      </w:r>
      <w:r>
        <w:rPr>
          <w:rFonts w:hint="eastAsia"/>
          <w:b w:val="0"/>
          <w:bCs w:val="0"/>
          <w:color w:val="auto"/>
          <w:sz w:val="21"/>
          <w:szCs w:val="21"/>
        </w:rPr>
        <w:t>的规定</w:t>
      </w:r>
      <w:r>
        <w:rPr>
          <w:rFonts w:hint="eastAsia"/>
          <w:b w:val="0"/>
          <w:bCs w:val="0"/>
          <w:color w:val="auto"/>
          <w:sz w:val="21"/>
          <w:szCs w:val="21"/>
          <w:lang w:eastAsia="zh-CN"/>
        </w:rPr>
        <w:t>；</w:t>
      </w:r>
    </w:p>
    <w:p>
      <w:pPr>
        <w:pStyle w:val="5"/>
        <w:pageBreakBefore w:val="0"/>
        <w:wordWrap/>
        <w:overflowPunct/>
        <w:topLinePunct w:val="0"/>
        <w:bidi w:val="0"/>
        <w:spacing w:before="120" w:after="120" w:line="240" w:lineRule="auto"/>
        <w:jc w:val="right"/>
        <w:rPr>
          <w:rFonts w:hint="eastAsia" w:ascii="黑体" w:hAnsi="黑体" w:eastAsia="黑体"/>
          <w:b w:val="0"/>
          <w:bCs w:val="0"/>
          <w:color w:val="auto"/>
          <w:sz w:val="21"/>
          <w:szCs w:val="21"/>
          <w:lang w:eastAsia="zh-CN"/>
        </w:rPr>
      </w:pPr>
      <w:r>
        <w:rPr>
          <w:rFonts w:ascii="黑体" w:hAnsi="黑体" w:eastAsia="黑体"/>
          <w:b w:val="0"/>
          <w:bCs w:val="0"/>
          <w:color w:val="auto"/>
          <w:sz w:val="21"/>
          <w:szCs w:val="21"/>
          <w:u w:val="none"/>
        </w:rPr>
        <w:t>表</w:t>
      </w:r>
      <w:r>
        <w:rPr>
          <w:rFonts w:hint="eastAsia"/>
          <w:b w:val="0"/>
          <w:bCs w:val="0"/>
          <w:color w:val="auto"/>
          <w:sz w:val="21"/>
          <w:szCs w:val="21"/>
          <w:u w:val="none"/>
          <w:lang w:val="en-US" w:eastAsia="zh-CN"/>
        </w:rPr>
        <w:t>9</w:t>
      </w:r>
      <w:r>
        <w:rPr>
          <w:rFonts w:hint="eastAsia" w:ascii="黑体" w:hAnsi="黑体" w:eastAsia="黑体"/>
          <w:b w:val="0"/>
          <w:bCs w:val="0"/>
          <w:color w:val="auto"/>
          <w:sz w:val="21"/>
          <w:szCs w:val="21"/>
        </w:rPr>
        <w:t xml:space="preserve"> 供暖管道</w:t>
      </w:r>
      <w:r>
        <w:rPr>
          <w:rFonts w:ascii="黑体" w:hAnsi="黑体" w:eastAsia="黑体"/>
          <w:b w:val="0"/>
          <w:bCs w:val="0"/>
          <w:color w:val="auto"/>
          <w:sz w:val="21"/>
          <w:szCs w:val="21"/>
        </w:rPr>
        <w:t>明装管卡最大间距</w:t>
      </w:r>
      <w:r>
        <w:rPr>
          <w:rFonts w:hint="eastAsia"/>
          <w:b w:val="0"/>
          <w:bCs w:val="0"/>
          <w:color w:val="auto"/>
          <w:sz w:val="21"/>
          <w:szCs w:val="21"/>
          <w:lang w:val="en-US" w:eastAsia="zh-CN"/>
        </w:rPr>
        <w:t xml:space="preserve">                   </w:t>
      </w:r>
      <w:r>
        <w:rPr>
          <w:rFonts w:hint="eastAsia"/>
          <w:b w:val="0"/>
          <w:bCs w:val="0"/>
          <w:color w:val="auto"/>
          <w:sz w:val="21"/>
          <w:szCs w:val="21"/>
          <w:lang w:eastAsia="zh-CN"/>
        </w:rPr>
        <w:t>（</w:t>
      </w:r>
      <w:r>
        <w:rPr>
          <w:rFonts w:hint="eastAsia"/>
          <w:b w:val="0"/>
          <w:bCs w:val="0"/>
          <w:color w:val="auto"/>
          <w:sz w:val="21"/>
          <w:szCs w:val="21"/>
          <w:lang w:val="en-US" w:eastAsia="zh-CN"/>
        </w:rPr>
        <w:t>单位：</w:t>
      </w:r>
      <w:r>
        <w:rPr>
          <w:rFonts w:hint="eastAsia"/>
          <w:b w:val="0"/>
          <w:bCs w:val="0"/>
          <w:color w:val="auto"/>
          <w:sz w:val="21"/>
          <w:szCs w:val="21"/>
        </w:rPr>
        <w:t>mm</w:t>
      </w:r>
      <w:r>
        <w:rPr>
          <w:rFonts w:hint="eastAsia"/>
          <w:b w:val="0"/>
          <w:bCs w:val="0"/>
          <w:color w:val="auto"/>
          <w:sz w:val="21"/>
          <w:szCs w:val="21"/>
          <w:lang w:eastAsia="zh-CN"/>
        </w:rPr>
        <w:t>）</w:t>
      </w:r>
    </w:p>
    <w:tbl>
      <w:tblPr>
        <w:tblStyle w:val="27"/>
        <w:tblW w:w="48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6"/>
        <w:gridCol w:w="1473"/>
        <w:gridCol w:w="1474"/>
        <w:gridCol w:w="1474"/>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5"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管道外径</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16</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20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25</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32</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5"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横管</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300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300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350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400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5"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立管</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300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400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450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520</w:t>
            </w:r>
          </w:p>
        </w:tc>
        <w:tc>
          <w:tcPr>
            <w:tcW w:w="764" w:type="pct"/>
            <w:vAlign w:val="center"/>
          </w:tcPr>
          <w:p>
            <w:pPr>
              <w:pageBreakBefore w:val="0"/>
              <w:wordWrap/>
              <w:overflowPunct/>
              <w:topLinePunct w:val="0"/>
              <w:bidi w:val="0"/>
              <w:spacing w:line="240" w:lineRule="auto"/>
              <w:jc w:val="center"/>
              <w:rPr>
                <w:rFonts w:hint="eastAsia"/>
                <w:b w:val="0"/>
                <w:bCs w:val="0"/>
                <w:color w:val="auto"/>
                <w:kern w:val="0"/>
                <w:sz w:val="18"/>
                <w:szCs w:val="18"/>
              </w:rPr>
            </w:pPr>
            <w:r>
              <w:rPr>
                <w:rFonts w:hint="eastAsia"/>
                <w:b w:val="0"/>
                <w:bCs w:val="0"/>
                <w:color w:val="auto"/>
                <w:kern w:val="0"/>
                <w:sz w:val="18"/>
                <w:szCs w:val="18"/>
              </w:rPr>
              <w:t>650</w:t>
            </w:r>
          </w:p>
        </w:tc>
      </w:tr>
    </w:tbl>
    <w:p>
      <w:pPr>
        <w:keepNext w:val="0"/>
        <w:keepLines w:val="0"/>
        <w:pageBreakBefore w:val="0"/>
        <w:widowControl w:val="0"/>
        <w:numPr>
          <w:ilvl w:val="0"/>
          <w:numId w:val="75"/>
        </w:numPr>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b w:val="0"/>
          <w:bCs w:val="0"/>
          <w:color w:val="auto"/>
          <w:sz w:val="21"/>
          <w:szCs w:val="21"/>
          <w:lang w:val="en-US" w:eastAsia="zh-CN"/>
        </w:rPr>
      </w:pPr>
      <w:r>
        <w:rPr>
          <w:rFonts w:hint="eastAsia"/>
          <w:b w:val="0"/>
          <w:bCs w:val="0"/>
          <w:color w:val="auto"/>
          <w:sz w:val="21"/>
          <w:szCs w:val="21"/>
          <w:lang w:val="en-US" w:eastAsia="zh-CN"/>
        </w:rPr>
        <w:t>输配管道明装宜采用铝塑复合管快接接头安装。</w:t>
      </w:r>
    </w:p>
    <w:p>
      <w:pPr>
        <w:pageBreakBefore w:val="0"/>
        <w:numPr>
          <w:ilvl w:val="0"/>
          <w:numId w:val="75"/>
        </w:numPr>
        <w:wordWrap/>
        <w:overflowPunct/>
        <w:topLinePunct w:val="0"/>
        <w:bidi w:val="0"/>
        <w:spacing w:line="240" w:lineRule="auto"/>
        <w:ind w:left="0" w:leftChars="0"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明装输配管道不应与冷水管、燃气管、高温烟管、电线等管线直接接触。平行或交叉时，宜保持100mm间距。</w:t>
      </w:r>
    </w:p>
    <w:p>
      <w:pPr>
        <w:pageBreakBefore w:val="0"/>
        <w:numPr>
          <w:ilvl w:val="0"/>
          <w:numId w:val="75"/>
        </w:numPr>
        <w:wordWrap/>
        <w:overflowPunct/>
        <w:topLinePunct w:val="0"/>
        <w:bidi w:val="0"/>
        <w:spacing w:line="240" w:lineRule="auto"/>
        <w:ind w:left="0" w:leftChars="0" w:firstLine="0" w:firstLineChars="0"/>
        <w:rPr>
          <w:rFonts w:hint="eastAsia"/>
          <w:b w:val="0"/>
          <w:bCs w:val="0"/>
          <w:color w:val="auto"/>
          <w:sz w:val="21"/>
          <w:szCs w:val="21"/>
          <w:lang w:val="en-US" w:eastAsia="zh-CN"/>
        </w:rPr>
      </w:pPr>
      <w:r>
        <w:rPr>
          <w:rFonts w:hint="eastAsia"/>
          <w:b w:val="0"/>
          <w:bCs w:val="0"/>
          <w:color w:val="auto"/>
          <w:sz w:val="21"/>
          <w:szCs w:val="21"/>
          <w:lang w:val="en-US" w:eastAsia="zh-CN"/>
        </w:rPr>
        <w:t>管道各局部高点均应安装自动排气阀。</w:t>
      </w:r>
    </w:p>
    <w:p>
      <w:pPr>
        <w:pageBreakBefore w:val="0"/>
        <w:numPr>
          <w:ilvl w:val="0"/>
          <w:numId w:val="75"/>
        </w:numPr>
        <w:wordWrap/>
        <w:overflowPunct/>
        <w:topLinePunct w:val="0"/>
        <w:bidi w:val="0"/>
        <w:spacing w:line="240" w:lineRule="auto"/>
        <w:ind w:left="0" w:leftChars="0" w:firstLine="0" w:firstLineChars="0"/>
        <w:rPr>
          <w:rFonts w:hint="default"/>
          <w:sz w:val="21"/>
          <w:szCs w:val="21"/>
          <w:lang w:eastAsia="zh-CN"/>
        </w:rPr>
      </w:pPr>
      <w:r>
        <w:rPr>
          <w:rFonts w:hint="eastAsia"/>
          <w:b w:val="0"/>
          <w:bCs w:val="0"/>
          <w:color w:val="auto"/>
          <w:sz w:val="21"/>
          <w:szCs w:val="21"/>
          <w:lang w:val="en-US" w:eastAsia="zh-CN"/>
        </w:rPr>
        <w:t>采用明装管槽时，应在水压试验及隐蔽检查合格后安装装饰盖板。</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94" w:name="_Toc1754"/>
      <w:bookmarkStart w:id="95" w:name="_Toc25173"/>
      <w:bookmarkStart w:id="96" w:name="_Toc28059"/>
      <w:bookmarkStart w:id="97" w:name="_Toc15913"/>
      <w:r>
        <w:rPr>
          <w:rFonts w:hint="eastAsia" w:hAnsi="Times New Roman" w:cs="Times New Roman"/>
          <w:szCs w:val="21"/>
          <w:lang w:val="en-US" w:eastAsia="zh-CN"/>
        </w:rPr>
        <w:t>供暖系统末端</w:t>
      </w:r>
      <w:bookmarkEnd w:id="88"/>
      <w:bookmarkEnd w:id="94"/>
      <w:bookmarkEnd w:id="95"/>
      <w:r>
        <w:rPr>
          <w:rFonts w:hint="eastAsia" w:hAnsi="Times New Roman" w:cs="Times New Roman"/>
          <w:szCs w:val="21"/>
          <w:lang w:val="en-US" w:eastAsia="zh-CN"/>
        </w:rPr>
        <w:t>安装</w:t>
      </w:r>
      <w:bookmarkEnd w:id="96"/>
      <w:bookmarkEnd w:id="97"/>
    </w:p>
    <w:p>
      <w:pPr>
        <w:pStyle w:val="3"/>
        <w:numPr>
          <w:ilvl w:val="0"/>
          <w:numId w:val="83"/>
        </w:numPr>
        <w:bidi w:val="0"/>
        <w:ind w:left="0" w:leftChars="0" w:firstLine="0" w:firstLineChars="0"/>
        <w:rPr>
          <w:rFonts w:hint="eastAsia"/>
        </w:rPr>
      </w:pPr>
      <w:r>
        <w:rPr>
          <w:rFonts w:hint="eastAsia"/>
        </w:rPr>
        <w:t>一般规定</w:t>
      </w:r>
    </w:p>
    <w:p>
      <w:pPr>
        <w:pageBreakBefore w:val="0"/>
        <w:numPr>
          <w:ilvl w:val="0"/>
          <w:numId w:val="84"/>
        </w:numPr>
        <w:wordWrap/>
        <w:overflowPunct/>
        <w:topLinePunct w:val="0"/>
        <w:bidi w:val="0"/>
        <w:spacing w:line="240" w:lineRule="auto"/>
        <w:ind w:left="0" w:leftChars="0" w:firstLine="0" w:firstLineChars="0"/>
        <w:rPr>
          <w:color w:val="auto"/>
          <w:sz w:val="21"/>
          <w:szCs w:val="21"/>
        </w:rPr>
      </w:pPr>
      <w:r>
        <w:rPr>
          <w:rFonts w:hint="eastAsia"/>
          <w:sz w:val="21"/>
          <w:szCs w:val="21"/>
        </w:rPr>
        <w:t>施工单位应</w:t>
      </w:r>
      <w:r>
        <w:rPr>
          <w:rFonts w:hint="eastAsia"/>
          <w:color w:val="auto"/>
          <w:sz w:val="21"/>
          <w:szCs w:val="21"/>
        </w:rPr>
        <w:t>建立</w:t>
      </w:r>
      <w:r>
        <w:rPr>
          <w:rFonts w:hint="eastAsia"/>
          <w:color w:val="auto"/>
          <w:sz w:val="21"/>
          <w:szCs w:val="21"/>
          <w:lang w:val="en-US" w:eastAsia="zh-CN"/>
        </w:rPr>
        <w:t>施工</w:t>
      </w:r>
      <w:r>
        <w:rPr>
          <w:rFonts w:hint="eastAsia"/>
          <w:color w:val="auto"/>
          <w:sz w:val="21"/>
          <w:szCs w:val="21"/>
        </w:rPr>
        <w:t>管理制度</w:t>
      </w:r>
      <w:r>
        <w:rPr>
          <w:rFonts w:hint="eastAsia"/>
          <w:color w:val="auto"/>
          <w:sz w:val="21"/>
          <w:szCs w:val="21"/>
          <w:lang w:val="en-US" w:eastAsia="zh-CN"/>
        </w:rPr>
        <w:t>，施工信息全流程应可查询可追溯</w:t>
      </w:r>
      <w:r>
        <w:rPr>
          <w:rFonts w:hint="eastAsia"/>
          <w:color w:val="auto"/>
          <w:sz w:val="21"/>
          <w:szCs w:val="21"/>
        </w:rPr>
        <w:t>。</w:t>
      </w:r>
    </w:p>
    <w:p>
      <w:pPr>
        <w:pageBreakBefore w:val="0"/>
        <w:numPr>
          <w:ilvl w:val="0"/>
          <w:numId w:val="8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施工单位宜在施工</w:t>
      </w:r>
      <w:r>
        <w:rPr>
          <w:rFonts w:hint="eastAsia"/>
          <w:color w:val="auto"/>
          <w:sz w:val="21"/>
          <w:szCs w:val="21"/>
          <w:lang w:val="en-US" w:eastAsia="zh-CN"/>
        </w:rPr>
        <w:t>现</w:t>
      </w:r>
      <w:r>
        <w:rPr>
          <w:rFonts w:hint="eastAsia"/>
          <w:color w:val="auto"/>
          <w:sz w:val="21"/>
          <w:szCs w:val="21"/>
        </w:rPr>
        <w:t xml:space="preserve">场公示施工单位和施工人员、施工内容、施工流程、施工工期等。 </w:t>
      </w:r>
    </w:p>
    <w:p>
      <w:pPr>
        <w:pageBreakBefore w:val="0"/>
        <w:numPr>
          <w:ilvl w:val="0"/>
          <w:numId w:val="84"/>
        </w:numPr>
        <w:wordWrap/>
        <w:overflowPunct/>
        <w:topLinePunct w:val="0"/>
        <w:bidi w:val="0"/>
        <w:spacing w:line="240" w:lineRule="auto"/>
        <w:ind w:left="0" w:leftChars="0" w:firstLine="0" w:firstLineChars="0"/>
        <w:rPr>
          <w:sz w:val="21"/>
          <w:szCs w:val="21"/>
        </w:rPr>
      </w:pPr>
      <w:r>
        <w:rPr>
          <w:rFonts w:hint="eastAsia"/>
          <w:sz w:val="21"/>
          <w:szCs w:val="21"/>
        </w:rPr>
        <w:t>施工过程中应防止油漆、沥青或其他化学溶剂接触污染加热</w:t>
      </w:r>
      <w:r>
        <w:rPr>
          <w:rFonts w:hint="eastAsia"/>
          <w:sz w:val="21"/>
          <w:szCs w:val="21"/>
          <w:lang w:val="en-US" w:eastAsia="zh-CN"/>
        </w:rPr>
        <w:t>管</w:t>
      </w:r>
      <w:r>
        <w:rPr>
          <w:rFonts w:hint="eastAsia"/>
          <w:sz w:val="21"/>
          <w:szCs w:val="21"/>
        </w:rPr>
        <w:t>的表面。</w:t>
      </w:r>
    </w:p>
    <w:p>
      <w:pPr>
        <w:pageBreakBefore w:val="0"/>
        <w:numPr>
          <w:ilvl w:val="0"/>
          <w:numId w:val="84"/>
        </w:numPr>
        <w:wordWrap/>
        <w:overflowPunct/>
        <w:topLinePunct w:val="0"/>
        <w:bidi w:val="0"/>
        <w:spacing w:line="240" w:lineRule="auto"/>
        <w:ind w:left="0" w:leftChars="0" w:firstLine="0" w:firstLineChars="0"/>
        <w:rPr>
          <w:sz w:val="21"/>
          <w:szCs w:val="21"/>
        </w:rPr>
      </w:pPr>
      <w:r>
        <w:rPr>
          <w:rFonts w:hint="eastAsia"/>
          <w:sz w:val="21"/>
          <w:szCs w:val="21"/>
        </w:rPr>
        <w:t>不宜与其他工种交叉施工作业。</w:t>
      </w:r>
    </w:p>
    <w:p>
      <w:pPr>
        <w:pageBreakBefore w:val="0"/>
        <w:numPr>
          <w:ilvl w:val="0"/>
          <w:numId w:val="84"/>
        </w:numPr>
        <w:wordWrap/>
        <w:overflowPunct/>
        <w:topLinePunct w:val="0"/>
        <w:bidi w:val="0"/>
        <w:spacing w:line="240" w:lineRule="auto"/>
        <w:ind w:left="0" w:leftChars="0" w:firstLine="0" w:firstLineChars="0"/>
        <w:rPr>
          <w:sz w:val="21"/>
          <w:szCs w:val="21"/>
        </w:rPr>
      </w:pPr>
      <w:r>
        <w:rPr>
          <w:rFonts w:hint="eastAsia"/>
          <w:sz w:val="21"/>
          <w:szCs w:val="21"/>
        </w:rPr>
        <w:t>地面供暖系统施工</w:t>
      </w:r>
      <w:r>
        <w:rPr>
          <w:rFonts w:hint="eastAsia"/>
          <w:sz w:val="21"/>
          <w:szCs w:val="21"/>
          <w:lang w:val="en-US" w:eastAsia="zh-CN"/>
        </w:rPr>
        <w:t>前</w:t>
      </w:r>
      <w:r>
        <w:rPr>
          <w:rFonts w:hint="eastAsia"/>
          <w:sz w:val="21"/>
          <w:szCs w:val="21"/>
        </w:rPr>
        <w:t>，所有地面留洞应在填充层施工前完成辐射面应平整、干燥、无杂物、无积灰。</w:t>
      </w:r>
    </w:p>
    <w:p>
      <w:pPr>
        <w:pageBreakBefore w:val="0"/>
        <w:numPr>
          <w:ilvl w:val="0"/>
          <w:numId w:val="84"/>
        </w:numPr>
        <w:wordWrap/>
        <w:overflowPunct/>
        <w:topLinePunct w:val="0"/>
        <w:bidi w:val="0"/>
        <w:spacing w:line="240" w:lineRule="auto"/>
        <w:ind w:left="0" w:leftChars="0" w:firstLine="0" w:firstLineChars="0"/>
        <w:rPr>
          <w:sz w:val="21"/>
          <w:szCs w:val="21"/>
        </w:rPr>
      </w:pPr>
      <w:r>
        <w:rPr>
          <w:rFonts w:hint="eastAsia"/>
          <w:sz w:val="21"/>
          <w:szCs w:val="21"/>
        </w:rPr>
        <w:t>加热</w:t>
      </w:r>
      <w:r>
        <w:rPr>
          <w:rFonts w:hint="eastAsia"/>
          <w:sz w:val="21"/>
          <w:szCs w:val="21"/>
          <w:lang w:val="en-US" w:eastAsia="zh-CN"/>
        </w:rPr>
        <w:t>管</w:t>
      </w:r>
      <w:r>
        <w:rPr>
          <w:rFonts w:hint="eastAsia"/>
          <w:sz w:val="21"/>
          <w:szCs w:val="21"/>
        </w:rPr>
        <w:t>敷设区域</w:t>
      </w:r>
      <w:r>
        <w:rPr>
          <w:rFonts w:hint="eastAsia"/>
          <w:sz w:val="21"/>
          <w:szCs w:val="21"/>
          <w:lang w:val="en-US" w:eastAsia="zh-CN"/>
        </w:rPr>
        <w:t>不得</w:t>
      </w:r>
      <w:r>
        <w:rPr>
          <w:rFonts w:hint="eastAsia"/>
          <w:sz w:val="21"/>
          <w:szCs w:val="21"/>
        </w:rPr>
        <w:t>进行穿凿、穿孔或射钉作业。</w:t>
      </w:r>
    </w:p>
    <w:p>
      <w:pPr>
        <w:pageBreakBefore w:val="0"/>
        <w:numPr>
          <w:ilvl w:val="0"/>
          <w:numId w:val="84"/>
        </w:numPr>
        <w:wordWrap/>
        <w:overflowPunct/>
        <w:topLinePunct w:val="0"/>
        <w:bidi w:val="0"/>
        <w:spacing w:line="240" w:lineRule="auto"/>
        <w:ind w:left="0" w:leftChars="0" w:firstLine="0" w:firstLineChars="0"/>
        <w:rPr>
          <w:color w:val="auto"/>
          <w:sz w:val="21"/>
          <w:szCs w:val="21"/>
        </w:rPr>
      </w:pPr>
      <w:r>
        <w:rPr>
          <w:rFonts w:hint="eastAsia"/>
          <w:sz w:val="21"/>
          <w:szCs w:val="21"/>
        </w:rPr>
        <w:t>施工的环境温度不宜低于5℃ , 在低于0℃的环境下施工时，</w:t>
      </w:r>
      <w:r>
        <w:rPr>
          <w:rFonts w:hint="eastAsia"/>
          <w:color w:val="auto"/>
          <w:sz w:val="21"/>
          <w:szCs w:val="21"/>
        </w:rPr>
        <w:t>现场应采取</w:t>
      </w:r>
      <w:r>
        <w:rPr>
          <w:rStyle w:val="33"/>
          <w:rFonts w:hint="eastAsia"/>
          <w:color w:val="auto"/>
          <w:sz w:val="21"/>
          <w:szCs w:val="21"/>
          <w:lang w:val="en-US" w:eastAsia="zh-CN"/>
        </w:rPr>
        <w:t>防冻</w:t>
      </w:r>
      <w:r>
        <w:rPr>
          <w:rFonts w:hint="eastAsia"/>
          <w:color w:val="auto"/>
          <w:sz w:val="21"/>
          <w:szCs w:val="21"/>
        </w:rPr>
        <w:t>升温措施，例如：</w:t>
      </w:r>
      <w:r>
        <w:rPr>
          <w:rFonts w:hint="eastAsia"/>
          <w:color w:val="auto"/>
          <w:sz w:val="21"/>
          <w:szCs w:val="21"/>
          <w:lang w:val="en-US" w:eastAsia="zh-CN"/>
        </w:rPr>
        <w:t>供</w:t>
      </w:r>
      <w:r>
        <w:rPr>
          <w:rFonts w:hint="eastAsia"/>
          <w:color w:val="auto"/>
          <w:sz w:val="21"/>
          <w:szCs w:val="21"/>
        </w:rPr>
        <w:t>暖系统泄压防冻、门窗封闭、局部供暖升温等。</w:t>
      </w:r>
    </w:p>
    <w:p>
      <w:pPr>
        <w:pageBreakBefore w:val="0"/>
        <w:numPr>
          <w:ilvl w:val="0"/>
          <w:numId w:val="8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采暖炉、</w:t>
      </w:r>
      <w:r>
        <w:rPr>
          <w:rFonts w:hint="eastAsia"/>
          <w:color w:val="auto"/>
          <w:sz w:val="21"/>
          <w:szCs w:val="21"/>
          <w:lang w:val="en-US" w:eastAsia="zh-CN"/>
        </w:rPr>
        <w:t>供</w:t>
      </w:r>
      <w:r>
        <w:rPr>
          <w:rFonts w:hint="eastAsia"/>
          <w:color w:val="auto"/>
          <w:sz w:val="21"/>
          <w:szCs w:val="21"/>
        </w:rPr>
        <w:t>暖供回水管道安装场所的地面最低点应设置预留地漏。</w:t>
      </w:r>
    </w:p>
    <w:p>
      <w:pPr>
        <w:pageBreakBefore w:val="0"/>
        <w:numPr>
          <w:ilvl w:val="0"/>
          <w:numId w:val="84"/>
        </w:numPr>
        <w:wordWrap/>
        <w:overflowPunct/>
        <w:topLinePunct w:val="0"/>
        <w:bidi w:val="0"/>
        <w:spacing w:line="240" w:lineRule="auto"/>
        <w:ind w:left="0" w:leftChars="0" w:firstLine="0" w:firstLineChars="0"/>
        <w:rPr>
          <w:rFonts w:hint="eastAsia" w:ascii="黑体" w:hAnsi="黑体" w:eastAsia="黑体" w:cs="黑体"/>
          <w:color w:val="000000"/>
          <w:spacing w:val="-2"/>
          <w:kern w:val="0"/>
          <w:sz w:val="21"/>
          <w:szCs w:val="21"/>
        </w:rPr>
      </w:pPr>
      <w:r>
        <w:rPr>
          <w:rFonts w:hint="eastAsia"/>
          <w:color w:val="auto"/>
          <w:sz w:val="21"/>
          <w:szCs w:val="21"/>
        </w:rPr>
        <w:t>施工</w:t>
      </w:r>
      <w:r>
        <w:rPr>
          <w:rFonts w:hint="eastAsia"/>
          <w:color w:val="auto"/>
          <w:sz w:val="21"/>
          <w:szCs w:val="21"/>
          <w:lang w:val="en-US" w:eastAsia="zh-CN"/>
        </w:rPr>
        <w:t>完成</w:t>
      </w:r>
      <w:r>
        <w:rPr>
          <w:rFonts w:hint="eastAsia"/>
          <w:color w:val="auto"/>
          <w:sz w:val="21"/>
          <w:szCs w:val="21"/>
        </w:rPr>
        <w:t>后应绘制竣工图，并应准确标注</w:t>
      </w:r>
      <w:r>
        <w:rPr>
          <w:rFonts w:hint="eastAsia"/>
          <w:color w:val="auto"/>
          <w:sz w:val="21"/>
          <w:szCs w:val="21"/>
          <w:lang w:val="en-US" w:eastAsia="zh-CN"/>
        </w:rPr>
        <w:t>隐蔽工程</w:t>
      </w:r>
      <w:r>
        <w:rPr>
          <w:rFonts w:hint="eastAsia"/>
          <w:color w:val="auto"/>
          <w:sz w:val="21"/>
          <w:szCs w:val="21"/>
        </w:rPr>
        <w:t>埋设</w:t>
      </w:r>
      <w:r>
        <w:rPr>
          <w:rFonts w:hint="eastAsia"/>
          <w:color w:val="auto"/>
          <w:sz w:val="21"/>
          <w:szCs w:val="21"/>
          <w:lang w:val="en-US" w:eastAsia="zh-CN"/>
        </w:rPr>
        <w:t>位置</w:t>
      </w:r>
      <w:r>
        <w:rPr>
          <w:rFonts w:hint="eastAsia"/>
          <w:sz w:val="21"/>
          <w:szCs w:val="21"/>
        </w:rPr>
        <w:t>。</w:t>
      </w:r>
    </w:p>
    <w:p>
      <w:pPr>
        <w:pStyle w:val="3"/>
        <w:numPr>
          <w:ilvl w:val="0"/>
          <w:numId w:val="83"/>
        </w:numPr>
        <w:bidi w:val="0"/>
        <w:ind w:left="0" w:leftChars="0" w:firstLine="0" w:firstLineChars="0"/>
        <w:rPr>
          <w:rFonts w:hint="eastAsia"/>
        </w:rPr>
      </w:pPr>
      <w:bookmarkStart w:id="98" w:name="_Toc16065"/>
      <w:r>
        <w:rPr>
          <w:rFonts w:hint="eastAsia"/>
        </w:rPr>
        <w:t>散热器</w:t>
      </w:r>
      <w:r>
        <w:rPr>
          <w:rFonts w:hint="eastAsia"/>
          <w:lang w:val="en-US" w:eastAsia="zh-CN"/>
        </w:rPr>
        <w:t>供暖末端安</w:t>
      </w:r>
      <w:r>
        <w:rPr>
          <w:rFonts w:hint="eastAsia"/>
        </w:rPr>
        <w:t>装</w:t>
      </w:r>
    </w:p>
    <w:p>
      <w:pPr>
        <w:pStyle w:val="4"/>
        <w:numPr>
          <w:ilvl w:val="0"/>
          <w:numId w:val="85"/>
        </w:numPr>
        <w:bidi w:val="0"/>
        <w:ind w:left="0" w:leftChars="0" w:firstLine="0" w:firstLineChars="0"/>
        <w:rPr>
          <w:rFonts w:hint="eastAsia"/>
        </w:rPr>
      </w:pPr>
      <w:r>
        <w:rPr>
          <w:rFonts w:hint="eastAsia"/>
          <w:lang w:val="en-US" w:eastAsia="zh-CN"/>
        </w:rPr>
        <w:t>中间质量验收</w:t>
      </w:r>
    </w:p>
    <w:p>
      <w:pPr>
        <w:keepNext w:val="0"/>
        <w:keepLines w:val="0"/>
        <w:pageBreakBefore w:val="0"/>
        <w:widowControl w:val="0"/>
        <w:numPr>
          <w:ilvl w:val="0"/>
          <w:numId w:val="86"/>
        </w:numPr>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lang w:val="en-US" w:eastAsia="zh-CN"/>
        </w:rPr>
      </w:pPr>
      <w:r>
        <w:rPr>
          <w:rFonts w:hint="eastAsia"/>
          <w:lang w:val="en-US" w:eastAsia="zh-CN"/>
        </w:rPr>
        <w:t>散热器输配管网安装完成后应进行冲洗，冲洗完成后进行中间验收。</w:t>
      </w:r>
    </w:p>
    <w:p>
      <w:pPr>
        <w:keepNext w:val="0"/>
        <w:keepLines w:val="0"/>
        <w:pageBreakBefore w:val="0"/>
        <w:widowControl w:val="0"/>
        <w:numPr>
          <w:ilvl w:val="0"/>
          <w:numId w:val="86"/>
        </w:numPr>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lang w:val="en-US" w:eastAsia="zh-CN"/>
        </w:rPr>
      </w:pPr>
      <w:r>
        <w:rPr>
          <w:rFonts w:hint="eastAsia"/>
          <w:lang w:val="en-US" w:eastAsia="zh-CN"/>
        </w:rPr>
        <w:t>验收项目包括但不限于以下内容：</w:t>
      </w:r>
    </w:p>
    <w:p>
      <w:pPr>
        <w:pageBreakBefore w:val="0"/>
        <w:numPr>
          <w:ilvl w:val="0"/>
          <w:numId w:val="87"/>
        </w:numPr>
        <w:wordWrap/>
        <w:overflowPunct/>
        <w:topLinePunct w:val="0"/>
        <w:bidi w:val="0"/>
        <w:spacing w:line="240" w:lineRule="auto"/>
        <w:ind w:firstLine="420" w:firstLineChars="200"/>
        <w:rPr>
          <w:rFonts w:hint="default"/>
          <w:sz w:val="21"/>
          <w:szCs w:val="21"/>
          <w:lang w:val="en-US" w:eastAsia="zh-CN"/>
        </w:rPr>
      </w:pPr>
      <w:r>
        <w:rPr>
          <w:rFonts w:hint="eastAsia"/>
          <w:lang w:val="en-US" w:eastAsia="zh-CN"/>
        </w:rPr>
        <w:t>输配</w:t>
      </w:r>
      <w:r>
        <w:rPr>
          <w:rFonts w:hint="eastAsia"/>
          <w:sz w:val="21"/>
          <w:szCs w:val="21"/>
          <w:lang w:val="en-US" w:eastAsia="zh-CN"/>
        </w:rPr>
        <w:t>管道安装质量</w:t>
      </w:r>
    </w:p>
    <w:p>
      <w:pPr>
        <w:pageBreakBefore w:val="0"/>
        <w:numPr>
          <w:ilvl w:val="0"/>
          <w:numId w:val="87"/>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水压试验</w:t>
      </w:r>
    </w:p>
    <w:p>
      <w:pPr>
        <w:pageBreakBefore w:val="0"/>
        <w:numPr>
          <w:ilvl w:val="0"/>
          <w:numId w:val="86"/>
        </w:numPr>
        <w:wordWrap/>
        <w:overflowPunct/>
        <w:topLinePunct w:val="0"/>
        <w:bidi w:val="0"/>
        <w:spacing w:line="240" w:lineRule="auto"/>
        <w:ind w:left="0" w:leftChars="0" w:firstLine="0" w:firstLineChars="0"/>
        <w:rPr>
          <w:rFonts w:hint="default"/>
          <w:lang w:val="en-US" w:eastAsia="zh-CN"/>
        </w:rPr>
      </w:pPr>
      <w:r>
        <w:rPr>
          <w:rFonts w:hint="eastAsia"/>
          <w:lang w:val="en-US" w:eastAsia="zh-CN"/>
        </w:rPr>
        <w:t>水压试验参照本文件12执行，输配</w:t>
      </w:r>
      <w:r>
        <w:rPr>
          <w:rFonts w:hint="default"/>
          <w:lang w:val="en-US" w:eastAsia="zh-CN"/>
        </w:rPr>
        <w:t>管道安装验收参照附表B</w:t>
      </w:r>
      <w:r>
        <w:rPr>
          <w:rFonts w:hint="eastAsia"/>
          <w:lang w:val="en-US" w:eastAsia="zh-CN"/>
        </w:rPr>
        <w:t>.</w:t>
      </w:r>
      <w:r>
        <w:rPr>
          <w:rFonts w:hint="default"/>
          <w:lang w:val="en-US" w:eastAsia="zh-CN"/>
        </w:rPr>
        <w:t>1执行</w:t>
      </w:r>
      <w:r>
        <w:rPr>
          <w:rFonts w:hint="eastAsia"/>
          <w:lang w:val="en-US" w:eastAsia="zh-CN"/>
        </w:rPr>
        <w:t>，应填写《散热器供暖系统中间质量检验自查评定记录》（见附录B.1）。</w:t>
      </w:r>
    </w:p>
    <w:p>
      <w:pPr>
        <w:pStyle w:val="4"/>
        <w:numPr>
          <w:ilvl w:val="0"/>
          <w:numId w:val="85"/>
        </w:numPr>
        <w:bidi w:val="0"/>
        <w:ind w:left="0" w:leftChars="0" w:firstLine="0" w:firstLineChars="0"/>
        <w:rPr>
          <w:rFonts w:hint="eastAsia"/>
          <w:lang w:val="en-US" w:eastAsia="zh-CN"/>
        </w:rPr>
      </w:pPr>
      <w:r>
        <w:rPr>
          <w:rFonts w:hint="eastAsia"/>
          <w:lang w:val="en-US" w:eastAsia="zh-CN"/>
        </w:rPr>
        <w:t>散热器安装</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散热器进场前应对安装现场物品和设施进行保护。</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散热器安装前应对进场设备及材料进行验收确认</w:t>
      </w:r>
      <w:r>
        <w:rPr>
          <w:rFonts w:hint="eastAsia"/>
          <w:sz w:val="21"/>
          <w:szCs w:val="21"/>
          <w:lang w:eastAsia="zh-CN"/>
        </w:rPr>
        <w:t>，</w:t>
      </w:r>
      <w:r>
        <w:rPr>
          <w:rFonts w:hint="eastAsia"/>
          <w:sz w:val="21"/>
          <w:szCs w:val="21"/>
        </w:rPr>
        <w:t>散热器表面的防腐及面漆应附着良好，色泽均匀，无脱落、起泡、流淌和漏涂缺陷。</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散热器安装位置应有足够的操作空间，并应避开水管、电线和插座。安装固定点应具有足够的结构强度，当结构强度不足时，应采取结构补强措施。</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散热器支架、托架安装位置应准确，固定件埋设牢固。支架、托架数量应符合设计</w:t>
      </w:r>
      <w:r>
        <w:rPr>
          <w:rFonts w:hint="eastAsia"/>
          <w:sz w:val="21"/>
          <w:szCs w:val="21"/>
          <w:lang w:val="en-US" w:eastAsia="zh-CN"/>
        </w:rPr>
        <w:t>文件</w:t>
      </w:r>
      <w:r>
        <w:rPr>
          <w:rFonts w:hint="eastAsia"/>
          <w:sz w:val="21"/>
          <w:szCs w:val="21"/>
        </w:rPr>
        <w:t>或产品说明书要求。</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散热器背面与墙面安装距离应符合设计</w:t>
      </w:r>
      <w:r>
        <w:rPr>
          <w:rFonts w:hint="eastAsia"/>
          <w:sz w:val="21"/>
          <w:szCs w:val="21"/>
          <w:lang w:val="en-US" w:eastAsia="zh-CN"/>
        </w:rPr>
        <w:t>文件</w:t>
      </w:r>
      <w:r>
        <w:rPr>
          <w:rFonts w:hint="eastAsia"/>
          <w:sz w:val="21"/>
          <w:szCs w:val="21"/>
        </w:rPr>
        <w:t>或产品说明书要求</w:t>
      </w:r>
      <w:r>
        <w:rPr>
          <w:rFonts w:hint="eastAsia"/>
          <w:sz w:val="21"/>
          <w:szCs w:val="21"/>
          <w:lang w:eastAsia="zh-CN"/>
        </w:rPr>
        <w:t>。</w:t>
      </w:r>
      <w:r>
        <w:rPr>
          <w:rFonts w:hint="eastAsia"/>
          <w:sz w:val="21"/>
          <w:szCs w:val="21"/>
        </w:rPr>
        <w:t>如设计</w:t>
      </w:r>
      <w:r>
        <w:rPr>
          <w:rFonts w:hint="eastAsia"/>
          <w:sz w:val="21"/>
          <w:szCs w:val="21"/>
          <w:lang w:val="en-US" w:eastAsia="zh-CN"/>
        </w:rPr>
        <w:t>文件</w:t>
      </w:r>
      <w:r>
        <w:rPr>
          <w:rFonts w:hint="eastAsia"/>
          <w:sz w:val="21"/>
          <w:szCs w:val="21"/>
        </w:rPr>
        <w:t>未注明，宜</w:t>
      </w:r>
      <w:r>
        <w:rPr>
          <w:rFonts w:hint="eastAsia"/>
          <w:sz w:val="21"/>
          <w:szCs w:val="21"/>
          <w:lang w:val="en-US" w:eastAsia="zh-CN"/>
        </w:rPr>
        <w:t>按</w:t>
      </w:r>
      <w:r>
        <w:rPr>
          <w:rFonts w:hint="eastAsia"/>
          <w:sz w:val="21"/>
          <w:szCs w:val="21"/>
        </w:rPr>
        <w:t>30mm</w:t>
      </w:r>
      <w:r>
        <w:rPr>
          <w:rFonts w:hint="eastAsia"/>
          <w:sz w:val="21"/>
          <w:szCs w:val="21"/>
          <w:lang w:val="en-US" w:eastAsia="zh-CN"/>
        </w:rPr>
        <w:t>间距安装</w:t>
      </w:r>
      <w:r>
        <w:rPr>
          <w:rFonts w:hint="eastAsia"/>
          <w:sz w:val="21"/>
          <w:szCs w:val="21"/>
        </w:rPr>
        <w:t>。</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需现场组装的散热器，应对组装好的散热器逐一进行压力测试，试压压力应为散热器额定工作压力的1.5倍，确保无渗漏方可安装。</w:t>
      </w:r>
    </w:p>
    <w:p>
      <w:pPr>
        <w:pageBreakBefore w:val="0"/>
        <w:numPr>
          <w:ilvl w:val="0"/>
          <w:numId w:val="88"/>
        </w:numPr>
        <w:wordWrap/>
        <w:overflowPunct/>
        <w:topLinePunct w:val="0"/>
        <w:bidi w:val="0"/>
        <w:spacing w:line="240" w:lineRule="auto"/>
        <w:ind w:left="0" w:leftChars="0" w:firstLine="0" w:firstLineChars="0"/>
        <w:rPr>
          <w:rFonts w:hint="eastAsia"/>
          <w:color w:val="auto"/>
          <w:sz w:val="21"/>
          <w:szCs w:val="21"/>
        </w:rPr>
      </w:pPr>
      <w:r>
        <w:rPr>
          <w:rFonts w:hint="eastAsia"/>
          <w:color w:val="auto"/>
          <w:sz w:val="21"/>
          <w:szCs w:val="21"/>
        </w:rPr>
        <w:t>散热器安装允许偏差应符合</w:t>
      </w:r>
      <w:r>
        <w:rPr>
          <w:rFonts w:hint="eastAsia" w:ascii="宋体" w:hAnsi="宋体" w:eastAsia="宋体" w:cs="宋体"/>
          <w:b w:val="0"/>
          <w:bCs w:val="0"/>
          <w:color w:val="auto"/>
          <w:sz w:val="21"/>
          <w:szCs w:val="21"/>
          <w:u w:val="none"/>
        </w:rPr>
        <w:t>表</w:t>
      </w:r>
      <w:r>
        <w:rPr>
          <w:rFonts w:hint="eastAsia" w:ascii="宋体" w:hAnsi="宋体" w:eastAsia="宋体" w:cs="宋体"/>
          <w:b w:val="0"/>
          <w:bCs w:val="0"/>
          <w:color w:val="auto"/>
          <w:sz w:val="21"/>
          <w:szCs w:val="21"/>
          <w:u w:val="none"/>
          <w:lang w:val="en-US" w:eastAsia="zh-CN"/>
        </w:rPr>
        <w:t>1</w:t>
      </w:r>
      <w:r>
        <w:rPr>
          <w:rFonts w:hint="eastAsia" w:ascii="宋体" w:hAnsi="宋体" w:cs="宋体"/>
          <w:b w:val="0"/>
          <w:bCs w:val="0"/>
          <w:color w:val="auto"/>
          <w:sz w:val="21"/>
          <w:szCs w:val="21"/>
          <w:u w:val="none"/>
          <w:lang w:val="en-US" w:eastAsia="zh-CN"/>
        </w:rPr>
        <w:t>0</w:t>
      </w:r>
      <w:r>
        <w:rPr>
          <w:rFonts w:hint="eastAsia"/>
          <w:color w:val="auto"/>
          <w:sz w:val="21"/>
          <w:szCs w:val="21"/>
        </w:rPr>
        <w:t>的规定。</w:t>
      </w:r>
    </w:p>
    <w:p>
      <w:pPr>
        <w:pStyle w:val="5"/>
        <w:pageBreakBefore w:val="0"/>
        <w:wordWrap/>
        <w:overflowPunct/>
        <w:topLinePunct w:val="0"/>
        <w:bidi w:val="0"/>
        <w:spacing w:before="120" w:after="120" w:line="240" w:lineRule="auto"/>
        <w:jc w:val="right"/>
        <w:rPr>
          <w:rFonts w:hint="eastAsia" w:ascii="黑体" w:hAnsi="黑体" w:eastAsia="黑体"/>
          <w:color w:val="auto"/>
          <w:sz w:val="21"/>
          <w:szCs w:val="21"/>
        </w:rPr>
      </w:pPr>
      <w:r>
        <w:rPr>
          <w:rFonts w:ascii="黑体" w:hAnsi="黑体" w:eastAsia="黑体"/>
          <w:b w:val="0"/>
          <w:bCs w:val="0"/>
          <w:color w:val="auto"/>
          <w:sz w:val="21"/>
          <w:szCs w:val="21"/>
          <w:u w:val="none"/>
        </w:rPr>
        <w:t>表</w:t>
      </w:r>
      <w:r>
        <w:rPr>
          <w:rFonts w:hint="eastAsia"/>
          <w:b w:val="0"/>
          <w:bCs w:val="0"/>
          <w:color w:val="auto"/>
          <w:sz w:val="21"/>
          <w:szCs w:val="21"/>
          <w:u w:val="none"/>
          <w:lang w:val="en-US" w:eastAsia="zh-CN"/>
        </w:rPr>
        <w:t>10</w:t>
      </w:r>
      <w:r>
        <w:rPr>
          <w:rFonts w:hint="eastAsia" w:ascii="黑体" w:hAnsi="黑体" w:eastAsia="黑体"/>
          <w:color w:val="auto"/>
          <w:sz w:val="21"/>
          <w:szCs w:val="21"/>
        </w:rPr>
        <w:t xml:space="preserve"> 散热器安装允许偏差和检验方法</w:t>
      </w:r>
      <w:r>
        <w:rPr>
          <w:rFonts w:hint="eastAsia"/>
          <w:color w:val="auto"/>
          <w:sz w:val="21"/>
          <w:szCs w:val="21"/>
          <w:lang w:val="en-US" w:eastAsia="zh-CN"/>
        </w:rPr>
        <w:t xml:space="preserve">                </w:t>
      </w:r>
      <w:r>
        <w:rPr>
          <w:rFonts w:hint="eastAsia" w:ascii="黑体" w:hAnsi="黑体" w:eastAsia="黑体"/>
          <w:color w:val="auto"/>
          <w:sz w:val="21"/>
          <w:szCs w:val="21"/>
        </w:rPr>
        <w:t>（</w:t>
      </w:r>
      <w:r>
        <w:rPr>
          <w:rFonts w:hint="eastAsia"/>
          <w:color w:val="auto"/>
          <w:sz w:val="21"/>
          <w:szCs w:val="21"/>
          <w:lang w:val="en-US" w:eastAsia="zh-CN"/>
        </w:rPr>
        <w:t>单位：</w:t>
      </w:r>
      <w:r>
        <w:rPr>
          <w:rFonts w:hint="eastAsia" w:ascii="黑体" w:hAnsi="黑体" w:eastAsia="黑体"/>
          <w:color w:val="auto"/>
          <w:sz w:val="21"/>
          <w:szCs w:val="21"/>
        </w:rPr>
        <w:t>mm）</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3974"/>
        <w:gridCol w:w="2464"/>
        <w:gridCol w:w="2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项次</w:t>
            </w:r>
          </w:p>
        </w:tc>
        <w:tc>
          <w:tcPr>
            <w:tcW w:w="397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项目</w:t>
            </w:r>
          </w:p>
        </w:tc>
        <w:tc>
          <w:tcPr>
            <w:tcW w:w="246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允许偏差</w:t>
            </w:r>
          </w:p>
        </w:tc>
        <w:tc>
          <w:tcPr>
            <w:tcW w:w="214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1</w:t>
            </w:r>
          </w:p>
        </w:tc>
        <w:tc>
          <w:tcPr>
            <w:tcW w:w="397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散热器背面与墙内表面距离</w:t>
            </w:r>
          </w:p>
        </w:tc>
        <w:tc>
          <w:tcPr>
            <w:tcW w:w="246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3</w:t>
            </w:r>
          </w:p>
        </w:tc>
        <w:tc>
          <w:tcPr>
            <w:tcW w:w="2142" w:type="dxa"/>
            <w:vMerge w:val="restart"/>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2</w:t>
            </w:r>
          </w:p>
        </w:tc>
        <w:tc>
          <w:tcPr>
            <w:tcW w:w="397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与设计定位尺寸</w:t>
            </w:r>
          </w:p>
        </w:tc>
        <w:tc>
          <w:tcPr>
            <w:tcW w:w="246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20</w:t>
            </w:r>
          </w:p>
        </w:tc>
        <w:tc>
          <w:tcPr>
            <w:tcW w:w="2142" w:type="dxa"/>
            <w:vMerge w:val="continue"/>
            <w:vAlign w:val="center"/>
          </w:tcPr>
          <w:p>
            <w:pPr>
              <w:pageBreakBefore w:val="0"/>
              <w:wordWrap/>
              <w:overflowPunct/>
              <w:topLinePunct w:val="0"/>
              <w:bidi w:val="0"/>
              <w:spacing w:line="240" w:lineRule="auto"/>
              <w:jc w:val="center"/>
              <w:rPr>
                <w:rFonts w:hint="eastAsia"/>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3</w:t>
            </w:r>
          </w:p>
        </w:tc>
        <w:tc>
          <w:tcPr>
            <w:tcW w:w="397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散热器垂直度</w:t>
            </w:r>
          </w:p>
        </w:tc>
        <w:tc>
          <w:tcPr>
            <w:tcW w:w="2464"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3</w:t>
            </w:r>
          </w:p>
        </w:tc>
        <w:tc>
          <w:tcPr>
            <w:tcW w:w="2142" w:type="dxa"/>
            <w:vAlign w:val="center"/>
          </w:tcPr>
          <w:p>
            <w:pPr>
              <w:pageBreakBefore w:val="0"/>
              <w:wordWrap/>
              <w:overflowPunct/>
              <w:topLinePunct w:val="0"/>
              <w:bidi w:val="0"/>
              <w:spacing w:line="240" w:lineRule="auto"/>
              <w:jc w:val="center"/>
              <w:rPr>
                <w:rFonts w:hint="eastAsia"/>
                <w:kern w:val="0"/>
                <w:sz w:val="18"/>
                <w:szCs w:val="18"/>
              </w:rPr>
            </w:pPr>
            <w:r>
              <w:rPr>
                <w:rFonts w:hint="eastAsia"/>
                <w:kern w:val="0"/>
                <w:sz w:val="18"/>
                <w:szCs w:val="18"/>
              </w:rPr>
              <w:t>吊线和尺量</w:t>
            </w:r>
          </w:p>
        </w:tc>
      </w:tr>
    </w:tbl>
    <w:p>
      <w:pPr>
        <w:keepNext w:val="0"/>
        <w:keepLines w:val="0"/>
        <w:pageBreakBefore w:val="0"/>
        <w:widowControl w:val="0"/>
        <w:numPr>
          <w:ilvl w:val="0"/>
          <w:numId w:val="88"/>
        </w:numPr>
        <w:kinsoku/>
        <w:wordWrap/>
        <w:overflowPunct/>
        <w:topLinePunct w:val="0"/>
        <w:autoSpaceDE w:val="0"/>
        <w:autoSpaceDN w:val="0"/>
        <w:bidi w:val="0"/>
        <w:adjustRightInd w:val="0"/>
        <w:snapToGrid w:val="0"/>
        <w:spacing w:before="157" w:beforeLines="50" w:line="240" w:lineRule="auto"/>
        <w:ind w:left="0" w:leftChars="0" w:firstLine="0" w:firstLineChars="0"/>
        <w:textAlignment w:val="auto"/>
        <w:rPr>
          <w:rFonts w:hint="eastAsia"/>
          <w:sz w:val="21"/>
          <w:szCs w:val="21"/>
        </w:rPr>
      </w:pPr>
      <w:r>
        <w:rPr>
          <w:rFonts w:hint="eastAsia"/>
          <w:sz w:val="21"/>
          <w:szCs w:val="21"/>
        </w:rPr>
        <w:t>安装前</w:t>
      </w:r>
      <w:r>
        <w:rPr>
          <w:rFonts w:hint="eastAsia"/>
          <w:sz w:val="21"/>
          <w:szCs w:val="21"/>
          <w:lang w:val="en-US" w:eastAsia="zh-CN"/>
        </w:rPr>
        <w:t>应确认输配</w:t>
      </w:r>
      <w:r>
        <w:rPr>
          <w:rFonts w:hint="eastAsia"/>
          <w:sz w:val="21"/>
          <w:szCs w:val="21"/>
        </w:rPr>
        <w:t>管道</w:t>
      </w:r>
      <w:r>
        <w:rPr>
          <w:rFonts w:hint="eastAsia"/>
          <w:sz w:val="21"/>
          <w:szCs w:val="21"/>
          <w:lang w:val="en-US" w:eastAsia="zh-CN"/>
        </w:rPr>
        <w:t>保压压力值，</w:t>
      </w:r>
      <w:r>
        <w:rPr>
          <w:rFonts w:hint="eastAsia"/>
          <w:sz w:val="21"/>
          <w:szCs w:val="21"/>
        </w:rPr>
        <w:t>不低于0.4MPa时方可进行泄压，并安装散热器。系统管道泄压排水时应防止污染地面或墙面。</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安装前应检查</w:t>
      </w:r>
      <w:r>
        <w:rPr>
          <w:rFonts w:hint="eastAsia"/>
          <w:sz w:val="21"/>
          <w:szCs w:val="21"/>
          <w:lang w:val="en-US" w:eastAsia="zh-CN"/>
        </w:rPr>
        <w:t>散热器</w:t>
      </w:r>
      <w:r>
        <w:rPr>
          <w:rFonts w:hint="eastAsia"/>
          <w:sz w:val="21"/>
          <w:szCs w:val="21"/>
        </w:rPr>
        <w:t>进出水口</w:t>
      </w:r>
      <w:r>
        <w:rPr>
          <w:rFonts w:hint="eastAsia"/>
          <w:sz w:val="21"/>
          <w:szCs w:val="21"/>
          <w:lang w:val="en-US" w:eastAsia="zh-CN"/>
        </w:rPr>
        <w:t>与输配管道接口</w:t>
      </w:r>
      <w:r>
        <w:rPr>
          <w:rFonts w:hint="eastAsia"/>
          <w:sz w:val="21"/>
          <w:szCs w:val="21"/>
        </w:rPr>
        <w:t>位置偏差，误差不应大于5mm。</w:t>
      </w:r>
      <w:r>
        <w:rPr>
          <w:rFonts w:hint="eastAsia"/>
          <w:sz w:val="21"/>
          <w:szCs w:val="21"/>
          <w:lang w:val="en-US" w:eastAsia="zh-CN"/>
        </w:rPr>
        <w:t>输配管道</w:t>
      </w:r>
      <w:r>
        <w:rPr>
          <w:rFonts w:hint="eastAsia"/>
          <w:sz w:val="21"/>
          <w:szCs w:val="21"/>
        </w:rPr>
        <w:t>出墙</w:t>
      </w:r>
      <w:r>
        <w:rPr>
          <w:rFonts w:hint="eastAsia"/>
          <w:sz w:val="21"/>
          <w:szCs w:val="21"/>
          <w:lang w:val="en-US" w:eastAsia="zh-CN"/>
        </w:rPr>
        <w:t>处宜</w:t>
      </w:r>
      <w:r>
        <w:rPr>
          <w:rFonts w:hint="eastAsia"/>
          <w:sz w:val="21"/>
          <w:szCs w:val="21"/>
        </w:rPr>
        <w:t>安装装饰盖。</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散热器与配件连接时，螺纹连接处应加裹密封材料（配件自带密封圈除外），</w:t>
      </w:r>
      <w:r>
        <w:rPr>
          <w:rFonts w:hint="eastAsia"/>
          <w:sz w:val="21"/>
          <w:szCs w:val="21"/>
          <w:lang w:eastAsia="zh-CN"/>
        </w:rPr>
        <w:t>不得</w:t>
      </w:r>
      <w:r>
        <w:rPr>
          <w:rFonts w:hint="eastAsia"/>
          <w:sz w:val="21"/>
          <w:szCs w:val="21"/>
        </w:rPr>
        <w:t>使用厌氧胶。</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无特殊要求时，散热器回水管中心距建筑地面宜为250mm±5mm。卫生间坐便器上方安装散热器时，回水管中心距建筑地面宜为1050mm±5mm，且不应影响坐便器正常使用。</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带有附件的成品散热器应按照</w:t>
      </w:r>
      <w:r>
        <w:rPr>
          <w:rFonts w:hint="eastAsia"/>
          <w:sz w:val="21"/>
          <w:szCs w:val="21"/>
          <w:lang w:val="en-US" w:eastAsia="zh-CN"/>
        </w:rPr>
        <w:t>产品说明书</w:t>
      </w:r>
      <w:r>
        <w:rPr>
          <w:rFonts w:hint="eastAsia"/>
          <w:sz w:val="21"/>
          <w:szCs w:val="21"/>
        </w:rPr>
        <w:t>进行安装，不得自行改动安装方式。</w:t>
      </w:r>
    </w:p>
    <w:p>
      <w:pPr>
        <w:pageBreakBefore w:val="0"/>
        <w:numPr>
          <w:ilvl w:val="0"/>
          <w:numId w:val="88"/>
        </w:numPr>
        <w:wordWrap/>
        <w:overflowPunct/>
        <w:topLinePunct w:val="0"/>
        <w:bidi w:val="0"/>
        <w:spacing w:line="240" w:lineRule="auto"/>
        <w:ind w:left="0" w:leftChars="0" w:firstLine="0" w:firstLineChars="0"/>
        <w:rPr>
          <w:rFonts w:hint="eastAsia"/>
          <w:sz w:val="21"/>
          <w:szCs w:val="21"/>
        </w:rPr>
      </w:pPr>
      <w:r>
        <w:rPr>
          <w:rFonts w:hint="eastAsia"/>
          <w:sz w:val="21"/>
          <w:szCs w:val="21"/>
        </w:rPr>
        <w:t>散热器与</w:t>
      </w:r>
      <w:r>
        <w:rPr>
          <w:rFonts w:hint="eastAsia"/>
          <w:sz w:val="21"/>
          <w:szCs w:val="21"/>
          <w:lang w:val="en-US" w:eastAsia="zh-CN"/>
        </w:rPr>
        <w:t>输配管道</w:t>
      </w:r>
      <w:r>
        <w:rPr>
          <w:rFonts w:hint="eastAsia"/>
          <w:sz w:val="21"/>
          <w:szCs w:val="21"/>
        </w:rPr>
        <w:t>连接完成后，应再次进行水压试验。</w:t>
      </w:r>
    </w:p>
    <w:p>
      <w:pPr>
        <w:pStyle w:val="3"/>
        <w:numPr>
          <w:ilvl w:val="0"/>
          <w:numId w:val="83"/>
        </w:numPr>
        <w:bidi w:val="0"/>
        <w:ind w:left="0" w:leftChars="0" w:firstLine="0" w:firstLineChars="0"/>
        <w:rPr>
          <w:rFonts w:hint="eastAsia"/>
        </w:rPr>
      </w:pPr>
      <w:r>
        <w:rPr>
          <w:rFonts w:hint="eastAsia"/>
          <w:lang w:val="en-US" w:eastAsia="zh-CN"/>
        </w:rPr>
        <w:t>地面</w:t>
      </w:r>
      <w:r>
        <w:rPr>
          <w:rFonts w:hint="eastAsia"/>
        </w:rPr>
        <w:t>供暖</w:t>
      </w:r>
      <w:bookmarkEnd w:id="98"/>
      <w:r>
        <w:rPr>
          <w:rFonts w:hint="eastAsia"/>
          <w:lang w:val="en-US" w:eastAsia="zh-CN"/>
        </w:rPr>
        <w:t>末端</w:t>
      </w:r>
      <w:r>
        <w:rPr>
          <w:rFonts w:hint="eastAsia"/>
        </w:rPr>
        <w:t>安装</w:t>
      </w:r>
    </w:p>
    <w:p>
      <w:pPr>
        <w:pStyle w:val="4"/>
        <w:keepNext w:val="0"/>
        <w:keepLines w:val="0"/>
        <w:pageBreakBefore w:val="0"/>
        <w:widowControl w:val="0"/>
        <w:numPr>
          <w:ilvl w:val="0"/>
          <w:numId w:val="89"/>
        </w:numPr>
        <w:kinsoku w:val="0"/>
        <w:wordWrap/>
        <w:overflowPunct/>
        <w:topLinePunct w:val="0"/>
        <w:autoSpaceDE w:val="0"/>
        <w:autoSpaceDN w:val="0"/>
        <w:bidi w:val="0"/>
        <w:adjustRightInd w:val="0"/>
        <w:snapToGrid w:val="0"/>
        <w:spacing w:before="120" w:after="157" w:afterLines="50" w:line="240" w:lineRule="auto"/>
        <w:ind w:left="0" w:leftChars="0" w:firstLine="0" w:firstLineChars="0"/>
        <w:textAlignment w:val="baseline"/>
        <w:rPr>
          <w:rFonts w:hint="eastAsia"/>
          <w:sz w:val="21"/>
          <w:szCs w:val="21"/>
        </w:rPr>
      </w:pPr>
      <w:r>
        <w:rPr>
          <w:rFonts w:hint="eastAsia" w:ascii="宋体" w:hAnsi="宋体" w:eastAsia="宋体" w:cs="宋体"/>
          <w:sz w:val="21"/>
          <w:szCs w:val="21"/>
          <w:lang w:val="en-US" w:eastAsia="zh-CN"/>
        </w:rPr>
        <w:t>地面构造层的施工</w:t>
      </w:r>
      <w:r>
        <w:rPr>
          <w:rFonts w:hint="eastAsia" w:ascii="宋体" w:hAnsi="宋体" w:eastAsia="宋体" w:cs="宋体"/>
          <w:sz w:val="21"/>
          <w:szCs w:val="21"/>
        </w:rPr>
        <w:t>应按照</w:t>
      </w:r>
      <w:r>
        <w:rPr>
          <w:rFonts w:hint="eastAsia" w:ascii="宋体" w:hAnsi="宋体" w:eastAsia="宋体" w:cs="宋体"/>
          <w:sz w:val="21"/>
          <w:szCs w:val="21"/>
          <w:lang w:val="en-US" w:eastAsia="zh-CN"/>
        </w:rPr>
        <w:t>JGJ142</w:t>
      </w:r>
      <w:r>
        <w:rPr>
          <w:rFonts w:hint="eastAsia" w:ascii="宋体" w:hAnsi="宋体" w:eastAsia="宋体" w:cs="宋体"/>
          <w:sz w:val="21"/>
          <w:szCs w:val="21"/>
        </w:rPr>
        <w:t>的相关规定执行。</w:t>
      </w:r>
    </w:p>
    <w:p>
      <w:pPr>
        <w:pStyle w:val="4"/>
        <w:keepNext w:val="0"/>
        <w:keepLines w:val="0"/>
        <w:pageBreakBefore w:val="0"/>
        <w:widowControl w:val="0"/>
        <w:numPr>
          <w:ilvl w:val="0"/>
          <w:numId w:val="89"/>
        </w:numPr>
        <w:kinsoku w:val="0"/>
        <w:wordWrap/>
        <w:overflowPunct/>
        <w:topLinePunct w:val="0"/>
        <w:autoSpaceDE w:val="0"/>
        <w:autoSpaceDN w:val="0"/>
        <w:bidi w:val="0"/>
        <w:adjustRightInd w:val="0"/>
        <w:snapToGrid w:val="0"/>
        <w:spacing w:before="120" w:after="313" w:afterLines="100" w:line="240" w:lineRule="auto"/>
        <w:ind w:left="0" w:leftChars="0" w:firstLine="0" w:firstLineChars="0"/>
        <w:textAlignment w:val="baseline"/>
        <w:rPr>
          <w:rFonts w:hint="eastAsia"/>
          <w:sz w:val="21"/>
          <w:szCs w:val="21"/>
          <w:lang w:val="en-US" w:eastAsia="zh-CN"/>
        </w:rPr>
      </w:pPr>
      <w:bookmarkStart w:id="99" w:name="_Toc1119"/>
      <w:r>
        <w:rPr>
          <w:rFonts w:hint="eastAsia"/>
          <w:sz w:val="21"/>
          <w:szCs w:val="21"/>
          <w:lang w:val="en-US" w:eastAsia="zh-CN"/>
        </w:rPr>
        <w:t>绝热层铺设</w:t>
      </w:r>
      <w:bookmarkEnd w:id="99"/>
    </w:p>
    <w:p>
      <w:pPr>
        <w:pageBreakBefore w:val="0"/>
        <w:numPr>
          <w:ilvl w:val="0"/>
          <w:numId w:val="90"/>
        </w:numPr>
        <w:wordWrap/>
        <w:overflowPunct/>
        <w:topLinePunct w:val="0"/>
        <w:bidi w:val="0"/>
        <w:spacing w:line="240" w:lineRule="auto"/>
        <w:ind w:left="0" w:leftChars="0" w:firstLine="0" w:firstLineChars="0"/>
        <w:rPr>
          <w:color w:val="auto"/>
          <w:sz w:val="21"/>
          <w:szCs w:val="21"/>
        </w:rPr>
      </w:pPr>
      <w:bookmarkStart w:id="100" w:name="_Toc28440"/>
      <w:r>
        <w:rPr>
          <w:rFonts w:hint="eastAsia"/>
          <w:color w:val="auto"/>
          <w:sz w:val="21"/>
          <w:szCs w:val="21"/>
        </w:rPr>
        <w:t>铺设绝热层的原始</w:t>
      </w:r>
      <w:r>
        <w:rPr>
          <w:rFonts w:hint="eastAsia"/>
          <w:color w:val="auto"/>
          <w:sz w:val="21"/>
          <w:szCs w:val="21"/>
          <w:lang w:val="en-US" w:eastAsia="zh-CN"/>
        </w:rPr>
        <w:t>施</w:t>
      </w:r>
      <w:r>
        <w:rPr>
          <w:rFonts w:hint="eastAsia"/>
          <w:color w:val="auto"/>
          <w:sz w:val="21"/>
          <w:szCs w:val="21"/>
        </w:rPr>
        <w:t>工面应干燥、无杂物，采用2m靠尺测量，平整度不应大于6mm/m，边角交接面根部应平直且无积灰。</w:t>
      </w:r>
    </w:p>
    <w:p>
      <w:pPr>
        <w:pageBreakBefore w:val="0"/>
        <w:numPr>
          <w:ilvl w:val="0"/>
          <w:numId w:val="90"/>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绝热层的铺设应平整，板间的相互接合应严密，</w:t>
      </w:r>
      <w:r>
        <w:rPr>
          <w:rFonts w:hint="eastAsia"/>
          <w:color w:val="auto"/>
          <w:sz w:val="21"/>
          <w:szCs w:val="21"/>
          <w:lang w:val="en-US" w:eastAsia="zh-CN"/>
        </w:rPr>
        <w:t>接缝</w:t>
      </w:r>
      <w:r>
        <w:rPr>
          <w:rFonts w:hint="eastAsia"/>
          <w:color w:val="auto"/>
          <w:sz w:val="21"/>
          <w:szCs w:val="21"/>
        </w:rPr>
        <w:t>应用塑料胶带粘接平顺。直接与土壤接触或有潮湿气体侵入的地面应在铺设绝热层之前铺设一层防潮层。</w:t>
      </w:r>
    </w:p>
    <w:p>
      <w:pPr>
        <w:pageBreakBefore w:val="0"/>
        <w:numPr>
          <w:ilvl w:val="0"/>
          <w:numId w:val="90"/>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绝热层材料密度不</w:t>
      </w:r>
      <w:r>
        <w:rPr>
          <w:rFonts w:hint="eastAsia"/>
          <w:color w:val="auto"/>
          <w:sz w:val="21"/>
          <w:szCs w:val="21"/>
          <w:lang w:val="en-US" w:eastAsia="zh-CN"/>
        </w:rPr>
        <w:t>应</w:t>
      </w:r>
      <w:r>
        <w:rPr>
          <w:rFonts w:hint="eastAsia"/>
          <w:color w:val="auto"/>
          <w:sz w:val="21"/>
          <w:szCs w:val="21"/>
        </w:rPr>
        <w:t>小于20kg/m³，厚度</w:t>
      </w:r>
      <w:r>
        <w:rPr>
          <w:rFonts w:hint="eastAsia"/>
          <w:color w:val="auto"/>
          <w:sz w:val="21"/>
          <w:szCs w:val="21"/>
          <w:lang w:val="en-US" w:eastAsia="zh-CN"/>
        </w:rPr>
        <w:t>不</w:t>
      </w:r>
      <w:r>
        <w:rPr>
          <w:rFonts w:hint="eastAsia"/>
          <w:color w:val="auto"/>
          <w:sz w:val="21"/>
          <w:szCs w:val="21"/>
        </w:rPr>
        <w:t>应</w:t>
      </w:r>
      <w:r>
        <w:rPr>
          <w:rFonts w:hint="eastAsia"/>
          <w:color w:val="auto"/>
          <w:sz w:val="21"/>
          <w:szCs w:val="21"/>
          <w:lang w:val="en-US" w:eastAsia="zh-CN"/>
        </w:rPr>
        <w:t>小于</w:t>
      </w:r>
      <w:r>
        <w:rPr>
          <w:rFonts w:hint="eastAsia"/>
          <w:color w:val="auto"/>
          <w:sz w:val="21"/>
          <w:szCs w:val="21"/>
        </w:rPr>
        <w:t>20mm</w:t>
      </w:r>
      <w:r>
        <w:rPr>
          <w:rFonts w:hint="eastAsia"/>
          <w:color w:val="auto"/>
          <w:sz w:val="21"/>
          <w:szCs w:val="21"/>
          <w:lang w:eastAsia="zh-CN"/>
        </w:rPr>
        <w:t>。</w:t>
      </w:r>
    </w:p>
    <w:p>
      <w:pPr>
        <w:pageBreakBefore w:val="0"/>
        <w:numPr>
          <w:ilvl w:val="0"/>
          <w:numId w:val="90"/>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在铺设绝热层的同时或在填充层施工前，应在与</w:t>
      </w:r>
      <w:r>
        <w:rPr>
          <w:rFonts w:hint="eastAsia"/>
          <w:color w:val="auto"/>
          <w:sz w:val="21"/>
          <w:szCs w:val="21"/>
          <w:lang w:val="en-US" w:eastAsia="zh-CN"/>
        </w:rPr>
        <w:t>地面</w:t>
      </w:r>
      <w:r>
        <w:rPr>
          <w:rFonts w:hint="eastAsia"/>
          <w:color w:val="auto"/>
          <w:sz w:val="21"/>
          <w:szCs w:val="21"/>
        </w:rPr>
        <w:t>垂直构件交接处设置不间断的侧面绝热层，侧面绝热层的设置</w:t>
      </w:r>
      <w:r>
        <w:rPr>
          <w:rFonts w:hint="eastAsia"/>
          <w:color w:val="auto"/>
          <w:sz w:val="21"/>
          <w:szCs w:val="21"/>
          <w:lang w:eastAsia="zh-CN"/>
        </w:rPr>
        <w:t>应符合下列规定</w:t>
      </w:r>
      <w:r>
        <w:rPr>
          <w:rFonts w:hint="eastAsia"/>
          <w:color w:val="auto"/>
          <w:sz w:val="21"/>
          <w:szCs w:val="21"/>
        </w:rPr>
        <w:t>：</w:t>
      </w:r>
    </w:p>
    <w:p>
      <w:pPr>
        <w:pageBreakBefore w:val="0"/>
        <w:numPr>
          <w:ilvl w:val="0"/>
          <w:numId w:val="91"/>
        </w:numPr>
        <w:wordWrap/>
        <w:overflowPunct/>
        <w:topLinePunct w:val="0"/>
        <w:bidi w:val="0"/>
        <w:spacing w:line="240" w:lineRule="auto"/>
        <w:ind w:firstLine="420" w:firstLineChars="200"/>
        <w:rPr>
          <w:color w:val="auto"/>
          <w:sz w:val="21"/>
          <w:szCs w:val="21"/>
        </w:rPr>
      </w:pPr>
      <w:r>
        <w:rPr>
          <w:rFonts w:hint="eastAsia"/>
          <w:color w:val="auto"/>
          <w:sz w:val="21"/>
          <w:szCs w:val="21"/>
        </w:rPr>
        <w:t>绝热层材料宜采用高发泡聚乙烯泡沫塑料，且厚度不宜小于10mm；应采用搭接方式连接，搭接宽度不应小于10mm；</w:t>
      </w:r>
    </w:p>
    <w:p>
      <w:pPr>
        <w:pageBreakBefore w:val="0"/>
        <w:numPr>
          <w:ilvl w:val="0"/>
          <w:numId w:val="91"/>
        </w:numPr>
        <w:wordWrap/>
        <w:overflowPunct/>
        <w:topLinePunct w:val="0"/>
        <w:bidi w:val="0"/>
        <w:spacing w:line="240" w:lineRule="auto"/>
        <w:ind w:firstLine="420" w:firstLineChars="200"/>
        <w:rPr>
          <w:color w:val="auto"/>
          <w:sz w:val="21"/>
          <w:szCs w:val="21"/>
        </w:rPr>
      </w:pPr>
      <w:r>
        <w:rPr>
          <w:rFonts w:hint="eastAsia"/>
          <w:color w:val="auto"/>
          <w:sz w:val="21"/>
          <w:szCs w:val="21"/>
        </w:rPr>
        <w:t>应从</w:t>
      </w:r>
      <w:r>
        <w:rPr>
          <w:rFonts w:hint="eastAsia"/>
          <w:color w:val="auto"/>
          <w:sz w:val="21"/>
          <w:szCs w:val="21"/>
          <w:lang w:val="en-US" w:eastAsia="zh-CN"/>
        </w:rPr>
        <w:t>地面</w:t>
      </w:r>
      <w:r>
        <w:rPr>
          <w:rFonts w:hint="eastAsia"/>
          <w:color w:val="auto"/>
          <w:sz w:val="21"/>
          <w:szCs w:val="21"/>
        </w:rPr>
        <w:t>绝热层的上边缘</w:t>
      </w:r>
      <w:r>
        <w:rPr>
          <w:rFonts w:hint="eastAsia"/>
          <w:color w:val="auto"/>
          <w:sz w:val="21"/>
          <w:szCs w:val="21"/>
          <w:lang w:val="en-US" w:eastAsia="zh-CN"/>
        </w:rPr>
        <w:t>延伸至</w:t>
      </w:r>
      <w:r>
        <w:rPr>
          <w:rFonts w:hint="eastAsia"/>
          <w:color w:val="auto"/>
          <w:sz w:val="21"/>
          <w:szCs w:val="21"/>
        </w:rPr>
        <w:t>填充层的上边缘；交接部位应</w:t>
      </w:r>
      <w:r>
        <w:rPr>
          <w:rFonts w:hint="eastAsia"/>
          <w:color w:val="auto"/>
          <w:sz w:val="21"/>
          <w:szCs w:val="21"/>
          <w:lang w:val="en-US" w:eastAsia="zh-CN"/>
        </w:rPr>
        <w:t>采取</w:t>
      </w:r>
      <w:r>
        <w:rPr>
          <w:rFonts w:hint="eastAsia"/>
          <w:color w:val="auto"/>
          <w:sz w:val="21"/>
          <w:szCs w:val="21"/>
        </w:rPr>
        <w:t>固定措施，侧面绝热层与</w:t>
      </w:r>
      <w:r>
        <w:rPr>
          <w:rFonts w:hint="eastAsia"/>
          <w:color w:val="auto"/>
          <w:sz w:val="21"/>
          <w:szCs w:val="21"/>
          <w:lang w:val="en-US" w:eastAsia="zh-CN"/>
        </w:rPr>
        <w:t>地</w:t>
      </w:r>
      <w:r>
        <w:rPr>
          <w:rFonts w:hint="eastAsia"/>
          <w:color w:val="auto"/>
          <w:sz w:val="21"/>
          <w:szCs w:val="21"/>
        </w:rPr>
        <w:t>面绝热层应连接严密。</w:t>
      </w:r>
    </w:p>
    <w:p>
      <w:pPr>
        <w:pageBreakBefore w:val="0"/>
        <w:numPr>
          <w:ilvl w:val="0"/>
          <w:numId w:val="90"/>
        </w:numPr>
        <w:wordWrap/>
        <w:overflowPunct/>
        <w:topLinePunct w:val="0"/>
        <w:bidi w:val="0"/>
        <w:spacing w:line="240" w:lineRule="auto"/>
        <w:ind w:left="0" w:leftChars="0" w:firstLine="0" w:firstLineChars="0"/>
        <w:rPr>
          <w:color w:val="auto"/>
          <w:sz w:val="21"/>
          <w:szCs w:val="21"/>
        </w:rPr>
      </w:pPr>
      <w:r>
        <w:rPr>
          <w:rFonts w:hint="eastAsia"/>
          <w:strike w:val="0"/>
          <w:color w:val="auto"/>
          <w:sz w:val="21"/>
          <w:szCs w:val="21"/>
          <w:lang w:val="en-US" w:eastAsia="zh-CN"/>
        </w:rPr>
        <w:t>预制沟槽保温板</w:t>
      </w:r>
      <w:r>
        <w:rPr>
          <w:rFonts w:hint="eastAsia"/>
          <w:color w:val="auto"/>
          <w:sz w:val="21"/>
          <w:szCs w:val="21"/>
        </w:rPr>
        <w:t>及填充板铺设</w:t>
      </w:r>
      <w:r>
        <w:rPr>
          <w:rFonts w:hint="eastAsia"/>
          <w:color w:val="auto"/>
          <w:sz w:val="21"/>
          <w:szCs w:val="21"/>
          <w:lang w:val="en-US" w:eastAsia="zh-CN"/>
        </w:rPr>
        <w:t>还</w:t>
      </w:r>
      <w:r>
        <w:rPr>
          <w:rFonts w:hint="eastAsia"/>
          <w:color w:val="auto"/>
          <w:sz w:val="21"/>
          <w:szCs w:val="21"/>
          <w:lang w:eastAsia="zh-CN"/>
        </w:rPr>
        <w:t>应符合下列规定：</w:t>
      </w:r>
    </w:p>
    <w:p>
      <w:pPr>
        <w:pageBreakBefore w:val="0"/>
        <w:numPr>
          <w:ilvl w:val="0"/>
          <w:numId w:val="92"/>
        </w:numPr>
        <w:wordWrap/>
        <w:overflowPunct/>
        <w:topLinePunct w:val="0"/>
        <w:bidi w:val="0"/>
        <w:spacing w:line="240" w:lineRule="auto"/>
        <w:ind w:firstLine="420" w:firstLineChars="200"/>
        <w:rPr>
          <w:color w:val="auto"/>
          <w:sz w:val="21"/>
          <w:szCs w:val="21"/>
        </w:rPr>
      </w:pPr>
      <w:r>
        <w:rPr>
          <w:rFonts w:hint="eastAsia"/>
          <w:color w:val="auto"/>
          <w:sz w:val="21"/>
          <w:szCs w:val="21"/>
        </w:rPr>
        <w:t>带木龙骨的</w:t>
      </w:r>
      <w:r>
        <w:rPr>
          <w:rFonts w:hint="eastAsia"/>
          <w:strike w:val="0"/>
          <w:color w:val="auto"/>
          <w:sz w:val="21"/>
          <w:szCs w:val="21"/>
          <w:lang w:val="en-US" w:eastAsia="zh-CN"/>
        </w:rPr>
        <w:t>预制沟槽保温板</w:t>
      </w:r>
      <w:r>
        <w:rPr>
          <w:rFonts w:hint="eastAsia"/>
          <w:color w:val="auto"/>
          <w:sz w:val="21"/>
          <w:szCs w:val="21"/>
          <w:lang w:val="en-US" w:eastAsia="zh-CN"/>
        </w:rPr>
        <w:t>宜</w:t>
      </w:r>
      <w:r>
        <w:rPr>
          <w:rFonts w:hint="eastAsia"/>
          <w:color w:val="auto"/>
          <w:sz w:val="21"/>
          <w:szCs w:val="21"/>
        </w:rPr>
        <w:t>用水泥钉在地面上进行局部固定；填充板应在现场加龙骨，龙骨间距不应大于300mm。</w:t>
      </w:r>
    </w:p>
    <w:p>
      <w:pPr>
        <w:pageBreakBefore w:val="0"/>
        <w:numPr>
          <w:ilvl w:val="0"/>
          <w:numId w:val="92"/>
        </w:numPr>
        <w:wordWrap/>
        <w:overflowPunct/>
        <w:topLinePunct w:val="0"/>
        <w:bidi w:val="0"/>
        <w:spacing w:line="240" w:lineRule="auto"/>
        <w:ind w:firstLine="420" w:firstLineChars="200"/>
        <w:rPr>
          <w:color w:val="auto"/>
          <w:sz w:val="21"/>
          <w:szCs w:val="21"/>
        </w:rPr>
      </w:pPr>
      <w:r>
        <w:rPr>
          <w:rFonts w:hint="eastAsia"/>
          <w:color w:val="auto"/>
          <w:sz w:val="21"/>
          <w:szCs w:val="21"/>
        </w:rPr>
        <w:t>不带龙骨的</w:t>
      </w:r>
      <w:r>
        <w:rPr>
          <w:rFonts w:hint="eastAsia"/>
          <w:strike w:val="0"/>
          <w:color w:val="auto"/>
          <w:sz w:val="21"/>
          <w:szCs w:val="21"/>
          <w:lang w:val="en-US" w:eastAsia="zh-CN"/>
        </w:rPr>
        <w:t>预制沟槽保温板</w:t>
      </w:r>
      <w:r>
        <w:rPr>
          <w:rFonts w:hint="eastAsia"/>
          <w:color w:val="auto"/>
          <w:sz w:val="21"/>
          <w:szCs w:val="21"/>
        </w:rPr>
        <w:t>和填充板可采用工程胶点粘在地面上，并在面层施工时一起固定。</w:t>
      </w:r>
    </w:p>
    <w:p>
      <w:pPr>
        <w:pageBreakBefore w:val="0"/>
        <w:numPr>
          <w:ilvl w:val="0"/>
          <w:numId w:val="92"/>
        </w:numPr>
        <w:wordWrap/>
        <w:overflowPunct/>
        <w:topLinePunct w:val="0"/>
        <w:bidi w:val="0"/>
        <w:spacing w:line="240" w:lineRule="auto"/>
        <w:ind w:firstLine="420" w:firstLineChars="200"/>
        <w:rPr>
          <w:color w:val="auto"/>
          <w:sz w:val="21"/>
          <w:szCs w:val="21"/>
        </w:rPr>
      </w:pPr>
      <w:r>
        <w:rPr>
          <w:rFonts w:hint="eastAsia"/>
          <w:color w:val="auto"/>
          <w:sz w:val="21"/>
          <w:szCs w:val="21"/>
        </w:rPr>
        <w:t>填充板内的输配管</w:t>
      </w:r>
      <w:r>
        <w:rPr>
          <w:rFonts w:hint="eastAsia"/>
          <w:color w:val="auto"/>
          <w:sz w:val="21"/>
          <w:szCs w:val="21"/>
          <w:lang w:val="en-US" w:eastAsia="zh-CN"/>
        </w:rPr>
        <w:t>道</w:t>
      </w:r>
      <w:r>
        <w:rPr>
          <w:rFonts w:hint="eastAsia"/>
          <w:color w:val="auto"/>
          <w:sz w:val="21"/>
          <w:szCs w:val="21"/>
        </w:rPr>
        <w:t>安装后，应采用带胶铝箔覆盖输配管</w:t>
      </w:r>
      <w:r>
        <w:rPr>
          <w:rFonts w:hint="eastAsia"/>
          <w:color w:val="auto"/>
          <w:sz w:val="21"/>
          <w:szCs w:val="21"/>
          <w:lang w:val="en-US" w:eastAsia="zh-CN"/>
        </w:rPr>
        <w:t>道</w:t>
      </w:r>
      <w:r>
        <w:rPr>
          <w:rFonts w:hint="eastAsia"/>
          <w:color w:val="auto"/>
          <w:sz w:val="21"/>
          <w:szCs w:val="21"/>
        </w:rPr>
        <w:t>。</w:t>
      </w:r>
    </w:p>
    <w:p>
      <w:pPr>
        <w:pStyle w:val="4"/>
        <w:numPr>
          <w:ilvl w:val="0"/>
          <w:numId w:val="89"/>
        </w:numPr>
        <w:bidi w:val="0"/>
        <w:ind w:left="0" w:leftChars="0" w:firstLine="0" w:firstLineChars="0"/>
        <w:rPr>
          <w:rFonts w:hint="eastAsia"/>
          <w:lang w:val="en-US" w:eastAsia="zh-CN"/>
        </w:rPr>
      </w:pPr>
      <w:r>
        <w:rPr>
          <w:rFonts w:hint="eastAsia"/>
          <w:lang w:val="en-US" w:eastAsia="zh-CN"/>
        </w:rPr>
        <w:t>加热管及输配管安装</w:t>
      </w:r>
      <w:bookmarkEnd w:id="100"/>
    </w:p>
    <w:p>
      <w:pPr>
        <w:pageBreakBefore w:val="0"/>
        <w:numPr>
          <w:ilvl w:val="0"/>
          <w:numId w:val="93"/>
        </w:numPr>
        <w:wordWrap/>
        <w:overflowPunct/>
        <w:topLinePunct w:val="0"/>
        <w:bidi w:val="0"/>
        <w:spacing w:line="240" w:lineRule="auto"/>
        <w:ind w:left="0" w:leftChars="0" w:firstLine="0" w:firstLineChars="0"/>
        <w:rPr>
          <w:strike w:val="0"/>
          <w:color w:val="auto"/>
          <w:sz w:val="21"/>
          <w:szCs w:val="21"/>
        </w:rPr>
      </w:pPr>
      <w:bookmarkStart w:id="101" w:name="_Toc10789"/>
      <w:r>
        <w:rPr>
          <w:rFonts w:hint="eastAsia"/>
          <w:strike w:val="0"/>
          <w:sz w:val="21"/>
          <w:szCs w:val="21"/>
        </w:rPr>
        <w:t>加热管应按施工图标定的管间距和走向敷设，加热管应保持平直，</w:t>
      </w:r>
      <w:r>
        <w:rPr>
          <w:rFonts w:hint="eastAsia"/>
          <w:strike w:val="0"/>
          <w:color w:val="auto"/>
          <w:sz w:val="21"/>
          <w:szCs w:val="21"/>
        </w:rPr>
        <w:t>管间距的安装误差不应大于10mm。加热管敷设前，应对照施工图核定加热管的选型、管径、壁厚，并应检查加热管外观质量，管内部不应有杂质。加热管安装间断或完毕时，敞口处应</w:t>
      </w:r>
      <w:r>
        <w:rPr>
          <w:rFonts w:hint="eastAsia"/>
          <w:strike w:val="0"/>
          <w:color w:val="auto"/>
          <w:sz w:val="21"/>
          <w:szCs w:val="21"/>
          <w:lang w:val="en-US" w:eastAsia="zh-CN"/>
        </w:rPr>
        <w:t>及</w:t>
      </w:r>
      <w:r>
        <w:rPr>
          <w:rFonts w:hint="eastAsia"/>
          <w:strike w:val="0"/>
          <w:color w:val="auto"/>
          <w:sz w:val="21"/>
          <w:szCs w:val="21"/>
        </w:rPr>
        <w:t>时封堵。</w:t>
      </w:r>
    </w:p>
    <w:p>
      <w:pPr>
        <w:pageBreakBefore w:val="0"/>
        <w:numPr>
          <w:ilvl w:val="0"/>
          <w:numId w:val="93"/>
        </w:numPr>
        <w:wordWrap/>
        <w:overflowPunct/>
        <w:topLinePunct w:val="0"/>
        <w:bidi w:val="0"/>
        <w:spacing w:line="240" w:lineRule="auto"/>
        <w:ind w:left="0" w:leftChars="0" w:firstLine="0" w:firstLineChars="0"/>
        <w:rPr>
          <w:strike w:val="0"/>
          <w:color w:val="auto"/>
          <w:sz w:val="21"/>
          <w:szCs w:val="21"/>
        </w:rPr>
      </w:pPr>
      <w:r>
        <w:rPr>
          <w:rFonts w:hint="eastAsia"/>
          <w:strike w:val="0"/>
          <w:color w:val="auto"/>
          <w:sz w:val="21"/>
          <w:szCs w:val="21"/>
        </w:rPr>
        <w:t>加热管及输配管弯曲敷设时</w:t>
      </w:r>
      <w:r>
        <w:rPr>
          <w:rFonts w:hint="eastAsia"/>
          <w:strike w:val="0"/>
          <w:color w:val="auto"/>
          <w:sz w:val="21"/>
          <w:szCs w:val="21"/>
          <w:lang w:eastAsia="zh-CN"/>
        </w:rPr>
        <w:t>应符合下列规定</w:t>
      </w:r>
      <w:r>
        <w:rPr>
          <w:rFonts w:hint="eastAsia"/>
          <w:strike w:val="0"/>
          <w:color w:val="auto"/>
          <w:sz w:val="21"/>
          <w:szCs w:val="21"/>
        </w:rPr>
        <w:t>：</w:t>
      </w:r>
    </w:p>
    <w:p>
      <w:pPr>
        <w:pageBreakBefore w:val="0"/>
        <w:numPr>
          <w:ilvl w:val="0"/>
          <w:numId w:val="94"/>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rPr>
        <w:t>圆弧的顶部应用管卡进行固定；</w:t>
      </w:r>
    </w:p>
    <w:p>
      <w:pPr>
        <w:pageBreakBefore w:val="0"/>
        <w:numPr>
          <w:ilvl w:val="0"/>
          <w:numId w:val="94"/>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rPr>
        <w:t>塑料管弯曲半径不应小于管道外径的8倍，铝塑复合管的弯曲半径不应小于管道外径的6倍，铜管的弯曲半径不应小于管道外径的5倍；</w:t>
      </w:r>
    </w:p>
    <w:p>
      <w:pPr>
        <w:pageBreakBefore w:val="0"/>
        <w:numPr>
          <w:ilvl w:val="0"/>
          <w:numId w:val="94"/>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rPr>
        <w:t>最大弯曲半径不应大于管道外径的11倍；</w:t>
      </w:r>
    </w:p>
    <w:p>
      <w:pPr>
        <w:pageBreakBefore w:val="0"/>
        <w:numPr>
          <w:ilvl w:val="0"/>
          <w:numId w:val="94"/>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rPr>
        <w:t>管道安装时应防止管道扭曲；铜管应采用专用机械弯管。</w:t>
      </w:r>
    </w:p>
    <w:p>
      <w:pPr>
        <w:pageBreakBefore w:val="0"/>
        <w:numPr>
          <w:ilvl w:val="0"/>
          <w:numId w:val="93"/>
        </w:numPr>
        <w:wordWrap/>
        <w:overflowPunct/>
        <w:topLinePunct w:val="0"/>
        <w:bidi w:val="0"/>
        <w:spacing w:line="240" w:lineRule="auto"/>
        <w:ind w:left="0" w:leftChars="0" w:firstLine="0" w:firstLineChars="0"/>
        <w:rPr>
          <w:strike w:val="0"/>
          <w:color w:val="auto"/>
          <w:sz w:val="21"/>
          <w:szCs w:val="21"/>
        </w:rPr>
      </w:pPr>
      <w:r>
        <w:rPr>
          <w:rFonts w:hint="eastAsia"/>
          <w:strike w:val="0"/>
          <w:color w:val="auto"/>
          <w:sz w:val="21"/>
          <w:szCs w:val="21"/>
        </w:rPr>
        <w:t>每个环路加热管总长度与设计文件误差不应大于8%。</w:t>
      </w:r>
    </w:p>
    <w:p>
      <w:pPr>
        <w:pageBreakBefore w:val="0"/>
        <w:numPr>
          <w:ilvl w:val="0"/>
          <w:numId w:val="93"/>
        </w:numPr>
        <w:wordWrap/>
        <w:overflowPunct/>
        <w:topLinePunct w:val="0"/>
        <w:bidi w:val="0"/>
        <w:spacing w:line="240" w:lineRule="auto"/>
        <w:ind w:left="0" w:leftChars="0" w:firstLine="0" w:firstLineChars="0"/>
        <w:rPr>
          <w:strike w:val="0"/>
          <w:color w:val="auto"/>
          <w:sz w:val="21"/>
          <w:szCs w:val="21"/>
        </w:rPr>
      </w:pPr>
      <w:r>
        <w:rPr>
          <w:rFonts w:hint="eastAsia"/>
          <w:strike w:val="0"/>
          <w:color w:val="auto"/>
          <w:sz w:val="21"/>
          <w:szCs w:val="21"/>
        </w:rPr>
        <w:t>埋设于填充层内的加热管及输配管不应有接头。在铺设过程中管材出现损坏、渗漏等现象时，应整根更换，不应拼接使用。</w:t>
      </w:r>
    </w:p>
    <w:p>
      <w:pPr>
        <w:pageBreakBefore w:val="0"/>
        <w:numPr>
          <w:ilvl w:val="0"/>
          <w:numId w:val="93"/>
        </w:numPr>
        <w:wordWrap/>
        <w:overflowPunct/>
        <w:topLinePunct w:val="0"/>
        <w:bidi w:val="0"/>
        <w:spacing w:line="240" w:lineRule="auto"/>
        <w:ind w:left="0" w:leftChars="0" w:firstLine="0" w:firstLineChars="0"/>
        <w:rPr>
          <w:sz w:val="21"/>
          <w:szCs w:val="21"/>
        </w:rPr>
      </w:pPr>
      <w:r>
        <w:rPr>
          <w:rFonts w:hint="eastAsia"/>
          <w:sz w:val="21"/>
          <w:szCs w:val="21"/>
        </w:rPr>
        <w:t>加热管应设</w:t>
      </w:r>
      <w:r>
        <w:rPr>
          <w:rFonts w:hint="eastAsia"/>
          <w:sz w:val="21"/>
          <w:szCs w:val="21"/>
          <w:lang w:val="en-US" w:eastAsia="zh-CN"/>
        </w:rPr>
        <w:t>管卡</w:t>
      </w:r>
      <w:r>
        <w:rPr>
          <w:rFonts w:hint="eastAsia"/>
          <w:sz w:val="21"/>
          <w:szCs w:val="21"/>
        </w:rPr>
        <w:t>固定</w:t>
      </w:r>
      <w:r>
        <w:rPr>
          <w:rFonts w:hint="eastAsia"/>
          <w:sz w:val="21"/>
          <w:szCs w:val="21"/>
          <w:lang w:eastAsia="zh-CN"/>
        </w:rPr>
        <w:t>，</w:t>
      </w:r>
      <w:r>
        <w:rPr>
          <w:rFonts w:hint="eastAsia"/>
          <w:sz w:val="21"/>
          <w:szCs w:val="21"/>
        </w:rPr>
        <w:t>直管段</w:t>
      </w:r>
      <w:r>
        <w:rPr>
          <w:rFonts w:hint="eastAsia"/>
          <w:sz w:val="21"/>
          <w:szCs w:val="21"/>
          <w:lang w:val="en-US" w:eastAsia="zh-CN"/>
        </w:rPr>
        <w:t>管卡</w:t>
      </w:r>
      <w:r>
        <w:rPr>
          <w:rFonts w:hint="eastAsia"/>
          <w:sz w:val="21"/>
          <w:szCs w:val="21"/>
        </w:rPr>
        <w:t>间距宜为500mm</w:t>
      </w:r>
      <w:r>
        <w:rPr>
          <w:rFonts w:hint="eastAsia" w:ascii="Times New Roman" w:hAnsi="Times New Roman" w:cs="Times New Roman"/>
          <w:sz w:val="21"/>
          <w:szCs w:val="21"/>
        </w:rPr>
        <w:t>~</w:t>
      </w:r>
      <w:r>
        <w:rPr>
          <w:rFonts w:hint="eastAsia"/>
          <w:sz w:val="21"/>
          <w:szCs w:val="21"/>
        </w:rPr>
        <w:t>700mm</w:t>
      </w:r>
      <w:r>
        <w:rPr>
          <w:rFonts w:hint="eastAsia"/>
          <w:sz w:val="21"/>
          <w:szCs w:val="21"/>
          <w:lang w:eastAsia="zh-CN"/>
        </w:rPr>
        <w:t>；</w:t>
      </w:r>
      <w:r>
        <w:rPr>
          <w:rFonts w:hint="eastAsia"/>
          <w:sz w:val="21"/>
          <w:szCs w:val="21"/>
        </w:rPr>
        <w:t>弯头两端宜设</w:t>
      </w:r>
      <w:r>
        <w:rPr>
          <w:rFonts w:hint="eastAsia"/>
          <w:sz w:val="21"/>
          <w:szCs w:val="21"/>
          <w:lang w:val="en-US" w:eastAsia="zh-CN"/>
        </w:rPr>
        <w:t>管卡</w:t>
      </w:r>
      <w:r>
        <w:rPr>
          <w:rFonts w:hint="eastAsia"/>
          <w:sz w:val="21"/>
          <w:szCs w:val="21"/>
        </w:rPr>
        <w:t>固定</w:t>
      </w:r>
      <w:r>
        <w:rPr>
          <w:rFonts w:hint="eastAsia"/>
          <w:sz w:val="21"/>
          <w:szCs w:val="21"/>
          <w:lang w:eastAsia="zh-CN"/>
        </w:rPr>
        <w:t>，</w:t>
      </w:r>
      <w:r>
        <w:rPr>
          <w:rFonts w:hint="eastAsia"/>
          <w:sz w:val="21"/>
          <w:szCs w:val="21"/>
          <w:lang w:val="en-US" w:eastAsia="zh-CN"/>
        </w:rPr>
        <w:t>管卡</w:t>
      </w:r>
      <w:r>
        <w:rPr>
          <w:rFonts w:hint="eastAsia"/>
          <w:sz w:val="21"/>
          <w:szCs w:val="21"/>
        </w:rPr>
        <w:t>间距宜为200mm</w:t>
      </w:r>
      <w:r>
        <w:rPr>
          <w:rFonts w:hint="eastAsia" w:ascii="Times New Roman" w:hAnsi="Times New Roman" w:cs="Times New Roman"/>
          <w:sz w:val="21"/>
          <w:szCs w:val="21"/>
        </w:rPr>
        <w:t>~</w:t>
      </w:r>
      <w:r>
        <w:rPr>
          <w:rFonts w:hint="eastAsia"/>
          <w:sz w:val="21"/>
          <w:szCs w:val="21"/>
        </w:rPr>
        <w:t>300mm。</w:t>
      </w:r>
    </w:p>
    <w:p>
      <w:pPr>
        <w:pageBreakBefore w:val="0"/>
        <w:numPr>
          <w:ilvl w:val="0"/>
          <w:numId w:val="93"/>
        </w:numPr>
        <w:wordWrap/>
        <w:overflowPunct/>
        <w:topLinePunct w:val="0"/>
        <w:bidi w:val="0"/>
        <w:spacing w:line="240" w:lineRule="auto"/>
        <w:ind w:left="0" w:leftChars="0" w:firstLine="0" w:firstLineChars="0"/>
        <w:rPr>
          <w:strike w:val="0"/>
          <w:sz w:val="21"/>
          <w:szCs w:val="21"/>
        </w:rPr>
      </w:pPr>
      <w:r>
        <w:rPr>
          <w:rFonts w:hint="eastAsia"/>
          <w:strike w:val="0"/>
          <w:sz w:val="21"/>
          <w:szCs w:val="21"/>
        </w:rPr>
        <w:t>在分水器、集水器附近以及其他局部加热管排列比较密集的部位，当管间距小于100mm时，加热管外部应设置柔性套管。</w:t>
      </w:r>
    </w:p>
    <w:p>
      <w:pPr>
        <w:pageBreakBefore w:val="0"/>
        <w:numPr>
          <w:ilvl w:val="0"/>
          <w:numId w:val="93"/>
        </w:numPr>
        <w:wordWrap/>
        <w:overflowPunct/>
        <w:topLinePunct w:val="0"/>
        <w:bidi w:val="0"/>
        <w:spacing w:line="240" w:lineRule="auto"/>
        <w:ind w:left="0" w:leftChars="0" w:firstLine="0" w:firstLineChars="0"/>
        <w:rPr>
          <w:sz w:val="21"/>
          <w:szCs w:val="21"/>
        </w:rPr>
      </w:pPr>
      <w:r>
        <w:rPr>
          <w:rFonts w:hint="eastAsia"/>
          <w:sz w:val="21"/>
          <w:szCs w:val="21"/>
        </w:rPr>
        <w:t>加热管出地面至分水器、集水器连接处，弯管部分不宜露出面层。加热管或供暖板输配管</w:t>
      </w:r>
      <w:r>
        <w:rPr>
          <w:rFonts w:hint="eastAsia"/>
          <w:sz w:val="21"/>
          <w:szCs w:val="21"/>
          <w:lang w:val="en-US" w:eastAsia="zh-CN"/>
        </w:rPr>
        <w:t>道</w:t>
      </w:r>
      <w:r>
        <w:rPr>
          <w:rFonts w:hint="eastAsia"/>
          <w:sz w:val="21"/>
          <w:szCs w:val="21"/>
        </w:rPr>
        <w:t>出地面至分水器、集水器下部阀门接口之间的明装管段，外部应加装塑料套管或波纹套管，套管应</w:t>
      </w:r>
      <w:bookmarkStart w:id="102" w:name="bookmark49"/>
      <w:bookmarkEnd w:id="102"/>
      <w:r>
        <w:rPr>
          <w:rFonts w:hint="eastAsia"/>
          <w:sz w:val="21"/>
          <w:szCs w:val="21"/>
        </w:rPr>
        <w:t>高出面层150mm</w:t>
      </w:r>
      <w:r>
        <w:rPr>
          <w:rFonts w:hint="eastAsia" w:ascii="Times New Roman" w:hAnsi="Times New Roman" w:cs="Times New Roman"/>
          <w:sz w:val="21"/>
          <w:szCs w:val="21"/>
        </w:rPr>
        <w:t>~</w:t>
      </w:r>
      <w:r>
        <w:rPr>
          <w:rFonts w:hint="eastAsia"/>
          <w:sz w:val="21"/>
          <w:szCs w:val="21"/>
        </w:rPr>
        <w:t>200mm。</w:t>
      </w:r>
    </w:p>
    <w:p>
      <w:pPr>
        <w:pageBreakBefore w:val="0"/>
        <w:numPr>
          <w:ilvl w:val="0"/>
          <w:numId w:val="93"/>
        </w:numPr>
        <w:wordWrap/>
        <w:overflowPunct/>
        <w:topLinePunct w:val="0"/>
        <w:bidi w:val="0"/>
        <w:spacing w:line="240" w:lineRule="auto"/>
        <w:ind w:left="0" w:leftChars="0" w:firstLine="0" w:firstLineChars="0"/>
        <w:rPr>
          <w:color w:val="auto"/>
          <w:sz w:val="21"/>
          <w:szCs w:val="21"/>
        </w:rPr>
      </w:pPr>
      <w:r>
        <w:rPr>
          <w:rFonts w:hint="eastAsia"/>
          <w:sz w:val="21"/>
          <w:szCs w:val="21"/>
        </w:rPr>
        <w:t>加热管的环路布置不宜穿越填充层内的伸缩缝，必须穿越时，伸</w:t>
      </w:r>
      <w:r>
        <w:rPr>
          <w:rFonts w:hint="eastAsia"/>
          <w:color w:val="auto"/>
          <w:sz w:val="21"/>
          <w:szCs w:val="21"/>
        </w:rPr>
        <w:t>缩缝处应设长度不小于200mm的柔性套管。</w:t>
      </w:r>
    </w:p>
    <w:p>
      <w:pPr>
        <w:pageBreakBefore w:val="0"/>
        <w:numPr>
          <w:ilvl w:val="0"/>
          <w:numId w:val="93"/>
        </w:numPr>
        <w:wordWrap/>
        <w:overflowPunct/>
        <w:topLinePunct w:val="0"/>
        <w:bidi w:val="0"/>
        <w:spacing w:line="240" w:lineRule="auto"/>
        <w:ind w:left="0" w:leftChars="0" w:firstLine="0" w:firstLineChars="0"/>
        <w:rPr>
          <w:sz w:val="21"/>
          <w:szCs w:val="21"/>
        </w:rPr>
      </w:pPr>
      <w:r>
        <w:rPr>
          <w:rFonts w:hint="eastAsia"/>
          <w:color w:val="auto"/>
          <w:sz w:val="21"/>
          <w:szCs w:val="21"/>
        </w:rPr>
        <w:t>系统安装完成验收后，发现加热管损坏，需要增设接头时，</w:t>
      </w:r>
      <w:r>
        <w:rPr>
          <w:rFonts w:hint="eastAsia"/>
          <w:color w:val="auto"/>
          <w:sz w:val="21"/>
          <w:szCs w:val="21"/>
          <w:lang w:eastAsia="zh-CN"/>
        </w:rPr>
        <w:t>应符</w:t>
      </w:r>
      <w:r>
        <w:rPr>
          <w:rFonts w:hint="eastAsia"/>
          <w:sz w:val="21"/>
          <w:szCs w:val="21"/>
          <w:lang w:eastAsia="zh-CN"/>
        </w:rPr>
        <w:t>合下列规定</w:t>
      </w:r>
      <w:r>
        <w:rPr>
          <w:rFonts w:hint="eastAsia"/>
          <w:sz w:val="21"/>
          <w:szCs w:val="21"/>
        </w:rPr>
        <w:t>：</w:t>
      </w:r>
    </w:p>
    <w:p>
      <w:pPr>
        <w:pageBreakBefore w:val="0"/>
        <w:numPr>
          <w:ilvl w:val="0"/>
          <w:numId w:val="95"/>
        </w:numPr>
        <w:wordWrap/>
        <w:overflowPunct/>
        <w:topLinePunct w:val="0"/>
        <w:bidi w:val="0"/>
        <w:spacing w:line="240" w:lineRule="auto"/>
        <w:ind w:firstLine="420" w:firstLineChars="200"/>
        <w:rPr>
          <w:sz w:val="21"/>
          <w:szCs w:val="21"/>
        </w:rPr>
      </w:pPr>
      <w:r>
        <w:rPr>
          <w:rFonts w:hint="eastAsia"/>
          <w:sz w:val="21"/>
          <w:szCs w:val="21"/>
        </w:rPr>
        <w:t>应报</w:t>
      </w:r>
      <w:r>
        <w:rPr>
          <w:rFonts w:hint="eastAsia"/>
          <w:sz w:val="21"/>
          <w:szCs w:val="21"/>
          <w:lang w:val="en-US" w:eastAsia="zh-CN"/>
        </w:rPr>
        <w:t>建设方（用户）</w:t>
      </w:r>
      <w:r>
        <w:rPr>
          <w:rFonts w:hint="eastAsia"/>
          <w:sz w:val="21"/>
          <w:szCs w:val="21"/>
        </w:rPr>
        <w:t>批准后方可实施；</w:t>
      </w:r>
    </w:p>
    <w:p>
      <w:pPr>
        <w:pageBreakBefore w:val="0"/>
        <w:numPr>
          <w:ilvl w:val="0"/>
          <w:numId w:val="95"/>
        </w:numPr>
        <w:wordWrap/>
        <w:overflowPunct/>
        <w:topLinePunct w:val="0"/>
        <w:bidi w:val="0"/>
        <w:spacing w:line="240" w:lineRule="auto"/>
        <w:ind w:firstLine="420" w:firstLineChars="200"/>
        <w:rPr>
          <w:sz w:val="21"/>
          <w:szCs w:val="21"/>
        </w:rPr>
      </w:pPr>
      <w:r>
        <w:rPr>
          <w:rFonts w:hint="eastAsia"/>
          <w:sz w:val="21"/>
          <w:szCs w:val="21"/>
        </w:rPr>
        <w:t>塑料管和铝塑复合管增设接头时，应根据管材采用热熔或电熔插接式连接、冷扩式滑紧连接等；</w:t>
      </w:r>
    </w:p>
    <w:p>
      <w:pPr>
        <w:pageBreakBefore w:val="0"/>
        <w:numPr>
          <w:ilvl w:val="0"/>
          <w:numId w:val="95"/>
        </w:numPr>
        <w:wordWrap/>
        <w:overflowPunct/>
        <w:topLinePunct w:val="0"/>
        <w:bidi w:val="0"/>
        <w:spacing w:line="240" w:lineRule="auto"/>
        <w:ind w:firstLine="420" w:firstLineChars="200"/>
        <w:rPr>
          <w:sz w:val="21"/>
          <w:szCs w:val="21"/>
        </w:rPr>
      </w:pPr>
      <w:r>
        <w:rPr>
          <w:rFonts w:hint="eastAsia"/>
          <w:sz w:val="21"/>
          <w:szCs w:val="21"/>
        </w:rPr>
        <w:t>铜管宜采用机械连接或焊接连接；</w:t>
      </w:r>
    </w:p>
    <w:p>
      <w:pPr>
        <w:pageBreakBefore w:val="0"/>
        <w:numPr>
          <w:ilvl w:val="0"/>
          <w:numId w:val="95"/>
        </w:numPr>
        <w:wordWrap/>
        <w:overflowPunct/>
        <w:topLinePunct w:val="0"/>
        <w:bidi w:val="0"/>
        <w:spacing w:line="240" w:lineRule="auto"/>
        <w:ind w:left="0" w:leftChars="0" w:firstLine="420" w:firstLineChars="200"/>
        <w:rPr>
          <w:sz w:val="21"/>
          <w:szCs w:val="21"/>
        </w:rPr>
      </w:pPr>
      <w:r>
        <w:rPr>
          <w:rFonts w:hint="eastAsia"/>
          <w:sz w:val="21"/>
          <w:szCs w:val="21"/>
        </w:rPr>
        <w:t>应在竣工图上清晰表示接头位置，并记录归档。</w:t>
      </w:r>
    </w:p>
    <w:p>
      <w:pPr>
        <w:pageBreakBefore w:val="0"/>
        <w:numPr>
          <w:ilvl w:val="0"/>
          <w:numId w:val="93"/>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输配管的安装应符合8.4</w:t>
      </w:r>
      <w:r>
        <w:rPr>
          <w:rFonts w:hint="eastAsia"/>
          <w:color w:val="auto"/>
          <w:sz w:val="21"/>
          <w:szCs w:val="21"/>
          <w:lang w:val="en-US" w:eastAsia="zh-CN"/>
        </w:rPr>
        <w:t>-</w:t>
      </w:r>
      <w:r>
        <w:rPr>
          <w:rFonts w:hint="eastAsia"/>
          <w:color w:val="auto"/>
          <w:sz w:val="21"/>
          <w:szCs w:val="21"/>
        </w:rPr>
        <w:t>8.11的规定。</w:t>
      </w:r>
    </w:p>
    <w:p>
      <w:pPr>
        <w:pStyle w:val="4"/>
        <w:numPr>
          <w:ilvl w:val="0"/>
          <w:numId w:val="89"/>
        </w:numPr>
        <w:bidi w:val="0"/>
        <w:ind w:left="0" w:leftChars="0" w:firstLine="0" w:firstLineChars="0"/>
        <w:rPr>
          <w:rFonts w:hint="eastAsia"/>
          <w:lang w:val="en-US" w:eastAsia="zh-CN"/>
        </w:rPr>
      </w:pPr>
      <w:r>
        <w:rPr>
          <w:rFonts w:hint="eastAsia"/>
          <w:lang w:val="en-US" w:eastAsia="zh-CN"/>
        </w:rPr>
        <w:t>填充层施工</w:t>
      </w:r>
      <w:bookmarkEnd w:id="101"/>
    </w:p>
    <w:p>
      <w:pPr>
        <w:pageBreakBefore w:val="0"/>
        <w:numPr>
          <w:ilvl w:val="0"/>
          <w:numId w:val="96"/>
        </w:numPr>
        <w:wordWrap/>
        <w:overflowPunct/>
        <w:topLinePunct w:val="0"/>
        <w:bidi w:val="0"/>
        <w:spacing w:line="240" w:lineRule="auto"/>
        <w:ind w:left="0" w:leftChars="0" w:firstLine="0" w:firstLineChars="0"/>
        <w:rPr>
          <w:color w:val="auto"/>
          <w:sz w:val="21"/>
          <w:szCs w:val="21"/>
        </w:rPr>
      </w:pPr>
      <w:bookmarkStart w:id="103" w:name="bookmark21"/>
      <w:bookmarkEnd w:id="103"/>
      <w:bookmarkStart w:id="104" w:name="_Toc15750"/>
      <w:r>
        <w:rPr>
          <w:rFonts w:hint="eastAsia"/>
          <w:color w:val="auto"/>
          <w:sz w:val="21"/>
          <w:szCs w:val="21"/>
        </w:rPr>
        <w:t>填充层施工前应具备下列条件：</w:t>
      </w:r>
    </w:p>
    <w:p>
      <w:pPr>
        <w:pageBreakBefore w:val="0"/>
        <w:numPr>
          <w:ilvl w:val="0"/>
          <w:numId w:val="97"/>
        </w:numPr>
        <w:wordWrap/>
        <w:overflowPunct/>
        <w:topLinePunct w:val="0"/>
        <w:bidi w:val="0"/>
        <w:spacing w:line="240" w:lineRule="auto"/>
        <w:ind w:firstLine="420" w:firstLineChars="200"/>
        <w:rPr>
          <w:color w:val="auto"/>
          <w:sz w:val="21"/>
          <w:szCs w:val="21"/>
        </w:rPr>
      </w:pPr>
      <w:r>
        <w:rPr>
          <w:rFonts w:hint="eastAsia"/>
          <w:color w:val="auto"/>
          <w:sz w:val="21"/>
          <w:szCs w:val="21"/>
        </w:rPr>
        <w:t>侧面绝热层和填充层伸缩缝已安装完</w:t>
      </w:r>
      <w:r>
        <w:rPr>
          <w:rFonts w:hint="eastAsia"/>
          <w:color w:val="auto"/>
          <w:sz w:val="21"/>
          <w:szCs w:val="21"/>
          <w:lang w:val="en-US" w:eastAsia="zh-CN"/>
        </w:rPr>
        <w:t>成</w:t>
      </w:r>
      <w:r>
        <w:rPr>
          <w:rFonts w:hint="eastAsia"/>
          <w:color w:val="auto"/>
          <w:sz w:val="21"/>
          <w:szCs w:val="21"/>
        </w:rPr>
        <w:t>；</w:t>
      </w:r>
    </w:p>
    <w:p>
      <w:pPr>
        <w:pageBreakBefore w:val="0"/>
        <w:numPr>
          <w:ilvl w:val="0"/>
          <w:numId w:val="97"/>
        </w:numPr>
        <w:wordWrap/>
        <w:overflowPunct/>
        <w:topLinePunct w:val="0"/>
        <w:bidi w:val="0"/>
        <w:spacing w:line="240" w:lineRule="auto"/>
        <w:ind w:firstLine="420" w:firstLineChars="200"/>
        <w:rPr>
          <w:color w:val="auto"/>
          <w:sz w:val="21"/>
          <w:szCs w:val="21"/>
        </w:rPr>
      </w:pPr>
      <w:r>
        <w:rPr>
          <w:rFonts w:hint="eastAsia"/>
          <w:color w:val="auto"/>
          <w:sz w:val="21"/>
          <w:szCs w:val="21"/>
        </w:rPr>
        <w:t>加热管安装完</w:t>
      </w:r>
      <w:r>
        <w:rPr>
          <w:rFonts w:hint="eastAsia"/>
          <w:color w:val="auto"/>
          <w:sz w:val="21"/>
          <w:szCs w:val="21"/>
          <w:lang w:val="en-US" w:eastAsia="zh-CN"/>
        </w:rPr>
        <w:t>成</w:t>
      </w:r>
      <w:r>
        <w:rPr>
          <w:rFonts w:hint="eastAsia"/>
          <w:color w:val="auto"/>
          <w:sz w:val="21"/>
          <w:szCs w:val="21"/>
        </w:rPr>
        <w:t>且水压试验合格、加热管处于有压状态；</w:t>
      </w:r>
    </w:p>
    <w:p>
      <w:pPr>
        <w:pageBreakBefore w:val="0"/>
        <w:numPr>
          <w:ilvl w:val="0"/>
          <w:numId w:val="97"/>
        </w:numPr>
        <w:wordWrap/>
        <w:overflowPunct/>
        <w:topLinePunct w:val="0"/>
        <w:bidi w:val="0"/>
        <w:spacing w:line="240" w:lineRule="auto"/>
        <w:ind w:firstLine="420" w:firstLineChars="200"/>
        <w:rPr>
          <w:color w:val="auto"/>
          <w:sz w:val="21"/>
          <w:szCs w:val="21"/>
        </w:rPr>
      </w:pPr>
      <w:r>
        <w:rPr>
          <w:rFonts w:hint="eastAsia"/>
          <w:color w:val="auto"/>
          <w:sz w:val="21"/>
          <w:szCs w:val="21"/>
        </w:rPr>
        <w:t>温控器的</w:t>
      </w:r>
      <w:r>
        <w:rPr>
          <w:rFonts w:hint="eastAsia"/>
          <w:color w:val="auto"/>
          <w:sz w:val="21"/>
          <w:szCs w:val="21"/>
          <w:lang w:val="en-US" w:eastAsia="zh-CN"/>
        </w:rPr>
        <w:t>线路</w:t>
      </w:r>
      <w:r>
        <w:rPr>
          <w:rFonts w:hint="eastAsia"/>
          <w:color w:val="auto"/>
          <w:sz w:val="21"/>
          <w:szCs w:val="21"/>
        </w:rPr>
        <w:t>已经布置完</w:t>
      </w:r>
      <w:r>
        <w:rPr>
          <w:rFonts w:hint="eastAsia"/>
          <w:color w:val="auto"/>
          <w:sz w:val="21"/>
          <w:szCs w:val="21"/>
          <w:lang w:val="en-US" w:eastAsia="zh-CN"/>
        </w:rPr>
        <w:t>成</w:t>
      </w:r>
      <w:r>
        <w:rPr>
          <w:rFonts w:hint="eastAsia"/>
          <w:color w:val="auto"/>
          <w:sz w:val="21"/>
          <w:szCs w:val="21"/>
        </w:rPr>
        <w:t>；</w:t>
      </w:r>
    </w:p>
    <w:p>
      <w:pPr>
        <w:pageBreakBefore w:val="0"/>
        <w:numPr>
          <w:ilvl w:val="0"/>
          <w:numId w:val="97"/>
        </w:numPr>
        <w:wordWrap/>
        <w:overflowPunct/>
        <w:topLinePunct w:val="0"/>
        <w:bidi w:val="0"/>
        <w:spacing w:line="240" w:lineRule="auto"/>
        <w:ind w:firstLine="420" w:firstLineChars="200"/>
        <w:rPr>
          <w:color w:val="auto"/>
          <w:sz w:val="21"/>
          <w:szCs w:val="21"/>
        </w:rPr>
      </w:pPr>
      <w:r>
        <w:rPr>
          <w:rFonts w:hint="eastAsia"/>
          <w:color w:val="auto"/>
          <w:sz w:val="21"/>
          <w:szCs w:val="21"/>
        </w:rPr>
        <w:t>通过隐蔽工程验收。</w:t>
      </w:r>
    </w:p>
    <w:p>
      <w:pPr>
        <w:pageBreakBefore w:val="0"/>
        <w:numPr>
          <w:ilvl w:val="0"/>
          <w:numId w:val="96"/>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混凝土或砂浆填充层施工过程中不应拆除和移动伸缩缝。</w:t>
      </w:r>
    </w:p>
    <w:p>
      <w:pPr>
        <w:pageBreakBefore w:val="0"/>
        <w:numPr>
          <w:ilvl w:val="0"/>
          <w:numId w:val="96"/>
        </w:numPr>
        <w:wordWrap/>
        <w:overflowPunct/>
        <w:topLinePunct w:val="0"/>
        <w:bidi w:val="0"/>
        <w:spacing w:line="240" w:lineRule="auto"/>
        <w:ind w:left="0" w:leftChars="0" w:firstLine="0" w:firstLineChars="0"/>
        <w:rPr>
          <w:rFonts w:hint="eastAsia" w:eastAsia="宋体"/>
          <w:color w:val="auto"/>
          <w:sz w:val="21"/>
          <w:szCs w:val="21"/>
        </w:rPr>
      </w:pPr>
      <w:r>
        <w:rPr>
          <w:rFonts w:hint="eastAsia" w:eastAsia="宋体"/>
          <w:color w:val="auto"/>
          <w:sz w:val="21"/>
          <w:szCs w:val="21"/>
        </w:rPr>
        <w:t>填充层伸缩缝设置应与加热管的安装同步或在填充层施工前进行，并</w:t>
      </w:r>
      <w:r>
        <w:rPr>
          <w:rFonts w:hint="eastAsia" w:eastAsia="宋体"/>
          <w:color w:val="auto"/>
          <w:sz w:val="21"/>
          <w:szCs w:val="21"/>
          <w:lang w:val="en-US" w:eastAsia="zh-CN"/>
        </w:rPr>
        <w:t>应</w:t>
      </w:r>
      <w:r>
        <w:rPr>
          <w:rFonts w:hint="eastAsia" w:eastAsia="宋体"/>
          <w:color w:val="auto"/>
          <w:sz w:val="21"/>
          <w:szCs w:val="21"/>
        </w:rPr>
        <w:t>符合下列规定：</w:t>
      </w:r>
    </w:p>
    <w:p>
      <w:pPr>
        <w:pageBreakBefore w:val="0"/>
        <w:numPr>
          <w:ilvl w:val="0"/>
          <w:numId w:val="98"/>
        </w:numPr>
        <w:wordWrap/>
        <w:overflowPunct/>
        <w:topLinePunct w:val="0"/>
        <w:bidi w:val="0"/>
        <w:spacing w:line="240" w:lineRule="auto"/>
        <w:ind w:firstLine="420" w:firstLineChars="200"/>
        <w:rPr>
          <w:sz w:val="21"/>
          <w:szCs w:val="21"/>
        </w:rPr>
      </w:pPr>
      <w:r>
        <w:rPr>
          <w:rFonts w:hint="eastAsia"/>
          <w:color w:val="auto"/>
          <w:sz w:val="21"/>
          <w:szCs w:val="21"/>
        </w:rPr>
        <w:t>当地面面积超过30m</w:t>
      </w:r>
      <w:r>
        <w:rPr>
          <w:rFonts w:hint="eastAsia"/>
          <w:color w:val="auto"/>
          <w:sz w:val="21"/>
          <w:szCs w:val="21"/>
          <w:vertAlign w:val="superscript"/>
        </w:rPr>
        <w:t>2</w:t>
      </w:r>
      <w:r>
        <w:rPr>
          <w:rFonts w:hint="eastAsia"/>
          <w:color w:val="auto"/>
          <w:sz w:val="21"/>
          <w:szCs w:val="21"/>
        </w:rPr>
        <w:t>或边长超过6m时，应按不大于6m间距设置</w:t>
      </w:r>
      <w:r>
        <w:rPr>
          <w:rFonts w:hint="eastAsia"/>
          <w:sz w:val="21"/>
          <w:szCs w:val="21"/>
        </w:rPr>
        <w:t>伸缩缝，伸缩缝宽度不应小于8mm；伸缩缝宜采用高发泡聚乙烯泡沫塑料板，或预设木板条待填充层施工完毕后取出，缝槽内满填弹性膨胀膏；</w:t>
      </w:r>
    </w:p>
    <w:p>
      <w:pPr>
        <w:pageBreakBefore w:val="0"/>
        <w:numPr>
          <w:ilvl w:val="0"/>
          <w:numId w:val="98"/>
        </w:numPr>
        <w:wordWrap/>
        <w:overflowPunct/>
        <w:topLinePunct w:val="0"/>
        <w:bidi w:val="0"/>
        <w:spacing w:line="240" w:lineRule="auto"/>
        <w:ind w:firstLine="420" w:firstLineChars="200"/>
        <w:rPr>
          <w:sz w:val="21"/>
          <w:szCs w:val="21"/>
        </w:rPr>
      </w:pPr>
      <w:r>
        <w:rPr>
          <w:rFonts w:hint="eastAsia"/>
          <w:sz w:val="21"/>
          <w:szCs w:val="21"/>
        </w:rPr>
        <w:t>伸缩缝宜从绝热层的上边缘做到填充层的上边缘；</w:t>
      </w:r>
    </w:p>
    <w:p>
      <w:pPr>
        <w:pageBreakBefore w:val="0"/>
        <w:numPr>
          <w:ilvl w:val="0"/>
          <w:numId w:val="98"/>
        </w:numPr>
        <w:wordWrap/>
        <w:overflowPunct/>
        <w:topLinePunct w:val="0"/>
        <w:bidi w:val="0"/>
        <w:spacing w:line="240" w:lineRule="auto"/>
        <w:ind w:firstLine="420" w:firstLineChars="200"/>
        <w:rPr>
          <w:sz w:val="21"/>
          <w:szCs w:val="21"/>
        </w:rPr>
      </w:pPr>
      <w:r>
        <w:rPr>
          <w:rFonts w:hint="eastAsia"/>
          <w:sz w:val="21"/>
          <w:szCs w:val="21"/>
        </w:rPr>
        <w:t>伸缩缝应有效固定，泡沫塑料板可在铺设辐射面绝热层时挤入绝热层中。</w:t>
      </w:r>
    </w:p>
    <w:p>
      <w:pPr>
        <w:pageBreakBefore w:val="0"/>
        <w:numPr>
          <w:ilvl w:val="0"/>
          <w:numId w:val="96"/>
        </w:numPr>
        <w:wordWrap/>
        <w:overflowPunct/>
        <w:topLinePunct w:val="0"/>
        <w:bidi w:val="0"/>
        <w:spacing w:line="240" w:lineRule="auto"/>
        <w:ind w:left="0" w:leftChars="0" w:firstLine="0" w:firstLineChars="0"/>
        <w:rPr>
          <w:sz w:val="21"/>
          <w:szCs w:val="21"/>
        </w:rPr>
      </w:pPr>
      <w:r>
        <w:rPr>
          <w:rFonts w:hint="eastAsia"/>
          <w:sz w:val="21"/>
          <w:szCs w:val="21"/>
        </w:rPr>
        <w:t>施工过程中，埋管区域应设施工</w:t>
      </w:r>
      <w:r>
        <w:rPr>
          <w:rFonts w:hint="eastAsia"/>
          <w:sz w:val="21"/>
          <w:szCs w:val="21"/>
          <w:lang w:val="en-US" w:eastAsia="zh-CN"/>
        </w:rPr>
        <w:t>通</w:t>
      </w:r>
      <w:r>
        <w:rPr>
          <w:rFonts w:hint="eastAsia"/>
          <w:sz w:val="21"/>
          <w:szCs w:val="21"/>
        </w:rPr>
        <w:t>道或采取加盖等保护措施，</w:t>
      </w:r>
      <w:r>
        <w:rPr>
          <w:rFonts w:hint="eastAsia"/>
          <w:sz w:val="21"/>
          <w:szCs w:val="21"/>
          <w:lang w:eastAsia="zh-CN"/>
        </w:rPr>
        <w:t>不得</w:t>
      </w:r>
      <w:r>
        <w:rPr>
          <w:rFonts w:hint="eastAsia"/>
          <w:sz w:val="21"/>
          <w:szCs w:val="21"/>
        </w:rPr>
        <w:t>踩踏加热</w:t>
      </w:r>
      <w:r>
        <w:rPr>
          <w:rFonts w:hint="eastAsia"/>
          <w:sz w:val="21"/>
          <w:szCs w:val="21"/>
          <w:lang w:val="en-US" w:eastAsia="zh-CN"/>
        </w:rPr>
        <w:t>管</w:t>
      </w:r>
      <w:r>
        <w:rPr>
          <w:rFonts w:hint="eastAsia"/>
          <w:sz w:val="21"/>
          <w:szCs w:val="21"/>
        </w:rPr>
        <w:t>。</w:t>
      </w:r>
    </w:p>
    <w:p>
      <w:pPr>
        <w:pageBreakBefore w:val="0"/>
        <w:numPr>
          <w:ilvl w:val="0"/>
          <w:numId w:val="96"/>
        </w:numPr>
        <w:wordWrap/>
        <w:overflowPunct/>
        <w:topLinePunct w:val="0"/>
        <w:bidi w:val="0"/>
        <w:spacing w:line="240" w:lineRule="auto"/>
        <w:ind w:left="0" w:leftChars="0" w:firstLine="0" w:firstLineChars="0"/>
        <w:rPr>
          <w:color w:val="auto"/>
          <w:sz w:val="21"/>
          <w:szCs w:val="21"/>
        </w:rPr>
      </w:pPr>
      <w:r>
        <w:rPr>
          <w:rFonts w:hint="eastAsia"/>
          <w:sz w:val="21"/>
          <w:szCs w:val="21"/>
        </w:rPr>
        <w:t>水泥砂浆填充层单处空鼓面积不应大于0. 04cm</w:t>
      </w:r>
      <w:r>
        <w:rPr>
          <w:rFonts w:hint="eastAsia"/>
          <w:sz w:val="21"/>
          <w:szCs w:val="21"/>
          <w:vertAlign w:val="superscript"/>
        </w:rPr>
        <w:t>2</w:t>
      </w:r>
      <w:r>
        <w:rPr>
          <w:rFonts w:hint="eastAsia"/>
          <w:sz w:val="21"/>
          <w:szCs w:val="21"/>
        </w:rPr>
        <w:t>，可采取敲击法或仪器进行检查，且每个房间不应多于2处，若多于2处，则</w:t>
      </w:r>
      <w:r>
        <w:rPr>
          <w:rFonts w:hint="eastAsia"/>
          <w:sz w:val="21"/>
          <w:szCs w:val="21"/>
          <w:lang w:val="en-US" w:eastAsia="zh-CN"/>
        </w:rPr>
        <w:t>应</w:t>
      </w:r>
      <w:r>
        <w:rPr>
          <w:rFonts w:hint="eastAsia"/>
          <w:sz w:val="21"/>
          <w:szCs w:val="21"/>
        </w:rPr>
        <w:t>对该区域填</w:t>
      </w:r>
      <w:r>
        <w:rPr>
          <w:rFonts w:hint="eastAsia"/>
          <w:color w:val="auto"/>
          <w:sz w:val="21"/>
          <w:szCs w:val="21"/>
        </w:rPr>
        <w:t>充层进行修整。</w:t>
      </w:r>
    </w:p>
    <w:p>
      <w:pPr>
        <w:pageBreakBefore w:val="0"/>
        <w:numPr>
          <w:ilvl w:val="0"/>
          <w:numId w:val="96"/>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混凝土或水泥砂浆填充层施工中，加热管内的水压不应低于0. 6MPa；填充层养护过程中，</w:t>
      </w:r>
      <w:r>
        <w:rPr>
          <w:rStyle w:val="33"/>
          <w:rFonts w:hint="eastAsia"/>
          <w:color w:val="auto"/>
          <w:sz w:val="21"/>
          <w:szCs w:val="21"/>
          <w:lang w:val="en-US" w:eastAsia="zh-CN"/>
        </w:rPr>
        <w:t>管内</w:t>
      </w:r>
      <w:r>
        <w:rPr>
          <w:rFonts w:hint="eastAsia"/>
          <w:color w:val="auto"/>
          <w:sz w:val="21"/>
          <w:szCs w:val="21"/>
        </w:rPr>
        <w:t>水压不应低于0. 4MPa。</w:t>
      </w:r>
    </w:p>
    <w:p>
      <w:pPr>
        <w:pageBreakBefore w:val="0"/>
        <w:numPr>
          <w:ilvl w:val="0"/>
          <w:numId w:val="96"/>
        </w:numPr>
        <w:wordWrap/>
        <w:overflowPunct/>
        <w:topLinePunct w:val="0"/>
        <w:bidi w:val="0"/>
        <w:spacing w:line="240" w:lineRule="auto"/>
        <w:ind w:left="0" w:leftChars="0" w:firstLine="0" w:firstLineChars="0"/>
        <w:rPr>
          <w:sz w:val="21"/>
          <w:szCs w:val="21"/>
        </w:rPr>
      </w:pPr>
      <w:r>
        <w:rPr>
          <w:rFonts w:hint="eastAsia"/>
          <w:color w:val="auto"/>
          <w:sz w:val="21"/>
          <w:szCs w:val="21"/>
        </w:rPr>
        <w:t>填充层施工中，</w:t>
      </w:r>
      <w:r>
        <w:rPr>
          <w:rFonts w:hint="eastAsia"/>
          <w:color w:val="auto"/>
          <w:sz w:val="21"/>
          <w:szCs w:val="21"/>
          <w:lang w:eastAsia="zh-CN"/>
        </w:rPr>
        <w:t>不得</w:t>
      </w:r>
      <w:r>
        <w:rPr>
          <w:rFonts w:hint="eastAsia"/>
          <w:color w:val="auto"/>
          <w:sz w:val="21"/>
          <w:szCs w:val="21"/>
        </w:rPr>
        <w:t>使用机械振捣设备；施工人员应穿软底鞋，</w:t>
      </w:r>
      <w:r>
        <w:rPr>
          <w:rFonts w:hint="eastAsia"/>
          <w:sz w:val="21"/>
          <w:szCs w:val="21"/>
        </w:rPr>
        <w:t>使用平头铁锹。</w:t>
      </w:r>
    </w:p>
    <w:p>
      <w:pPr>
        <w:pageBreakBefore w:val="0"/>
        <w:numPr>
          <w:ilvl w:val="0"/>
          <w:numId w:val="96"/>
        </w:numPr>
        <w:wordWrap/>
        <w:overflowPunct/>
        <w:topLinePunct w:val="0"/>
        <w:bidi w:val="0"/>
        <w:spacing w:line="240" w:lineRule="auto"/>
        <w:ind w:left="0" w:leftChars="0" w:firstLine="0" w:firstLineChars="0"/>
        <w:rPr>
          <w:sz w:val="21"/>
          <w:szCs w:val="21"/>
        </w:rPr>
      </w:pPr>
      <w:r>
        <w:rPr>
          <w:rFonts w:hint="eastAsia"/>
          <w:sz w:val="21"/>
          <w:szCs w:val="21"/>
        </w:rPr>
        <w:t>系统初始供暖前，水泥砂浆填充层养护时间不应少于7d，或抗压强度应达到5MPa，并按照JGJ/T 23</w:t>
      </w:r>
      <w:r>
        <w:rPr>
          <w:rFonts w:hint="eastAsia"/>
          <w:sz w:val="21"/>
          <w:szCs w:val="21"/>
          <w:lang w:val="en-US" w:eastAsia="zh-CN"/>
        </w:rPr>
        <w:t>的相关规定</w:t>
      </w:r>
      <w:r>
        <w:rPr>
          <w:rFonts w:hint="eastAsia"/>
          <w:sz w:val="21"/>
          <w:szCs w:val="21"/>
        </w:rPr>
        <w:t>进行检测，方可上人行走；豆石混凝土填充层的养护周期不应少于21d。石膏基砂浆填充层的养护周期不应少于28d。养护期间及期满后，应对地面采取保护措施，不应在地面加以重载、高温烘烤、直接放置高温物体和高温设备。</w:t>
      </w:r>
    </w:p>
    <w:p>
      <w:pPr>
        <w:pStyle w:val="4"/>
        <w:keepNext w:val="0"/>
        <w:keepLines w:val="0"/>
        <w:pageBreakBefore w:val="0"/>
        <w:widowControl w:val="0"/>
        <w:numPr>
          <w:ilvl w:val="0"/>
          <w:numId w:val="89"/>
        </w:numPr>
        <w:kinsoku w:val="0"/>
        <w:wordWrap/>
        <w:overflowPunct/>
        <w:topLinePunct w:val="0"/>
        <w:autoSpaceDE w:val="0"/>
        <w:autoSpaceDN w:val="0"/>
        <w:bidi w:val="0"/>
        <w:adjustRightInd w:val="0"/>
        <w:snapToGrid w:val="0"/>
        <w:spacing w:before="120" w:after="157" w:afterLines="50" w:line="240" w:lineRule="auto"/>
        <w:ind w:left="0" w:leftChars="0" w:firstLine="0" w:firstLineChars="0"/>
        <w:textAlignment w:val="baseline"/>
        <w:rPr>
          <w:rFonts w:hint="eastAsia"/>
          <w:sz w:val="21"/>
          <w:szCs w:val="21"/>
          <w:lang w:val="en-US" w:eastAsia="zh-CN"/>
        </w:rPr>
      </w:pPr>
      <w:r>
        <w:rPr>
          <w:rFonts w:hint="eastAsia" w:ascii="宋体" w:hAnsi="宋体" w:eastAsia="宋体" w:cs="宋体"/>
          <w:sz w:val="21"/>
          <w:szCs w:val="21"/>
          <w:lang w:val="en-US" w:eastAsia="zh-CN"/>
        </w:rPr>
        <w:t>温控线路的安装应符合10.3-10.5的规定。</w:t>
      </w:r>
    </w:p>
    <w:p>
      <w:pPr>
        <w:pStyle w:val="4"/>
        <w:numPr>
          <w:ilvl w:val="0"/>
          <w:numId w:val="89"/>
        </w:numPr>
        <w:bidi w:val="0"/>
        <w:ind w:left="0" w:leftChars="0" w:firstLine="0" w:firstLineChars="0"/>
        <w:rPr>
          <w:rFonts w:hint="eastAsia"/>
          <w:lang w:val="en-US" w:eastAsia="zh-CN"/>
        </w:rPr>
      </w:pPr>
      <w:r>
        <w:rPr>
          <w:rFonts w:hint="eastAsia"/>
          <w:lang w:val="en-US" w:eastAsia="zh-CN"/>
        </w:rPr>
        <w:t>中间质量验收</w:t>
      </w:r>
    </w:p>
    <w:p>
      <w:pPr>
        <w:pageBreakBefore w:val="0"/>
        <w:numPr>
          <w:ilvl w:val="0"/>
          <w:numId w:val="99"/>
        </w:numPr>
        <w:wordWrap/>
        <w:overflowPunct/>
        <w:topLinePunct w:val="0"/>
        <w:bidi w:val="0"/>
        <w:spacing w:line="240" w:lineRule="auto"/>
        <w:ind w:left="0" w:leftChars="0" w:firstLine="0" w:firstLineChars="0"/>
        <w:rPr>
          <w:rFonts w:hint="eastAsia"/>
          <w:lang w:val="en-US" w:eastAsia="zh-CN"/>
        </w:rPr>
      </w:pPr>
      <w:r>
        <w:rPr>
          <w:rFonts w:hint="eastAsia"/>
          <w:lang w:val="en-US" w:eastAsia="zh-CN"/>
        </w:rPr>
        <w:t>输配管网、加热管、地面构造层等施工完成后，应对输配管网及加热管进行冲洗。地面面层施工前应进行中间验收。</w:t>
      </w:r>
    </w:p>
    <w:p>
      <w:pPr>
        <w:pageBreakBefore w:val="0"/>
        <w:numPr>
          <w:ilvl w:val="0"/>
          <w:numId w:val="99"/>
        </w:numPr>
        <w:wordWrap/>
        <w:overflowPunct/>
        <w:topLinePunct w:val="0"/>
        <w:bidi w:val="0"/>
        <w:spacing w:line="240" w:lineRule="auto"/>
        <w:ind w:left="0" w:leftChars="0" w:firstLine="0" w:firstLineChars="0"/>
        <w:rPr>
          <w:rFonts w:hint="eastAsia"/>
          <w:lang w:val="en-US" w:eastAsia="zh-CN"/>
        </w:rPr>
      </w:pPr>
      <w:r>
        <w:rPr>
          <w:rFonts w:hint="eastAsia"/>
          <w:lang w:val="en-US" w:eastAsia="zh-CN"/>
        </w:rPr>
        <w:t>验收项目包括但不限于以下内容：</w:t>
      </w:r>
    </w:p>
    <w:p>
      <w:pPr>
        <w:pageBreakBefore w:val="0"/>
        <w:numPr>
          <w:ilvl w:val="0"/>
          <w:numId w:val="100"/>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输配管网施工</w:t>
      </w:r>
    </w:p>
    <w:p>
      <w:pPr>
        <w:pageBreakBefore w:val="0"/>
        <w:numPr>
          <w:ilvl w:val="0"/>
          <w:numId w:val="100"/>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地面绝热层的铺设</w:t>
      </w:r>
    </w:p>
    <w:p>
      <w:pPr>
        <w:pageBreakBefore w:val="0"/>
        <w:numPr>
          <w:ilvl w:val="0"/>
          <w:numId w:val="100"/>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加热管的安装</w:t>
      </w:r>
    </w:p>
    <w:p>
      <w:pPr>
        <w:pageBreakBefore w:val="0"/>
        <w:numPr>
          <w:ilvl w:val="0"/>
          <w:numId w:val="100"/>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温控线路安装质量</w:t>
      </w:r>
    </w:p>
    <w:p>
      <w:pPr>
        <w:pageBreakBefore w:val="0"/>
        <w:numPr>
          <w:ilvl w:val="0"/>
          <w:numId w:val="100"/>
        </w:numPr>
        <w:wordWrap/>
        <w:overflowPunct/>
        <w:topLinePunct w:val="0"/>
        <w:bidi w:val="0"/>
        <w:spacing w:line="240" w:lineRule="auto"/>
        <w:ind w:firstLine="420" w:firstLineChars="200"/>
        <w:rPr>
          <w:rFonts w:hint="default"/>
          <w:sz w:val="21"/>
          <w:szCs w:val="21"/>
          <w:lang w:val="en-US" w:eastAsia="zh-CN"/>
        </w:rPr>
      </w:pPr>
      <w:r>
        <w:rPr>
          <w:rFonts w:hint="default"/>
          <w:sz w:val="21"/>
          <w:szCs w:val="21"/>
          <w:lang w:val="en-US" w:eastAsia="zh-CN"/>
        </w:rPr>
        <w:t>水压试验</w:t>
      </w:r>
    </w:p>
    <w:p>
      <w:pPr>
        <w:pageBreakBefore w:val="0"/>
        <w:numPr>
          <w:ilvl w:val="0"/>
          <w:numId w:val="100"/>
        </w:numPr>
        <w:wordWrap/>
        <w:overflowPunct/>
        <w:topLinePunct w:val="0"/>
        <w:bidi w:val="0"/>
        <w:spacing w:line="240" w:lineRule="auto"/>
        <w:ind w:firstLine="420" w:firstLineChars="200"/>
        <w:rPr>
          <w:rFonts w:hint="eastAsia"/>
          <w:sz w:val="21"/>
          <w:szCs w:val="21"/>
        </w:rPr>
      </w:pPr>
      <w:r>
        <w:rPr>
          <w:rFonts w:hint="default"/>
          <w:sz w:val="21"/>
          <w:szCs w:val="21"/>
          <w:lang w:val="en-US" w:eastAsia="zh-CN"/>
        </w:rPr>
        <w:t>填充层的施工</w:t>
      </w:r>
    </w:p>
    <w:p>
      <w:pPr>
        <w:pageBreakBefore w:val="0"/>
        <w:numPr>
          <w:ilvl w:val="0"/>
          <w:numId w:val="99"/>
        </w:numPr>
        <w:wordWrap/>
        <w:overflowPunct/>
        <w:topLinePunct w:val="0"/>
        <w:bidi w:val="0"/>
        <w:spacing w:line="240" w:lineRule="auto"/>
        <w:ind w:left="0" w:leftChars="0" w:firstLine="0" w:firstLineChars="0"/>
        <w:rPr>
          <w:rFonts w:hint="default"/>
          <w:lang w:val="en-US" w:eastAsia="zh-CN"/>
        </w:rPr>
      </w:pPr>
      <w:r>
        <w:rPr>
          <w:rFonts w:hint="eastAsia"/>
          <w:lang w:val="en-US" w:eastAsia="zh-CN"/>
        </w:rPr>
        <w:t>水压试验参照本文件12执行，其他项目参照附录B.2执行，</w:t>
      </w:r>
      <w:r>
        <w:rPr>
          <w:rFonts w:hint="eastAsia"/>
          <w:sz w:val="21"/>
          <w:szCs w:val="21"/>
          <w:lang w:val="en-US" w:eastAsia="zh-CN"/>
        </w:rPr>
        <w:t>应</w:t>
      </w:r>
      <w:r>
        <w:rPr>
          <w:rFonts w:hint="eastAsia"/>
          <w:sz w:val="21"/>
          <w:szCs w:val="21"/>
        </w:rPr>
        <w:t>填写《</w:t>
      </w:r>
      <w:r>
        <w:rPr>
          <w:rFonts w:hint="eastAsia"/>
          <w:sz w:val="21"/>
          <w:szCs w:val="21"/>
          <w:lang w:val="en-US" w:eastAsia="zh-CN"/>
        </w:rPr>
        <w:t>地面</w:t>
      </w:r>
      <w:r>
        <w:rPr>
          <w:rFonts w:hint="eastAsia"/>
          <w:sz w:val="21"/>
          <w:szCs w:val="21"/>
        </w:rPr>
        <w:t>供暖系统中间质量检验自查评定记录》（见附录B.</w:t>
      </w:r>
      <w:r>
        <w:rPr>
          <w:rFonts w:hint="eastAsia"/>
          <w:sz w:val="21"/>
          <w:szCs w:val="21"/>
          <w:lang w:val="en-US" w:eastAsia="zh-CN"/>
        </w:rPr>
        <w:t>2</w:t>
      </w:r>
      <w:r>
        <w:rPr>
          <w:rFonts w:hint="eastAsia"/>
          <w:sz w:val="21"/>
          <w:szCs w:val="21"/>
        </w:rPr>
        <w:t>）</w:t>
      </w:r>
      <w:r>
        <w:rPr>
          <w:rFonts w:hint="eastAsia"/>
          <w:sz w:val="21"/>
          <w:szCs w:val="21"/>
          <w:lang w:eastAsia="zh-CN"/>
        </w:rPr>
        <w:t>。</w:t>
      </w:r>
    </w:p>
    <w:bookmarkEnd w:id="104"/>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105" w:name="_Toc17704"/>
      <w:bookmarkStart w:id="106" w:name="_Toc4317"/>
      <w:bookmarkStart w:id="107" w:name="_Toc6653"/>
      <w:r>
        <w:rPr>
          <w:rFonts w:hint="eastAsia" w:hAnsi="Times New Roman" w:cs="Times New Roman"/>
          <w:szCs w:val="21"/>
          <w:lang w:val="en-US" w:eastAsia="zh-CN"/>
        </w:rPr>
        <w:t>温控装置安装</w:t>
      </w:r>
      <w:bookmarkEnd w:id="105"/>
      <w:bookmarkEnd w:id="106"/>
    </w:p>
    <w:p>
      <w:pPr>
        <w:pageBreakBefore w:val="0"/>
        <w:numPr>
          <w:ilvl w:val="0"/>
          <w:numId w:val="101"/>
        </w:numPr>
        <w:wordWrap/>
        <w:overflowPunct/>
        <w:topLinePunct w:val="0"/>
        <w:bidi w:val="0"/>
        <w:spacing w:line="240" w:lineRule="auto"/>
        <w:ind w:left="0" w:leftChars="0" w:firstLine="0" w:firstLineChars="0"/>
        <w:rPr>
          <w:rFonts w:hint="eastAsia"/>
          <w:sz w:val="21"/>
          <w:szCs w:val="21"/>
        </w:rPr>
      </w:pPr>
      <w:r>
        <w:rPr>
          <w:rFonts w:hint="eastAsia"/>
          <w:sz w:val="21"/>
          <w:szCs w:val="21"/>
        </w:rPr>
        <w:t>温控</w:t>
      </w:r>
      <w:r>
        <w:rPr>
          <w:rFonts w:hint="eastAsia"/>
          <w:sz w:val="21"/>
          <w:szCs w:val="21"/>
          <w:lang w:val="en-US" w:eastAsia="zh-CN"/>
        </w:rPr>
        <w:t>装置</w:t>
      </w:r>
      <w:r>
        <w:rPr>
          <w:rFonts w:hint="eastAsia"/>
          <w:sz w:val="21"/>
          <w:szCs w:val="21"/>
        </w:rPr>
        <w:t>应</w:t>
      </w:r>
      <w:r>
        <w:rPr>
          <w:rFonts w:hint="eastAsia"/>
          <w:sz w:val="21"/>
          <w:szCs w:val="21"/>
          <w:lang w:val="en-US" w:eastAsia="zh-CN"/>
        </w:rPr>
        <w:t>按</w:t>
      </w:r>
      <w:r>
        <w:rPr>
          <w:rFonts w:hint="eastAsia"/>
          <w:sz w:val="21"/>
          <w:szCs w:val="21"/>
        </w:rPr>
        <w:t>设计</w:t>
      </w:r>
      <w:r>
        <w:rPr>
          <w:rFonts w:hint="eastAsia"/>
          <w:sz w:val="21"/>
          <w:szCs w:val="21"/>
          <w:lang w:val="en-US" w:eastAsia="zh-CN"/>
        </w:rPr>
        <w:t>文件及</w:t>
      </w:r>
      <w:r>
        <w:rPr>
          <w:rFonts w:hint="eastAsia"/>
          <w:sz w:val="21"/>
          <w:szCs w:val="21"/>
        </w:rPr>
        <w:t>产品</w:t>
      </w:r>
      <w:r>
        <w:rPr>
          <w:rFonts w:hint="eastAsia"/>
          <w:sz w:val="21"/>
          <w:szCs w:val="21"/>
          <w:lang w:val="en-US" w:eastAsia="zh-CN"/>
        </w:rPr>
        <w:t>说明书</w:t>
      </w:r>
      <w:r>
        <w:rPr>
          <w:rFonts w:hint="eastAsia"/>
          <w:sz w:val="21"/>
          <w:szCs w:val="21"/>
        </w:rPr>
        <w:t>要求</w:t>
      </w:r>
      <w:r>
        <w:rPr>
          <w:rFonts w:hint="eastAsia"/>
          <w:sz w:val="21"/>
          <w:szCs w:val="21"/>
          <w:lang w:val="en-US" w:eastAsia="zh-CN"/>
        </w:rPr>
        <w:t>安装，并符合</w:t>
      </w:r>
      <w:r>
        <w:rPr>
          <w:rFonts w:hint="eastAsia"/>
          <w:sz w:val="21"/>
          <w:szCs w:val="21"/>
        </w:rPr>
        <w:t>GB/T</w:t>
      </w:r>
      <w:r>
        <w:rPr>
          <w:rFonts w:hint="eastAsia"/>
          <w:sz w:val="21"/>
          <w:szCs w:val="21"/>
          <w:lang w:val="en-US" w:eastAsia="zh-CN"/>
        </w:rPr>
        <w:t xml:space="preserve"> </w:t>
      </w:r>
      <w:r>
        <w:rPr>
          <w:rFonts w:hint="eastAsia"/>
          <w:sz w:val="21"/>
          <w:szCs w:val="21"/>
        </w:rPr>
        <w:t>14536.10的</w:t>
      </w:r>
      <w:r>
        <w:rPr>
          <w:rFonts w:hint="eastAsia"/>
          <w:sz w:val="21"/>
          <w:szCs w:val="21"/>
          <w:lang w:val="en-US" w:eastAsia="zh-CN"/>
        </w:rPr>
        <w:t>相关</w:t>
      </w:r>
      <w:r>
        <w:rPr>
          <w:rFonts w:hint="eastAsia"/>
          <w:sz w:val="21"/>
          <w:szCs w:val="21"/>
        </w:rPr>
        <w:t>规定。</w:t>
      </w:r>
    </w:p>
    <w:p>
      <w:pPr>
        <w:pageBreakBefore w:val="0"/>
        <w:numPr>
          <w:ilvl w:val="0"/>
          <w:numId w:val="101"/>
        </w:numPr>
        <w:wordWrap/>
        <w:overflowPunct/>
        <w:topLinePunct w:val="0"/>
        <w:bidi w:val="0"/>
        <w:spacing w:line="240" w:lineRule="auto"/>
        <w:ind w:left="0" w:leftChars="0" w:firstLine="0" w:firstLineChars="0"/>
        <w:rPr>
          <w:rFonts w:hint="eastAsia" w:eastAsia="宋体"/>
          <w:sz w:val="21"/>
          <w:szCs w:val="21"/>
        </w:rPr>
      </w:pPr>
      <w:r>
        <w:rPr>
          <w:rFonts w:hint="eastAsia" w:eastAsia="宋体"/>
          <w:sz w:val="21"/>
          <w:szCs w:val="21"/>
        </w:rPr>
        <w:t>温控器接线端子与线缆连接不应松动。</w:t>
      </w:r>
    </w:p>
    <w:p>
      <w:pPr>
        <w:pageBreakBefore w:val="0"/>
        <w:numPr>
          <w:ilvl w:val="0"/>
          <w:numId w:val="101"/>
        </w:numPr>
        <w:wordWrap/>
        <w:overflowPunct/>
        <w:topLinePunct w:val="0"/>
        <w:bidi w:val="0"/>
        <w:spacing w:line="240" w:lineRule="auto"/>
        <w:ind w:left="0" w:leftChars="0" w:firstLine="0" w:firstLineChars="0"/>
        <w:rPr>
          <w:rFonts w:hint="eastAsia" w:eastAsia="宋体"/>
          <w:sz w:val="21"/>
          <w:szCs w:val="21"/>
        </w:rPr>
      </w:pPr>
      <w:r>
        <w:rPr>
          <w:rFonts w:hint="eastAsia" w:eastAsia="宋体"/>
          <w:sz w:val="21"/>
          <w:szCs w:val="21"/>
        </w:rPr>
        <w:t>采用24V以上电压的控制系统时，控制线路和控制器件必须做好绝缘和防水防护，标记防触电警告。</w:t>
      </w:r>
    </w:p>
    <w:p>
      <w:pPr>
        <w:pageBreakBefore w:val="0"/>
        <w:numPr>
          <w:ilvl w:val="0"/>
          <w:numId w:val="101"/>
        </w:numPr>
        <w:wordWrap/>
        <w:overflowPunct/>
        <w:topLinePunct w:val="0"/>
        <w:bidi w:val="0"/>
        <w:spacing w:line="240" w:lineRule="auto"/>
        <w:ind w:left="0" w:leftChars="0" w:firstLine="0" w:firstLineChars="0"/>
        <w:rPr>
          <w:rFonts w:hint="eastAsia" w:eastAsia="宋体"/>
          <w:sz w:val="21"/>
          <w:szCs w:val="21"/>
        </w:rPr>
      </w:pPr>
      <w:r>
        <w:rPr>
          <w:rFonts w:hint="eastAsia" w:eastAsia="宋体"/>
          <w:sz w:val="21"/>
          <w:szCs w:val="21"/>
        </w:rPr>
        <w:t>温度传感器的安装应符合下列规定：</w:t>
      </w:r>
    </w:p>
    <w:p>
      <w:pPr>
        <w:pageBreakBefore w:val="0"/>
        <w:numPr>
          <w:ilvl w:val="0"/>
          <w:numId w:val="102"/>
        </w:numPr>
        <w:wordWrap/>
        <w:overflowPunct/>
        <w:topLinePunct w:val="0"/>
        <w:bidi w:val="0"/>
        <w:spacing w:line="240" w:lineRule="auto"/>
        <w:ind w:firstLine="420" w:firstLineChars="200"/>
        <w:rPr>
          <w:rFonts w:hint="eastAsia"/>
          <w:sz w:val="21"/>
          <w:szCs w:val="21"/>
        </w:rPr>
      </w:pPr>
      <w:r>
        <w:rPr>
          <w:rFonts w:hint="eastAsia"/>
          <w:sz w:val="21"/>
          <w:szCs w:val="21"/>
        </w:rPr>
        <w:t>外置温度传感器的引线应单独穿管敷设，应能插拔更换；引线护套管末端宜用钢套封堵；</w:t>
      </w:r>
    </w:p>
    <w:p>
      <w:pPr>
        <w:pageBreakBefore w:val="0"/>
        <w:numPr>
          <w:ilvl w:val="0"/>
          <w:numId w:val="102"/>
        </w:numPr>
        <w:wordWrap/>
        <w:overflowPunct/>
        <w:topLinePunct w:val="0"/>
        <w:bidi w:val="0"/>
        <w:spacing w:line="240" w:lineRule="auto"/>
        <w:ind w:firstLine="420" w:firstLineChars="200"/>
        <w:rPr>
          <w:rFonts w:hint="eastAsia"/>
          <w:sz w:val="21"/>
          <w:szCs w:val="21"/>
        </w:rPr>
      </w:pPr>
      <w:r>
        <w:rPr>
          <w:rFonts w:hint="eastAsia"/>
          <w:sz w:val="21"/>
          <w:szCs w:val="21"/>
        </w:rPr>
        <w:t>外置温度传感器做地面温度监测时，不应被地面上的家具等覆盖或遮挡，应与</w:t>
      </w:r>
      <w:r>
        <w:rPr>
          <w:rFonts w:hint="eastAsia"/>
          <w:sz w:val="21"/>
          <w:szCs w:val="21"/>
          <w:lang w:val="en-US" w:eastAsia="zh-CN"/>
        </w:rPr>
        <w:t>装饰完成</w:t>
      </w:r>
      <w:r>
        <w:rPr>
          <w:rFonts w:hint="eastAsia"/>
          <w:sz w:val="21"/>
          <w:szCs w:val="21"/>
        </w:rPr>
        <w:t>面保持10mm以上间距。</w:t>
      </w:r>
    </w:p>
    <w:p>
      <w:pPr>
        <w:pageBreakBefore w:val="0"/>
        <w:numPr>
          <w:ilvl w:val="0"/>
          <w:numId w:val="101"/>
        </w:numPr>
        <w:wordWrap/>
        <w:overflowPunct/>
        <w:topLinePunct w:val="0"/>
        <w:bidi w:val="0"/>
        <w:spacing w:line="240" w:lineRule="auto"/>
        <w:ind w:left="0" w:leftChars="0" w:firstLine="0" w:firstLineChars="0"/>
        <w:rPr>
          <w:rFonts w:hint="eastAsia" w:eastAsia="宋体"/>
          <w:sz w:val="21"/>
          <w:szCs w:val="21"/>
        </w:rPr>
      </w:pPr>
      <w:r>
        <w:rPr>
          <w:rFonts w:hint="eastAsia" w:eastAsia="宋体"/>
          <w:sz w:val="21"/>
          <w:szCs w:val="21"/>
        </w:rPr>
        <w:t>如需进行智能化控制，</w:t>
      </w:r>
      <w:r>
        <w:rPr>
          <w:rFonts w:hint="eastAsia" w:eastAsia="宋体"/>
          <w:sz w:val="21"/>
          <w:szCs w:val="21"/>
          <w:lang w:val="en-US" w:eastAsia="zh-CN"/>
        </w:rPr>
        <w:t>应</w:t>
      </w:r>
      <w:r>
        <w:rPr>
          <w:rFonts w:hint="eastAsia" w:eastAsia="宋体"/>
          <w:sz w:val="21"/>
          <w:szCs w:val="21"/>
        </w:rPr>
        <w:t>根据设计要求预留智能化端口。</w:t>
      </w:r>
    </w:p>
    <w:p>
      <w:pPr>
        <w:pageBreakBefore w:val="0"/>
        <w:numPr>
          <w:ilvl w:val="0"/>
          <w:numId w:val="101"/>
        </w:numPr>
        <w:wordWrap/>
        <w:overflowPunct/>
        <w:topLinePunct w:val="0"/>
        <w:bidi w:val="0"/>
        <w:spacing w:line="240" w:lineRule="auto"/>
        <w:ind w:left="0" w:leftChars="0" w:firstLine="0" w:firstLineChars="0"/>
        <w:rPr>
          <w:rFonts w:hint="eastAsia" w:eastAsia="宋体"/>
          <w:sz w:val="21"/>
          <w:szCs w:val="21"/>
        </w:rPr>
      </w:pPr>
      <w:r>
        <w:rPr>
          <w:rFonts w:hint="eastAsia" w:eastAsia="宋体"/>
          <w:sz w:val="21"/>
          <w:szCs w:val="21"/>
        </w:rPr>
        <w:t>分水器、集水器的执行器信号线应按控制区域做好标识标贴，线缆头应做好绝缘保护；使用接线端子排的，应接入相对应执行器的接线端子内。</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108" w:name="_Toc26485"/>
      <w:bookmarkStart w:id="109" w:name="_Toc24088"/>
      <w:r>
        <w:rPr>
          <w:rFonts w:hint="eastAsia" w:hAnsi="Times New Roman" w:cs="Times New Roman"/>
          <w:szCs w:val="21"/>
          <w:lang w:val="en-US" w:eastAsia="zh-CN"/>
        </w:rPr>
        <w:t>采暖炉安装</w:t>
      </w:r>
      <w:bookmarkEnd w:id="108"/>
      <w:bookmarkEnd w:id="109"/>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rFonts w:hint="eastAsia"/>
          <w:color w:val="auto"/>
          <w:sz w:val="21"/>
          <w:szCs w:val="21"/>
          <w:lang w:val="en-US" w:eastAsia="zh-CN"/>
        </w:rPr>
        <w:t>采暖炉安装单位应具备燃气燃烧器具安装维修资质，安装人员经考核合格后方可上岗。</w:t>
      </w:r>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color w:val="auto"/>
          <w:sz w:val="21"/>
          <w:szCs w:val="21"/>
        </w:rPr>
        <w:t>采暖炉</w:t>
      </w:r>
      <w:r>
        <w:rPr>
          <w:rFonts w:hint="eastAsia"/>
          <w:color w:val="auto"/>
          <w:sz w:val="21"/>
          <w:szCs w:val="21"/>
          <w:lang w:val="en-US" w:eastAsia="zh-CN"/>
        </w:rPr>
        <w:t>安装</w:t>
      </w:r>
      <w:r>
        <w:rPr>
          <w:sz w:val="21"/>
          <w:szCs w:val="21"/>
        </w:rPr>
        <w:t>除应符合CJJ 12的</w:t>
      </w:r>
      <w:r>
        <w:rPr>
          <w:rFonts w:hint="eastAsia"/>
          <w:sz w:val="21"/>
          <w:szCs w:val="21"/>
          <w:lang w:val="en-US" w:eastAsia="zh-CN"/>
        </w:rPr>
        <w:t>相关</w:t>
      </w:r>
      <w:r>
        <w:rPr>
          <w:sz w:val="21"/>
          <w:szCs w:val="21"/>
        </w:rPr>
        <w:t>规定外，</w:t>
      </w:r>
      <w:r>
        <w:rPr>
          <w:color w:val="auto"/>
          <w:sz w:val="21"/>
          <w:szCs w:val="21"/>
        </w:rPr>
        <w:t>还</w:t>
      </w:r>
      <w:r>
        <w:rPr>
          <w:rFonts w:hint="eastAsia"/>
          <w:color w:val="auto"/>
          <w:sz w:val="21"/>
          <w:szCs w:val="21"/>
          <w:lang w:eastAsia="zh-CN"/>
        </w:rPr>
        <w:t>应符合下列规定</w:t>
      </w:r>
      <w:r>
        <w:rPr>
          <w:color w:val="auto"/>
          <w:sz w:val="21"/>
          <w:szCs w:val="21"/>
        </w:rPr>
        <w:t>：</w:t>
      </w:r>
    </w:p>
    <w:p>
      <w:pPr>
        <w:pageBreakBefore w:val="0"/>
        <w:numPr>
          <w:ilvl w:val="0"/>
          <w:numId w:val="104"/>
        </w:numPr>
        <w:wordWrap/>
        <w:overflowPunct/>
        <w:topLinePunct w:val="0"/>
        <w:bidi w:val="0"/>
        <w:spacing w:line="240" w:lineRule="auto"/>
        <w:ind w:firstLine="420" w:firstLineChars="200"/>
        <w:rPr>
          <w:color w:val="auto"/>
          <w:sz w:val="21"/>
          <w:szCs w:val="21"/>
        </w:rPr>
      </w:pPr>
      <w:r>
        <w:rPr>
          <w:color w:val="auto"/>
          <w:sz w:val="21"/>
          <w:szCs w:val="21"/>
        </w:rPr>
        <w:t>安装采暖炉的墙面和地面应能承受所安装采暖炉的荷重，如无法满足，应采取加固措施；</w:t>
      </w:r>
    </w:p>
    <w:p>
      <w:pPr>
        <w:pageBreakBefore w:val="0"/>
        <w:numPr>
          <w:ilvl w:val="0"/>
          <w:numId w:val="104"/>
        </w:numPr>
        <w:wordWrap/>
        <w:overflowPunct/>
        <w:topLinePunct w:val="0"/>
        <w:bidi w:val="0"/>
        <w:spacing w:line="240" w:lineRule="auto"/>
        <w:ind w:firstLine="420" w:firstLineChars="200"/>
        <w:rPr>
          <w:color w:val="auto"/>
          <w:sz w:val="21"/>
          <w:szCs w:val="21"/>
        </w:rPr>
      </w:pPr>
      <w:r>
        <w:rPr>
          <w:color w:val="auto"/>
          <w:sz w:val="21"/>
          <w:szCs w:val="21"/>
        </w:rPr>
        <w:t>设置容积式采暖炉的地面应做防水层，近处应设地漏；地漏及连接的排水管道应能承受90</w:t>
      </w:r>
      <w:r>
        <w:rPr>
          <w:rFonts w:hint="eastAsia"/>
          <w:color w:val="auto"/>
          <w:sz w:val="21"/>
          <w:szCs w:val="21"/>
        </w:rPr>
        <w:t>℃</w:t>
      </w:r>
      <w:r>
        <w:rPr>
          <w:color w:val="auto"/>
          <w:sz w:val="21"/>
          <w:szCs w:val="21"/>
        </w:rPr>
        <w:t>的热水</w:t>
      </w:r>
      <w:r>
        <w:rPr>
          <w:rFonts w:hint="eastAsia"/>
          <w:color w:val="auto"/>
          <w:sz w:val="21"/>
          <w:szCs w:val="21"/>
          <w:lang w:eastAsia="zh-CN"/>
        </w:rPr>
        <w:t>；</w:t>
      </w:r>
    </w:p>
    <w:p>
      <w:pPr>
        <w:pageBreakBefore w:val="0"/>
        <w:numPr>
          <w:ilvl w:val="0"/>
          <w:numId w:val="104"/>
        </w:numPr>
        <w:wordWrap/>
        <w:overflowPunct/>
        <w:topLinePunct w:val="0"/>
        <w:bidi w:val="0"/>
        <w:spacing w:line="240" w:lineRule="auto"/>
        <w:ind w:firstLine="420" w:firstLineChars="200"/>
        <w:rPr>
          <w:color w:val="auto"/>
          <w:sz w:val="21"/>
          <w:szCs w:val="21"/>
        </w:rPr>
      </w:pPr>
      <w:r>
        <w:rPr>
          <w:color w:val="auto"/>
          <w:sz w:val="21"/>
          <w:szCs w:val="21"/>
        </w:rPr>
        <w:t>采暖炉与相邻灶具的水平净距不应小于30cm，如小于30</w:t>
      </w:r>
      <w:r>
        <w:rPr>
          <w:rFonts w:hint="default"/>
          <w:color w:val="auto"/>
          <w:sz w:val="21"/>
          <w:szCs w:val="21"/>
          <w:lang w:val="en-US" w:eastAsia="zh-CN"/>
        </w:rPr>
        <w:t>cm</w:t>
      </w:r>
      <w:r>
        <w:rPr>
          <w:color w:val="auto"/>
          <w:sz w:val="21"/>
          <w:szCs w:val="21"/>
        </w:rPr>
        <w:t>应采取有效的防火隔热措施</w:t>
      </w:r>
      <w:r>
        <w:rPr>
          <w:rFonts w:hint="eastAsia"/>
          <w:color w:val="auto"/>
          <w:sz w:val="21"/>
          <w:szCs w:val="21"/>
        </w:rPr>
        <w:t>；</w:t>
      </w:r>
    </w:p>
    <w:p>
      <w:pPr>
        <w:pageBreakBefore w:val="0"/>
        <w:numPr>
          <w:ilvl w:val="0"/>
          <w:numId w:val="104"/>
        </w:numPr>
        <w:wordWrap/>
        <w:overflowPunct/>
        <w:topLinePunct w:val="0"/>
        <w:bidi w:val="0"/>
        <w:spacing w:line="240" w:lineRule="auto"/>
        <w:ind w:firstLine="420" w:firstLineChars="200"/>
        <w:rPr>
          <w:color w:val="auto"/>
          <w:sz w:val="21"/>
          <w:szCs w:val="21"/>
        </w:rPr>
      </w:pPr>
      <w:r>
        <w:rPr>
          <w:color w:val="auto"/>
          <w:sz w:val="21"/>
          <w:szCs w:val="21"/>
        </w:rPr>
        <w:t>采暖炉上部不应有明敷的电线、电器设备及易燃物，下部不应设置燃</w:t>
      </w:r>
      <w:r>
        <w:rPr>
          <w:rFonts w:hint="eastAsia"/>
          <w:color w:val="auto"/>
          <w:sz w:val="21"/>
          <w:szCs w:val="21"/>
        </w:rPr>
        <w:t>烧器</w:t>
      </w:r>
      <w:r>
        <w:rPr>
          <w:color w:val="auto"/>
          <w:sz w:val="21"/>
          <w:szCs w:val="21"/>
        </w:rPr>
        <w:t>具。</w:t>
      </w:r>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采暖炉排烟口与室外新风进口的水平或垂直距离不应小于1.5m。水平或垂直方向距室外新风进口、厨房油烟排放口和卫生间排风口等污染物排放口及空调室外机等热排放设备的距离不应小于1.5m，当垂直布置时，采暖炉排烟口应设置在新风进口上方</w:t>
      </w:r>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color w:val="auto"/>
          <w:sz w:val="21"/>
          <w:szCs w:val="21"/>
        </w:rPr>
        <w:t>与采暖炉连接的给水管道上</w:t>
      </w:r>
      <w:r>
        <w:rPr>
          <w:rFonts w:hint="eastAsia"/>
          <w:color w:val="auto"/>
          <w:sz w:val="21"/>
          <w:szCs w:val="21"/>
          <w:lang w:eastAsia="zh-CN"/>
        </w:rPr>
        <w:t>、</w:t>
      </w:r>
      <w:r>
        <w:rPr>
          <w:color w:val="auto"/>
          <w:sz w:val="21"/>
          <w:szCs w:val="21"/>
        </w:rPr>
        <w:t>炉体</w:t>
      </w:r>
      <w:r>
        <w:rPr>
          <w:rFonts w:hint="eastAsia"/>
          <w:color w:val="auto"/>
          <w:sz w:val="21"/>
          <w:szCs w:val="21"/>
          <w:lang w:val="en-US" w:eastAsia="zh-CN"/>
        </w:rPr>
        <w:t>供暖</w:t>
      </w:r>
      <w:r>
        <w:rPr>
          <w:color w:val="auto"/>
          <w:sz w:val="21"/>
          <w:szCs w:val="21"/>
        </w:rPr>
        <w:t>供回水管道和燃气管道上应设阀门</w:t>
      </w:r>
      <w:r>
        <w:rPr>
          <w:rFonts w:hint="eastAsia"/>
          <w:color w:val="auto"/>
          <w:sz w:val="21"/>
          <w:szCs w:val="21"/>
          <w:lang w:eastAsia="zh-CN"/>
        </w:rPr>
        <w:t>。</w:t>
      </w:r>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color w:val="auto"/>
          <w:sz w:val="21"/>
          <w:szCs w:val="21"/>
        </w:rPr>
        <w:t>冷凝</w:t>
      </w:r>
      <w:r>
        <w:rPr>
          <w:rFonts w:hint="eastAsia"/>
          <w:color w:val="auto"/>
          <w:sz w:val="21"/>
          <w:szCs w:val="21"/>
          <w:lang w:val="en-US" w:eastAsia="zh-CN"/>
        </w:rPr>
        <w:t>式采暖</w:t>
      </w:r>
      <w:r>
        <w:rPr>
          <w:color w:val="auto"/>
          <w:sz w:val="21"/>
          <w:szCs w:val="21"/>
        </w:rPr>
        <w:t>炉</w:t>
      </w:r>
      <w:r>
        <w:rPr>
          <w:rFonts w:hint="eastAsia"/>
          <w:color w:val="auto"/>
          <w:sz w:val="21"/>
          <w:szCs w:val="21"/>
          <w:lang w:val="en-US" w:eastAsia="zh-CN"/>
        </w:rPr>
        <w:t>的</w:t>
      </w:r>
      <w:r>
        <w:rPr>
          <w:color w:val="auto"/>
          <w:sz w:val="21"/>
          <w:szCs w:val="21"/>
        </w:rPr>
        <w:t>冷凝水</w:t>
      </w:r>
      <w:r>
        <w:rPr>
          <w:rFonts w:hint="eastAsia"/>
          <w:color w:val="auto"/>
          <w:sz w:val="21"/>
          <w:szCs w:val="21"/>
          <w:lang w:val="en-US" w:eastAsia="zh-CN"/>
        </w:rPr>
        <w:t>排水</w:t>
      </w:r>
      <w:r>
        <w:rPr>
          <w:color w:val="auto"/>
          <w:sz w:val="21"/>
          <w:szCs w:val="21"/>
        </w:rPr>
        <w:t>口</w:t>
      </w:r>
      <w:r>
        <w:rPr>
          <w:rFonts w:hint="eastAsia"/>
          <w:color w:val="auto"/>
          <w:sz w:val="21"/>
          <w:szCs w:val="21"/>
          <w:lang w:val="en-US" w:eastAsia="zh-CN"/>
        </w:rPr>
        <w:t>应</w:t>
      </w:r>
      <w:r>
        <w:rPr>
          <w:color w:val="auto"/>
          <w:sz w:val="21"/>
          <w:szCs w:val="21"/>
        </w:rPr>
        <w:t>预留排水管。</w:t>
      </w:r>
    </w:p>
    <w:p>
      <w:pPr>
        <w:pageBreakBefore w:val="0"/>
        <w:numPr>
          <w:ilvl w:val="0"/>
          <w:numId w:val="103"/>
        </w:numPr>
        <w:wordWrap/>
        <w:overflowPunct/>
        <w:topLinePunct w:val="0"/>
        <w:bidi w:val="0"/>
        <w:spacing w:line="240" w:lineRule="auto"/>
        <w:ind w:left="0" w:leftChars="0" w:firstLine="0" w:firstLineChars="0"/>
        <w:rPr>
          <w:color w:val="auto"/>
          <w:sz w:val="21"/>
          <w:szCs w:val="21"/>
        </w:rPr>
      </w:pPr>
      <w:r>
        <w:rPr>
          <w:color w:val="auto"/>
          <w:sz w:val="21"/>
          <w:szCs w:val="21"/>
        </w:rPr>
        <w:t>采暖炉</w:t>
      </w:r>
      <w:r>
        <w:rPr>
          <w:rFonts w:hint="eastAsia"/>
          <w:color w:val="auto"/>
          <w:sz w:val="21"/>
          <w:szCs w:val="21"/>
          <w:lang w:val="en-US" w:eastAsia="zh-CN"/>
        </w:rPr>
        <w:t>给排气管</w:t>
      </w:r>
      <w:r>
        <w:rPr>
          <w:color w:val="auto"/>
          <w:sz w:val="21"/>
          <w:szCs w:val="21"/>
        </w:rPr>
        <w:t>安装</w:t>
      </w:r>
      <w:r>
        <w:rPr>
          <w:rFonts w:hint="eastAsia"/>
          <w:color w:val="auto"/>
          <w:sz w:val="21"/>
          <w:szCs w:val="21"/>
          <w:lang w:eastAsia="zh-CN"/>
        </w:rPr>
        <w:t>应符合下列规定</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排气管和给排气管的吸气/排烟口应直接与大气相通</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强制排气的排气管和给排气管的同轴管水平穿过外墙排放时，应坡向外墙，坡度应大于3%（用坡度计测量），其外部管段的有效长度不应少于50mm；给排气管的分体管应安装在边长为500mm的正方形的区域内</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冷凝式采暖热水炉的排气管应坡向采暖热水炉</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采暖热水炉与排气管</w:t>
      </w:r>
      <w:r>
        <w:rPr>
          <w:rFonts w:hint="eastAsia"/>
          <w:color w:val="auto"/>
          <w:sz w:val="21"/>
          <w:szCs w:val="21"/>
          <w:lang w:val="en-US" w:eastAsia="zh-CN"/>
        </w:rPr>
        <w:t>或</w:t>
      </w:r>
      <w:r>
        <w:rPr>
          <w:color w:val="auto"/>
          <w:sz w:val="21"/>
          <w:szCs w:val="21"/>
        </w:rPr>
        <w:t>给排气管连接时应保证良好的气密性，搭接长度不应小于30mm</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穿外墙的排气管和给排气管与墙的间隙处应采用耐热保温材料填充，并用密封件做密封防水处理</w:t>
      </w:r>
      <w:r>
        <w:rPr>
          <w:rFonts w:hint="eastAsia"/>
          <w:color w:val="auto"/>
          <w:sz w:val="21"/>
          <w:szCs w:val="21"/>
        </w:rPr>
        <w:t>；</w:t>
      </w:r>
    </w:p>
    <w:p>
      <w:pPr>
        <w:pageBreakBefore w:val="0"/>
        <w:numPr>
          <w:ilvl w:val="0"/>
          <w:numId w:val="105"/>
        </w:numPr>
        <w:wordWrap/>
        <w:overflowPunct/>
        <w:topLinePunct w:val="0"/>
        <w:bidi w:val="0"/>
        <w:spacing w:line="240" w:lineRule="auto"/>
        <w:ind w:firstLine="420" w:firstLineChars="200"/>
        <w:rPr>
          <w:color w:val="auto"/>
          <w:sz w:val="21"/>
          <w:szCs w:val="21"/>
        </w:rPr>
      </w:pPr>
      <w:r>
        <w:rPr>
          <w:color w:val="auto"/>
          <w:sz w:val="21"/>
          <w:szCs w:val="21"/>
        </w:rPr>
        <w:t>穿外墙的烟道终端排气出口距门窗洞口的最小净距应符合表</w:t>
      </w:r>
      <w:r>
        <w:rPr>
          <w:rFonts w:hint="eastAsia"/>
          <w:color w:val="auto"/>
          <w:sz w:val="21"/>
          <w:szCs w:val="21"/>
          <w:lang w:val="en-US" w:eastAsia="zh-CN"/>
        </w:rPr>
        <w:t>11</w:t>
      </w:r>
      <w:r>
        <w:rPr>
          <w:color w:val="auto"/>
          <w:sz w:val="21"/>
          <w:szCs w:val="21"/>
        </w:rPr>
        <w:t>的规定。距地面的垂直距离不应小于0.3m。烟道终端排气出口应设置在烟气容易扩散的部位</w:t>
      </w:r>
      <w:r>
        <w:rPr>
          <w:rFonts w:hint="eastAsia"/>
          <w:color w:val="auto"/>
          <w:sz w:val="21"/>
          <w:szCs w:val="21"/>
        </w:rPr>
        <w:t>；</w:t>
      </w:r>
    </w:p>
    <w:p>
      <w:pPr>
        <w:pStyle w:val="5"/>
        <w:pageBreakBefore w:val="0"/>
        <w:wordWrap/>
        <w:overflowPunct/>
        <w:topLinePunct w:val="0"/>
        <w:bidi w:val="0"/>
        <w:spacing w:before="120" w:after="120" w:line="240" w:lineRule="auto"/>
        <w:jc w:val="right"/>
        <w:rPr>
          <w:rFonts w:hint="eastAsia" w:eastAsia="黑体"/>
          <w:color w:val="auto"/>
          <w:sz w:val="21"/>
          <w:szCs w:val="21"/>
          <w:lang w:eastAsia="zh-CN"/>
        </w:rPr>
      </w:pPr>
      <w:r>
        <w:rPr>
          <w:color w:val="auto"/>
          <w:sz w:val="21"/>
          <w:szCs w:val="21"/>
        </w:rPr>
        <w:t>表</w:t>
      </w:r>
      <w:r>
        <w:rPr>
          <w:rFonts w:hint="eastAsia"/>
          <w:color w:val="auto"/>
          <w:sz w:val="21"/>
          <w:szCs w:val="21"/>
          <w:lang w:val="en-US" w:eastAsia="zh-CN"/>
        </w:rPr>
        <w:t>11</w:t>
      </w:r>
      <w:r>
        <w:rPr>
          <w:rFonts w:hint="eastAsia"/>
          <w:color w:val="auto"/>
          <w:sz w:val="21"/>
          <w:szCs w:val="21"/>
        </w:rPr>
        <w:t xml:space="preserve"> </w:t>
      </w:r>
      <w:r>
        <w:rPr>
          <w:color w:val="auto"/>
          <w:sz w:val="21"/>
          <w:szCs w:val="21"/>
        </w:rPr>
        <w:t>采暖热水炉烟道终端排气出口距门窗洞口的最小净距</w:t>
      </w:r>
      <w:r>
        <w:rPr>
          <w:rFonts w:hint="eastAsia"/>
          <w:color w:val="auto"/>
          <w:sz w:val="21"/>
          <w:szCs w:val="21"/>
          <w:lang w:val="en-US" w:eastAsia="zh-CN"/>
        </w:rPr>
        <w:t xml:space="preserve">      </w:t>
      </w:r>
      <w:r>
        <w:rPr>
          <w:rFonts w:hint="eastAsia"/>
          <w:color w:val="auto"/>
          <w:sz w:val="21"/>
          <w:szCs w:val="21"/>
          <w:lang w:eastAsia="zh-CN"/>
        </w:rPr>
        <w:t>（</w:t>
      </w:r>
      <w:r>
        <w:rPr>
          <w:rFonts w:hint="eastAsia"/>
          <w:color w:val="auto"/>
          <w:sz w:val="21"/>
          <w:szCs w:val="21"/>
          <w:lang w:val="en-US" w:eastAsia="zh-CN"/>
        </w:rPr>
        <w:t>单位：m</w:t>
      </w:r>
      <w:r>
        <w:rPr>
          <w:rFonts w:hint="eastAsia"/>
          <w:color w:val="auto"/>
          <w:sz w:val="21"/>
          <w:szCs w:val="21"/>
          <w:lang w:eastAsia="zh-CN"/>
        </w:rPr>
        <w:t>）</w:t>
      </w:r>
    </w:p>
    <w:tbl>
      <w:tblPr>
        <w:tblStyle w:val="231"/>
        <w:tblW w:w="4999" w:type="pct"/>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autofit"/>
        <w:tblCellMar>
          <w:top w:w="0" w:type="dxa"/>
          <w:left w:w="0" w:type="dxa"/>
          <w:bottom w:w="0" w:type="dxa"/>
          <w:right w:w="0" w:type="dxa"/>
        </w:tblCellMar>
      </w:tblPr>
      <w:tblGrid>
        <w:gridCol w:w="3220"/>
        <w:gridCol w:w="3202"/>
        <w:gridCol w:w="322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669" w:type="pct"/>
            <w:vMerge w:val="restart"/>
            <w:tcBorders>
              <w:top w:val="single" w:color="231F20" w:sz="4" w:space="0"/>
              <w:left w:val="single" w:color="231F20" w:sz="4" w:space="0"/>
              <w:bottom w:val="nil"/>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门窗洞口位置</w:t>
            </w:r>
          </w:p>
        </w:tc>
        <w:tc>
          <w:tcPr>
            <w:tcW w:w="3330" w:type="pct"/>
            <w:gridSpan w:val="2"/>
            <w:tcBorders>
              <w:top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密闭式采暖热水炉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669" w:type="pct"/>
            <w:vMerge w:val="continue"/>
            <w:tcBorders>
              <w:top w:val="nil"/>
              <w:left w:val="single" w:color="231F20" w:sz="4" w:space="0"/>
              <w:bottom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p>
        </w:tc>
        <w:tc>
          <w:tcPr>
            <w:tcW w:w="1660" w:type="pct"/>
            <w:tcBorders>
              <w:bottom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自然排烟</w:t>
            </w:r>
          </w:p>
        </w:tc>
        <w:tc>
          <w:tcPr>
            <w:tcW w:w="1669" w:type="pct"/>
            <w:tcBorders>
              <w:bottom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强制排烟</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669" w:type="pct"/>
            <w:tcBorders>
              <w:top w:val="single" w:color="231F20" w:sz="4" w:space="0"/>
              <w:lef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非居住房间</w:t>
            </w:r>
          </w:p>
        </w:tc>
        <w:tc>
          <w:tcPr>
            <w:tcW w:w="1660" w:type="pct"/>
            <w:tcBorders>
              <w:top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0.6</w:t>
            </w:r>
          </w:p>
        </w:tc>
        <w:tc>
          <w:tcPr>
            <w:tcW w:w="1669" w:type="pct"/>
            <w:tcBorders>
              <w:top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0.3</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669" w:type="pct"/>
            <w:tcBorders>
              <w:lef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居住房间</w:t>
            </w:r>
          </w:p>
        </w:tc>
        <w:tc>
          <w:tcPr>
            <w:tcW w:w="1660" w:type="pct"/>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1.5</w:t>
            </w:r>
          </w:p>
        </w:tc>
        <w:tc>
          <w:tcPr>
            <w:tcW w:w="1669" w:type="pct"/>
            <w:tcBorders>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1.2</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1669" w:type="pct"/>
            <w:tcBorders>
              <w:left w:val="single" w:color="231F20" w:sz="4" w:space="0"/>
              <w:bottom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下部机械进风口</w:t>
            </w:r>
          </w:p>
        </w:tc>
        <w:tc>
          <w:tcPr>
            <w:tcW w:w="1660" w:type="pct"/>
            <w:tcBorders>
              <w:bottom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1.2</w:t>
            </w:r>
          </w:p>
        </w:tc>
        <w:tc>
          <w:tcPr>
            <w:tcW w:w="1669" w:type="pct"/>
            <w:tcBorders>
              <w:bottom w:val="single" w:color="231F20" w:sz="4" w:space="0"/>
              <w:right w:val="single" w:color="231F20" w:sz="4" w:space="0"/>
            </w:tcBorders>
            <w:vAlign w:val="center"/>
          </w:tcPr>
          <w:p>
            <w:pPr>
              <w:pageBreakBefore w:val="0"/>
              <w:wordWrap/>
              <w:overflowPunct/>
              <w:topLinePunct w:val="0"/>
              <w:bidi w:val="0"/>
              <w:spacing w:line="240" w:lineRule="auto"/>
              <w:jc w:val="center"/>
              <w:rPr>
                <w:rFonts w:ascii="Times New Roman" w:hAnsi="Times New Roman" w:cs="Times New Roman"/>
                <w:color w:val="auto"/>
                <w:sz w:val="18"/>
                <w:szCs w:val="18"/>
              </w:rPr>
            </w:pPr>
            <w:r>
              <w:rPr>
                <w:rFonts w:ascii="Times New Roman" w:hAnsi="Times New Roman" w:cs="Times New Roman"/>
                <w:color w:val="auto"/>
                <w:sz w:val="18"/>
                <w:szCs w:val="18"/>
              </w:rPr>
              <w:t>0.9</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7" w:hRule="atLeast"/>
        </w:trPr>
        <w:tc>
          <w:tcPr>
            <w:tcW w:w="5000" w:type="pct"/>
            <w:gridSpan w:val="3"/>
            <w:tcBorders>
              <w:top w:val="single" w:color="231F20" w:sz="4" w:space="0"/>
              <w:left w:val="single" w:color="231F20" w:sz="4" w:space="0"/>
              <w:bottom w:val="single" w:color="231F20" w:sz="4" w:space="0"/>
              <w:right w:val="single" w:color="231F20" w:sz="4" w:space="0"/>
            </w:tcBorders>
            <w:vAlign w:val="center"/>
          </w:tcPr>
          <w:p>
            <w:pPr>
              <w:pageBreakBefore w:val="0"/>
              <w:wordWrap/>
              <w:overflowPunct/>
              <w:topLinePunct w:val="0"/>
              <w:bidi w:val="0"/>
              <w:spacing w:line="240" w:lineRule="auto"/>
              <w:jc w:val="both"/>
              <w:rPr>
                <w:rFonts w:ascii="Times New Roman" w:hAnsi="Times New Roman" w:cs="Times New Roman"/>
                <w:color w:val="auto"/>
                <w:sz w:val="18"/>
                <w:szCs w:val="18"/>
              </w:rPr>
            </w:pPr>
            <w:r>
              <w:rPr>
                <w:rFonts w:ascii="Times New Roman" w:hAnsi="Times New Roman" w:cs="Times New Roman"/>
                <w:color w:val="auto"/>
                <w:sz w:val="18"/>
                <w:szCs w:val="18"/>
              </w:rPr>
              <w:t>注：下部机械进风口与上部采暖热水炉排气口水平净距大于或等于3m时，其垂直距离不限。</w:t>
            </w:r>
          </w:p>
        </w:tc>
      </w:tr>
    </w:tbl>
    <w:p>
      <w:pPr>
        <w:keepNext w:val="0"/>
        <w:keepLines w:val="0"/>
        <w:pageBreakBefore w:val="0"/>
        <w:widowControl w:val="0"/>
        <w:numPr>
          <w:ilvl w:val="0"/>
          <w:numId w:val="103"/>
        </w:numPr>
        <w:kinsoku/>
        <w:wordWrap/>
        <w:overflowPunct/>
        <w:topLinePunct w:val="0"/>
        <w:autoSpaceDE w:val="0"/>
        <w:autoSpaceDN w:val="0"/>
        <w:bidi w:val="0"/>
        <w:adjustRightInd w:val="0"/>
        <w:snapToGrid w:val="0"/>
        <w:spacing w:before="157" w:beforeLines="50" w:line="240" w:lineRule="auto"/>
        <w:ind w:left="0" w:leftChars="0" w:firstLine="0" w:firstLineChars="0"/>
        <w:textAlignment w:val="auto"/>
        <w:rPr>
          <w:color w:val="auto"/>
          <w:sz w:val="21"/>
          <w:szCs w:val="21"/>
        </w:rPr>
      </w:pPr>
      <w:r>
        <w:rPr>
          <w:color w:val="auto"/>
          <w:sz w:val="21"/>
          <w:szCs w:val="21"/>
        </w:rPr>
        <w:t>采暖炉电源插座应独立专用，并应固定在不会产生触电危险的安全位置，插座底边不应低于水管接口，当设在水管接口下方时，应用防水插座。电源插座与室内燃气管道不应交叉，水平净距不应小于15cm；与采暖热水炉的水平净距不应小于15cm。宜使用符合GB 50052</w:t>
      </w:r>
      <w:r>
        <w:rPr>
          <w:rFonts w:hint="eastAsia"/>
          <w:color w:val="auto"/>
          <w:sz w:val="21"/>
          <w:szCs w:val="21"/>
          <w:lang w:val="en-US" w:eastAsia="zh-CN"/>
        </w:rPr>
        <w:t>相关</w:t>
      </w:r>
      <w:r>
        <w:rPr>
          <w:color w:val="auto"/>
          <w:sz w:val="21"/>
          <w:szCs w:val="21"/>
        </w:rPr>
        <w:t>规定、大于10A的电源插座。</w:t>
      </w:r>
    </w:p>
    <w:p>
      <w:pPr>
        <w:pageBreakBefore w:val="0"/>
        <w:numPr>
          <w:ilvl w:val="0"/>
          <w:numId w:val="103"/>
        </w:numPr>
        <w:wordWrap/>
        <w:overflowPunct/>
        <w:topLinePunct w:val="0"/>
        <w:bidi w:val="0"/>
        <w:spacing w:before="0" w:beforeLines="-2147483648" w:line="240" w:lineRule="auto"/>
        <w:ind w:left="0" w:leftChars="0" w:firstLine="0" w:firstLineChars="0"/>
        <w:rPr>
          <w:rFonts w:hint="eastAsia"/>
          <w:color w:val="auto"/>
          <w:sz w:val="21"/>
          <w:szCs w:val="21"/>
        </w:rPr>
      </w:pPr>
      <w:r>
        <w:rPr>
          <w:rFonts w:hint="eastAsia"/>
          <w:color w:val="auto"/>
          <w:sz w:val="21"/>
          <w:szCs w:val="21"/>
        </w:rPr>
        <w:t>采暖炉燃气管安装</w:t>
      </w:r>
      <w:r>
        <w:rPr>
          <w:rFonts w:hint="eastAsia"/>
          <w:color w:val="auto"/>
          <w:sz w:val="21"/>
          <w:szCs w:val="21"/>
          <w:lang w:val="en-US" w:eastAsia="zh-CN"/>
        </w:rPr>
        <w:t>应符合下列规定：</w:t>
      </w:r>
    </w:p>
    <w:p>
      <w:pPr>
        <w:pageBreakBefore w:val="0"/>
        <w:numPr>
          <w:ilvl w:val="0"/>
          <w:numId w:val="106"/>
        </w:numPr>
        <w:wordWrap/>
        <w:overflowPunct/>
        <w:topLinePunct w:val="0"/>
        <w:bidi w:val="0"/>
        <w:spacing w:line="240" w:lineRule="auto"/>
        <w:ind w:firstLine="420" w:firstLineChars="200"/>
        <w:rPr>
          <w:rFonts w:hint="eastAsia" w:eastAsia="宋体"/>
          <w:color w:val="auto"/>
          <w:sz w:val="21"/>
          <w:szCs w:val="21"/>
        </w:rPr>
      </w:pPr>
      <w:r>
        <w:rPr>
          <w:rFonts w:hint="eastAsia" w:eastAsia="宋体"/>
          <w:color w:val="auto"/>
          <w:sz w:val="21"/>
          <w:szCs w:val="21"/>
        </w:rPr>
        <w:t>燃气管道安装应符合GB 55009</w:t>
      </w:r>
      <w:r>
        <w:rPr>
          <w:rFonts w:hint="eastAsia"/>
          <w:color w:val="auto"/>
          <w:sz w:val="21"/>
          <w:szCs w:val="21"/>
          <w:lang w:val="en-US" w:eastAsia="zh-CN"/>
        </w:rPr>
        <w:t>、GB 50028、</w:t>
      </w:r>
      <w:r>
        <w:rPr>
          <w:rFonts w:hint="eastAsia" w:eastAsia="宋体"/>
          <w:color w:val="auto"/>
          <w:sz w:val="21"/>
          <w:szCs w:val="21"/>
        </w:rPr>
        <w:t>DB42/T 1144的相关规定。</w:t>
      </w:r>
    </w:p>
    <w:p>
      <w:pPr>
        <w:pageBreakBefore w:val="0"/>
        <w:numPr>
          <w:ilvl w:val="0"/>
          <w:numId w:val="106"/>
        </w:numPr>
        <w:wordWrap/>
        <w:overflowPunct/>
        <w:topLinePunct w:val="0"/>
        <w:bidi w:val="0"/>
        <w:spacing w:line="240" w:lineRule="auto"/>
        <w:ind w:firstLine="420" w:firstLineChars="200"/>
        <w:rPr>
          <w:rFonts w:hint="eastAsia" w:eastAsia="宋体"/>
          <w:color w:val="auto"/>
          <w:sz w:val="21"/>
          <w:szCs w:val="21"/>
        </w:rPr>
      </w:pPr>
      <w:r>
        <w:rPr>
          <w:rFonts w:hint="eastAsia" w:eastAsia="宋体"/>
          <w:color w:val="auto"/>
          <w:sz w:val="21"/>
          <w:szCs w:val="21"/>
        </w:rPr>
        <w:t>采暖炉的燃气管道安装范围为燃气表尾阀出口（或</w:t>
      </w:r>
      <w:r>
        <w:rPr>
          <w:rFonts w:hint="eastAsia"/>
          <w:color w:val="auto"/>
          <w:sz w:val="21"/>
          <w:szCs w:val="21"/>
          <w:lang w:val="en-US" w:eastAsia="zh-CN"/>
        </w:rPr>
        <w:t>燃气表后</w:t>
      </w:r>
      <w:r>
        <w:rPr>
          <w:rFonts w:hint="eastAsia" w:eastAsia="宋体"/>
          <w:color w:val="auto"/>
          <w:sz w:val="21"/>
          <w:szCs w:val="21"/>
        </w:rPr>
        <w:t>燃气管道预留接口）至采暖炉之间的燃气管道、阀门等。</w:t>
      </w:r>
    </w:p>
    <w:p>
      <w:pPr>
        <w:pageBreakBefore w:val="0"/>
        <w:numPr>
          <w:ilvl w:val="0"/>
          <w:numId w:val="106"/>
        </w:numPr>
        <w:wordWrap/>
        <w:overflowPunct/>
        <w:topLinePunct w:val="0"/>
        <w:bidi w:val="0"/>
        <w:spacing w:line="240" w:lineRule="auto"/>
        <w:ind w:left="0" w:leftChars="0" w:firstLine="420" w:firstLineChars="200"/>
        <w:rPr>
          <w:rFonts w:hint="eastAsia" w:eastAsia="宋体"/>
          <w:color w:val="auto"/>
          <w:sz w:val="21"/>
          <w:szCs w:val="21"/>
        </w:rPr>
      </w:pPr>
      <w:r>
        <w:rPr>
          <w:rFonts w:hint="eastAsia" w:eastAsia="宋体"/>
          <w:color w:val="auto"/>
          <w:sz w:val="21"/>
          <w:szCs w:val="21"/>
        </w:rPr>
        <w:t>不得安装在卧室</w:t>
      </w:r>
      <w:r>
        <w:rPr>
          <w:rFonts w:hint="eastAsia"/>
          <w:color w:val="auto"/>
          <w:sz w:val="21"/>
          <w:szCs w:val="21"/>
          <w:lang w:eastAsia="zh-CN"/>
        </w:rPr>
        <w:t>、</w:t>
      </w:r>
      <w:r>
        <w:rPr>
          <w:rFonts w:hint="eastAsia"/>
          <w:color w:val="auto"/>
          <w:sz w:val="21"/>
          <w:szCs w:val="21"/>
          <w:lang w:val="en-US" w:eastAsia="zh-CN"/>
        </w:rPr>
        <w:t>客房等人员居住和休息的房间</w:t>
      </w:r>
      <w:r>
        <w:rPr>
          <w:rFonts w:hint="eastAsia" w:eastAsia="宋体"/>
          <w:color w:val="auto"/>
          <w:sz w:val="21"/>
          <w:szCs w:val="21"/>
        </w:rPr>
        <w:t>。</w:t>
      </w:r>
    </w:p>
    <w:p>
      <w:pPr>
        <w:pageBreakBefore w:val="0"/>
        <w:numPr>
          <w:ilvl w:val="0"/>
          <w:numId w:val="106"/>
        </w:numPr>
        <w:wordWrap/>
        <w:overflowPunct/>
        <w:topLinePunct w:val="0"/>
        <w:bidi w:val="0"/>
        <w:spacing w:line="240" w:lineRule="auto"/>
        <w:ind w:firstLine="420" w:firstLineChars="200"/>
        <w:rPr>
          <w:rFonts w:hint="eastAsia" w:eastAsia="宋体"/>
          <w:color w:val="auto"/>
          <w:sz w:val="21"/>
          <w:szCs w:val="21"/>
        </w:rPr>
      </w:pPr>
      <w:r>
        <w:rPr>
          <w:rFonts w:hint="eastAsia" w:eastAsia="宋体"/>
          <w:color w:val="auto"/>
          <w:sz w:val="21"/>
          <w:szCs w:val="21"/>
        </w:rPr>
        <w:t>燃气用具连接用不锈钢波纹软管应符合下列规定：</w:t>
      </w:r>
    </w:p>
    <w:p>
      <w:pPr>
        <w:pageBreakBefore w:val="0"/>
        <w:numPr>
          <w:ilvl w:val="0"/>
          <w:numId w:val="107"/>
        </w:numPr>
        <w:wordWrap/>
        <w:overflowPunct/>
        <w:topLinePunct w:val="0"/>
        <w:bidi w:val="0"/>
        <w:spacing w:line="240" w:lineRule="auto"/>
        <w:ind w:left="14" w:leftChars="0" w:firstLine="626" w:firstLineChars="0"/>
        <w:rPr>
          <w:rFonts w:hint="eastAsia" w:eastAsia="宋体"/>
          <w:color w:val="auto"/>
          <w:sz w:val="21"/>
          <w:szCs w:val="21"/>
        </w:rPr>
      </w:pPr>
      <w:r>
        <w:rPr>
          <w:rFonts w:hint="eastAsia" w:eastAsia="宋体"/>
          <w:color w:val="auto"/>
          <w:sz w:val="21"/>
          <w:szCs w:val="21"/>
        </w:rPr>
        <w:t>软管不得穿过墙、梁、柱、楼板、门和窗，应采用明管或暗封敷设，不得暗埋敷设。</w:t>
      </w:r>
    </w:p>
    <w:p>
      <w:pPr>
        <w:pageBreakBefore w:val="0"/>
        <w:numPr>
          <w:ilvl w:val="0"/>
          <w:numId w:val="107"/>
        </w:numPr>
        <w:wordWrap/>
        <w:overflowPunct/>
        <w:topLinePunct w:val="0"/>
        <w:bidi w:val="0"/>
        <w:spacing w:line="240" w:lineRule="auto"/>
        <w:ind w:left="14" w:leftChars="0" w:firstLine="626" w:firstLineChars="0"/>
        <w:rPr>
          <w:rFonts w:hint="eastAsia" w:eastAsia="宋体"/>
          <w:color w:val="auto"/>
          <w:sz w:val="21"/>
          <w:szCs w:val="21"/>
        </w:rPr>
      </w:pPr>
      <w:r>
        <w:rPr>
          <w:rFonts w:hint="eastAsia" w:eastAsia="宋体"/>
          <w:color w:val="auto"/>
          <w:sz w:val="21"/>
          <w:szCs w:val="21"/>
        </w:rPr>
        <w:t>软管与燃气采暖热水炉连接的长度不应超过2.0m。不应将2根或2根以上软管串联使用，不应采用“Y”型三通连接使用。</w:t>
      </w:r>
    </w:p>
    <w:p>
      <w:pPr>
        <w:pageBreakBefore w:val="0"/>
        <w:numPr>
          <w:ilvl w:val="0"/>
          <w:numId w:val="107"/>
        </w:numPr>
        <w:wordWrap/>
        <w:overflowPunct/>
        <w:topLinePunct w:val="0"/>
        <w:bidi w:val="0"/>
        <w:spacing w:line="240" w:lineRule="auto"/>
        <w:ind w:left="14" w:leftChars="0" w:firstLine="626" w:firstLineChars="0"/>
        <w:rPr>
          <w:rFonts w:hint="eastAsia" w:eastAsia="宋体"/>
          <w:color w:val="auto"/>
          <w:sz w:val="21"/>
          <w:szCs w:val="21"/>
        </w:rPr>
      </w:pPr>
      <w:r>
        <w:rPr>
          <w:rFonts w:hint="eastAsia" w:eastAsia="宋体"/>
          <w:color w:val="auto"/>
          <w:sz w:val="21"/>
          <w:szCs w:val="21"/>
        </w:rPr>
        <w:t>软管在暗封部位安装的，应有可拆卸的空间，软管不应与墙壁、封板或其他物件相挤压产生附加应力。</w:t>
      </w:r>
    </w:p>
    <w:p>
      <w:pPr>
        <w:pageBreakBefore w:val="0"/>
        <w:numPr>
          <w:ilvl w:val="0"/>
          <w:numId w:val="106"/>
        </w:numPr>
        <w:wordWrap/>
        <w:overflowPunct/>
        <w:topLinePunct w:val="0"/>
        <w:bidi w:val="0"/>
        <w:spacing w:line="240" w:lineRule="auto"/>
        <w:ind w:left="12" w:leftChars="6" w:firstLine="468" w:firstLineChars="223"/>
        <w:rPr>
          <w:rFonts w:hint="eastAsia" w:eastAsia="宋体"/>
          <w:color w:val="auto"/>
          <w:sz w:val="21"/>
          <w:szCs w:val="21"/>
        </w:rPr>
      </w:pPr>
      <w:r>
        <w:rPr>
          <w:rFonts w:hint="eastAsia"/>
          <w:color w:val="auto"/>
          <w:sz w:val="21"/>
          <w:szCs w:val="21"/>
          <w:lang w:val="en-US" w:eastAsia="zh-CN"/>
        </w:rPr>
        <w:t>燃气管安装</w:t>
      </w:r>
      <w:r>
        <w:rPr>
          <w:rFonts w:hint="eastAsia" w:eastAsia="宋体"/>
          <w:color w:val="auto"/>
          <w:sz w:val="21"/>
          <w:szCs w:val="21"/>
        </w:rPr>
        <w:t>完成后，应按DB42/T 1144的相关规定进行压力试验。</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110" w:name="_Toc11648"/>
      <w:bookmarkStart w:id="111" w:name="_Toc31984"/>
      <w:bookmarkStart w:id="112" w:name="_Toc18984"/>
      <w:bookmarkStart w:id="113" w:name="_Toc16968"/>
      <w:r>
        <w:rPr>
          <w:rFonts w:hint="eastAsia" w:hAnsi="Times New Roman" w:cs="Times New Roman"/>
          <w:szCs w:val="21"/>
          <w:lang w:val="en-US" w:eastAsia="zh-CN"/>
        </w:rPr>
        <w:t>水压试验</w:t>
      </w:r>
      <w:bookmarkEnd w:id="110"/>
      <w:bookmarkEnd w:id="111"/>
    </w:p>
    <w:p>
      <w:pPr>
        <w:pStyle w:val="3"/>
        <w:numPr>
          <w:ilvl w:val="0"/>
          <w:numId w:val="108"/>
        </w:numPr>
        <w:bidi w:val="0"/>
        <w:ind w:left="0" w:leftChars="0" w:firstLine="0" w:firstLineChars="0"/>
        <w:rPr>
          <w:rFonts w:hint="eastAsia"/>
        </w:rPr>
      </w:pPr>
      <w:r>
        <w:rPr>
          <w:rFonts w:hint="eastAsia"/>
        </w:rPr>
        <w:t>水压试验</w:t>
      </w:r>
      <w:r>
        <w:rPr>
          <w:rFonts w:hint="eastAsia"/>
          <w:lang w:val="en-US" w:eastAsia="zh-CN"/>
        </w:rPr>
        <w:t>前应符合</w:t>
      </w:r>
      <w:r>
        <w:rPr>
          <w:rFonts w:hint="eastAsia"/>
        </w:rPr>
        <w:t>下列规定：</w:t>
      </w:r>
    </w:p>
    <w:p>
      <w:pPr>
        <w:pageBreakBefore w:val="0"/>
        <w:numPr>
          <w:ilvl w:val="0"/>
          <w:numId w:val="109"/>
        </w:numPr>
        <w:wordWrap/>
        <w:overflowPunct/>
        <w:topLinePunct w:val="0"/>
        <w:bidi w:val="0"/>
        <w:spacing w:line="240" w:lineRule="auto"/>
        <w:ind w:firstLine="420" w:firstLineChars="200"/>
        <w:rPr>
          <w:rFonts w:hint="eastAsia"/>
          <w:sz w:val="21"/>
          <w:szCs w:val="21"/>
        </w:rPr>
      </w:pPr>
      <w:r>
        <w:rPr>
          <w:rFonts w:hint="eastAsia"/>
          <w:sz w:val="21"/>
          <w:szCs w:val="21"/>
          <w:lang w:val="en-US" w:eastAsia="zh-CN"/>
        </w:rPr>
        <w:t>输配</w:t>
      </w:r>
      <w:r>
        <w:rPr>
          <w:rFonts w:hint="eastAsia"/>
          <w:sz w:val="21"/>
          <w:szCs w:val="21"/>
        </w:rPr>
        <w:t>管道敷设完成经检查符合设计施工质量要求后，应进行水压试验：</w:t>
      </w:r>
    </w:p>
    <w:p>
      <w:pPr>
        <w:pageBreakBefore w:val="0"/>
        <w:numPr>
          <w:ilvl w:val="0"/>
          <w:numId w:val="109"/>
        </w:numPr>
        <w:wordWrap/>
        <w:overflowPunct/>
        <w:topLinePunct w:val="0"/>
        <w:bidi w:val="0"/>
        <w:spacing w:line="240" w:lineRule="auto"/>
        <w:ind w:firstLine="420" w:firstLineChars="200"/>
        <w:rPr>
          <w:rFonts w:hint="eastAsia"/>
          <w:b w:val="0"/>
          <w:bCs w:val="0"/>
          <w:color w:val="auto"/>
          <w:sz w:val="21"/>
          <w:szCs w:val="21"/>
        </w:rPr>
      </w:pPr>
      <w:r>
        <w:rPr>
          <w:rFonts w:hint="eastAsia"/>
          <w:b w:val="0"/>
          <w:bCs w:val="0"/>
          <w:color w:val="auto"/>
          <w:sz w:val="21"/>
          <w:szCs w:val="21"/>
          <w:lang w:val="en-US" w:eastAsia="zh-CN"/>
        </w:rPr>
        <w:t>水压</w:t>
      </w:r>
      <w:r>
        <w:rPr>
          <w:rFonts w:hint="eastAsia"/>
          <w:b w:val="0"/>
          <w:bCs w:val="0"/>
          <w:color w:val="auto"/>
          <w:sz w:val="21"/>
          <w:szCs w:val="21"/>
        </w:rPr>
        <w:t>表应根据试验压力选用适合的量程、精度。使用前应对</w:t>
      </w:r>
      <w:r>
        <w:rPr>
          <w:rFonts w:hint="eastAsia"/>
          <w:b w:val="0"/>
          <w:bCs w:val="0"/>
          <w:color w:val="auto"/>
          <w:sz w:val="21"/>
          <w:szCs w:val="21"/>
          <w:lang w:val="en-US" w:eastAsia="zh-CN"/>
        </w:rPr>
        <w:t>水压</w:t>
      </w:r>
      <w:r>
        <w:rPr>
          <w:rFonts w:hint="eastAsia"/>
          <w:b w:val="0"/>
          <w:bCs w:val="0"/>
          <w:color w:val="auto"/>
          <w:sz w:val="21"/>
          <w:szCs w:val="21"/>
        </w:rPr>
        <w:t>表进行检查，确保功能正常，并设置在便于观察的位置；</w:t>
      </w:r>
    </w:p>
    <w:p>
      <w:pPr>
        <w:pageBreakBefore w:val="0"/>
        <w:numPr>
          <w:ilvl w:val="0"/>
          <w:numId w:val="109"/>
        </w:numPr>
        <w:wordWrap/>
        <w:overflowPunct/>
        <w:topLinePunct w:val="0"/>
        <w:bidi w:val="0"/>
        <w:spacing w:line="240" w:lineRule="auto"/>
        <w:ind w:firstLine="420" w:firstLineChars="200"/>
        <w:rPr>
          <w:rFonts w:hint="eastAsia"/>
          <w:sz w:val="21"/>
          <w:szCs w:val="21"/>
        </w:rPr>
      </w:pPr>
      <w:r>
        <w:rPr>
          <w:rFonts w:hint="eastAsia"/>
          <w:sz w:val="21"/>
          <w:szCs w:val="21"/>
        </w:rPr>
        <w:t>水压试验之前，应对试压管道和相关部件采取安全有效的固定和保护措施；</w:t>
      </w:r>
    </w:p>
    <w:p>
      <w:pPr>
        <w:pageBreakBefore w:val="0"/>
        <w:numPr>
          <w:ilvl w:val="0"/>
          <w:numId w:val="109"/>
        </w:numPr>
        <w:wordWrap/>
        <w:overflowPunct/>
        <w:topLinePunct w:val="0"/>
        <w:bidi w:val="0"/>
        <w:spacing w:line="240" w:lineRule="auto"/>
        <w:ind w:firstLine="420" w:firstLineChars="200"/>
        <w:rPr>
          <w:rFonts w:hint="eastAsia"/>
          <w:sz w:val="21"/>
          <w:szCs w:val="21"/>
        </w:rPr>
      </w:pPr>
      <w:r>
        <w:rPr>
          <w:rFonts w:hint="eastAsia"/>
          <w:sz w:val="21"/>
          <w:szCs w:val="21"/>
        </w:rPr>
        <w:t>水压试验应在</w:t>
      </w:r>
      <w:r>
        <w:rPr>
          <w:rFonts w:hint="eastAsia"/>
          <w:sz w:val="21"/>
          <w:szCs w:val="21"/>
          <w:lang w:val="en-US" w:eastAsia="zh-CN"/>
        </w:rPr>
        <w:t>输配管道及加热管</w:t>
      </w:r>
      <w:r>
        <w:rPr>
          <w:rFonts w:hint="eastAsia"/>
          <w:sz w:val="21"/>
          <w:szCs w:val="21"/>
        </w:rPr>
        <w:t>冲洗之后进行。冲洗排水水样中固形物含量应接近或等于冲洗</w:t>
      </w:r>
      <w:r>
        <w:rPr>
          <w:rFonts w:hint="eastAsia"/>
          <w:sz w:val="21"/>
          <w:szCs w:val="21"/>
          <w:lang w:val="en-US" w:eastAsia="zh-CN"/>
        </w:rPr>
        <w:t>进</w:t>
      </w:r>
      <w:r>
        <w:rPr>
          <w:rFonts w:hint="eastAsia"/>
          <w:sz w:val="21"/>
          <w:szCs w:val="21"/>
        </w:rPr>
        <w:t>水中的固形物含量；</w:t>
      </w:r>
    </w:p>
    <w:p>
      <w:pPr>
        <w:pageBreakBefore w:val="0"/>
        <w:numPr>
          <w:ilvl w:val="0"/>
          <w:numId w:val="109"/>
        </w:numPr>
        <w:wordWrap/>
        <w:overflowPunct/>
        <w:topLinePunct w:val="0"/>
        <w:bidi w:val="0"/>
        <w:spacing w:line="240" w:lineRule="auto"/>
        <w:ind w:firstLine="420" w:firstLineChars="200"/>
        <w:rPr>
          <w:rFonts w:hint="eastAsia"/>
          <w:sz w:val="21"/>
          <w:szCs w:val="21"/>
        </w:rPr>
      </w:pPr>
      <w:r>
        <w:rPr>
          <w:rFonts w:hint="eastAsia"/>
          <w:sz w:val="21"/>
          <w:szCs w:val="21"/>
        </w:rPr>
        <w:t>冬季进行水压试验有冻结风险时，应采取可靠的防冻措施，试压完毕后，应及时将管内的水排净。无冻结风险时，系统应长期保压，确保管道损坏时能够及时发现和补救，确保管道安全，直至与散热器和热源设备安装连接。</w:t>
      </w:r>
    </w:p>
    <w:p>
      <w:pPr>
        <w:pStyle w:val="3"/>
        <w:numPr>
          <w:ilvl w:val="0"/>
          <w:numId w:val="108"/>
        </w:numPr>
        <w:bidi w:val="0"/>
        <w:ind w:left="0" w:leftChars="0" w:firstLine="0" w:firstLineChars="0"/>
        <w:rPr>
          <w:rFonts w:hint="eastAsia"/>
        </w:rPr>
      </w:pPr>
      <w:r>
        <w:rPr>
          <w:rFonts w:hint="eastAsia"/>
        </w:rPr>
        <w:t>水压试验应符合下列规定</w:t>
      </w:r>
      <w:r>
        <w:rPr>
          <w:rFonts w:hint="eastAsia"/>
          <w:lang w:eastAsia="zh-CN"/>
        </w:rPr>
        <w:t>：</w:t>
      </w:r>
    </w:p>
    <w:p>
      <w:pPr>
        <w:pageBreakBefore w:val="0"/>
        <w:numPr>
          <w:ilvl w:val="0"/>
          <w:numId w:val="110"/>
        </w:numPr>
        <w:wordWrap/>
        <w:overflowPunct/>
        <w:topLinePunct w:val="0"/>
        <w:bidi w:val="0"/>
        <w:spacing w:line="240" w:lineRule="auto"/>
        <w:ind w:firstLine="420" w:firstLineChars="200"/>
        <w:rPr>
          <w:rFonts w:hint="eastAsia"/>
          <w:sz w:val="21"/>
          <w:szCs w:val="21"/>
        </w:rPr>
      </w:pPr>
      <w:r>
        <w:rPr>
          <w:rFonts w:hint="eastAsia"/>
          <w:sz w:val="21"/>
          <w:szCs w:val="21"/>
        </w:rPr>
        <w:t>水压试验的注水口及压力表接口应设置在分水器、集水器处，</w:t>
      </w:r>
      <w:r>
        <w:rPr>
          <w:rFonts w:hint="eastAsia"/>
          <w:sz w:val="21"/>
          <w:szCs w:val="21"/>
          <w:lang w:val="en-US" w:eastAsia="zh-CN"/>
        </w:rPr>
        <w:t>无</w:t>
      </w:r>
      <w:r>
        <w:rPr>
          <w:rFonts w:hint="eastAsia"/>
          <w:sz w:val="21"/>
          <w:szCs w:val="21"/>
        </w:rPr>
        <w:t>分水器、集水器</w:t>
      </w:r>
      <w:r>
        <w:rPr>
          <w:rFonts w:hint="eastAsia"/>
          <w:sz w:val="21"/>
          <w:szCs w:val="21"/>
          <w:lang w:val="en-US" w:eastAsia="zh-CN"/>
        </w:rPr>
        <w:t>时应将输配管道串联后，设置在输配管接口上；未连接的输配管口</w:t>
      </w:r>
      <w:r>
        <w:rPr>
          <w:rFonts w:hint="eastAsia"/>
          <w:sz w:val="21"/>
          <w:szCs w:val="21"/>
        </w:rPr>
        <w:t>应安装堵头</w:t>
      </w:r>
      <w:r>
        <w:rPr>
          <w:rFonts w:hint="eastAsia"/>
          <w:sz w:val="21"/>
          <w:szCs w:val="21"/>
          <w:lang w:eastAsia="zh-CN"/>
        </w:rPr>
        <w:t>。</w:t>
      </w:r>
      <w:r>
        <w:rPr>
          <w:rFonts w:hint="eastAsia"/>
          <w:sz w:val="21"/>
          <w:szCs w:val="21"/>
        </w:rPr>
        <w:t>注水口应设置补水阀；</w:t>
      </w:r>
    </w:p>
    <w:p>
      <w:pPr>
        <w:pageBreakBefore w:val="0"/>
        <w:numPr>
          <w:ilvl w:val="0"/>
          <w:numId w:val="110"/>
        </w:numPr>
        <w:wordWrap/>
        <w:overflowPunct/>
        <w:topLinePunct w:val="0"/>
        <w:bidi w:val="0"/>
        <w:spacing w:line="240" w:lineRule="auto"/>
        <w:ind w:firstLine="420" w:firstLineChars="200"/>
        <w:rPr>
          <w:rFonts w:hint="eastAsia"/>
          <w:sz w:val="21"/>
          <w:szCs w:val="21"/>
        </w:rPr>
      </w:pPr>
      <w:r>
        <w:rPr>
          <w:rFonts w:hint="eastAsia"/>
          <w:sz w:val="21"/>
          <w:szCs w:val="21"/>
        </w:rPr>
        <w:t>应</w:t>
      </w:r>
      <w:r>
        <w:rPr>
          <w:rFonts w:hint="eastAsia"/>
          <w:sz w:val="21"/>
          <w:szCs w:val="21"/>
          <w:lang w:val="en-US" w:eastAsia="zh-CN"/>
        </w:rPr>
        <w:t>分别对</w:t>
      </w:r>
      <w:r>
        <w:rPr>
          <w:rFonts w:hint="eastAsia"/>
          <w:sz w:val="21"/>
          <w:szCs w:val="21"/>
        </w:rPr>
        <w:t>各回路</w:t>
      </w:r>
      <w:r>
        <w:rPr>
          <w:rFonts w:hint="eastAsia"/>
          <w:sz w:val="21"/>
          <w:szCs w:val="21"/>
          <w:lang w:val="en-US" w:eastAsia="zh-CN"/>
        </w:rPr>
        <w:t>逐一</w:t>
      </w:r>
      <w:r>
        <w:rPr>
          <w:rFonts w:hint="eastAsia"/>
          <w:sz w:val="21"/>
          <w:szCs w:val="21"/>
        </w:rPr>
        <w:t>进行注水和排气，直到各回路管道内水流均匀稳定，无气泡流动声音；</w:t>
      </w:r>
    </w:p>
    <w:p>
      <w:pPr>
        <w:pageBreakBefore w:val="0"/>
        <w:numPr>
          <w:ilvl w:val="0"/>
          <w:numId w:val="110"/>
        </w:numPr>
        <w:wordWrap/>
        <w:overflowPunct/>
        <w:topLinePunct w:val="0"/>
        <w:bidi w:val="0"/>
        <w:spacing w:line="240" w:lineRule="auto"/>
        <w:ind w:firstLine="420" w:firstLineChars="200"/>
        <w:rPr>
          <w:rFonts w:hint="eastAsia"/>
          <w:color w:val="auto"/>
          <w:sz w:val="21"/>
          <w:szCs w:val="21"/>
        </w:rPr>
      </w:pPr>
      <w:r>
        <w:rPr>
          <w:rFonts w:hint="eastAsia"/>
          <w:sz w:val="21"/>
          <w:szCs w:val="21"/>
        </w:rPr>
        <w:t>应以分水器、集水器</w:t>
      </w:r>
      <w:r>
        <w:rPr>
          <w:rFonts w:hint="eastAsia"/>
          <w:sz w:val="21"/>
          <w:szCs w:val="21"/>
          <w:lang w:val="en-US" w:eastAsia="zh-CN"/>
        </w:rPr>
        <w:t>的回路</w:t>
      </w:r>
      <w:r>
        <w:rPr>
          <w:rFonts w:hint="eastAsia"/>
          <w:sz w:val="21"/>
          <w:szCs w:val="21"/>
        </w:rPr>
        <w:t>为单位分别进行</w:t>
      </w:r>
      <w:r>
        <w:rPr>
          <w:rFonts w:hint="eastAsia"/>
          <w:sz w:val="21"/>
          <w:szCs w:val="21"/>
          <w:lang w:val="en-US" w:eastAsia="zh-CN"/>
        </w:rPr>
        <w:t>水压试验</w:t>
      </w:r>
      <w:r>
        <w:rPr>
          <w:rFonts w:hint="eastAsia"/>
          <w:sz w:val="21"/>
          <w:szCs w:val="21"/>
        </w:rPr>
        <w:t>，</w:t>
      </w:r>
      <w:r>
        <w:rPr>
          <w:rFonts w:hint="eastAsia"/>
          <w:sz w:val="21"/>
          <w:szCs w:val="21"/>
          <w:lang w:val="en-US" w:eastAsia="zh-CN"/>
        </w:rPr>
        <w:t>无</w:t>
      </w:r>
      <w:r>
        <w:rPr>
          <w:rFonts w:hint="eastAsia"/>
          <w:sz w:val="21"/>
          <w:szCs w:val="21"/>
        </w:rPr>
        <w:t>分水器、</w:t>
      </w:r>
      <w:r>
        <w:rPr>
          <w:rFonts w:hint="eastAsia"/>
          <w:color w:val="auto"/>
          <w:sz w:val="21"/>
          <w:szCs w:val="21"/>
        </w:rPr>
        <w:t>集水器</w:t>
      </w:r>
      <w:r>
        <w:rPr>
          <w:rFonts w:hint="eastAsia"/>
          <w:color w:val="auto"/>
          <w:sz w:val="21"/>
          <w:szCs w:val="21"/>
          <w:lang w:val="en-US" w:eastAsia="zh-CN"/>
        </w:rPr>
        <w:t>时应以每组散热器为单位进行水压试验；</w:t>
      </w:r>
    </w:p>
    <w:p>
      <w:pPr>
        <w:pageBreakBefore w:val="0"/>
        <w:numPr>
          <w:ilvl w:val="0"/>
          <w:numId w:val="110"/>
        </w:numPr>
        <w:wordWrap/>
        <w:overflowPunct/>
        <w:topLinePunct w:val="0"/>
        <w:bidi w:val="0"/>
        <w:spacing w:line="240" w:lineRule="auto"/>
        <w:ind w:firstLine="420" w:firstLineChars="200"/>
        <w:rPr>
          <w:rFonts w:hint="eastAsia"/>
          <w:color w:val="auto"/>
          <w:sz w:val="21"/>
          <w:szCs w:val="21"/>
        </w:rPr>
      </w:pPr>
      <w:r>
        <w:rPr>
          <w:rFonts w:hint="eastAsia"/>
          <w:color w:val="auto"/>
          <w:sz w:val="21"/>
          <w:szCs w:val="21"/>
        </w:rPr>
        <w:t>试验压力应为系统</w:t>
      </w:r>
      <w:r>
        <w:rPr>
          <w:rFonts w:hint="eastAsia"/>
          <w:color w:val="auto"/>
          <w:sz w:val="21"/>
          <w:szCs w:val="21"/>
          <w:lang w:val="en-US" w:eastAsia="zh-CN"/>
        </w:rPr>
        <w:t>工作</w:t>
      </w:r>
      <w:r>
        <w:rPr>
          <w:rFonts w:hint="eastAsia"/>
          <w:color w:val="auto"/>
          <w:sz w:val="21"/>
          <w:szCs w:val="21"/>
        </w:rPr>
        <w:t>压力的1.5倍，且不应小于0.6MPa</w:t>
      </w:r>
      <w:r>
        <w:rPr>
          <w:rFonts w:hint="eastAsia"/>
          <w:color w:val="auto"/>
          <w:sz w:val="21"/>
          <w:szCs w:val="21"/>
          <w:lang w:eastAsia="zh-CN"/>
        </w:rPr>
        <w:t>；</w:t>
      </w:r>
    </w:p>
    <w:p>
      <w:pPr>
        <w:pageBreakBefore w:val="0"/>
        <w:numPr>
          <w:ilvl w:val="0"/>
          <w:numId w:val="110"/>
        </w:numPr>
        <w:wordWrap/>
        <w:overflowPunct/>
        <w:topLinePunct w:val="0"/>
        <w:bidi w:val="0"/>
        <w:spacing w:line="240" w:lineRule="auto"/>
        <w:ind w:firstLine="420" w:firstLineChars="200"/>
        <w:rPr>
          <w:rFonts w:hint="eastAsia"/>
          <w:color w:val="auto"/>
          <w:sz w:val="21"/>
          <w:szCs w:val="21"/>
        </w:rPr>
      </w:pPr>
      <w:r>
        <w:rPr>
          <w:rFonts w:hint="eastAsia"/>
          <w:color w:val="auto"/>
          <w:sz w:val="21"/>
          <w:szCs w:val="21"/>
        </w:rPr>
        <w:t>供暖系统应在试验压力</w:t>
      </w:r>
      <w:r>
        <w:rPr>
          <w:rFonts w:hint="eastAsia"/>
          <w:color w:val="auto"/>
          <w:sz w:val="21"/>
          <w:szCs w:val="21"/>
          <w:lang w:val="en-US" w:eastAsia="zh-CN"/>
        </w:rPr>
        <w:t>下，稳压</w:t>
      </w:r>
      <w:r>
        <w:rPr>
          <w:rFonts w:hint="eastAsia"/>
          <w:color w:val="auto"/>
          <w:sz w:val="21"/>
          <w:szCs w:val="21"/>
        </w:rPr>
        <w:t>1h</w:t>
      </w:r>
      <w:r>
        <w:rPr>
          <w:rFonts w:hint="eastAsia"/>
          <w:color w:val="auto"/>
          <w:sz w:val="21"/>
          <w:szCs w:val="21"/>
          <w:lang w:eastAsia="zh-CN"/>
        </w:rPr>
        <w:t>，</w:t>
      </w:r>
      <w:r>
        <w:rPr>
          <w:rFonts w:hint="eastAsia"/>
          <w:color w:val="auto"/>
          <w:sz w:val="21"/>
          <w:szCs w:val="21"/>
          <w:lang w:val="en-US" w:eastAsia="zh-CN"/>
        </w:rPr>
        <w:t>其压力降不应大于0.05MPa</w:t>
      </w:r>
      <w:r>
        <w:rPr>
          <w:rFonts w:hint="eastAsia"/>
          <w:color w:val="auto"/>
          <w:sz w:val="21"/>
          <w:szCs w:val="21"/>
        </w:rPr>
        <w:t>，</w:t>
      </w:r>
      <w:r>
        <w:rPr>
          <w:rFonts w:hint="eastAsia"/>
          <w:color w:val="auto"/>
          <w:sz w:val="21"/>
          <w:szCs w:val="21"/>
          <w:lang w:val="en-US" w:eastAsia="zh-CN"/>
        </w:rPr>
        <w:t>且</w:t>
      </w:r>
      <w:r>
        <w:rPr>
          <w:rFonts w:hint="eastAsia"/>
          <w:color w:val="auto"/>
          <w:sz w:val="21"/>
          <w:szCs w:val="21"/>
        </w:rPr>
        <w:t>不渗不漏。</w:t>
      </w:r>
    </w:p>
    <w:p>
      <w:pPr>
        <w:pStyle w:val="3"/>
        <w:numPr>
          <w:ilvl w:val="0"/>
          <w:numId w:val="108"/>
        </w:numPr>
        <w:bidi w:val="0"/>
        <w:ind w:left="0" w:leftChars="0" w:firstLine="0" w:firstLineChars="0"/>
        <w:rPr>
          <w:rFonts w:hint="eastAsia"/>
        </w:rPr>
      </w:pPr>
      <w:r>
        <w:rPr>
          <w:rFonts w:hint="eastAsia" w:ascii="宋体" w:hAnsi="宋体" w:eastAsia="宋体" w:cs="宋体"/>
        </w:rPr>
        <w:t>水压试验后直到调试使用前，</w:t>
      </w:r>
      <w:r>
        <w:rPr>
          <w:rFonts w:hint="eastAsia" w:ascii="宋体" w:hAnsi="宋体" w:eastAsia="宋体" w:cs="宋体"/>
          <w:lang w:val="en-US" w:eastAsia="zh-CN"/>
        </w:rPr>
        <w:t>应</w:t>
      </w:r>
      <w:r>
        <w:rPr>
          <w:rFonts w:hint="eastAsia" w:ascii="宋体" w:hAnsi="宋体" w:eastAsia="宋体" w:cs="宋体"/>
        </w:rPr>
        <w:t>进行管道保压，压力应高于工作压力，检测管道系统无损坏无渗漏。</w:t>
      </w:r>
    </w:p>
    <w:p>
      <w:pPr>
        <w:pStyle w:val="105"/>
        <w:pageBreakBefore w:val="0"/>
        <w:wordWrap/>
        <w:overflowPunct/>
        <w:topLinePunct w:val="0"/>
        <w:bidi w:val="0"/>
        <w:spacing w:before="312" w:after="312" w:line="240" w:lineRule="auto"/>
        <w:rPr>
          <w:rFonts w:hint="eastAsia" w:hAnsi="Times New Roman" w:cs="Times New Roman"/>
          <w:szCs w:val="21"/>
          <w:lang w:val="en-US" w:eastAsia="zh-CN"/>
        </w:rPr>
      </w:pPr>
      <w:bookmarkStart w:id="114" w:name="_Toc18971"/>
      <w:bookmarkStart w:id="115" w:name="_Toc7195"/>
      <w:r>
        <w:rPr>
          <w:rFonts w:hint="eastAsia" w:hAnsi="Times New Roman" w:cs="Times New Roman"/>
          <w:szCs w:val="21"/>
          <w:lang w:val="en-US" w:eastAsia="zh-CN"/>
        </w:rPr>
        <w:t>试运行、调试及竣工验收</w:t>
      </w:r>
      <w:bookmarkEnd w:id="107"/>
      <w:bookmarkEnd w:id="112"/>
      <w:bookmarkEnd w:id="113"/>
      <w:bookmarkEnd w:id="114"/>
      <w:bookmarkEnd w:id="115"/>
    </w:p>
    <w:p>
      <w:pPr>
        <w:pStyle w:val="3"/>
        <w:numPr>
          <w:ilvl w:val="0"/>
          <w:numId w:val="111"/>
        </w:numPr>
        <w:bidi w:val="0"/>
        <w:ind w:left="0" w:leftChars="0" w:firstLine="0" w:firstLineChars="0"/>
        <w:rPr>
          <w:rFonts w:hint="eastAsia"/>
        </w:rPr>
      </w:pPr>
      <w:bookmarkStart w:id="116" w:name="bookmark24"/>
      <w:bookmarkEnd w:id="116"/>
      <w:bookmarkStart w:id="117" w:name="_Toc16050"/>
      <w:r>
        <w:t>一般规定</w:t>
      </w:r>
      <w:bookmarkEnd w:id="117"/>
    </w:p>
    <w:p>
      <w:pPr>
        <w:pageBreakBefore w:val="0"/>
        <w:numPr>
          <w:ilvl w:val="0"/>
          <w:numId w:val="112"/>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系统调试</w:t>
      </w:r>
      <w:r>
        <w:rPr>
          <w:rFonts w:hint="eastAsia"/>
          <w:color w:val="auto"/>
          <w:sz w:val="21"/>
          <w:szCs w:val="21"/>
          <w:lang w:eastAsia="zh-CN"/>
        </w:rPr>
        <w:t>、</w:t>
      </w:r>
      <w:r>
        <w:rPr>
          <w:rFonts w:hint="eastAsia"/>
          <w:color w:val="auto"/>
          <w:sz w:val="21"/>
          <w:szCs w:val="21"/>
          <w:lang w:val="en-US" w:eastAsia="zh-CN"/>
        </w:rPr>
        <w:t>验收</w:t>
      </w:r>
      <w:r>
        <w:rPr>
          <w:rFonts w:hint="eastAsia"/>
          <w:color w:val="auto"/>
          <w:sz w:val="21"/>
          <w:szCs w:val="21"/>
        </w:rPr>
        <w:t>人员应</w:t>
      </w:r>
      <w:r>
        <w:rPr>
          <w:rFonts w:hint="eastAsia"/>
          <w:color w:val="auto"/>
          <w:sz w:val="21"/>
          <w:szCs w:val="21"/>
          <w:lang w:val="en-US" w:eastAsia="zh-CN"/>
        </w:rPr>
        <w:t>经过</w:t>
      </w:r>
      <w:r>
        <w:rPr>
          <w:rFonts w:hint="eastAsia"/>
          <w:color w:val="auto"/>
          <w:sz w:val="21"/>
          <w:szCs w:val="21"/>
        </w:rPr>
        <w:t>专业培训，具备</w:t>
      </w:r>
      <w:r>
        <w:rPr>
          <w:rFonts w:hint="eastAsia"/>
          <w:color w:val="auto"/>
          <w:sz w:val="21"/>
          <w:szCs w:val="21"/>
          <w:lang w:val="en-US" w:eastAsia="zh-CN"/>
        </w:rPr>
        <w:t>相关知识</w:t>
      </w:r>
      <w:r>
        <w:rPr>
          <w:rFonts w:hint="eastAsia"/>
          <w:color w:val="auto"/>
          <w:sz w:val="21"/>
          <w:szCs w:val="21"/>
        </w:rPr>
        <w:t>。</w:t>
      </w:r>
    </w:p>
    <w:p>
      <w:pPr>
        <w:pageBreakBefore w:val="0"/>
        <w:numPr>
          <w:ilvl w:val="0"/>
          <w:numId w:val="112"/>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系统调试所使用的测试仪器和仪表，性能应稳定可靠，其精度等级及最小分度值应能满足测量的要求。</w:t>
      </w:r>
    </w:p>
    <w:p>
      <w:pPr>
        <w:pageBreakBefore w:val="0"/>
        <w:numPr>
          <w:ilvl w:val="0"/>
          <w:numId w:val="112"/>
        </w:numPr>
        <w:wordWrap/>
        <w:overflowPunct/>
        <w:topLinePunct w:val="0"/>
        <w:bidi w:val="0"/>
        <w:spacing w:line="240" w:lineRule="auto"/>
        <w:ind w:left="0" w:leftChars="0" w:firstLine="0" w:firstLineChars="0"/>
        <w:rPr>
          <w:sz w:val="21"/>
          <w:szCs w:val="21"/>
        </w:rPr>
      </w:pPr>
      <w:r>
        <w:rPr>
          <w:rFonts w:hint="eastAsia"/>
          <w:sz w:val="21"/>
          <w:szCs w:val="21"/>
        </w:rPr>
        <w:t>系统调试前应先确保燃气阀门和自来水阀门处于关闭，系统供水、供电、供气条件应符合以下要求：</w:t>
      </w:r>
    </w:p>
    <w:p>
      <w:pPr>
        <w:pageBreakBefore w:val="0"/>
        <w:numPr>
          <w:ilvl w:val="0"/>
          <w:numId w:val="113"/>
        </w:numPr>
        <w:wordWrap/>
        <w:overflowPunct/>
        <w:topLinePunct w:val="0"/>
        <w:bidi w:val="0"/>
        <w:spacing w:line="240" w:lineRule="auto"/>
        <w:ind w:firstLine="420" w:firstLineChars="200"/>
        <w:rPr>
          <w:sz w:val="21"/>
          <w:szCs w:val="21"/>
        </w:rPr>
      </w:pPr>
      <w:r>
        <w:rPr>
          <w:rFonts w:hint="eastAsia"/>
          <w:sz w:val="21"/>
          <w:szCs w:val="21"/>
        </w:rPr>
        <w:t>自来水供水压力 0. 15 MPa</w:t>
      </w:r>
      <w:r>
        <w:rPr>
          <w:rFonts w:hint="eastAsia" w:ascii="Times New Roman" w:hAnsi="Times New Roman" w:cs="Times New Roman"/>
          <w:sz w:val="21"/>
          <w:szCs w:val="21"/>
        </w:rPr>
        <w:t>~</w:t>
      </w:r>
      <w:r>
        <w:rPr>
          <w:rFonts w:hint="eastAsia"/>
          <w:sz w:val="21"/>
          <w:szCs w:val="21"/>
        </w:rPr>
        <w:t>0 . 35 MPa，水流稳定、干净、清澈；</w:t>
      </w:r>
    </w:p>
    <w:p>
      <w:pPr>
        <w:pageBreakBefore w:val="0"/>
        <w:numPr>
          <w:ilvl w:val="0"/>
          <w:numId w:val="113"/>
        </w:numPr>
        <w:wordWrap/>
        <w:overflowPunct/>
        <w:topLinePunct w:val="0"/>
        <w:bidi w:val="0"/>
        <w:spacing w:line="240" w:lineRule="auto"/>
        <w:ind w:firstLine="420" w:firstLineChars="200"/>
        <w:rPr>
          <w:sz w:val="21"/>
          <w:szCs w:val="21"/>
        </w:rPr>
      </w:pPr>
      <w:r>
        <w:rPr>
          <w:rFonts w:hint="eastAsia"/>
          <w:sz w:val="21"/>
          <w:szCs w:val="21"/>
        </w:rPr>
        <w:t>供电电压为 220 V±10 V；</w:t>
      </w:r>
    </w:p>
    <w:p>
      <w:pPr>
        <w:pageBreakBefore w:val="0"/>
        <w:numPr>
          <w:ilvl w:val="0"/>
          <w:numId w:val="113"/>
        </w:numPr>
        <w:wordWrap/>
        <w:overflowPunct/>
        <w:topLinePunct w:val="0"/>
        <w:bidi w:val="0"/>
        <w:spacing w:line="240" w:lineRule="auto"/>
        <w:ind w:firstLine="420" w:firstLineChars="200"/>
        <w:rPr>
          <w:color w:val="auto"/>
          <w:sz w:val="21"/>
          <w:szCs w:val="21"/>
        </w:rPr>
      </w:pPr>
      <w:r>
        <w:rPr>
          <w:rFonts w:hint="eastAsia"/>
          <w:color w:val="auto"/>
          <w:sz w:val="21"/>
          <w:szCs w:val="21"/>
        </w:rPr>
        <w:t>燃气表额定流量应大于表后连接的采暖炉及其他燃具的额定流量</w:t>
      </w:r>
      <w:r>
        <w:rPr>
          <w:rFonts w:hint="eastAsia"/>
          <w:color w:val="auto"/>
          <w:sz w:val="21"/>
          <w:szCs w:val="21"/>
          <w:lang w:val="en-US" w:eastAsia="zh-CN"/>
        </w:rPr>
        <w:t>总和</w:t>
      </w:r>
      <w:r>
        <w:rPr>
          <w:rFonts w:hint="eastAsia"/>
          <w:color w:val="auto"/>
          <w:sz w:val="21"/>
          <w:szCs w:val="21"/>
        </w:rPr>
        <w:t>。</w:t>
      </w:r>
    </w:p>
    <w:p>
      <w:pPr>
        <w:pageBreakBefore w:val="0"/>
        <w:numPr>
          <w:ilvl w:val="0"/>
          <w:numId w:val="112"/>
        </w:numPr>
        <w:wordWrap/>
        <w:overflowPunct/>
        <w:topLinePunct w:val="0"/>
        <w:bidi w:val="0"/>
        <w:spacing w:line="240" w:lineRule="auto"/>
        <w:ind w:left="0" w:leftChars="0" w:firstLine="0" w:firstLineChars="0"/>
        <w:rPr>
          <w:sz w:val="21"/>
          <w:szCs w:val="21"/>
        </w:rPr>
      </w:pPr>
      <w:r>
        <w:rPr>
          <w:rFonts w:hint="eastAsia"/>
          <w:sz w:val="21"/>
          <w:szCs w:val="21"/>
        </w:rPr>
        <w:t>系统调试应按附录</w:t>
      </w:r>
      <w:r>
        <w:rPr>
          <w:sz w:val="21"/>
          <w:szCs w:val="21"/>
        </w:rPr>
        <w:t>B</w:t>
      </w:r>
      <w:r>
        <w:rPr>
          <w:rFonts w:hint="eastAsia"/>
          <w:sz w:val="21"/>
          <w:szCs w:val="21"/>
        </w:rPr>
        <w:t>填写调试记录。</w:t>
      </w:r>
    </w:p>
    <w:p>
      <w:pPr>
        <w:pStyle w:val="3"/>
        <w:numPr>
          <w:ilvl w:val="0"/>
          <w:numId w:val="111"/>
        </w:numPr>
        <w:bidi w:val="0"/>
        <w:ind w:left="0" w:leftChars="0" w:firstLine="0" w:firstLineChars="0"/>
        <w:rPr>
          <w:rFonts w:hint="eastAsia"/>
        </w:rPr>
      </w:pPr>
      <w:bookmarkStart w:id="118" w:name="bookmark25"/>
      <w:bookmarkEnd w:id="118"/>
      <w:bookmarkStart w:id="119" w:name="_Toc10701"/>
      <w:r>
        <w:t>试运行与调试</w:t>
      </w:r>
      <w:bookmarkEnd w:id="119"/>
    </w:p>
    <w:p>
      <w:pPr>
        <w:pageBreakBefore w:val="0"/>
        <w:numPr>
          <w:ilvl w:val="0"/>
          <w:numId w:val="11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供暖系统未经调试，</w:t>
      </w:r>
      <w:r>
        <w:rPr>
          <w:rFonts w:hint="eastAsia"/>
          <w:color w:val="auto"/>
          <w:sz w:val="21"/>
          <w:szCs w:val="21"/>
          <w:lang w:eastAsia="zh-CN"/>
        </w:rPr>
        <w:t>不得</w:t>
      </w:r>
      <w:r>
        <w:rPr>
          <w:rFonts w:hint="eastAsia"/>
          <w:color w:val="auto"/>
          <w:sz w:val="21"/>
          <w:szCs w:val="21"/>
        </w:rPr>
        <w:t>运行使用。</w:t>
      </w:r>
    </w:p>
    <w:p>
      <w:pPr>
        <w:pageBreakBefore w:val="0"/>
        <w:numPr>
          <w:ilvl w:val="0"/>
          <w:numId w:val="11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应检查燃气管道气密性</w:t>
      </w:r>
      <w:r>
        <w:rPr>
          <w:rFonts w:hint="eastAsia"/>
          <w:color w:val="auto"/>
          <w:sz w:val="21"/>
          <w:szCs w:val="21"/>
          <w:lang w:eastAsia="zh-CN"/>
        </w:rPr>
        <w:t>，</w:t>
      </w:r>
      <w:r>
        <w:rPr>
          <w:rFonts w:hint="eastAsia"/>
          <w:color w:val="auto"/>
          <w:sz w:val="21"/>
          <w:szCs w:val="21"/>
        </w:rPr>
        <w:t>不泄漏，</w:t>
      </w:r>
      <w:r>
        <w:rPr>
          <w:rFonts w:hint="eastAsia"/>
          <w:color w:val="auto"/>
          <w:sz w:val="21"/>
          <w:szCs w:val="21"/>
          <w:lang w:val="en-US" w:eastAsia="zh-CN"/>
        </w:rPr>
        <w:t>采暖</w:t>
      </w:r>
      <w:r>
        <w:rPr>
          <w:rFonts w:hint="eastAsia"/>
          <w:color w:val="auto"/>
          <w:sz w:val="21"/>
          <w:szCs w:val="21"/>
        </w:rPr>
        <w:t>炉燃气阀连接管活接头漆封应完整。</w:t>
      </w:r>
    </w:p>
    <w:p>
      <w:pPr>
        <w:pageBreakBefore w:val="0"/>
        <w:numPr>
          <w:ilvl w:val="0"/>
          <w:numId w:val="114"/>
        </w:numPr>
        <w:wordWrap/>
        <w:overflowPunct/>
        <w:topLinePunct w:val="0"/>
        <w:bidi w:val="0"/>
        <w:spacing w:line="240" w:lineRule="auto"/>
        <w:ind w:left="0" w:leftChars="0" w:firstLine="0" w:firstLineChars="0"/>
        <w:rPr>
          <w:color w:val="auto"/>
          <w:sz w:val="21"/>
          <w:szCs w:val="21"/>
        </w:rPr>
      </w:pPr>
      <w:r>
        <w:rPr>
          <w:rFonts w:hint="eastAsia"/>
          <w:color w:val="auto"/>
          <w:sz w:val="21"/>
          <w:szCs w:val="21"/>
          <w:lang w:val="en-US" w:eastAsia="zh-CN"/>
        </w:rPr>
        <w:t>供</w:t>
      </w:r>
      <w:r>
        <w:rPr>
          <w:rFonts w:hint="eastAsia"/>
          <w:color w:val="auto"/>
          <w:sz w:val="21"/>
          <w:szCs w:val="21"/>
        </w:rPr>
        <w:t>暖系统注水后，应</w:t>
      </w:r>
      <w:r>
        <w:rPr>
          <w:rFonts w:hint="eastAsia"/>
          <w:color w:val="auto"/>
          <w:sz w:val="21"/>
          <w:szCs w:val="21"/>
          <w:lang w:val="en-US" w:eastAsia="zh-CN"/>
        </w:rPr>
        <w:t>对每组散热器或回路分别</w:t>
      </w:r>
      <w:r>
        <w:rPr>
          <w:rFonts w:hint="eastAsia"/>
          <w:color w:val="auto"/>
          <w:sz w:val="21"/>
          <w:szCs w:val="21"/>
        </w:rPr>
        <w:t>进行排气。</w:t>
      </w:r>
    </w:p>
    <w:p>
      <w:pPr>
        <w:pageBreakBefore w:val="0"/>
        <w:numPr>
          <w:ilvl w:val="0"/>
          <w:numId w:val="11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散热器</w:t>
      </w:r>
      <w:r>
        <w:rPr>
          <w:rFonts w:hint="eastAsia"/>
          <w:color w:val="auto"/>
          <w:sz w:val="21"/>
          <w:szCs w:val="21"/>
          <w:lang w:val="en-US" w:eastAsia="zh-CN"/>
        </w:rPr>
        <w:t>供</w:t>
      </w:r>
      <w:r>
        <w:rPr>
          <w:rFonts w:hint="eastAsia"/>
          <w:color w:val="auto"/>
          <w:sz w:val="21"/>
          <w:szCs w:val="21"/>
        </w:rPr>
        <w:t>暖时，将采暖炉开启到采暖模式下工作30min，每组散热器应发热均匀，同一暖气片的水平温差</w:t>
      </w:r>
      <w:r>
        <w:rPr>
          <w:rFonts w:hint="eastAsia"/>
          <w:color w:val="auto"/>
          <w:sz w:val="21"/>
          <w:szCs w:val="21"/>
          <w:lang w:val="en-US" w:eastAsia="zh-CN"/>
        </w:rPr>
        <w:t>不大于</w:t>
      </w:r>
      <w:r>
        <w:rPr>
          <w:rFonts w:hint="eastAsia"/>
          <w:color w:val="auto"/>
          <w:sz w:val="21"/>
          <w:szCs w:val="21"/>
        </w:rPr>
        <w:t>5℃，同一系统内高度相同的散热器，表面平均温差</w:t>
      </w:r>
      <w:r>
        <w:rPr>
          <w:rFonts w:hint="eastAsia"/>
          <w:color w:val="auto"/>
          <w:sz w:val="21"/>
          <w:szCs w:val="21"/>
          <w:lang w:val="en-US" w:eastAsia="zh-CN"/>
        </w:rPr>
        <w:t>不大于</w:t>
      </w:r>
      <w:r>
        <w:rPr>
          <w:rFonts w:hint="eastAsia"/>
          <w:color w:val="auto"/>
          <w:sz w:val="21"/>
          <w:szCs w:val="21"/>
        </w:rPr>
        <w:t>8℃。</w:t>
      </w:r>
    </w:p>
    <w:p>
      <w:pPr>
        <w:pageBreakBefore w:val="0"/>
        <w:numPr>
          <w:ilvl w:val="0"/>
          <w:numId w:val="114"/>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地面供暖系统初始供暖时，将采暖炉开启到采暖模式下</w:t>
      </w:r>
      <w:r>
        <w:rPr>
          <w:rFonts w:hint="eastAsia"/>
          <w:color w:val="auto"/>
          <w:sz w:val="21"/>
          <w:szCs w:val="21"/>
          <w:lang w:eastAsia="zh-CN"/>
        </w:rPr>
        <w:t>，</w:t>
      </w:r>
      <w:r>
        <w:rPr>
          <w:rFonts w:hint="eastAsia"/>
          <w:color w:val="auto"/>
          <w:sz w:val="21"/>
          <w:szCs w:val="21"/>
        </w:rPr>
        <w:t>系统的供水温度应控制在高于室温10℃左右，且不应高于32℃,连续运行48h后每隔24h水温升高3℃,直至达到设计供水温度，并保持该温度运行不少于24h；在设计供水温度下应对每组分水器、集水器连接的加热管逐回路进行调试，直至达到设计要求。</w:t>
      </w:r>
    </w:p>
    <w:p>
      <w:pPr>
        <w:pageBreakBefore w:val="0"/>
        <w:numPr>
          <w:ilvl w:val="0"/>
          <w:numId w:val="114"/>
        </w:numPr>
        <w:wordWrap/>
        <w:overflowPunct/>
        <w:topLinePunct w:val="0"/>
        <w:bidi w:val="0"/>
        <w:spacing w:line="240" w:lineRule="auto"/>
        <w:ind w:left="0" w:leftChars="0" w:firstLine="0" w:firstLineChars="0"/>
        <w:rPr>
          <w:strike w:val="0"/>
          <w:color w:val="auto"/>
          <w:sz w:val="21"/>
          <w:szCs w:val="21"/>
        </w:rPr>
      </w:pPr>
      <w:r>
        <w:rPr>
          <w:rFonts w:hint="eastAsia"/>
          <w:strike w:val="0"/>
          <w:color w:val="auto"/>
          <w:sz w:val="21"/>
          <w:szCs w:val="21"/>
        </w:rPr>
        <w:t>供暖系统调试完成后，</w:t>
      </w:r>
      <w:r>
        <w:rPr>
          <w:rFonts w:hint="eastAsia"/>
          <w:strike w:val="0"/>
          <w:color w:val="auto"/>
          <w:sz w:val="21"/>
          <w:szCs w:val="21"/>
          <w:lang w:val="en-US" w:eastAsia="zh-CN"/>
        </w:rPr>
        <w:t>参照JGJ 142的相关规定</w:t>
      </w:r>
      <w:r>
        <w:rPr>
          <w:rFonts w:hint="eastAsia"/>
          <w:strike w:val="0"/>
          <w:color w:val="auto"/>
          <w:sz w:val="21"/>
          <w:szCs w:val="21"/>
        </w:rPr>
        <w:t>对下列性能参数进行检测，并</w:t>
      </w:r>
      <w:r>
        <w:rPr>
          <w:rFonts w:hint="eastAsia"/>
          <w:strike w:val="0"/>
          <w:color w:val="auto"/>
          <w:sz w:val="21"/>
          <w:szCs w:val="21"/>
          <w:lang w:val="en-US" w:eastAsia="zh-CN"/>
        </w:rPr>
        <w:t>应</w:t>
      </w:r>
      <w:r>
        <w:rPr>
          <w:rFonts w:hint="eastAsia"/>
          <w:strike w:val="0"/>
          <w:color w:val="auto"/>
          <w:sz w:val="21"/>
          <w:szCs w:val="21"/>
        </w:rPr>
        <w:t>符合</w:t>
      </w:r>
      <w:r>
        <w:rPr>
          <w:rStyle w:val="33"/>
          <w:rFonts w:hint="eastAsia"/>
          <w:strike w:val="0"/>
          <w:color w:val="auto"/>
          <w:sz w:val="21"/>
          <w:szCs w:val="21"/>
          <w:lang w:val="en-US" w:eastAsia="zh-CN"/>
        </w:rPr>
        <w:t>下列</w:t>
      </w:r>
      <w:r>
        <w:rPr>
          <w:rFonts w:hint="eastAsia"/>
          <w:strike w:val="0"/>
          <w:color w:val="auto"/>
          <w:sz w:val="21"/>
          <w:szCs w:val="21"/>
        </w:rPr>
        <w:t>规定：</w:t>
      </w:r>
    </w:p>
    <w:p>
      <w:pPr>
        <w:pageBreakBefore w:val="0"/>
        <w:numPr>
          <w:ilvl w:val="0"/>
          <w:numId w:val="115"/>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rPr>
        <w:t>室内空气温度满足设计</w:t>
      </w:r>
      <w:r>
        <w:rPr>
          <w:rFonts w:hint="eastAsia"/>
          <w:strike w:val="0"/>
          <w:color w:val="auto"/>
          <w:sz w:val="21"/>
          <w:szCs w:val="21"/>
          <w:lang w:val="en-US" w:eastAsia="zh-CN"/>
        </w:rPr>
        <w:t>文件</w:t>
      </w:r>
      <w:r>
        <w:rPr>
          <w:rFonts w:hint="eastAsia"/>
          <w:strike w:val="0"/>
          <w:color w:val="auto"/>
          <w:sz w:val="21"/>
          <w:szCs w:val="21"/>
        </w:rPr>
        <w:t>要求；以房间中央离地0.75m高处的空气温度作为评价依据；温度测量系统准确度应为±0.2℃。</w:t>
      </w:r>
    </w:p>
    <w:p>
      <w:pPr>
        <w:pageBreakBefore w:val="0"/>
        <w:numPr>
          <w:ilvl w:val="0"/>
          <w:numId w:val="115"/>
        </w:numPr>
        <w:wordWrap/>
        <w:overflowPunct/>
        <w:topLinePunct w:val="0"/>
        <w:bidi w:val="0"/>
        <w:spacing w:line="240" w:lineRule="auto"/>
        <w:ind w:firstLine="420" w:firstLineChars="200"/>
        <w:rPr>
          <w:strike w:val="0"/>
          <w:color w:val="auto"/>
          <w:sz w:val="21"/>
          <w:szCs w:val="21"/>
        </w:rPr>
      </w:pPr>
      <w:r>
        <w:rPr>
          <w:rFonts w:hint="eastAsia"/>
          <w:strike w:val="0"/>
          <w:color w:val="auto"/>
          <w:sz w:val="21"/>
          <w:szCs w:val="21"/>
          <w:lang w:val="en-US" w:eastAsia="zh-CN"/>
        </w:rPr>
        <w:t>地面供暖</w:t>
      </w:r>
      <w:r>
        <w:rPr>
          <w:rFonts w:hint="eastAsia"/>
          <w:strike w:val="0"/>
          <w:color w:val="auto"/>
          <w:sz w:val="21"/>
          <w:szCs w:val="21"/>
        </w:rPr>
        <w:t>地表面平均温度满足设计</w:t>
      </w:r>
      <w:r>
        <w:rPr>
          <w:rFonts w:hint="eastAsia"/>
          <w:strike w:val="0"/>
          <w:color w:val="auto"/>
          <w:sz w:val="21"/>
          <w:szCs w:val="21"/>
          <w:lang w:val="en-US" w:eastAsia="zh-CN"/>
        </w:rPr>
        <w:t>文件</w:t>
      </w:r>
      <w:r>
        <w:rPr>
          <w:rFonts w:hint="eastAsia"/>
          <w:strike w:val="0"/>
          <w:color w:val="auto"/>
          <w:sz w:val="21"/>
          <w:szCs w:val="21"/>
        </w:rPr>
        <w:t>规定</w:t>
      </w:r>
      <w:r>
        <w:rPr>
          <w:rFonts w:hint="eastAsia"/>
          <w:strike w:val="0"/>
          <w:color w:val="auto"/>
          <w:sz w:val="21"/>
          <w:szCs w:val="21"/>
          <w:lang w:eastAsia="zh-CN"/>
        </w:rPr>
        <w:t>。</w:t>
      </w:r>
    </w:p>
    <w:p>
      <w:pPr>
        <w:pageBreakBefore w:val="0"/>
        <w:numPr>
          <w:ilvl w:val="0"/>
          <w:numId w:val="114"/>
        </w:numPr>
        <w:wordWrap/>
        <w:overflowPunct/>
        <w:topLinePunct w:val="0"/>
        <w:bidi w:val="0"/>
        <w:spacing w:line="240" w:lineRule="auto"/>
        <w:ind w:left="0" w:leftChars="0" w:firstLine="0" w:firstLineChars="0"/>
        <w:rPr>
          <w:sz w:val="21"/>
          <w:szCs w:val="21"/>
        </w:rPr>
      </w:pPr>
      <w:r>
        <w:rPr>
          <w:rFonts w:hint="eastAsia"/>
          <w:sz w:val="21"/>
          <w:szCs w:val="21"/>
        </w:rPr>
        <w:t>采暖炉调试</w:t>
      </w:r>
      <w:r>
        <w:rPr>
          <w:rFonts w:hint="eastAsia"/>
          <w:sz w:val="21"/>
          <w:szCs w:val="21"/>
          <w:lang w:eastAsia="zh-CN"/>
        </w:rPr>
        <w:t>应符合下列规定：</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rPr>
        <w:t>开机后采暖炉</w:t>
      </w:r>
      <w:r>
        <w:rPr>
          <w:rFonts w:hint="eastAsia"/>
          <w:sz w:val="21"/>
          <w:szCs w:val="21"/>
          <w:lang w:val="en-US" w:eastAsia="zh-CN"/>
        </w:rPr>
        <w:t>应</w:t>
      </w:r>
      <w:r>
        <w:rPr>
          <w:rFonts w:hint="eastAsia"/>
          <w:sz w:val="21"/>
          <w:szCs w:val="21"/>
        </w:rPr>
        <w:t>完成自检，自检合格后方可进行调试。</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rPr>
        <w:t>将采暖炉前燃气阀门打开，关闭采暖热水炉燃气阀门，用发泡剂或检漏仪检查燃气管道和接头，不应有燃气泄漏。</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lang w:val="en-US" w:eastAsia="zh-CN"/>
        </w:rPr>
        <w:t>检查</w:t>
      </w:r>
      <w:r>
        <w:rPr>
          <w:rFonts w:hint="eastAsia"/>
          <w:sz w:val="21"/>
          <w:szCs w:val="21"/>
        </w:rPr>
        <w:t>采暖炉进气接口安装封印</w:t>
      </w:r>
      <w:r>
        <w:rPr>
          <w:rFonts w:hint="eastAsia"/>
          <w:sz w:val="21"/>
          <w:szCs w:val="21"/>
          <w:lang w:val="en-US" w:eastAsia="zh-CN"/>
        </w:rPr>
        <w:t>是否</w:t>
      </w:r>
      <w:r>
        <w:rPr>
          <w:rFonts w:hint="eastAsia"/>
          <w:sz w:val="21"/>
          <w:szCs w:val="21"/>
        </w:rPr>
        <w:t>完整。</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rPr>
        <w:t>系统调试时，应确保补水阀门关闭，其他阀门开启。开启热水龙头10s~15s，连续点火测试3次，如果点火不正常，应立即终止试运行，关闭燃气阀门，并进行检查，点火运行正常后才能进行试运行。</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rPr>
        <w:t>采暖炉</w:t>
      </w:r>
      <w:r>
        <w:rPr>
          <w:rFonts w:hint="eastAsia"/>
          <w:sz w:val="21"/>
          <w:szCs w:val="21"/>
          <w:lang w:val="en-US" w:eastAsia="zh-CN"/>
        </w:rPr>
        <w:t>运行</w:t>
      </w:r>
      <w:r>
        <w:rPr>
          <w:rFonts w:hint="eastAsia"/>
          <w:sz w:val="21"/>
          <w:szCs w:val="21"/>
        </w:rPr>
        <w:t>和模式切换应平稳、无异常振动与声响。</w:t>
      </w:r>
    </w:p>
    <w:p>
      <w:pPr>
        <w:pageBreakBefore w:val="0"/>
        <w:numPr>
          <w:ilvl w:val="0"/>
          <w:numId w:val="116"/>
        </w:numPr>
        <w:wordWrap/>
        <w:overflowPunct/>
        <w:topLinePunct w:val="0"/>
        <w:bidi w:val="0"/>
        <w:spacing w:line="240" w:lineRule="auto"/>
        <w:ind w:firstLine="420" w:firstLineChars="200"/>
        <w:rPr>
          <w:sz w:val="21"/>
          <w:szCs w:val="21"/>
        </w:rPr>
      </w:pPr>
      <w:r>
        <w:rPr>
          <w:rFonts w:hint="eastAsia"/>
          <w:sz w:val="21"/>
          <w:szCs w:val="21"/>
        </w:rPr>
        <w:t>开启最近的热水龙头到最大热水输出，燃气采暖热水炉应在3s左右切换到热水模式，持续运行2mn，出水温度应保持平稳。</w:t>
      </w:r>
    </w:p>
    <w:p>
      <w:pPr>
        <w:pStyle w:val="3"/>
        <w:numPr>
          <w:ilvl w:val="0"/>
          <w:numId w:val="111"/>
        </w:numPr>
        <w:bidi w:val="0"/>
        <w:ind w:left="0" w:leftChars="0" w:firstLine="0" w:firstLineChars="0"/>
        <w:rPr>
          <w:rFonts w:hint="eastAsia"/>
        </w:rPr>
      </w:pPr>
      <w:bookmarkStart w:id="120" w:name="bookmark27"/>
      <w:bookmarkEnd w:id="120"/>
      <w:bookmarkStart w:id="121" w:name="_Toc27410"/>
      <w:r>
        <w:t>竣工验收</w:t>
      </w:r>
      <w:bookmarkEnd w:id="121"/>
    </w:p>
    <w:p>
      <w:pPr>
        <w:pageBreakBefore w:val="0"/>
        <w:numPr>
          <w:ilvl w:val="0"/>
          <w:numId w:val="117"/>
        </w:numPr>
        <w:wordWrap/>
        <w:overflowPunct/>
        <w:topLinePunct w:val="0"/>
        <w:bidi w:val="0"/>
        <w:spacing w:line="240" w:lineRule="auto"/>
        <w:ind w:left="0" w:leftChars="0" w:firstLine="0" w:firstLineChars="0"/>
        <w:rPr>
          <w:rFonts w:hint="eastAsia"/>
          <w:sz w:val="21"/>
          <w:szCs w:val="21"/>
        </w:rPr>
      </w:pPr>
      <w:r>
        <w:rPr>
          <w:rFonts w:hint="eastAsia"/>
          <w:sz w:val="21"/>
          <w:szCs w:val="21"/>
        </w:rPr>
        <w:t>竣工验收应在供暖系统性能调试运行合格后进行。</w:t>
      </w:r>
    </w:p>
    <w:p>
      <w:pPr>
        <w:pageBreakBefore w:val="0"/>
        <w:numPr>
          <w:ilvl w:val="0"/>
          <w:numId w:val="117"/>
        </w:numPr>
        <w:wordWrap/>
        <w:overflowPunct/>
        <w:topLinePunct w:val="0"/>
        <w:bidi w:val="0"/>
        <w:spacing w:line="240" w:lineRule="auto"/>
        <w:ind w:left="0" w:leftChars="0" w:firstLine="0" w:firstLineChars="0"/>
        <w:rPr>
          <w:rFonts w:hint="eastAsia" w:eastAsia="宋体"/>
          <w:sz w:val="21"/>
          <w:szCs w:val="21"/>
          <w:lang w:val="en-US" w:eastAsia="zh-CN"/>
        </w:rPr>
      </w:pPr>
      <w:r>
        <w:rPr>
          <w:rFonts w:hint="eastAsia" w:eastAsia="宋体"/>
          <w:sz w:val="21"/>
          <w:szCs w:val="21"/>
          <w:lang w:val="en-US" w:eastAsia="zh-CN"/>
        </w:rPr>
        <w:t>竣工验收应根据用户类型按下列规定组织：</w:t>
      </w:r>
    </w:p>
    <w:p>
      <w:pPr>
        <w:keepNext w:val="0"/>
        <w:keepLines w:val="0"/>
        <w:pageBreakBefore w:val="0"/>
        <w:widowControl w:val="0"/>
        <w:numPr>
          <w:ilvl w:val="0"/>
          <w:numId w:val="118"/>
        </w:numPr>
        <w:kinsoku/>
        <w:wordWrap/>
        <w:overflowPunct/>
        <w:topLinePunct w:val="0"/>
        <w:autoSpaceDE w:val="0"/>
        <w:autoSpaceDN w:val="0"/>
        <w:bidi w:val="0"/>
        <w:adjustRightInd w:val="0"/>
        <w:snapToGrid w:val="0"/>
        <w:spacing w:line="240" w:lineRule="auto"/>
        <w:ind w:firstLine="420" w:firstLineChars="200"/>
        <w:textAlignment w:val="auto"/>
        <w:rPr>
          <w:rFonts w:hint="eastAsia" w:eastAsia="宋体"/>
          <w:sz w:val="21"/>
          <w:szCs w:val="21"/>
          <w:lang w:val="en-US" w:eastAsia="zh-CN"/>
        </w:rPr>
      </w:pPr>
      <w:r>
        <w:rPr>
          <w:rFonts w:hint="eastAsia" w:eastAsia="宋体"/>
          <w:sz w:val="21"/>
          <w:szCs w:val="21"/>
        </w:rPr>
        <w:t>单位用户供暖系统竣工后，由建设单位组织施工单位的项目负责人、</w:t>
      </w:r>
      <w:r>
        <w:rPr>
          <w:rFonts w:hint="eastAsia" w:eastAsia="宋体"/>
          <w:sz w:val="21"/>
          <w:szCs w:val="21"/>
          <w:lang w:val="en-US" w:eastAsia="zh-CN"/>
        </w:rPr>
        <w:t>设计人员、</w:t>
      </w:r>
      <w:r>
        <w:rPr>
          <w:rFonts w:hint="eastAsia" w:eastAsia="宋体"/>
          <w:sz w:val="21"/>
          <w:szCs w:val="21"/>
        </w:rPr>
        <w:t>施工人员验收</w:t>
      </w:r>
      <w:r>
        <w:rPr>
          <w:rFonts w:hint="eastAsia" w:eastAsia="宋体"/>
          <w:sz w:val="21"/>
          <w:szCs w:val="21"/>
          <w:lang w:eastAsia="zh-CN"/>
        </w:rPr>
        <w:t>。</w:t>
      </w:r>
    </w:p>
    <w:p>
      <w:pPr>
        <w:pageBreakBefore w:val="0"/>
        <w:numPr>
          <w:ilvl w:val="0"/>
          <w:numId w:val="118"/>
        </w:numPr>
        <w:wordWrap/>
        <w:overflowPunct/>
        <w:topLinePunct w:val="0"/>
        <w:bidi w:val="0"/>
        <w:spacing w:line="240" w:lineRule="auto"/>
        <w:ind w:firstLine="420" w:firstLineChars="200"/>
        <w:rPr>
          <w:rFonts w:hint="eastAsia" w:eastAsia="宋体"/>
          <w:sz w:val="21"/>
          <w:szCs w:val="21"/>
        </w:rPr>
      </w:pPr>
      <w:r>
        <w:rPr>
          <w:rFonts w:hint="eastAsia" w:eastAsia="宋体"/>
          <w:sz w:val="21"/>
          <w:szCs w:val="21"/>
        </w:rPr>
        <w:t>个人用户供暖系统竣工后，由施工项目负责人组织</w:t>
      </w:r>
      <w:r>
        <w:rPr>
          <w:rFonts w:hint="eastAsia" w:eastAsia="宋体"/>
          <w:sz w:val="21"/>
          <w:szCs w:val="21"/>
          <w:lang w:val="en-US" w:eastAsia="zh-CN"/>
        </w:rPr>
        <w:t>用户、</w:t>
      </w:r>
      <w:r>
        <w:rPr>
          <w:rFonts w:hint="eastAsia" w:eastAsia="宋体"/>
          <w:sz w:val="21"/>
          <w:szCs w:val="21"/>
        </w:rPr>
        <w:t>施工人员验收。</w:t>
      </w:r>
    </w:p>
    <w:p>
      <w:pPr>
        <w:pageBreakBefore w:val="0"/>
        <w:numPr>
          <w:ilvl w:val="0"/>
          <w:numId w:val="117"/>
        </w:numPr>
        <w:wordWrap/>
        <w:overflowPunct/>
        <w:topLinePunct w:val="0"/>
        <w:bidi w:val="0"/>
        <w:spacing w:line="240" w:lineRule="auto"/>
        <w:ind w:left="0" w:leftChars="0" w:firstLine="0" w:firstLineChars="0"/>
        <w:rPr>
          <w:rFonts w:hint="eastAsia"/>
          <w:sz w:val="21"/>
          <w:szCs w:val="21"/>
          <w:lang w:val="en-US" w:eastAsia="zh-CN"/>
        </w:rPr>
      </w:pPr>
      <w:r>
        <w:rPr>
          <w:rFonts w:hint="eastAsia"/>
          <w:sz w:val="21"/>
          <w:szCs w:val="21"/>
          <w:lang w:val="en-US" w:eastAsia="zh-CN"/>
        </w:rPr>
        <w:t>竣工验收时，施工单位应提供下列文件：</w:t>
      </w:r>
    </w:p>
    <w:p>
      <w:pPr>
        <w:keepNext w:val="0"/>
        <w:keepLines w:val="0"/>
        <w:pageBreakBefore w:val="0"/>
        <w:widowControl w:val="0"/>
        <w:numPr>
          <w:ilvl w:val="0"/>
          <w:numId w:val="119"/>
        </w:numPr>
        <w:kinsoku/>
        <w:wordWrap/>
        <w:overflowPunct/>
        <w:topLinePunct w:val="0"/>
        <w:autoSpaceDE w:val="0"/>
        <w:autoSpaceDN w:val="0"/>
        <w:bidi w:val="0"/>
        <w:adjustRightInd w:val="0"/>
        <w:snapToGrid w:val="0"/>
        <w:spacing w:line="240" w:lineRule="auto"/>
        <w:ind w:firstLine="420" w:firstLineChars="200"/>
        <w:textAlignment w:val="auto"/>
        <w:rPr>
          <w:sz w:val="21"/>
          <w:szCs w:val="21"/>
        </w:rPr>
      </w:pPr>
      <w:r>
        <w:rPr>
          <w:rFonts w:hint="eastAsia"/>
          <w:sz w:val="21"/>
          <w:szCs w:val="21"/>
        </w:rPr>
        <w:t>施工图、竣工图、设计及变更文件；</w:t>
      </w:r>
    </w:p>
    <w:p>
      <w:pPr>
        <w:pageBreakBefore w:val="0"/>
        <w:numPr>
          <w:ilvl w:val="0"/>
          <w:numId w:val="119"/>
        </w:numPr>
        <w:wordWrap/>
        <w:overflowPunct/>
        <w:topLinePunct w:val="0"/>
        <w:bidi w:val="0"/>
        <w:spacing w:line="240" w:lineRule="auto"/>
        <w:ind w:firstLine="420" w:firstLineChars="200"/>
        <w:rPr>
          <w:sz w:val="21"/>
          <w:szCs w:val="21"/>
        </w:rPr>
      </w:pPr>
      <w:r>
        <w:rPr>
          <w:rFonts w:hint="eastAsia"/>
          <w:sz w:val="21"/>
          <w:szCs w:val="21"/>
        </w:rPr>
        <w:t>主要设备和管材、配件等主要材料的出厂合格证及检验报告；</w:t>
      </w:r>
    </w:p>
    <w:p>
      <w:pPr>
        <w:pageBreakBefore w:val="0"/>
        <w:numPr>
          <w:ilvl w:val="0"/>
          <w:numId w:val="119"/>
        </w:numPr>
        <w:wordWrap/>
        <w:overflowPunct/>
        <w:topLinePunct w:val="0"/>
        <w:bidi w:val="0"/>
        <w:spacing w:line="240" w:lineRule="auto"/>
        <w:ind w:firstLine="420" w:firstLineChars="200"/>
        <w:rPr>
          <w:sz w:val="21"/>
          <w:szCs w:val="21"/>
        </w:rPr>
      </w:pPr>
      <w:r>
        <w:rPr>
          <w:rFonts w:hint="eastAsia"/>
          <w:sz w:val="21"/>
          <w:szCs w:val="21"/>
          <w:lang w:val="en-US" w:eastAsia="zh-CN"/>
        </w:rPr>
        <w:t>中间质量检验自查评定记录</w:t>
      </w:r>
      <w:r>
        <w:rPr>
          <w:rFonts w:hint="eastAsia"/>
          <w:sz w:val="21"/>
          <w:szCs w:val="21"/>
        </w:rPr>
        <w:t>（见附录 B）；</w:t>
      </w:r>
    </w:p>
    <w:p>
      <w:pPr>
        <w:pageBreakBefore w:val="0"/>
        <w:numPr>
          <w:ilvl w:val="0"/>
          <w:numId w:val="119"/>
        </w:numPr>
        <w:wordWrap/>
        <w:overflowPunct/>
        <w:topLinePunct w:val="0"/>
        <w:bidi w:val="0"/>
        <w:spacing w:line="240" w:lineRule="auto"/>
        <w:ind w:firstLine="420" w:firstLineChars="200"/>
        <w:rPr>
          <w:color w:val="auto"/>
          <w:sz w:val="21"/>
          <w:szCs w:val="21"/>
        </w:rPr>
      </w:pPr>
      <w:r>
        <w:rPr>
          <w:rFonts w:hint="eastAsia"/>
          <w:color w:val="auto"/>
          <w:sz w:val="21"/>
          <w:szCs w:val="21"/>
        </w:rPr>
        <w:t>供暖系统试运行和调试验收单（见附录 C）；</w:t>
      </w:r>
    </w:p>
    <w:p>
      <w:pPr>
        <w:pageBreakBefore w:val="0"/>
        <w:numPr>
          <w:ilvl w:val="0"/>
          <w:numId w:val="119"/>
        </w:numPr>
        <w:wordWrap/>
        <w:overflowPunct/>
        <w:topLinePunct w:val="0"/>
        <w:bidi w:val="0"/>
        <w:spacing w:line="240" w:lineRule="auto"/>
        <w:ind w:firstLine="420" w:firstLineChars="200"/>
        <w:rPr>
          <w:sz w:val="21"/>
          <w:szCs w:val="21"/>
        </w:rPr>
      </w:pPr>
      <w:r>
        <w:rPr>
          <w:rFonts w:hint="eastAsia"/>
          <w:sz w:val="21"/>
          <w:szCs w:val="21"/>
        </w:rPr>
        <w:t>保温材料和</w:t>
      </w:r>
      <w:r>
        <w:rPr>
          <w:rFonts w:hint="eastAsia"/>
          <w:sz w:val="21"/>
          <w:szCs w:val="21"/>
          <w:lang w:val="en-US" w:eastAsia="zh-CN"/>
        </w:rPr>
        <w:t>用户指定</w:t>
      </w:r>
      <w:r>
        <w:rPr>
          <w:rFonts w:hint="eastAsia"/>
          <w:sz w:val="21"/>
          <w:szCs w:val="21"/>
        </w:rPr>
        <w:t>产品的现场复</w:t>
      </w:r>
      <w:r>
        <w:rPr>
          <w:rFonts w:hint="eastAsia"/>
          <w:sz w:val="21"/>
          <w:szCs w:val="21"/>
          <w:lang w:val="en-US" w:eastAsia="zh-CN"/>
        </w:rPr>
        <w:t>检</w:t>
      </w:r>
      <w:r>
        <w:rPr>
          <w:rFonts w:hint="eastAsia"/>
          <w:sz w:val="21"/>
          <w:szCs w:val="21"/>
        </w:rPr>
        <w:t>报告</w:t>
      </w:r>
      <w:r>
        <w:rPr>
          <w:rFonts w:hint="eastAsia"/>
          <w:sz w:val="21"/>
          <w:szCs w:val="21"/>
          <w:lang w:eastAsia="zh-CN"/>
        </w:rPr>
        <w:t>（</w:t>
      </w:r>
      <w:r>
        <w:rPr>
          <w:rFonts w:hint="eastAsia"/>
          <w:sz w:val="21"/>
          <w:szCs w:val="21"/>
          <w:lang w:val="en-US" w:eastAsia="zh-CN"/>
        </w:rPr>
        <w:t>适用于单位用户）</w:t>
      </w:r>
      <w:r>
        <w:rPr>
          <w:rFonts w:hint="eastAsia"/>
          <w:sz w:val="21"/>
          <w:szCs w:val="21"/>
        </w:rPr>
        <w:t>；</w:t>
      </w:r>
    </w:p>
    <w:p>
      <w:pPr>
        <w:pageBreakBefore w:val="0"/>
        <w:numPr>
          <w:ilvl w:val="0"/>
          <w:numId w:val="119"/>
        </w:numPr>
        <w:wordWrap/>
        <w:overflowPunct/>
        <w:topLinePunct w:val="0"/>
        <w:bidi w:val="0"/>
        <w:spacing w:line="240" w:lineRule="auto"/>
        <w:ind w:firstLine="420" w:firstLineChars="200"/>
        <w:rPr>
          <w:sz w:val="21"/>
          <w:szCs w:val="21"/>
        </w:rPr>
      </w:pPr>
      <w:r>
        <w:rPr>
          <w:rFonts w:hint="eastAsia"/>
          <w:sz w:val="21"/>
          <w:szCs w:val="21"/>
        </w:rPr>
        <w:t>供暖系统使用维护说明书。</w:t>
      </w:r>
    </w:p>
    <w:p>
      <w:pPr>
        <w:pageBreakBefore w:val="0"/>
        <w:wordWrap/>
        <w:overflowPunct/>
        <w:topLinePunct w:val="0"/>
        <w:bidi w:val="0"/>
        <w:spacing w:line="240" w:lineRule="auto"/>
        <w:ind w:firstLine="420" w:firstLineChars="200"/>
        <w:rPr>
          <w:sz w:val="21"/>
          <w:szCs w:val="21"/>
        </w:rPr>
      </w:pPr>
      <w:r>
        <w:rPr>
          <w:rFonts w:hint="eastAsia"/>
          <w:sz w:val="21"/>
          <w:szCs w:val="21"/>
        </w:rPr>
        <w:t>注：竣工图和工程使用维护说明书</w:t>
      </w:r>
      <w:r>
        <w:rPr>
          <w:rFonts w:hint="eastAsia"/>
          <w:sz w:val="21"/>
          <w:szCs w:val="21"/>
          <w:lang w:val="en-US" w:eastAsia="zh-CN"/>
        </w:rPr>
        <w:t>应</w:t>
      </w:r>
      <w:r>
        <w:rPr>
          <w:rFonts w:hint="eastAsia"/>
          <w:sz w:val="21"/>
          <w:szCs w:val="21"/>
        </w:rPr>
        <w:t>向用户各提供一份。</w:t>
      </w:r>
    </w:p>
    <w:p>
      <w:pPr>
        <w:pStyle w:val="105"/>
        <w:pageBreakBefore w:val="0"/>
        <w:wordWrap/>
        <w:overflowPunct/>
        <w:topLinePunct w:val="0"/>
        <w:bidi w:val="0"/>
        <w:spacing w:before="312" w:after="312" w:line="240" w:lineRule="auto"/>
        <w:rPr>
          <w:rFonts w:hint="eastAsia" w:hAnsi="Times New Roman" w:cs="Times New Roman"/>
          <w:szCs w:val="21"/>
        </w:rPr>
      </w:pPr>
      <w:bookmarkStart w:id="122" w:name="bookmark28"/>
      <w:bookmarkEnd w:id="122"/>
      <w:bookmarkStart w:id="123" w:name="_Toc9706"/>
      <w:bookmarkStart w:id="124" w:name="_Toc30727"/>
      <w:bookmarkStart w:id="125" w:name="_Toc5063"/>
      <w:bookmarkStart w:id="126" w:name="_Toc29577"/>
      <w:bookmarkStart w:id="127" w:name="_Toc29045"/>
      <w:r>
        <w:rPr>
          <w:rFonts w:hint="eastAsia" w:hAnsi="Times New Roman" w:cs="Times New Roman"/>
          <w:szCs w:val="21"/>
        </w:rPr>
        <w:t>运行与维护</w:t>
      </w:r>
      <w:bookmarkEnd w:id="123"/>
      <w:bookmarkEnd w:id="124"/>
      <w:bookmarkEnd w:id="125"/>
      <w:bookmarkEnd w:id="126"/>
      <w:bookmarkEnd w:id="127"/>
    </w:p>
    <w:p>
      <w:pPr>
        <w:pageBreakBefore w:val="0"/>
        <w:numPr>
          <w:ilvl w:val="0"/>
          <w:numId w:val="120"/>
        </w:numPr>
        <w:wordWrap/>
        <w:overflowPunct/>
        <w:topLinePunct w:val="0"/>
        <w:bidi w:val="0"/>
        <w:spacing w:line="240" w:lineRule="auto"/>
        <w:ind w:left="0" w:leftChars="0" w:firstLine="0" w:firstLineChars="0"/>
        <w:rPr>
          <w:sz w:val="21"/>
          <w:szCs w:val="21"/>
        </w:rPr>
      </w:pPr>
      <w:r>
        <w:rPr>
          <w:rFonts w:hint="eastAsia"/>
          <w:sz w:val="21"/>
          <w:szCs w:val="21"/>
        </w:rPr>
        <w:t>供暖系统首次运行注水前应充分排气。系统每年首次运行时，</w:t>
      </w:r>
      <w:r>
        <w:rPr>
          <w:rFonts w:hint="eastAsia"/>
          <w:sz w:val="21"/>
          <w:szCs w:val="21"/>
          <w:lang w:val="en-US" w:eastAsia="zh-CN"/>
        </w:rPr>
        <w:t>应</w:t>
      </w:r>
      <w:r>
        <w:rPr>
          <w:rFonts w:hint="eastAsia"/>
          <w:sz w:val="21"/>
          <w:szCs w:val="21"/>
        </w:rPr>
        <w:t>确保户外户内阀门开启到位，过滤器无堵塞，进回水放气通畅，供暖系统加热管内或散热器内无气堵。</w:t>
      </w:r>
    </w:p>
    <w:p>
      <w:pPr>
        <w:pageBreakBefore w:val="0"/>
        <w:numPr>
          <w:ilvl w:val="0"/>
          <w:numId w:val="120"/>
        </w:numPr>
        <w:wordWrap/>
        <w:overflowPunct/>
        <w:topLinePunct w:val="0"/>
        <w:bidi w:val="0"/>
        <w:spacing w:line="240" w:lineRule="auto"/>
        <w:ind w:left="0" w:leftChars="0" w:firstLine="0" w:firstLineChars="0"/>
        <w:rPr>
          <w:color w:val="auto"/>
          <w:sz w:val="21"/>
          <w:szCs w:val="21"/>
        </w:rPr>
      </w:pPr>
      <w:r>
        <w:rPr>
          <w:rFonts w:hint="eastAsia"/>
          <w:sz w:val="21"/>
          <w:szCs w:val="21"/>
        </w:rPr>
        <w:t>供暖系统加热管在非供暖季应进行满水保护</w:t>
      </w:r>
      <w:r>
        <w:rPr>
          <w:rFonts w:hint="eastAsia"/>
          <w:sz w:val="21"/>
          <w:szCs w:val="21"/>
          <w:lang w:eastAsia="zh-CN"/>
        </w:rPr>
        <w:t>，</w:t>
      </w:r>
      <w:r>
        <w:rPr>
          <w:rFonts w:hint="eastAsia"/>
          <w:sz w:val="21"/>
          <w:szCs w:val="21"/>
        </w:rPr>
        <w:t>在室温低于</w:t>
      </w:r>
      <w:r>
        <w:rPr>
          <w:sz w:val="21"/>
          <w:szCs w:val="21"/>
        </w:rPr>
        <w:t>0</w:t>
      </w:r>
      <w:r>
        <w:rPr>
          <w:sz w:val="21"/>
          <w:szCs w:val="21"/>
          <w:vertAlign w:val="superscript"/>
        </w:rPr>
        <w:t>0</w:t>
      </w:r>
      <w:r>
        <w:rPr>
          <w:sz w:val="21"/>
          <w:szCs w:val="21"/>
        </w:rPr>
        <w:t xml:space="preserve"> </w:t>
      </w:r>
      <w:r>
        <w:rPr>
          <w:rFonts w:hint="eastAsia"/>
          <w:sz w:val="21"/>
          <w:szCs w:val="21"/>
        </w:rPr>
        <w:t>C前应</w:t>
      </w:r>
      <w:r>
        <w:rPr>
          <w:rFonts w:hint="eastAsia"/>
          <w:color w:val="auto"/>
          <w:sz w:val="21"/>
          <w:szCs w:val="21"/>
        </w:rPr>
        <w:t>采取排水防冻措施应排水泄压</w:t>
      </w:r>
      <w:r>
        <w:rPr>
          <w:rFonts w:hint="eastAsia"/>
          <w:color w:val="auto"/>
          <w:sz w:val="21"/>
          <w:szCs w:val="21"/>
          <w:lang w:eastAsia="zh-CN"/>
        </w:rPr>
        <w:t>。</w:t>
      </w:r>
    </w:p>
    <w:p>
      <w:pPr>
        <w:pageBreakBefore w:val="0"/>
        <w:numPr>
          <w:ilvl w:val="0"/>
          <w:numId w:val="120"/>
        </w:numPr>
        <w:wordWrap/>
        <w:overflowPunct/>
        <w:topLinePunct w:val="0"/>
        <w:bidi w:val="0"/>
        <w:spacing w:line="240" w:lineRule="auto"/>
        <w:ind w:left="0" w:leftChars="0" w:firstLine="0" w:firstLineChars="0"/>
        <w:rPr>
          <w:color w:val="auto"/>
          <w:sz w:val="21"/>
          <w:szCs w:val="21"/>
        </w:rPr>
      </w:pPr>
      <w:r>
        <w:rPr>
          <w:rFonts w:hint="eastAsia"/>
          <w:color w:val="auto"/>
          <w:sz w:val="21"/>
          <w:szCs w:val="21"/>
        </w:rPr>
        <w:t>供暖系统每年供暖期使用前，应检查温控器及电路系统是否正常。</w:t>
      </w:r>
    </w:p>
    <w:p>
      <w:pPr>
        <w:pageBreakBefore w:val="0"/>
        <w:numPr>
          <w:ilvl w:val="0"/>
          <w:numId w:val="120"/>
        </w:numPr>
        <w:wordWrap/>
        <w:overflowPunct/>
        <w:topLinePunct w:val="0"/>
        <w:bidi w:val="0"/>
        <w:spacing w:line="240" w:lineRule="auto"/>
        <w:ind w:left="0" w:leftChars="0" w:firstLine="0" w:firstLineChars="0"/>
        <w:rPr>
          <w:rFonts w:hint="eastAsia"/>
          <w:sz w:val="28"/>
          <w:szCs w:val="28"/>
        </w:rPr>
      </w:pPr>
      <w:r>
        <w:rPr>
          <w:rFonts w:hint="eastAsia"/>
          <w:color w:val="auto"/>
          <w:sz w:val="21"/>
          <w:szCs w:val="21"/>
        </w:rPr>
        <w:t>采暖炉应按产品使用说明书维护和使用，供暖系统应按使用维护说明书操作使用。</w:t>
      </w:r>
    </w:p>
    <w:p>
      <w:pPr>
        <w:pStyle w:val="105"/>
        <w:pageBreakBefore w:val="0"/>
        <w:wordWrap/>
        <w:overflowPunct/>
        <w:topLinePunct w:val="0"/>
        <w:bidi w:val="0"/>
        <w:spacing w:before="312" w:after="312" w:line="240" w:lineRule="auto"/>
        <w:rPr>
          <w:rFonts w:hint="eastAsia" w:hAnsi="Times New Roman" w:cs="Times New Roman"/>
          <w:szCs w:val="21"/>
        </w:rPr>
      </w:pPr>
      <w:bookmarkStart w:id="128" w:name="_Toc4912"/>
      <w:bookmarkStart w:id="129" w:name="_Toc27403"/>
      <w:r>
        <w:rPr>
          <w:rFonts w:hint="eastAsia" w:hAnsi="Times New Roman" w:cs="Times New Roman"/>
          <w:szCs w:val="21"/>
          <w:lang w:val="en-US" w:eastAsia="zh-CN"/>
        </w:rPr>
        <w:t>标准</w:t>
      </w:r>
      <w:r>
        <w:rPr>
          <w:rFonts w:hint="eastAsia" w:hAnsi="Times New Roman" w:cs="Times New Roman"/>
          <w:szCs w:val="21"/>
        </w:rPr>
        <w:t>实施</w:t>
      </w:r>
      <w:bookmarkEnd w:id="128"/>
      <w:r>
        <w:rPr>
          <w:rFonts w:hint="eastAsia" w:hAnsi="Times New Roman" w:cs="Times New Roman"/>
          <w:szCs w:val="21"/>
          <w:lang w:val="en-US" w:eastAsia="zh-CN"/>
        </w:rPr>
        <w:t>及评价</w:t>
      </w:r>
      <w:bookmarkEnd w:id="129"/>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30" w:name="_Toc28219"/>
      <w:bookmarkStart w:id="131" w:name="_Toc19911"/>
      <w:bookmarkStart w:id="132" w:name="_Toc6860"/>
      <w:r>
        <w:rPr>
          <w:rFonts w:hint="eastAsia" w:ascii="黑体" w:hAnsi="黑体" w:eastAsia="黑体" w:cs="黑体"/>
          <w:highlight w:val="none"/>
        </w:rPr>
        <w:t>标准实施准备。</w:t>
      </w:r>
      <w:r>
        <w:rPr>
          <w:rFonts w:hint="eastAsia" w:ascii="宋体" w:hAnsi="宋体" w:eastAsia="宋体" w:cs="宋体"/>
          <w:highlight w:val="none"/>
        </w:rPr>
        <w:t>结合实际，认真做好标准实施准备，依据供暖施工类型和现场条件，制定供暖系统安装作业设计和方案准备，明确施工单位、项目负责人及安装人员职责，并对相关人员开展标准培训，重点规范施工流程，保证施工质量，做好组织准备和知识准备，并按相关要求配备齐全的安装工具及符合国家标准的材料，做好手段准备和物质条件准备。</w:t>
      </w:r>
      <w:bookmarkEnd w:id="130"/>
      <w:bookmarkEnd w:id="131"/>
      <w:bookmarkEnd w:id="132"/>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33" w:name="_Toc13229"/>
      <w:bookmarkStart w:id="134" w:name="_Toc5528"/>
      <w:bookmarkStart w:id="135" w:name="_Toc14137"/>
      <w:r>
        <w:rPr>
          <w:rFonts w:hint="eastAsia" w:ascii="黑体" w:hAnsi="黑体" w:eastAsia="黑体" w:cs="黑体"/>
          <w:highlight w:val="none"/>
        </w:rPr>
        <w:t>标准实施方案。</w:t>
      </w:r>
      <w:r>
        <w:rPr>
          <w:rFonts w:hint="eastAsia" w:ascii="宋体" w:hAnsi="宋体" w:eastAsia="宋体" w:cs="宋体"/>
          <w:highlight w:val="none"/>
        </w:rPr>
        <w:t>本方案适用于湖北地区燃气分户供暖系统安装及调试全过程，覆盖输配管网施工、供暖系统末端安装、温控装置安装、采暖炉安装及竣工验收全流程。从组织、制度、资金、人员、设备仪器等方面提供实施保障，按照施工设计、材料准备、施工过程、调试与竣工验收的流程，合理配置管材、阀门、温控器件、采暖炉、资金、人员、设备等资源，严控输配管网安装质量、末端安装位置、温控装置校准、采暖炉安全间距等控制点，同时加强施工安全及环境保护等注意事项。</w:t>
      </w:r>
      <w:bookmarkEnd w:id="133"/>
      <w:bookmarkEnd w:id="134"/>
      <w:bookmarkEnd w:id="135"/>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36" w:name="_Toc14220"/>
      <w:bookmarkStart w:id="137" w:name="_Toc23184"/>
      <w:bookmarkStart w:id="138" w:name="_Toc2929"/>
      <w:r>
        <w:rPr>
          <w:rFonts w:hint="eastAsia" w:ascii="黑体" w:hAnsi="黑体" w:eastAsia="黑体" w:cs="黑体"/>
          <w:highlight w:val="none"/>
        </w:rPr>
        <w:t>标准宣贯培训。</w:t>
      </w:r>
      <w:r>
        <w:rPr>
          <w:rFonts w:hint="eastAsia" w:ascii="宋体" w:hAnsi="宋体" w:eastAsia="宋体" w:cs="宋体"/>
          <w:highlight w:val="none"/>
        </w:rPr>
        <w:t>面向施工单位管理人员、技术人员、施工班组长及一线作业人员等相关方，对不同岗位职责开展针对性培训，明确各环节的责任人与职责边界，通过现场演示、实操考核等方式确保作业人员掌握技术要领和质量安全要求，落实岗位责任制，保障标准规范实施。</w:t>
      </w:r>
      <w:bookmarkEnd w:id="136"/>
      <w:bookmarkEnd w:id="137"/>
      <w:bookmarkEnd w:id="138"/>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39" w:name="_Toc30802"/>
      <w:bookmarkStart w:id="140" w:name="_Toc4076"/>
      <w:bookmarkStart w:id="141" w:name="_Toc11164"/>
      <w:r>
        <w:rPr>
          <w:rFonts w:hint="eastAsia" w:ascii="黑体" w:hAnsi="黑体" w:eastAsia="黑体" w:cs="黑体"/>
          <w:highlight w:val="none"/>
        </w:rPr>
        <w:t>标准实施。</w:t>
      </w:r>
      <w:r>
        <w:rPr>
          <w:rFonts w:hint="eastAsia" w:ascii="宋体" w:hAnsi="宋体" w:eastAsia="宋体" w:cs="宋体"/>
          <w:highlight w:val="none"/>
        </w:rPr>
        <w:t>本标准实施于燃气分户供暖系统安装及验收活动，严格落实国家环境保护、安全生产及质量验收相关要求，维护施工安全，保障工程质量。实施过程需确保施工设计、材料规格、安装参数等计量数据准确统一，推动输配管网、末端装置、温控系统和采暖炉安装质量稳步提升，通过全过程评价记录，确保过程可追溯。</w:t>
      </w:r>
      <w:bookmarkEnd w:id="139"/>
      <w:bookmarkEnd w:id="140"/>
      <w:bookmarkEnd w:id="141"/>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42" w:name="_Toc700"/>
      <w:bookmarkStart w:id="143" w:name="_Toc20181"/>
      <w:bookmarkStart w:id="144" w:name="_Toc25475"/>
      <w:r>
        <w:rPr>
          <w:rFonts w:hint="eastAsia" w:ascii="黑体" w:hAnsi="黑体" w:eastAsia="黑体" w:cs="黑体"/>
          <w:highlight w:val="none"/>
        </w:rPr>
        <w:t>标准实施检查。</w:t>
      </w:r>
      <w:r>
        <w:rPr>
          <w:rFonts w:hint="eastAsia" w:ascii="宋体" w:hAnsi="宋体" w:eastAsia="宋体" w:cs="宋体"/>
          <w:highlight w:val="none"/>
        </w:rPr>
        <w:t>检查标准实施所需的人员技术配备、施工装备、物资材料等支持条件情况，核查施工类型和现场条件，确保安装措施与实际状况相匹配，逐条检查标准实施内容的落实情况，并记录未实施内容的理由或原因。做好标准实施验证记录，畅通标准实施信息采集的方式方法和反馈渠道，定期整理并处理收集到的意见建议。</w:t>
      </w:r>
      <w:bookmarkEnd w:id="142"/>
      <w:bookmarkEnd w:id="143"/>
      <w:bookmarkEnd w:id="144"/>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45" w:name="_Toc290"/>
      <w:bookmarkStart w:id="146" w:name="_Toc21139"/>
      <w:bookmarkStart w:id="147" w:name="_Toc11165"/>
      <w:r>
        <w:rPr>
          <w:rFonts w:hint="eastAsia" w:ascii="黑体" w:hAnsi="黑体" w:eastAsia="黑体" w:cs="黑体"/>
          <w:highlight w:val="none"/>
        </w:rPr>
        <w:t>标准实施评价。</w:t>
      </w:r>
      <w:r>
        <w:rPr>
          <w:rFonts w:hint="eastAsia" w:ascii="宋体" w:hAnsi="宋体" w:eastAsia="宋体" w:cs="宋体"/>
          <w:highlight w:val="none"/>
        </w:rPr>
        <w:t>按年度进行综合评价。对照实施方案及本标准的技术要求，评价输配管网施工质量、末端装置安装效果、温控装置运行准确性及采暖炉安全性能是否达标；系统运行稳定性、供暖效率和节能效果是否满足设计要求；施工过程是否节约了材料与人工成本。同时评价安装过程中出现的安全、质量等实际问题。综合评价中有关检测验收的技术方法参照相关国家标准执行。</w:t>
      </w:r>
      <w:bookmarkEnd w:id="145"/>
      <w:bookmarkEnd w:id="146"/>
      <w:bookmarkEnd w:id="147"/>
    </w:p>
    <w:p>
      <w:pPr>
        <w:pStyle w:val="106"/>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highlight w:val="none"/>
        </w:rPr>
      </w:pPr>
      <w:bookmarkStart w:id="148" w:name="_Toc1900"/>
      <w:bookmarkStart w:id="149" w:name="_Toc27813"/>
      <w:bookmarkStart w:id="150" w:name="_Toc13274"/>
      <w:r>
        <w:rPr>
          <w:rFonts w:hint="eastAsia" w:ascii="黑体" w:hAnsi="黑体" w:eastAsia="黑体" w:cs="黑体"/>
          <w:highlight w:val="none"/>
        </w:rPr>
        <w:t>标准修订。</w:t>
      </w:r>
      <w:r>
        <w:rPr>
          <w:rFonts w:hint="eastAsia" w:ascii="宋体" w:hAnsi="宋体" w:eastAsia="宋体" w:cs="宋体"/>
          <w:highlight w:val="none"/>
        </w:rPr>
        <w:t>标准实施后，对照实施方案开展效果评价，总结产业成效、质量提升与规范化水平等成果，分析存在问题与薄弱环节，从技术革新、绿色生产、效益提升等方面开展有益性评价，为标准修订优化提供依据。适时向专业标准化技术委员会和标准归口管理单位反馈实施情况，提出标准推广应用、修订、补充、完善或废止等意见建议。</w:t>
      </w:r>
      <w:bookmarkEnd w:id="148"/>
      <w:bookmarkEnd w:id="149"/>
      <w:bookmarkEnd w:id="150"/>
    </w:p>
    <w:p>
      <w:pPr>
        <w:pStyle w:val="106"/>
        <w:pageBreakBefore w:val="0"/>
        <w:wordWrap/>
        <w:overflowPunct/>
        <w:topLinePunct w:val="0"/>
        <w:bidi w:val="0"/>
        <w:spacing w:line="240" w:lineRule="auto"/>
        <w:ind w:left="0" w:leftChars="0" w:firstLine="0" w:firstLineChars="0"/>
        <w:rPr>
          <w:rFonts w:hint="eastAsia" w:ascii="宋体" w:hAnsi="宋体" w:eastAsia="宋体" w:cs="宋体"/>
        </w:rPr>
      </w:pPr>
      <w:bookmarkStart w:id="151" w:name="_Toc25651"/>
      <w:bookmarkStart w:id="152" w:name="_Toc30505"/>
      <w:bookmarkStart w:id="153" w:name="_Toc10646"/>
      <w:r>
        <w:rPr>
          <w:rFonts w:hint="eastAsia" w:ascii="黑体" w:hAnsi="黑体" w:eastAsia="黑体" w:cs="黑体"/>
          <w:highlight w:val="none"/>
        </w:rPr>
        <w:t>标准实施信息及意见反馈表相关示例见附录D。</w:t>
      </w:r>
      <w:bookmarkEnd w:id="151"/>
      <w:bookmarkEnd w:id="152"/>
      <w:bookmarkEnd w:id="153"/>
    </w:p>
    <w:p>
      <w:pPr>
        <w:numPr>
          <w:ilvl w:val="-1"/>
          <w:numId w:val="0"/>
        </w:numPr>
        <w:spacing w:line="360" w:lineRule="auto"/>
        <w:ind w:firstLine="0"/>
        <w:rPr>
          <w:color w:val="auto"/>
          <w:sz w:val="21"/>
          <w:szCs w:val="21"/>
        </w:rPr>
      </w:pPr>
    </w:p>
    <w:p>
      <w:pPr>
        <w:spacing w:line="360" w:lineRule="auto"/>
        <w:rPr>
          <w:sz w:val="28"/>
          <w:szCs w:val="28"/>
        </w:rPr>
      </w:pPr>
      <w:bookmarkStart w:id="154" w:name="_Toc29487"/>
      <w:r>
        <w:rPr>
          <w:rFonts w:hint="eastAsia"/>
          <w:sz w:val="28"/>
          <w:szCs w:val="28"/>
        </w:rPr>
        <w:br w:type="page"/>
      </w:r>
    </w:p>
    <w:bookmarkEnd w:id="154"/>
    <w:p>
      <w:pPr>
        <w:pStyle w:val="232"/>
        <w:spacing w:line="360" w:lineRule="auto"/>
        <w:ind w:left="4394" w:hanging="5046" w:hangingChars="2175"/>
        <w:jc w:val="center"/>
        <w:rPr>
          <w:rFonts w:hint="eastAsia"/>
          <w:sz w:val="24"/>
          <w:szCs w:val="24"/>
        </w:rPr>
        <w:sectPr>
          <w:footerReference r:id="rId13" w:type="default"/>
          <w:pgSz w:w="11906" w:h="16838"/>
          <w:pgMar w:top="1928" w:right="1134" w:bottom="1134" w:left="1134" w:header="1338" w:footer="850" w:gutter="0"/>
          <w:pgNumType w:fmt="decimal" w:start="1"/>
          <w:cols w:space="0" w:num="1"/>
          <w:docGrid w:linePitch="312" w:charSpace="0"/>
        </w:sectPr>
      </w:pPr>
      <w:bookmarkStart w:id="155" w:name="_Toc4465"/>
      <w:bookmarkStart w:id="156" w:name="_Toc204"/>
      <w:bookmarkStart w:id="157" w:name="_Toc1492"/>
    </w:p>
    <w:p>
      <w:pPr>
        <w:pStyle w:val="232"/>
        <w:spacing w:line="240" w:lineRule="auto"/>
        <w:ind w:left="4394" w:hanging="4393" w:hangingChars="2175"/>
        <w:jc w:val="center"/>
        <w:rPr>
          <w:rFonts w:hint="eastAsia"/>
          <w:sz w:val="21"/>
          <w:szCs w:val="21"/>
        </w:rPr>
      </w:pPr>
      <w:bookmarkStart w:id="158" w:name="_Toc7804"/>
      <w:bookmarkStart w:id="159" w:name="_Toc21339"/>
      <w:r>
        <w:rPr>
          <w:rFonts w:hint="eastAsia"/>
          <w:sz w:val="21"/>
          <w:szCs w:val="21"/>
        </w:rPr>
        <w:t>附录A</w:t>
      </w:r>
      <w:bookmarkEnd w:id="155"/>
      <w:bookmarkEnd w:id="156"/>
      <w:bookmarkEnd w:id="157"/>
      <w:bookmarkEnd w:id="158"/>
      <w:bookmarkEnd w:id="159"/>
    </w:p>
    <w:p>
      <w:pPr>
        <w:spacing w:after="48" w:line="240" w:lineRule="auto"/>
        <w:jc w:val="center"/>
        <w:rPr>
          <w:rFonts w:hint="eastAsia" w:ascii="黑体" w:hAnsi="黑体" w:eastAsia="黑体" w:cs="黑体"/>
          <w:sz w:val="21"/>
          <w:szCs w:val="21"/>
        </w:rPr>
      </w:pPr>
      <w:bookmarkStart w:id="160" w:name="_Toc15933"/>
      <w:r>
        <w:rPr>
          <w:rFonts w:hint="eastAsia" w:ascii="黑体" w:hAnsi="黑体" w:eastAsia="黑体" w:cs="黑体"/>
          <w:spacing w:val="7"/>
          <w:sz w:val="21"/>
          <w:szCs w:val="21"/>
        </w:rPr>
        <w:t>（资料性）</w:t>
      </w:r>
      <w:bookmarkEnd w:id="160"/>
    </w:p>
    <w:p>
      <w:pPr>
        <w:spacing w:after="48" w:line="360" w:lineRule="auto"/>
        <w:jc w:val="center"/>
        <w:rPr>
          <w:rFonts w:hint="eastAsia" w:ascii="黑体" w:hAnsi="黑体" w:eastAsia="黑体" w:cs="黑体"/>
          <w:spacing w:val="7"/>
          <w:sz w:val="21"/>
          <w:szCs w:val="21"/>
        </w:rPr>
      </w:pPr>
      <w:bookmarkStart w:id="161" w:name="bookmark29"/>
      <w:bookmarkEnd w:id="161"/>
      <w:bookmarkStart w:id="162" w:name="_Toc2718"/>
      <w:r>
        <w:rPr>
          <w:rFonts w:hint="eastAsia" w:ascii="黑体" w:hAnsi="黑体" w:eastAsia="黑体" w:cs="黑体"/>
          <w:spacing w:val="7"/>
          <w:sz w:val="21"/>
          <w:szCs w:val="21"/>
        </w:rPr>
        <w:t>室内计算温度tn推荐值</w:t>
      </w:r>
      <w:bookmarkEnd w:id="162"/>
    </w:p>
    <w:p>
      <w:pPr>
        <w:spacing w:line="360" w:lineRule="auto"/>
        <w:jc w:val="left"/>
        <w:rPr>
          <w:rFonts w:hint="eastAsia" w:eastAsia="宋体"/>
          <w:color w:val="auto"/>
          <w:sz w:val="21"/>
          <w:szCs w:val="21"/>
          <w:lang w:eastAsia="zh-CN"/>
        </w:rPr>
      </w:pPr>
      <w:r>
        <w:rPr>
          <w:rFonts w:hint="eastAsia"/>
          <w:color w:val="auto"/>
          <w:sz w:val="21"/>
          <w:szCs w:val="21"/>
        </w:rPr>
        <w:t>室内计算温度tn推荐值</w:t>
      </w:r>
      <w:r>
        <w:rPr>
          <w:rFonts w:hint="eastAsia"/>
          <w:sz w:val="21"/>
          <w:szCs w:val="21"/>
          <w:lang w:val="en-US" w:eastAsia="zh-CN"/>
        </w:rPr>
        <w:t>如</w:t>
      </w:r>
      <w:r>
        <w:rPr>
          <w:rFonts w:hint="eastAsia"/>
          <w:color w:val="auto"/>
          <w:sz w:val="21"/>
          <w:szCs w:val="21"/>
        </w:rPr>
        <w:t>表</w:t>
      </w:r>
      <w:r>
        <w:rPr>
          <w:rFonts w:hint="eastAsia"/>
          <w:color w:val="auto"/>
          <w:sz w:val="21"/>
          <w:szCs w:val="21"/>
          <w:lang w:val="en-US" w:eastAsia="zh-CN"/>
        </w:rPr>
        <w:t>A</w:t>
      </w:r>
      <w:r>
        <w:rPr>
          <w:rFonts w:hint="eastAsia"/>
          <w:color w:val="auto"/>
          <w:sz w:val="21"/>
          <w:szCs w:val="21"/>
        </w:rPr>
        <w:t>.</w:t>
      </w:r>
      <w:r>
        <w:rPr>
          <w:rFonts w:hint="eastAsia"/>
          <w:color w:val="auto"/>
          <w:sz w:val="21"/>
          <w:szCs w:val="21"/>
          <w:lang w:val="en-US" w:eastAsia="zh-CN"/>
        </w:rPr>
        <w:t>1</w:t>
      </w:r>
      <w:r>
        <w:rPr>
          <w:rFonts w:hint="eastAsia"/>
          <w:sz w:val="21"/>
          <w:szCs w:val="21"/>
          <w:lang w:val="en-US" w:eastAsia="zh-CN"/>
        </w:rPr>
        <w:t>所示</w:t>
      </w:r>
      <w:r>
        <w:rPr>
          <w:rFonts w:hint="eastAsia"/>
          <w:color w:val="auto"/>
          <w:sz w:val="21"/>
          <w:szCs w:val="21"/>
        </w:rPr>
        <w:t>。</w:t>
      </w:r>
    </w:p>
    <w:p>
      <w:pPr>
        <w:spacing w:line="360" w:lineRule="auto"/>
        <w:jc w:val="center"/>
        <w:rPr>
          <w:rFonts w:hint="eastAsia" w:ascii="黑体" w:hAnsi="黑体" w:eastAsia="黑体" w:cs="黑体"/>
          <w:spacing w:val="7"/>
          <w:sz w:val="21"/>
          <w:szCs w:val="21"/>
        </w:rPr>
      </w:pPr>
      <w:r>
        <w:rPr>
          <w:rFonts w:hint="eastAsia" w:ascii="黑体" w:hAnsi="黑体" w:eastAsia="黑体" w:cs="黑体"/>
          <w:sz w:val="21"/>
          <w:szCs w:val="21"/>
        </w:rPr>
        <w:t>表</w:t>
      </w:r>
      <w:r>
        <w:rPr>
          <w:rFonts w:hint="eastAsia" w:ascii="黑体" w:hAnsi="黑体" w:eastAsia="黑体" w:cs="黑体"/>
          <w:sz w:val="21"/>
          <w:szCs w:val="21"/>
          <w:lang w:val="en-US" w:eastAsia="zh-CN"/>
        </w:rPr>
        <w:t>A</w:t>
      </w:r>
      <w:r>
        <w:rPr>
          <w:rFonts w:hint="eastAsia" w:ascii="黑体" w:hAnsi="黑体" w:eastAsia="黑体" w:cs="黑体"/>
          <w:sz w:val="21"/>
          <w:szCs w:val="21"/>
        </w:rPr>
        <w:t>.</w:t>
      </w:r>
      <w:r>
        <w:rPr>
          <w:rFonts w:hint="eastAsia" w:ascii="黑体" w:hAnsi="黑体" w:eastAsia="黑体" w:cs="黑体"/>
          <w:sz w:val="21"/>
          <w:szCs w:val="21"/>
          <w:lang w:val="en-US" w:eastAsia="zh-CN"/>
        </w:rPr>
        <w:t xml:space="preserve">1 </w:t>
      </w:r>
      <w:r>
        <w:rPr>
          <w:rFonts w:hint="eastAsia" w:ascii="黑体" w:hAnsi="黑体" w:eastAsia="黑体" w:cs="黑体"/>
          <w:spacing w:val="7"/>
          <w:sz w:val="21"/>
          <w:szCs w:val="21"/>
        </w:rPr>
        <w:t>室内计算温度tn推荐值</w:t>
      </w:r>
    </w:p>
    <w:tbl>
      <w:tblPr>
        <w:tblStyle w:val="26"/>
        <w:tblW w:w="4885" w:type="pct"/>
        <w:jc w:val="center"/>
        <w:tblLayout w:type="autofit"/>
        <w:tblCellMar>
          <w:top w:w="0" w:type="dxa"/>
          <w:left w:w="108" w:type="dxa"/>
          <w:bottom w:w="0" w:type="dxa"/>
          <w:right w:w="108" w:type="dxa"/>
        </w:tblCellMar>
      </w:tblPr>
      <w:tblGrid>
        <w:gridCol w:w="6823"/>
        <w:gridCol w:w="2527"/>
      </w:tblGrid>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single" w:color="auto" w:sz="4" w:space="0"/>
              <w:right w:val="single" w:color="auto" w:sz="4" w:space="0"/>
            </w:tcBorders>
            <w:vAlign w:val="center"/>
          </w:tcPr>
          <w:p>
            <w:pPr>
              <w:adjustRightInd/>
              <w:snapToGrid/>
              <w:spacing w:after="48" w:line="240" w:lineRule="auto"/>
              <w:jc w:val="center"/>
              <w:rPr>
                <w:rFonts w:hint="eastAsia" w:ascii="仿宋_GB2312" w:hAnsi="宋体" w:cs="宋体"/>
                <w:sz w:val="18"/>
                <w:szCs w:val="18"/>
              </w:rPr>
            </w:pPr>
            <w:r>
              <w:rPr>
                <w:rFonts w:hint="eastAsia" w:ascii="仿宋_GB2312" w:hAnsi="宋体" w:cs="宋体"/>
                <w:sz w:val="18"/>
                <w:szCs w:val="18"/>
              </w:rPr>
              <w:t>建筑类型及房间名称</w:t>
            </w:r>
          </w:p>
        </w:tc>
        <w:tc>
          <w:tcPr>
            <w:tcW w:w="1351" w:type="pct"/>
            <w:tcBorders>
              <w:top w:val="single" w:color="auto" w:sz="4" w:space="0"/>
              <w:left w:val="nil"/>
              <w:bottom w:val="single" w:color="auto" w:sz="4" w:space="0"/>
              <w:right w:val="single" w:color="auto" w:sz="4" w:space="0"/>
            </w:tcBorders>
            <w:vAlign w:val="center"/>
          </w:tcPr>
          <w:p>
            <w:pPr>
              <w:adjustRightInd/>
              <w:snapToGrid/>
              <w:spacing w:after="48" w:line="240" w:lineRule="auto"/>
              <w:jc w:val="center"/>
              <w:rPr>
                <w:rFonts w:hint="eastAsia" w:ascii="仿宋_GB2312" w:hAnsi="宋体" w:cs="宋体"/>
                <w:sz w:val="18"/>
                <w:szCs w:val="18"/>
              </w:rPr>
            </w:pPr>
            <w:r>
              <w:rPr>
                <w:rFonts w:hint="eastAsia" w:ascii="仿宋_GB2312" w:hAnsi="宋体" w:cs="宋体"/>
                <w:sz w:val="18"/>
                <w:szCs w:val="18"/>
              </w:rPr>
              <w:t>室内温度</w:t>
            </w:r>
            <w:r>
              <w:rPr>
                <w:rFonts w:hint="eastAsia" w:ascii="仿宋_GB2312" w:hAnsi="Times New Roman" w:cs="Times New Roman"/>
                <w:sz w:val="18"/>
                <w:szCs w:val="18"/>
              </w:rPr>
              <w:t>/℃</w:t>
            </w:r>
          </w:p>
        </w:tc>
      </w:tr>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nil"/>
              <w:right w:val="single" w:color="auto" w:sz="4" w:space="0"/>
            </w:tcBorders>
            <w:vAlign w:val="center"/>
          </w:tcPr>
          <w:p>
            <w:pPr>
              <w:adjustRightInd/>
              <w:snapToGrid/>
              <w:spacing w:after="48" w:line="240" w:lineRule="auto"/>
              <w:jc w:val="left"/>
              <w:rPr>
                <w:rFonts w:ascii="仿宋_GB2312" w:hAnsi="Times New Roman" w:cs="Times New Roman"/>
                <w:sz w:val="18"/>
                <w:szCs w:val="18"/>
              </w:rPr>
            </w:pPr>
            <w:r>
              <w:rPr>
                <w:rFonts w:hint="eastAsia" w:ascii="仿宋_GB2312" w:hAnsi="Times New Roman" w:cs="Times New Roman"/>
                <w:sz w:val="18"/>
                <w:szCs w:val="18"/>
              </w:rPr>
              <w:t xml:space="preserve">1  </w:t>
            </w:r>
            <w:r>
              <w:rPr>
                <w:rFonts w:hint="eastAsia" w:ascii="仿宋_GB2312" w:hAnsi="宋体" w:cs="Times New Roman"/>
                <w:sz w:val="18"/>
                <w:szCs w:val="18"/>
              </w:rPr>
              <w:t>普通住宅</w:t>
            </w:r>
          </w:p>
        </w:tc>
        <w:tc>
          <w:tcPr>
            <w:tcW w:w="1351" w:type="pct"/>
            <w:tcBorders>
              <w:top w:val="single" w:color="auto" w:sz="4" w:space="0"/>
              <w:left w:val="nil"/>
              <w:bottom w:val="nil"/>
              <w:right w:val="single" w:color="auto" w:sz="4" w:space="0"/>
            </w:tcBorders>
            <w:vAlign w:val="center"/>
          </w:tcPr>
          <w:p>
            <w:pPr>
              <w:adjustRightInd/>
              <w:snapToGrid/>
              <w:spacing w:after="48" w:line="240" w:lineRule="auto"/>
              <w:jc w:val="center"/>
              <w:rPr>
                <w:rFonts w:ascii="仿宋_GB2312" w:hAnsi="Times New Roman" w:cs="Times New Roman"/>
                <w:sz w:val="18"/>
                <w:szCs w:val="18"/>
              </w:rPr>
            </w:pP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vAlign w:val="center"/>
          </w:tcPr>
          <w:p>
            <w:pPr>
              <w:adjustRightInd/>
              <w:snapToGrid/>
              <w:spacing w:after="48" w:line="240" w:lineRule="auto"/>
              <w:jc w:val="left"/>
              <w:rPr>
                <w:rFonts w:hint="eastAsia" w:ascii="仿宋_GB2312" w:hAnsi="宋体" w:cs="宋体"/>
                <w:sz w:val="18"/>
                <w:szCs w:val="18"/>
              </w:rPr>
            </w:pPr>
            <w:r>
              <w:rPr>
                <w:rFonts w:hint="eastAsia" w:ascii="仿宋_GB2312" w:hAnsi="宋体" w:cs="宋体"/>
                <w:sz w:val="18"/>
                <w:szCs w:val="18"/>
              </w:rPr>
              <w:t>卧室、起居室</w:t>
            </w:r>
          </w:p>
        </w:tc>
        <w:tc>
          <w:tcPr>
            <w:tcW w:w="1351" w:type="pct"/>
            <w:tcBorders>
              <w:top w:val="nil"/>
              <w:left w:val="nil"/>
              <w:bottom w:val="nil"/>
              <w:right w:val="single" w:color="auto" w:sz="4" w:space="0"/>
            </w:tcBorders>
            <w:vAlign w:val="center"/>
          </w:tcPr>
          <w:p>
            <w:pPr>
              <w:adjustRightInd/>
              <w:snapToGrid/>
              <w:spacing w:after="48" w:line="240" w:lineRule="auto"/>
              <w:jc w:val="center"/>
              <w:rPr>
                <w:rFonts w:ascii="仿宋_GB2312" w:hAnsi="Times New Roman" w:cs="Times New Roman"/>
                <w:sz w:val="18"/>
                <w:szCs w:val="18"/>
              </w:rPr>
            </w:pPr>
            <w:r>
              <w:rPr>
                <w:rFonts w:hint="eastAsia" w:ascii="仿宋_GB2312" w:hAnsi="Times New Roman" w:cs="Times New Roman"/>
                <w:sz w:val="18"/>
                <w:szCs w:val="18"/>
              </w:rPr>
              <w:t>18</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vAlign w:val="center"/>
          </w:tcPr>
          <w:p>
            <w:pPr>
              <w:adjustRightInd/>
              <w:snapToGrid/>
              <w:spacing w:after="48" w:line="240" w:lineRule="auto"/>
              <w:jc w:val="left"/>
              <w:rPr>
                <w:rFonts w:hint="eastAsia" w:ascii="仿宋_GB2312" w:hAnsi="宋体" w:cs="宋体"/>
                <w:sz w:val="18"/>
                <w:szCs w:val="18"/>
              </w:rPr>
            </w:pPr>
            <w:r>
              <w:rPr>
                <w:rFonts w:hint="eastAsia" w:ascii="仿宋_GB2312" w:hAnsi="宋体" w:cs="宋体"/>
                <w:sz w:val="18"/>
                <w:szCs w:val="18"/>
              </w:rPr>
              <w:t>无淋浴设备的卫生间</w:t>
            </w:r>
          </w:p>
        </w:tc>
        <w:tc>
          <w:tcPr>
            <w:tcW w:w="1351" w:type="pct"/>
            <w:tcBorders>
              <w:top w:val="nil"/>
              <w:left w:val="nil"/>
              <w:bottom w:val="nil"/>
              <w:right w:val="single" w:color="auto" w:sz="4" w:space="0"/>
            </w:tcBorders>
            <w:vAlign w:val="center"/>
          </w:tcPr>
          <w:p>
            <w:pPr>
              <w:adjustRightInd/>
              <w:snapToGrid/>
              <w:spacing w:after="48" w:line="240" w:lineRule="auto"/>
              <w:jc w:val="center"/>
              <w:rPr>
                <w:rFonts w:ascii="仿宋_GB2312" w:hAnsi="Times New Roman" w:cs="Times New Roman"/>
                <w:sz w:val="18"/>
                <w:szCs w:val="18"/>
              </w:rPr>
            </w:pPr>
            <w:r>
              <w:rPr>
                <w:rFonts w:hint="eastAsia" w:ascii="仿宋_GB2312" w:hAnsi="Times New Roman" w:cs="Times New Roman"/>
                <w:sz w:val="18"/>
                <w:szCs w:val="18"/>
              </w:rPr>
              <w:t>16</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single" w:color="auto" w:sz="4" w:space="0"/>
              <w:right w:val="single" w:color="auto" w:sz="4" w:space="0"/>
            </w:tcBorders>
            <w:vAlign w:val="center"/>
          </w:tcPr>
          <w:p>
            <w:pPr>
              <w:adjustRightInd/>
              <w:snapToGrid/>
              <w:spacing w:after="48" w:line="240" w:lineRule="auto"/>
              <w:jc w:val="left"/>
              <w:rPr>
                <w:rFonts w:hint="eastAsia" w:ascii="仿宋_GB2312" w:hAnsi="宋体" w:cs="宋体"/>
                <w:sz w:val="18"/>
                <w:szCs w:val="18"/>
              </w:rPr>
            </w:pPr>
            <w:r>
              <w:rPr>
                <w:rFonts w:hint="eastAsia" w:ascii="仿宋_GB2312" w:hAnsi="宋体" w:cs="宋体"/>
                <w:sz w:val="18"/>
                <w:szCs w:val="18"/>
              </w:rPr>
              <w:t>厨房</w:t>
            </w:r>
          </w:p>
        </w:tc>
        <w:tc>
          <w:tcPr>
            <w:tcW w:w="1351" w:type="pct"/>
            <w:tcBorders>
              <w:top w:val="nil"/>
              <w:left w:val="nil"/>
              <w:bottom w:val="single" w:color="auto" w:sz="4" w:space="0"/>
              <w:right w:val="single" w:color="auto" w:sz="4" w:space="0"/>
            </w:tcBorders>
            <w:vAlign w:val="center"/>
          </w:tcPr>
          <w:p>
            <w:pPr>
              <w:adjustRightInd/>
              <w:snapToGrid/>
              <w:spacing w:after="48" w:line="240" w:lineRule="auto"/>
              <w:jc w:val="center"/>
              <w:rPr>
                <w:rFonts w:hint="eastAsia" w:ascii="仿宋_GB2312" w:hAnsi="Times New Roman" w:eastAsia="宋体" w:cs="Times New Roman"/>
                <w:sz w:val="18"/>
                <w:szCs w:val="18"/>
                <w:lang w:eastAsia="zh-CN"/>
              </w:rPr>
            </w:pPr>
            <w:r>
              <w:rPr>
                <w:rFonts w:hint="eastAsia" w:ascii="仿宋_GB2312" w:hAnsi="Times New Roman" w:cs="Times New Roman"/>
                <w:sz w:val="18"/>
                <w:szCs w:val="18"/>
              </w:rPr>
              <w:t>1</w:t>
            </w:r>
            <w:r>
              <w:rPr>
                <w:rFonts w:hint="eastAsia" w:ascii="仿宋_GB2312" w:hAnsi="Times New Roman" w:cs="Times New Roman"/>
                <w:sz w:val="18"/>
                <w:szCs w:val="18"/>
                <w:lang w:val="en-US" w:eastAsia="zh-CN"/>
              </w:rPr>
              <w:t>6</w:t>
            </w:r>
          </w:p>
        </w:tc>
      </w:tr>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nil"/>
              <w:right w:val="single" w:color="auto" w:sz="4" w:space="0"/>
            </w:tcBorders>
            <w:shd w:val="clear" w:color="auto" w:fill="auto"/>
            <w:vAlign w:val="center"/>
          </w:tcPr>
          <w:p>
            <w:pPr>
              <w:adjustRightInd/>
              <w:snapToGrid/>
              <w:spacing w:after="48" w:line="240" w:lineRule="auto"/>
              <w:jc w:val="left"/>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lang w:val="en-US" w:eastAsia="zh-CN"/>
              </w:rPr>
              <w:t>2</w:t>
            </w:r>
            <w:r>
              <w:rPr>
                <w:rFonts w:hint="eastAsia" w:ascii="仿宋_GB2312" w:hAnsi="Times New Roman" w:cs="Times New Roman"/>
                <w:sz w:val="18"/>
                <w:szCs w:val="18"/>
              </w:rPr>
              <w:t xml:space="preserve">  </w:t>
            </w:r>
            <w:r>
              <w:rPr>
                <w:rFonts w:hint="eastAsia" w:ascii="仿宋_GB2312" w:hAnsi="宋体" w:cs="Times New Roman"/>
                <w:sz w:val="18"/>
                <w:szCs w:val="18"/>
              </w:rPr>
              <w:t>高级住宅、公寓</w:t>
            </w:r>
          </w:p>
        </w:tc>
        <w:tc>
          <w:tcPr>
            <w:tcW w:w="1351" w:type="pct"/>
            <w:tcBorders>
              <w:top w:val="single" w:color="auto" w:sz="4" w:space="0"/>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卧室、起居室、书房、餐厅</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18</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有沐浴设备的卫生间</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23</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single" w:color="auto" w:sz="4" w:space="0"/>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厨房</w:t>
            </w:r>
          </w:p>
        </w:tc>
        <w:tc>
          <w:tcPr>
            <w:tcW w:w="1351" w:type="pct"/>
            <w:tcBorders>
              <w:top w:val="nil"/>
              <w:left w:val="nil"/>
              <w:bottom w:val="single" w:color="auto" w:sz="4" w:space="0"/>
              <w:right w:val="single" w:color="auto" w:sz="4" w:space="0"/>
            </w:tcBorders>
            <w:shd w:val="clear" w:color="auto" w:fill="auto"/>
            <w:vAlign w:val="center"/>
          </w:tcPr>
          <w:p>
            <w:pPr>
              <w:adjustRightInd/>
              <w:snapToGrid/>
              <w:spacing w:after="48" w:line="240" w:lineRule="auto"/>
              <w:jc w:val="center"/>
              <w:rPr>
                <w:rFonts w:hint="eastAsia"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w:t>
            </w:r>
            <w:r>
              <w:rPr>
                <w:rFonts w:hint="eastAsia" w:ascii="仿宋_GB2312" w:hAnsi="Times New Roman" w:cs="Times New Roman"/>
                <w:sz w:val="18"/>
                <w:szCs w:val="18"/>
                <w:lang w:val="en-US" w:eastAsia="zh-CN"/>
              </w:rPr>
              <w:t>6</w:t>
            </w:r>
          </w:p>
        </w:tc>
      </w:tr>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nil"/>
              <w:right w:val="single" w:color="auto" w:sz="4" w:space="0"/>
            </w:tcBorders>
            <w:shd w:val="clear" w:color="auto" w:fill="auto"/>
            <w:vAlign w:val="center"/>
          </w:tcPr>
          <w:p>
            <w:pPr>
              <w:adjustRightInd/>
              <w:snapToGrid/>
              <w:spacing w:after="48" w:line="240" w:lineRule="auto"/>
              <w:jc w:val="left"/>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lang w:val="en-US" w:eastAsia="zh-CN"/>
              </w:rPr>
              <w:t>3</w:t>
            </w:r>
            <w:r>
              <w:rPr>
                <w:rFonts w:hint="eastAsia" w:ascii="仿宋_GB2312" w:hAnsi="Times New Roman" w:cs="Times New Roman"/>
                <w:sz w:val="18"/>
                <w:szCs w:val="18"/>
              </w:rPr>
              <w:t xml:space="preserve">  </w:t>
            </w:r>
            <w:r>
              <w:rPr>
                <w:rFonts w:hint="eastAsia" w:ascii="仿宋_GB2312" w:hAnsi="宋体" w:cs="Times New Roman"/>
                <w:sz w:val="18"/>
                <w:szCs w:val="18"/>
              </w:rPr>
              <w:t>幼儿园、托儿所</w:t>
            </w:r>
          </w:p>
        </w:tc>
        <w:tc>
          <w:tcPr>
            <w:tcW w:w="1351" w:type="pct"/>
            <w:tcBorders>
              <w:top w:val="single" w:color="auto" w:sz="4" w:space="0"/>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活动室、卧室、乳儿室、喂奶、隔离室、医务室、办公室</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20</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single" w:color="auto" w:sz="4" w:space="0"/>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浴室及其更衣</w:t>
            </w:r>
          </w:p>
        </w:tc>
        <w:tc>
          <w:tcPr>
            <w:tcW w:w="1351" w:type="pct"/>
            <w:tcBorders>
              <w:top w:val="nil"/>
              <w:left w:val="nil"/>
              <w:bottom w:val="single" w:color="auto" w:sz="4" w:space="0"/>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25</w:t>
            </w:r>
          </w:p>
        </w:tc>
      </w:tr>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nil"/>
              <w:right w:val="single" w:color="auto" w:sz="4" w:space="0"/>
            </w:tcBorders>
            <w:shd w:val="clear" w:color="auto" w:fill="auto"/>
            <w:vAlign w:val="center"/>
          </w:tcPr>
          <w:p>
            <w:pPr>
              <w:adjustRightInd/>
              <w:snapToGrid/>
              <w:spacing w:after="48" w:line="240" w:lineRule="auto"/>
              <w:jc w:val="left"/>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lang w:val="en-US" w:eastAsia="zh-CN"/>
              </w:rPr>
              <w:t>4</w:t>
            </w:r>
            <w:r>
              <w:rPr>
                <w:rFonts w:hint="eastAsia" w:ascii="仿宋_GB2312" w:hAnsi="Times New Roman" w:cs="Times New Roman"/>
                <w:sz w:val="18"/>
                <w:szCs w:val="18"/>
              </w:rPr>
              <w:t xml:space="preserve">  </w:t>
            </w:r>
            <w:r>
              <w:rPr>
                <w:rFonts w:hint="eastAsia" w:ascii="仿宋_GB2312" w:hAnsi="宋体" w:cs="Times New Roman"/>
                <w:sz w:val="18"/>
                <w:szCs w:val="18"/>
              </w:rPr>
              <w:t>旅馆、招待所</w:t>
            </w:r>
          </w:p>
        </w:tc>
        <w:tc>
          <w:tcPr>
            <w:tcW w:w="1351" w:type="pct"/>
            <w:tcBorders>
              <w:top w:val="single" w:color="auto" w:sz="4" w:space="0"/>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大厅、接待室</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16</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客房、办公室</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18</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single" w:color="auto" w:sz="4" w:space="0"/>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餐厅、会议室</w:t>
            </w:r>
          </w:p>
        </w:tc>
        <w:tc>
          <w:tcPr>
            <w:tcW w:w="1351" w:type="pct"/>
            <w:tcBorders>
              <w:top w:val="nil"/>
              <w:left w:val="nil"/>
              <w:bottom w:val="single" w:color="auto" w:sz="4" w:space="0"/>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18</w:t>
            </w:r>
          </w:p>
        </w:tc>
      </w:tr>
      <w:tr>
        <w:tblPrEx>
          <w:tblCellMar>
            <w:top w:w="0" w:type="dxa"/>
            <w:left w:w="108" w:type="dxa"/>
            <w:bottom w:w="0" w:type="dxa"/>
            <w:right w:w="108" w:type="dxa"/>
          </w:tblCellMar>
        </w:tblPrEx>
        <w:trPr>
          <w:trHeight w:val="510" w:hRule="atLeast"/>
          <w:tblHeader/>
          <w:jc w:val="center"/>
        </w:trPr>
        <w:tc>
          <w:tcPr>
            <w:tcW w:w="3648" w:type="pct"/>
            <w:tcBorders>
              <w:top w:val="single" w:color="auto" w:sz="4" w:space="0"/>
              <w:left w:val="single" w:color="auto" w:sz="4" w:space="0"/>
              <w:bottom w:val="nil"/>
              <w:right w:val="single" w:color="auto" w:sz="4" w:space="0"/>
            </w:tcBorders>
            <w:shd w:val="clear" w:color="auto" w:fill="auto"/>
            <w:vAlign w:val="center"/>
          </w:tcPr>
          <w:p>
            <w:pPr>
              <w:adjustRightInd/>
              <w:snapToGrid/>
              <w:spacing w:after="48" w:line="240" w:lineRule="auto"/>
              <w:jc w:val="left"/>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lang w:val="en-US" w:eastAsia="zh-CN"/>
              </w:rPr>
              <w:t>5</w:t>
            </w:r>
            <w:r>
              <w:rPr>
                <w:rFonts w:hint="eastAsia" w:ascii="仿宋_GB2312" w:hAnsi="Times New Roman" w:cs="Times New Roman"/>
                <w:sz w:val="18"/>
                <w:szCs w:val="18"/>
              </w:rPr>
              <w:t xml:space="preserve">  </w:t>
            </w:r>
            <w:r>
              <w:rPr>
                <w:rFonts w:hint="eastAsia" w:ascii="仿宋_GB2312" w:hAnsi="Times New Roman" w:cs="Times New Roman"/>
                <w:sz w:val="18"/>
                <w:szCs w:val="18"/>
                <w:lang w:val="en-US" w:eastAsia="zh-CN"/>
              </w:rPr>
              <w:t>小型</w:t>
            </w:r>
            <w:r>
              <w:rPr>
                <w:rFonts w:hint="eastAsia" w:ascii="仿宋_GB2312" w:hAnsi="宋体" w:cs="Times New Roman"/>
                <w:sz w:val="18"/>
                <w:szCs w:val="18"/>
              </w:rPr>
              <w:t>商业</w:t>
            </w:r>
          </w:p>
        </w:tc>
        <w:tc>
          <w:tcPr>
            <w:tcW w:w="1351" w:type="pct"/>
            <w:tcBorders>
              <w:top w:val="single" w:color="auto" w:sz="4" w:space="0"/>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nil"/>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营业厅（百货、书籍）</w:t>
            </w:r>
          </w:p>
        </w:tc>
        <w:tc>
          <w:tcPr>
            <w:tcW w:w="1351" w:type="pct"/>
            <w:tcBorders>
              <w:top w:val="nil"/>
              <w:left w:val="nil"/>
              <w:bottom w:val="nil"/>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16</w:t>
            </w:r>
          </w:p>
        </w:tc>
      </w:tr>
      <w:tr>
        <w:tblPrEx>
          <w:tblCellMar>
            <w:top w:w="0" w:type="dxa"/>
            <w:left w:w="108" w:type="dxa"/>
            <w:bottom w:w="0" w:type="dxa"/>
            <w:right w:w="108" w:type="dxa"/>
          </w:tblCellMar>
        </w:tblPrEx>
        <w:trPr>
          <w:trHeight w:val="510" w:hRule="atLeast"/>
          <w:tblHeader/>
          <w:jc w:val="center"/>
        </w:trPr>
        <w:tc>
          <w:tcPr>
            <w:tcW w:w="3648" w:type="pct"/>
            <w:tcBorders>
              <w:top w:val="nil"/>
              <w:left w:val="single" w:color="auto" w:sz="4" w:space="0"/>
              <w:bottom w:val="single" w:color="auto" w:sz="4" w:space="0"/>
              <w:right w:val="single" w:color="auto" w:sz="4" w:space="0"/>
            </w:tcBorders>
            <w:shd w:val="clear" w:color="auto" w:fill="auto"/>
            <w:vAlign w:val="center"/>
          </w:tcPr>
          <w:p>
            <w:pPr>
              <w:adjustRightInd/>
              <w:snapToGrid/>
              <w:spacing w:after="48" w:line="240" w:lineRule="auto"/>
              <w:jc w:val="left"/>
              <w:rPr>
                <w:rFonts w:hint="eastAsia" w:ascii="仿宋_GB2312" w:hAnsi="宋体" w:eastAsia="宋体" w:cs="宋体"/>
                <w:kern w:val="2"/>
                <w:sz w:val="18"/>
                <w:szCs w:val="18"/>
                <w:lang w:val="en-US" w:eastAsia="zh-CN" w:bidi="ar-SA"/>
              </w:rPr>
            </w:pPr>
            <w:r>
              <w:rPr>
                <w:rFonts w:hint="eastAsia" w:ascii="仿宋_GB2312" w:hAnsi="宋体" w:cs="宋体"/>
                <w:sz w:val="18"/>
                <w:szCs w:val="18"/>
              </w:rPr>
              <w:t>办公室</w:t>
            </w:r>
          </w:p>
        </w:tc>
        <w:tc>
          <w:tcPr>
            <w:tcW w:w="1351" w:type="pct"/>
            <w:tcBorders>
              <w:top w:val="nil"/>
              <w:left w:val="nil"/>
              <w:bottom w:val="single" w:color="auto" w:sz="4" w:space="0"/>
              <w:right w:val="single" w:color="auto" w:sz="4" w:space="0"/>
            </w:tcBorders>
            <w:shd w:val="clear" w:color="auto" w:fill="auto"/>
            <w:vAlign w:val="center"/>
          </w:tcPr>
          <w:p>
            <w:pPr>
              <w:adjustRightInd/>
              <w:snapToGrid/>
              <w:spacing w:after="48" w:line="240" w:lineRule="auto"/>
              <w:jc w:val="center"/>
              <w:rPr>
                <w:rFonts w:ascii="仿宋_GB2312" w:hAnsi="Times New Roman" w:eastAsia="宋体" w:cs="Times New Roman"/>
                <w:kern w:val="2"/>
                <w:sz w:val="18"/>
                <w:szCs w:val="18"/>
                <w:lang w:val="en-US" w:eastAsia="zh-CN" w:bidi="ar-SA"/>
              </w:rPr>
            </w:pPr>
            <w:r>
              <w:rPr>
                <w:rFonts w:hint="eastAsia" w:ascii="仿宋_GB2312" w:hAnsi="Times New Roman" w:cs="Times New Roman"/>
                <w:sz w:val="18"/>
                <w:szCs w:val="18"/>
              </w:rPr>
              <w:t>18</w:t>
            </w:r>
          </w:p>
        </w:tc>
      </w:tr>
    </w:tbl>
    <w:p>
      <w:pPr>
        <w:spacing w:line="360" w:lineRule="auto"/>
        <w:rPr>
          <w:sz w:val="28"/>
          <w:szCs w:val="28"/>
        </w:rPr>
      </w:pPr>
      <w:r>
        <w:rPr>
          <w:sz w:val="28"/>
          <w:szCs w:val="28"/>
        </w:rPr>
        <w:br w:type="page"/>
      </w:r>
    </w:p>
    <w:p>
      <w:pPr>
        <w:pStyle w:val="232"/>
        <w:spacing w:line="240" w:lineRule="auto"/>
        <w:ind w:left="4394" w:hanging="4393" w:hangingChars="2175"/>
        <w:jc w:val="center"/>
        <w:rPr>
          <w:rFonts w:hint="eastAsia"/>
          <w:sz w:val="21"/>
          <w:szCs w:val="21"/>
        </w:rPr>
      </w:pPr>
      <w:bookmarkStart w:id="163" w:name="_Toc27711"/>
      <w:bookmarkStart w:id="164" w:name="_Toc10627"/>
      <w:bookmarkStart w:id="165" w:name="_Toc17060"/>
      <w:bookmarkStart w:id="166" w:name="_Toc31183"/>
      <w:bookmarkStart w:id="167" w:name="_Toc31018"/>
      <w:bookmarkStart w:id="168" w:name="_Toc8187"/>
      <w:bookmarkStart w:id="169" w:name="_Toc8941"/>
      <w:r>
        <w:rPr>
          <w:rFonts w:hint="eastAsia"/>
          <w:sz w:val="21"/>
          <w:szCs w:val="21"/>
        </w:rPr>
        <w:t>附录B</w:t>
      </w:r>
      <w:bookmarkEnd w:id="163"/>
      <w:bookmarkEnd w:id="164"/>
      <w:bookmarkEnd w:id="165"/>
      <w:bookmarkEnd w:id="166"/>
      <w:bookmarkEnd w:id="167"/>
    </w:p>
    <w:p>
      <w:pPr>
        <w:spacing w:line="240" w:lineRule="auto"/>
        <w:jc w:val="center"/>
        <w:rPr>
          <w:rFonts w:hint="eastAsia" w:ascii="黑体" w:hAnsi="黑体" w:eastAsia="黑体" w:cs="黑体"/>
          <w:sz w:val="21"/>
          <w:szCs w:val="21"/>
        </w:rPr>
      </w:pPr>
      <w:bookmarkStart w:id="170" w:name="_Toc27494"/>
      <w:r>
        <w:rPr>
          <w:rFonts w:hint="eastAsia" w:ascii="黑体" w:hAnsi="黑体" w:eastAsia="黑体" w:cs="黑体"/>
          <w:sz w:val="21"/>
          <w:szCs w:val="21"/>
        </w:rPr>
        <w:t>（资料性）</w:t>
      </w:r>
      <w:bookmarkEnd w:id="170"/>
    </w:p>
    <w:p>
      <w:pPr>
        <w:spacing w:line="360" w:lineRule="auto"/>
        <w:jc w:val="center"/>
        <w:rPr>
          <w:rFonts w:hint="eastAsia" w:ascii="黑体" w:hAnsi="黑体" w:eastAsia="黑体" w:cs="黑体"/>
          <w:sz w:val="21"/>
          <w:szCs w:val="21"/>
        </w:rPr>
      </w:pPr>
      <w:bookmarkStart w:id="171" w:name="_Toc24607"/>
      <w:r>
        <w:rPr>
          <w:rFonts w:hint="eastAsia" w:ascii="黑体" w:hAnsi="黑体" w:eastAsia="黑体" w:cs="黑体"/>
          <w:sz w:val="21"/>
          <w:szCs w:val="21"/>
        </w:rPr>
        <w:t>中间质量检验自查评定记录</w:t>
      </w:r>
      <w:bookmarkEnd w:id="171"/>
    </w:p>
    <w:p>
      <w:pPr>
        <w:spacing w:line="360" w:lineRule="auto"/>
        <w:jc w:val="left"/>
        <w:rPr>
          <w:rFonts w:hint="eastAsia" w:eastAsia="宋体"/>
          <w:color w:val="auto"/>
          <w:sz w:val="21"/>
          <w:szCs w:val="21"/>
          <w:lang w:eastAsia="zh-CN"/>
        </w:rPr>
      </w:pPr>
      <w:r>
        <w:rPr>
          <w:rFonts w:hint="eastAsia"/>
          <w:color w:val="auto"/>
          <w:sz w:val="21"/>
          <w:szCs w:val="21"/>
        </w:rPr>
        <w:t>暗埋散热器供暖系统中间质量检验自查评定记录</w:t>
      </w:r>
      <w:r>
        <w:rPr>
          <w:rFonts w:hint="eastAsia"/>
          <w:sz w:val="21"/>
          <w:szCs w:val="21"/>
          <w:lang w:val="en-US" w:eastAsia="zh-CN"/>
        </w:rPr>
        <w:t>如</w:t>
      </w:r>
      <w:r>
        <w:rPr>
          <w:rFonts w:hint="eastAsia"/>
          <w:color w:val="auto"/>
          <w:sz w:val="21"/>
          <w:szCs w:val="21"/>
        </w:rPr>
        <w:t>表B.</w:t>
      </w:r>
      <w:r>
        <w:rPr>
          <w:rFonts w:hint="eastAsia"/>
          <w:color w:val="auto"/>
          <w:sz w:val="21"/>
          <w:szCs w:val="21"/>
          <w:lang w:val="en-US" w:eastAsia="zh-CN"/>
        </w:rPr>
        <w:t>1</w:t>
      </w:r>
      <w:r>
        <w:rPr>
          <w:rFonts w:hint="eastAsia"/>
          <w:sz w:val="21"/>
          <w:szCs w:val="21"/>
          <w:lang w:val="en-US" w:eastAsia="zh-CN"/>
        </w:rPr>
        <w:t>所示</w:t>
      </w:r>
      <w:r>
        <w:rPr>
          <w:rFonts w:hint="eastAsia"/>
          <w:color w:val="auto"/>
          <w:sz w:val="21"/>
          <w:szCs w:val="21"/>
        </w:rPr>
        <w:t>。</w:t>
      </w:r>
    </w:p>
    <w:p>
      <w:pPr>
        <w:spacing w:line="360" w:lineRule="auto"/>
        <w:jc w:val="center"/>
        <w:rPr>
          <w:rFonts w:hint="eastAsia" w:ascii="黑体" w:hAnsi="黑体" w:eastAsia="黑体" w:cs="黑体"/>
          <w:sz w:val="21"/>
          <w:szCs w:val="21"/>
        </w:rPr>
      </w:pPr>
      <w:r>
        <w:rPr>
          <w:rFonts w:hint="eastAsia" w:ascii="黑体" w:hAnsi="黑体" w:eastAsia="黑体" w:cs="黑体"/>
          <w:sz w:val="21"/>
          <w:szCs w:val="21"/>
        </w:rPr>
        <w:t>表B.</w:t>
      </w:r>
      <w:r>
        <w:rPr>
          <w:rFonts w:hint="eastAsia" w:ascii="黑体" w:hAnsi="黑体" w:eastAsia="黑体" w:cs="黑体"/>
          <w:sz w:val="21"/>
          <w:szCs w:val="21"/>
          <w:lang w:val="en-US" w:eastAsia="zh-CN"/>
        </w:rPr>
        <w:t xml:space="preserve">1 </w:t>
      </w:r>
      <w:r>
        <w:rPr>
          <w:rFonts w:hint="eastAsia" w:ascii="黑体" w:hAnsi="黑体" w:eastAsia="黑体" w:cs="黑体"/>
          <w:sz w:val="21"/>
          <w:szCs w:val="21"/>
        </w:rPr>
        <w:t>散热器供暖系统中间质量检验自查评定记录</w:t>
      </w:r>
    </w:p>
    <w:tbl>
      <w:tblPr>
        <w:tblStyle w:val="27"/>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1544"/>
        <w:gridCol w:w="2978"/>
        <w:gridCol w:w="1574"/>
        <w:gridCol w:w="131"/>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33" w:type="dxa"/>
            <w:gridSpan w:val="2"/>
            <w:vAlign w:val="center"/>
          </w:tcPr>
          <w:p>
            <w:pPr>
              <w:spacing w:line="240" w:lineRule="auto"/>
              <w:jc w:val="center"/>
              <w:rPr>
                <w:rFonts w:hint="eastAsia" w:ascii="宋体" w:hAnsi="宋体" w:eastAsia="宋体" w:cs="宋体"/>
                <w:sz w:val="18"/>
                <w:szCs w:val="18"/>
                <w:lang w:eastAsia="zh-CN"/>
              </w:rPr>
            </w:pPr>
            <w:r>
              <w:rPr>
                <w:rFonts w:hint="eastAsia" w:ascii="宋体" w:hAnsi="宋体" w:cs="宋体"/>
                <w:sz w:val="18"/>
                <w:szCs w:val="18"/>
              </w:rPr>
              <w:t>客户</w:t>
            </w:r>
            <w:r>
              <w:rPr>
                <w:rFonts w:hint="eastAsia" w:ascii="宋体" w:hAnsi="宋体" w:cs="宋体"/>
                <w:sz w:val="18"/>
                <w:szCs w:val="18"/>
                <w:lang w:val="en-US" w:eastAsia="zh-CN"/>
              </w:rPr>
              <w:t>名称</w:t>
            </w:r>
          </w:p>
        </w:tc>
        <w:tc>
          <w:tcPr>
            <w:tcW w:w="2978" w:type="dxa"/>
            <w:vAlign w:val="center"/>
          </w:tcPr>
          <w:p>
            <w:pPr>
              <w:spacing w:line="240" w:lineRule="auto"/>
              <w:jc w:val="center"/>
              <w:rPr>
                <w:rFonts w:hint="eastAsia" w:ascii="宋体" w:hAnsi="宋体" w:cs="宋体"/>
                <w:sz w:val="18"/>
                <w:szCs w:val="18"/>
              </w:rPr>
            </w:pPr>
          </w:p>
        </w:tc>
        <w:tc>
          <w:tcPr>
            <w:tcW w:w="1574" w:type="dxa"/>
            <w:vAlign w:val="center"/>
          </w:tcPr>
          <w:p>
            <w:pPr>
              <w:spacing w:line="240" w:lineRule="auto"/>
              <w:jc w:val="center"/>
              <w:rPr>
                <w:rFonts w:hint="eastAsia" w:ascii="宋体" w:hAnsi="宋体" w:cs="宋体"/>
                <w:sz w:val="18"/>
                <w:szCs w:val="18"/>
              </w:rPr>
            </w:pPr>
            <w:r>
              <w:rPr>
                <w:rFonts w:hint="eastAsia" w:ascii="宋体" w:hAnsi="宋体" w:cs="宋体"/>
                <w:sz w:val="18"/>
                <w:szCs w:val="18"/>
                <w:lang w:val="en-US" w:eastAsia="zh-CN"/>
              </w:rPr>
              <w:t>用户</w:t>
            </w:r>
            <w:r>
              <w:rPr>
                <w:rFonts w:hint="eastAsia" w:ascii="宋体" w:hAnsi="宋体" w:cs="宋体"/>
                <w:sz w:val="18"/>
                <w:szCs w:val="18"/>
              </w:rPr>
              <w:t>类型</w:t>
            </w:r>
          </w:p>
        </w:tc>
        <w:tc>
          <w:tcPr>
            <w:tcW w:w="2647" w:type="dxa"/>
            <w:gridSpan w:val="2"/>
            <w:vAlign w:val="center"/>
          </w:tcPr>
          <w:p>
            <w:pPr>
              <w:spacing w:line="240" w:lineRule="auto"/>
              <w:jc w:val="center"/>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33"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工程地址</w:t>
            </w:r>
          </w:p>
        </w:tc>
        <w:tc>
          <w:tcPr>
            <w:tcW w:w="7199" w:type="dxa"/>
            <w:gridSpan w:val="4"/>
            <w:vAlign w:val="center"/>
          </w:tcPr>
          <w:p>
            <w:pPr>
              <w:spacing w:line="240" w:lineRule="auto"/>
              <w:jc w:val="center"/>
              <w:rPr>
                <w:rFonts w:hint="eastAsia"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33"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施工</w:t>
            </w:r>
            <w:r>
              <w:rPr>
                <w:rFonts w:hint="eastAsia" w:ascii="宋体" w:hAnsi="宋体" w:cs="宋体"/>
                <w:sz w:val="18"/>
                <w:szCs w:val="18"/>
                <w:lang w:val="en-US" w:eastAsia="zh-CN"/>
              </w:rPr>
              <w:t>单位</w:t>
            </w:r>
          </w:p>
        </w:tc>
        <w:tc>
          <w:tcPr>
            <w:tcW w:w="2978" w:type="dxa"/>
            <w:vAlign w:val="center"/>
          </w:tcPr>
          <w:p>
            <w:pPr>
              <w:spacing w:line="240" w:lineRule="auto"/>
              <w:jc w:val="center"/>
              <w:rPr>
                <w:rFonts w:hint="eastAsia" w:ascii="宋体" w:hAnsi="宋体" w:cs="宋体"/>
                <w:sz w:val="18"/>
                <w:szCs w:val="18"/>
              </w:rPr>
            </w:pPr>
          </w:p>
        </w:tc>
        <w:tc>
          <w:tcPr>
            <w:tcW w:w="4221" w:type="dxa"/>
            <w:gridSpan w:val="3"/>
            <w:vAlign w:val="center"/>
          </w:tcPr>
          <w:p>
            <w:pPr>
              <w:spacing w:line="240" w:lineRule="auto"/>
              <w:jc w:val="center"/>
              <w:rPr>
                <w:rFonts w:hint="eastAsia" w:ascii="宋体" w:hAnsi="宋体" w:cs="宋体"/>
                <w:sz w:val="18"/>
                <w:szCs w:val="18"/>
              </w:rPr>
            </w:pPr>
            <w:r>
              <w:rPr>
                <w:rFonts w:hint="eastAsia" w:ascii="宋体" w:hAnsi="宋体" w:cs="宋体"/>
                <w:sz w:val="18"/>
                <w:szCs w:val="18"/>
                <w:lang w:val="en-US" w:eastAsia="zh-CN"/>
              </w:rPr>
              <w:t>验收交接</w:t>
            </w:r>
            <w:r>
              <w:rPr>
                <w:rFonts w:hint="eastAsia" w:ascii="宋体" w:hAnsi="宋体" w:cs="宋体"/>
                <w:sz w:val="18"/>
                <w:szCs w:val="18"/>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33"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验收项目内容</w:t>
            </w:r>
          </w:p>
        </w:tc>
        <w:tc>
          <w:tcPr>
            <w:tcW w:w="4683" w:type="dxa"/>
            <w:gridSpan w:val="3"/>
            <w:vAlign w:val="center"/>
          </w:tcPr>
          <w:p>
            <w:pPr>
              <w:spacing w:line="240" w:lineRule="auto"/>
              <w:jc w:val="center"/>
              <w:rPr>
                <w:rFonts w:hint="eastAsia" w:ascii="宋体" w:hAnsi="宋体" w:cs="宋体"/>
                <w:sz w:val="18"/>
                <w:szCs w:val="18"/>
              </w:rPr>
            </w:pPr>
            <w:r>
              <w:rPr>
                <w:rFonts w:hint="eastAsia" w:ascii="宋体" w:hAnsi="宋体" w:cs="宋体"/>
                <w:sz w:val="18"/>
                <w:szCs w:val="18"/>
              </w:rPr>
              <w:t>检验标准</w:t>
            </w:r>
          </w:p>
        </w:tc>
        <w:tc>
          <w:tcPr>
            <w:tcW w:w="2516" w:type="dxa"/>
            <w:vAlign w:val="center"/>
          </w:tcPr>
          <w:p>
            <w:pPr>
              <w:spacing w:line="240" w:lineRule="auto"/>
              <w:jc w:val="center"/>
              <w:rPr>
                <w:rFonts w:hint="eastAsia" w:ascii="宋体" w:hAnsi="宋体" w:cs="宋体"/>
                <w:sz w:val="18"/>
                <w:szCs w:val="18"/>
              </w:rPr>
            </w:pPr>
            <w:r>
              <w:rPr>
                <w:rFonts w:hint="eastAsia" w:ascii="宋体" w:hAnsi="宋体" w:cs="宋体"/>
                <w:sz w:val="18"/>
                <w:szCs w:val="18"/>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restart"/>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1</w:t>
            </w:r>
          </w:p>
        </w:tc>
        <w:tc>
          <w:tcPr>
            <w:tcW w:w="1544" w:type="dxa"/>
            <w:vMerge w:val="restart"/>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暗埋</w:t>
            </w:r>
            <w:r>
              <w:rPr>
                <w:rFonts w:hint="eastAsia" w:ascii="宋体" w:hAnsi="宋体" w:cs="宋体"/>
                <w:kern w:val="0"/>
                <w:sz w:val="18"/>
                <w:szCs w:val="18"/>
                <w:highlight w:val="none"/>
                <w:lang w:val="en-US" w:eastAsia="zh-CN"/>
              </w:rPr>
              <w:t>输配</w:t>
            </w:r>
            <w:r>
              <w:rPr>
                <w:rFonts w:hint="eastAsia" w:ascii="宋体" w:hAnsi="宋体" w:cs="宋体"/>
                <w:kern w:val="0"/>
                <w:sz w:val="18"/>
                <w:szCs w:val="18"/>
                <w:highlight w:val="none"/>
              </w:rPr>
              <w:t>管道</w:t>
            </w: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暗埋管槽尺寸（第8.6条）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continue"/>
            <w:vAlign w:val="center"/>
          </w:tcPr>
          <w:p>
            <w:pPr>
              <w:spacing w:line="240" w:lineRule="auto"/>
              <w:jc w:val="center"/>
              <w:rPr>
                <w:rFonts w:hint="eastAsia" w:ascii="宋体" w:hAnsi="宋体" w:cs="宋体"/>
                <w:color w:val="auto"/>
                <w:sz w:val="18"/>
                <w:szCs w:val="18"/>
                <w:highlight w:val="none"/>
              </w:rPr>
            </w:pPr>
          </w:p>
        </w:tc>
        <w:tc>
          <w:tcPr>
            <w:tcW w:w="1544" w:type="dxa"/>
            <w:vMerge w:val="continue"/>
            <w:vAlign w:val="center"/>
          </w:tcPr>
          <w:p>
            <w:pPr>
              <w:spacing w:line="240" w:lineRule="auto"/>
              <w:jc w:val="center"/>
              <w:rPr>
                <w:rFonts w:hint="eastAsia" w:ascii="宋体" w:hAnsi="宋体" w:cs="宋体"/>
                <w:color w:val="auto"/>
                <w:sz w:val="18"/>
                <w:szCs w:val="18"/>
                <w:highlight w:val="none"/>
              </w:rPr>
            </w:pP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暗埋供暖管道的连接（第8.7条）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continue"/>
            <w:vAlign w:val="center"/>
          </w:tcPr>
          <w:p>
            <w:pPr>
              <w:spacing w:line="240" w:lineRule="auto"/>
              <w:jc w:val="center"/>
              <w:rPr>
                <w:rFonts w:hint="eastAsia" w:ascii="宋体" w:hAnsi="宋体" w:cs="宋体"/>
                <w:color w:val="auto"/>
                <w:sz w:val="18"/>
                <w:szCs w:val="18"/>
                <w:highlight w:val="none"/>
              </w:rPr>
            </w:pPr>
          </w:p>
        </w:tc>
        <w:tc>
          <w:tcPr>
            <w:tcW w:w="1544" w:type="dxa"/>
            <w:vMerge w:val="continue"/>
            <w:vAlign w:val="center"/>
          </w:tcPr>
          <w:p>
            <w:pPr>
              <w:spacing w:line="240" w:lineRule="auto"/>
              <w:jc w:val="center"/>
              <w:rPr>
                <w:rFonts w:hint="eastAsia" w:ascii="宋体" w:hAnsi="宋体" w:cs="宋体"/>
                <w:color w:val="auto"/>
                <w:sz w:val="18"/>
                <w:szCs w:val="18"/>
                <w:highlight w:val="none"/>
              </w:rPr>
            </w:pP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暗埋供暖管道在管槽内的固定（第8.8条）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continue"/>
            <w:vAlign w:val="center"/>
          </w:tcPr>
          <w:p>
            <w:pPr>
              <w:spacing w:line="240" w:lineRule="auto"/>
              <w:jc w:val="center"/>
              <w:rPr>
                <w:rFonts w:hint="eastAsia" w:ascii="宋体" w:hAnsi="宋体" w:cs="宋体"/>
                <w:color w:val="auto"/>
                <w:sz w:val="18"/>
                <w:szCs w:val="18"/>
                <w:highlight w:val="none"/>
              </w:rPr>
            </w:pPr>
          </w:p>
        </w:tc>
        <w:tc>
          <w:tcPr>
            <w:tcW w:w="1544" w:type="dxa"/>
            <w:vMerge w:val="continue"/>
            <w:vAlign w:val="center"/>
          </w:tcPr>
          <w:p>
            <w:pPr>
              <w:spacing w:line="240" w:lineRule="auto"/>
              <w:jc w:val="center"/>
              <w:rPr>
                <w:rFonts w:hint="eastAsia" w:ascii="宋体" w:hAnsi="宋体" w:cs="宋体"/>
                <w:color w:val="auto"/>
                <w:sz w:val="18"/>
                <w:szCs w:val="18"/>
                <w:highlight w:val="none"/>
              </w:rPr>
            </w:pP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暗埋供暖管道的绝热保温（第8.9条）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restart"/>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2</w:t>
            </w:r>
          </w:p>
        </w:tc>
        <w:tc>
          <w:tcPr>
            <w:tcW w:w="1544" w:type="dxa"/>
            <w:vMerge w:val="restart"/>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明装</w:t>
            </w:r>
            <w:r>
              <w:rPr>
                <w:rFonts w:hint="eastAsia" w:ascii="宋体" w:hAnsi="宋体" w:cs="宋体"/>
                <w:kern w:val="0"/>
                <w:sz w:val="18"/>
                <w:szCs w:val="18"/>
                <w:highlight w:val="none"/>
                <w:lang w:val="en-US" w:eastAsia="zh-CN"/>
              </w:rPr>
              <w:t>输配</w:t>
            </w:r>
            <w:r>
              <w:rPr>
                <w:rFonts w:hint="eastAsia" w:ascii="宋体" w:hAnsi="宋体" w:cs="宋体"/>
                <w:kern w:val="0"/>
                <w:sz w:val="18"/>
                <w:szCs w:val="18"/>
                <w:highlight w:val="none"/>
              </w:rPr>
              <w:t>管道</w:t>
            </w: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明装管槽、管卡的安装（第8.10条）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Merge w:val="continue"/>
            <w:vAlign w:val="center"/>
          </w:tcPr>
          <w:p>
            <w:pPr>
              <w:spacing w:line="240" w:lineRule="auto"/>
              <w:jc w:val="center"/>
              <w:rPr>
                <w:rFonts w:hint="eastAsia" w:ascii="宋体" w:hAnsi="宋体" w:cs="宋体"/>
                <w:color w:val="auto"/>
                <w:sz w:val="18"/>
                <w:szCs w:val="18"/>
                <w:highlight w:val="none"/>
              </w:rPr>
            </w:pPr>
          </w:p>
        </w:tc>
        <w:tc>
          <w:tcPr>
            <w:tcW w:w="1544" w:type="dxa"/>
            <w:vMerge w:val="continue"/>
            <w:vAlign w:val="center"/>
          </w:tcPr>
          <w:p>
            <w:pPr>
              <w:spacing w:line="240" w:lineRule="auto"/>
              <w:jc w:val="center"/>
              <w:rPr>
                <w:rFonts w:hint="eastAsia" w:ascii="宋体" w:hAnsi="宋体" w:cs="宋体"/>
                <w:color w:val="auto"/>
                <w:sz w:val="18"/>
                <w:szCs w:val="18"/>
                <w:highlight w:val="none"/>
              </w:rPr>
            </w:pPr>
          </w:p>
        </w:tc>
        <w:tc>
          <w:tcPr>
            <w:tcW w:w="4683" w:type="dxa"/>
            <w:gridSpan w:val="3"/>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明装管道的安装（第8.11、8.12条）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9" w:type="dxa"/>
            <w:vAlign w:val="center"/>
          </w:tcPr>
          <w:p>
            <w:pPr>
              <w:spacing w:line="240" w:lineRule="auto"/>
              <w:jc w:val="center"/>
              <w:rPr>
                <w:rFonts w:hint="eastAsia" w:ascii="宋体" w:hAnsi="宋体" w:cs="宋体"/>
                <w:color w:val="auto"/>
                <w:sz w:val="18"/>
                <w:szCs w:val="18"/>
                <w:highlight w:val="none"/>
                <w:lang w:val="en-US" w:eastAsia="zh-CN"/>
              </w:rPr>
            </w:pPr>
            <w:r>
              <w:rPr>
                <w:rFonts w:hint="eastAsia" w:ascii="宋体" w:hAnsi="宋体" w:cs="宋体"/>
                <w:kern w:val="0"/>
                <w:sz w:val="18"/>
                <w:szCs w:val="18"/>
                <w:highlight w:val="none"/>
              </w:rPr>
              <w:t>3</w:t>
            </w:r>
          </w:p>
        </w:tc>
        <w:tc>
          <w:tcPr>
            <w:tcW w:w="1544" w:type="dxa"/>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kern w:val="0"/>
                <w:sz w:val="18"/>
                <w:szCs w:val="18"/>
                <w:highlight w:val="none"/>
              </w:rPr>
              <w:t>水压试验</w:t>
            </w:r>
          </w:p>
        </w:tc>
        <w:tc>
          <w:tcPr>
            <w:tcW w:w="4683" w:type="dxa"/>
            <w:gridSpan w:val="3"/>
            <w:vAlign w:val="center"/>
          </w:tcPr>
          <w:p>
            <w:pPr>
              <w:spacing w:line="240" w:lineRule="auto"/>
              <w:jc w:val="center"/>
              <w:rPr>
                <w:rFonts w:hint="eastAsia" w:ascii="宋体" w:hAnsi="宋体" w:cs="宋体"/>
                <w:color w:val="auto"/>
                <w:kern w:val="0"/>
                <w:sz w:val="18"/>
                <w:szCs w:val="18"/>
                <w:highlight w:val="none"/>
              </w:rPr>
            </w:pPr>
            <w:r>
              <w:rPr>
                <w:rFonts w:hint="eastAsia" w:ascii="宋体" w:hAnsi="宋体" w:cs="宋体"/>
                <w:kern w:val="0"/>
                <w:sz w:val="18"/>
                <w:szCs w:val="18"/>
                <w:highlight w:val="none"/>
              </w:rPr>
              <w:t>输配管道水压试验（第12.1、12.2条）</w:t>
            </w:r>
          </w:p>
        </w:tc>
        <w:tc>
          <w:tcPr>
            <w:tcW w:w="2516" w:type="dxa"/>
            <w:vAlign w:val="center"/>
          </w:tcPr>
          <w:p>
            <w:pPr>
              <w:spacing w:line="240" w:lineRule="auto"/>
              <w:jc w:val="center"/>
              <w:rPr>
                <w:rFonts w:hint="eastAsia"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2133"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施工单位</w:t>
            </w:r>
          </w:p>
          <w:p>
            <w:pPr>
              <w:spacing w:line="240" w:lineRule="auto"/>
              <w:jc w:val="center"/>
              <w:rPr>
                <w:rFonts w:hint="eastAsia" w:ascii="宋体" w:hAnsi="宋体" w:cs="宋体"/>
                <w:sz w:val="18"/>
                <w:szCs w:val="18"/>
              </w:rPr>
            </w:pPr>
            <w:r>
              <w:rPr>
                <w:rFonts w:hint="eastAsia" w:ascii="宋体" w:hAnsi="宋体" w:cs="宋体"/>
                <w:sz w:val="18"/>
                <w:szCs w:val="18"/>
              </w:rPr>
              <w:t>检查评定结果</w:t>
            </w:r>
          </w:p>
        </w:tc>
        <w:tc>
          <w:tcPr>
            <w:tcW w:w="7199" w:type="dxa"/>
            <w:gridSpan w:val="4"/>
            <w:vAlign w:val="center"/>
          </w:tcPr>
          <w:p>
            <w:pPr>
              <w:spacing w:line="240" w:lineRule="auto"/>
              <w:ind w:left="0" w:leftChars="0" w:firstLine="3067" w:firstLineChars="1704"/>
              <w:jc w:val="both"/>
              <w:rPr>
                <w:rFonts w:hint="eastAsia" w:ascii="宋体" w:hAnsi="宋体" w:cs="宋体"/>
                <w:sz w:val="18"/>
                <w:szCs w:val="18"/>
              </w:rPr>
            </w:pPr>
            <w:r>
              <w:rPr>
                <w:rFonts w:hint="eastAsia" w:ascii="宋体" w:hAnsi="宋体" w:cs="宋体"/>
                <w:sz w:val="18"/>
                <w:szCs w:val="18"/>
              </w:rPr>
              <w:t>检验人：</w:t>
            </w:r>
          </w:p>
          <w:p>
            <w:pPr>
              <w:spacing w:line="240" w:lineRule="auto"/>
              <w:ind w:left="0" w:leftChars="0" w:firstLine="3051" w:firstLineChars="1695"/>
              <w:jc w:val="both"/>
              <w:rPr>
                <w:rFonts w:hint="eastAsia" w:ascii="宋体" w:hAnsi="宋体" w:cs="宋体"/>
                <w:sz w:val="18"/>
                <w:szCs w:val="18"/>
              </w:rPr>
            </w:pPr>
            <w:r>
              <w:rPr>
                <w:rFonts w:hint="eastAsia" w:ascii="宋体" w:hAnsi="宋体" w:cs="宋体"/>
                <w:sz w:val="18"/>
                <w:szCs w:val="18"/>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jc w:val="center"/>
        </w:trPr>
        <w:tc>
          <w:tcPr>
            <w:tcW w:w="2133"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验收单位</w:t>
            </w:r>
          </w:p>
          <w:p>
            <w:pPr>
              <w:spacing w:line="240" w:lineRule="auto"/>
              <w:jc w:val="center"/>
              <w:rPr>
                <w:rFonts w:hint="eastAsia" w:ascii="宋体" w:hAnsi="宋体" w:cs="宋体"/>
                <w:sz w:val="18"/>
                <w:szCs w:val="18"/>
              </w:rPr>
            </w:pPr>
            <w:r>
              <w:rPr>
                <w:rFonts w:hint="eastAsia" w:ascii="宋体" w:hAnsi="宋体" w:cs="宋体"/>
                <w:sz w:val="18"/>
                <w:szCs w:val="18"/>
              </w:rPr>
              <w:t>检查评定意见</w:t>
            </w:r>
          </w:p>
        </w:tc>
        <w:tc>
          <w:tcPr>
            <w:tcW w:w="7199" w:type="dxa"/>
            <w:gridSpan w:val="4"/>
            <w:vAlign w:val="center"/>
          </w:tcPr>
          <w:p>
            <w:pPr>
              <w:spacing w:line="240" w:lineRule="auto"/>
              <w:ind w:left="0" w:leftChars="0" w:firstLine="3067" w:firstLineChars="1704"/>
              <w:jc w:val="both"/>
              <w:rPr>
                <w:rFonts w:hint="eastAsia" w:ascii="宋体" w:hAnsi="宋体" w:cs="宋体"/>
                <w:sz w:val="18"/>
                <w:szCs w:val="18"/>
              </w:rPr>
            </w:pPr>
            <w:r>
              <w:rPr>
                <w:rFonts w:hint="eastAsia" w:ascii="宋体" w:hAnsi="宋体" w:cs="宋体"/>
                <w:sz w:val="18"/>
                <w:szCs w:val="18"/>
              </w:rPr>
              <w:t>负责人：</w:t>
            </w:r>
          </w:p>
          <w:p>
            <w:pPr>
              <w:spacing w:line="240" w:lineRule="auto"/>
              <w:ind w:left="0" w:leftChars="0" w:firstLine="3067" w:firstLineChars="1704"/>
              <w:jc w:val="both"/>
              <w:rPr>
                <w:rFonts w:hint="eastAsia" w:ascii="宋体" w:hAnsi="宋体" w:cs="宋体"/>
                <w:sz w:val="18"/>
                <w:szCs w:val="18"/>
              </w:rPr>
            </w:pPr>
            <w:r>
              <w:rPr>
                <w:rFonts w:hint="eastAsia" w:ascii="宋体" w:hAnsi="宋体" w:cs="宋体"/>
                <w:sz w:val="18"/>
                <w:szCs w:val="18"/>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9332" w:type="dxa"/>
            <w:gridSpan w:val="6"/>
            <w:vAlign w:val="center"/>
          </w:tcPr>
          <w:p>
            <w:pPr>
              <w:spacing w:line="240" w:lineRule="auto"/>
              <w:jc w:val="center"/>
              <w:rPr>
                <w:rFonts w:hint="eastAsia" w:ascii="宋体" w:hAnsi="宋体" w:cs="宋体"/>
                <w:sz w:val="18"/>
                <w:szCs w:val="18"/>
              </w:rPr>
            </w:pPr>
            <w:r>
              <w:rPr>
                <w:rFonts w:hint="eastAsia" w:ascii="宋体" w:hAnsi="宋体" w:cs="宋体"/>
                <w:sz w:val="18"/>
                <w:szCs w:val="18"/>
              </w:rPr>
              <w:t>注：本单一式二份，一份验收单位保存，一份施工单位保存</w:t>
            </w:r>
          </w:p>
        </w:tc>
      </w:tr>
    </w:tbl>
    <w:p>
      <w:pPr>
        <w:rPr>
          <w:rFonts w:hint="eastAsia"/>
          <w:sz w:val="24"/>
          <w:szCs w:val="24"/>
        </w:rPr>
      </w:pPr>
      <w:r>
        <w:rPr>
          <w:rFonts w:hint="eastAsia"/>
          <w:sz w:val="24"/>
          <w:szCs w:val="24"/>
        </w:rPr>
        <w:br w:type="page"/>
      </w:r>
    </w:p>
    <w:bookmarkEnd w:id="168"/>
    <w:bookmarkEnd w:id="169"/>
    <w:p>
      <w:pPr>
        <w:spacing w:line="360" w:lineRule="auto"/>
        <w:rPr>
          <w:sz w:val="21"/>
          <w:szCs w:val="21"/>
        </w:rPr>
      </w:pPr>
      <w:r>
        <w:rPr>
          <w:rFonts w:hint="eastAsia"/>
          <w:sz w:val="21"/>
          <w:szCs w:val="21"/>
        </w:rPr>
        <w:t>地面供暖系统中间质量检验自查评定记录</w:t>
      </w:r>
      <w:r>
        <w:rPr>
          <w:rFonts w:hint="eastAsia"/>
          <w:sz w:val="21"/>
          <w:szCs w:val="21"/>
          <w:lang w:val="en-US" w:eastAsia="zh-CN"/>
        </w:rPr>
        <w:t>如</w:t>
      </w:r>
      <w:r>
        <w:rPr>
          <w:rFonts w:hint="eastAsia"/>
          <w:sz w:val="21"/>
          <w:szCs w:val="21"/>
        </w:rPr>
        <w:t>表B.</w:t>
      </w:r>
      <w:r>
        <w:rPr>
          <w:rFonts w:hint="eastAsia"/>
          <w:sz w:val="21"/>
          <w:szCs w:val="21"/>
          <w:lang w:val="en-US" w:eastAsia="zh-CN"/>
        </w:rPr>
        <w:t>2所示</w:t>
      </w:r>
      <w:r>
        <w:rPr>
          <w:rFonts w:hint="eastAsia"/>
          <w:sz w:val="21"/>
          <w:szCs w:val="21"/>
        </w:rPr>
        <w:t>。</w:t>
      </w:r>
    </w:p>
    <w:p>
      <w:pPr>
        <w:spacing w:line="360" w:lineRule="auto"/>
        <w:jc w:val="center"/>
        <w:rPr>
          <w:sz w:val="21"/>
          <w:szCs w:val="21"/>
        </w:rPr>
      </w:pPr>
      <w:r>
        <w:rPr>
          <w:rFonts w:hint="eastAsia" w:ascii="黑体" w:hAnsi="黑体" w:eastAsia="黑体" w:cs="黑体"/>
          <w:sz w:val="21"/>
          <w:szCs w:val="21"/>
        </w:rPr>
        <w:t>B.</w:t>
      </w:r>
      <w:r>
        <w:rPr>
          <w:rFonts w:hint="eastAsia" w:ascii="黑体" w:hAnsi="黑体" w:eastAsia="黑体" w:cs="黑体"/>
          <w:sz w:val="21"/>
          <w:szCs w:val="21"/>
          <w:lang w:val="en-US" w:eastAsia="zh-CN"/>
        </w:rPr>
        <w:t xml:space="preserve">2 </w:t>
      </w:r>
      <w:r>
        <w:rPr>
          <w:rFonts w:hint="eastAsia" w:ascii="黑体" w:hAnsi="黑体" w:eastAsia="黑体" w:cs="黑体"/>
          <w:sz w:val="21"/>
          <w:szCs w:val="21"/>
        </w:rPr>
        <w:t>地面供暖系统中间质量检验自查评定记录</w:t>
      </w:r>
    </w:p>
    <w:tbl>
      <w:tblPr>
        <w:tblStyle w:val="26"/>
        <w:tblW w:w="9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9"/>
        <w:gridCol w:w="1914"/>
        <w:gridCol w:w="1433"/>
        <w:gridCol w:w="1202"/>
        <w:gridCol w:w="1207"/>
        <w:gridCol w:w="19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579" w:type="dxa"/>
            <w:tcBorders>
              <w:top w:val="single" w:color="000000" w:sz="6"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sz w:val="18"/>
                <w:szCs w:val="18"/>
                <w:lang w:eastAsia="zh-CN"/>
              </w:rPr>
            </w:pPr>
            <w:r>
              <w:rPr>
                <w:rFonts w:hint="eastAsia" w:ascii="宋体" w:hAnsi="宋体" w:cs="宋体"/>
                <w:sz w:val="18"/>
                <w:szCs w:val="18"/>
              </w:rPr>
              <w:t>客户</w:t>
            </w:r>
            <w:r>
              <w:rPr>
                <w:rFonts w:hint="eastAsia" w:ascii="宋体" w:hAnsi="宋体" w:cs="宋体"/>
                <w:sz w:val="18"/>
                <w:szCs w:val="18"/>
                <w:lang w:val="en-US" w:eastAsia="zh-CN"/>
              </w:rPr>
              <w:t>名称</w:t>
            </w:r>
          </w:p>
        </w:tc>
        <w:tc>
          <w:tcPr>
            <w:tcW w:w="3347" w:type="dxa"/>
            <w:gridSpan w:val="2"/>
            <w:tcBorders>
              <w:top w:val="single" w:color="000000" w:sz="6"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p>
        </w:tc>
        <w:tc>
          <w:tcPr>
            <w:tcW w:w="1202" w:type="dxa"/>
            <w:tcBorders>
              <w:top w:val="single" w:color="000000" w:sz="6"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lang w:val="en-US" w:eastAsia="zh-CN"/>
              </w:rPr>
              <w:t>用户</w:t>
            </w:r>
            <w:r>
              <w:rPr>
                <w:rFonts w:hint="eastAsia" w:ascii="宋体" w:hAnsi="宋体" w:cs="宋体"/>
                <w:sz w:val="18"/>
                <w:szCs w:val="18"/>
              </w:rPr>
              <w:t>类型</w:t>
            </w:r>
          </w:p>
        </w:tc>
        <w:tc>
          <w:tcPr>
            <w:tcW w:w="3149" w:type="dxa"/>
            <w:gridSpan w:val="2"/>
            <w:tcBorders>
              <w:top w:val="single" w:color="000000" w:sz="6"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579" w:type="dxa"/>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工程地址</w:t>
            </w:r>
          </w:p>
        </w:tc>
        <w:tc>
          <w:tcPr>
            <w:tcW w:w="7698" w:type="dxa"/>
            <w:gridSpan w:val="5"/>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579" w:type="dxa"/>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sz w:val="18"/>
                <w:szCs w:val="18"/>
                <w:lang w:eastAsia="zh-CN"/>
              </w:rPr>
            </w:pPr>
            <w:r>
              <w:rPr>
                <w:rFonts w:hint="eastAsia" w:ascii="宋体" w:hAnsi="宋体" w:cs="宋体"/>
                <w:sz w:val="18"/>
                <w:szCs w:val="18"/>
              </w:rPr>
              <w:t>施工</w:t>
            </w:r>
            <w:r>
              <w:rPr>
                <w:rFonts w:hint="eastAsia" w:ascii="宋体" w:hAnsi="宋体" w:cs="宋体"/>
                <w:sz w:val="18"/>
                <w:szCs w:val="18"/>
                <w:lang w:val="en-US" w:eastAsia="zh-CN"/>
              </w:rPr>
              <w:t>单位</w:t>
            </w:r>
          </w:p>
        </w:tc>
        <w:tc>
          <w:tcPr>
            <w:tcW w:w="3347" w:type="dxa"/>
            <w:gridSpan w:val="2"/>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p>
        </w:tc>
        <w:tc>
          <w:tcPr>
            <w:tcW w:w="4351" w:type="dxa"/>
            <w:gridSpan w:val="3"/>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验收交接日期：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3493" w:type="dxa"/>
            <w:gridSpan w:val="2"/>
            <w:tcBorders>
              <w:top w:val="single" w:color="000000" w:sz="2" w:space="0"/>
              <w:left w:val="single" w:color="000000" w:sz="6" w:space="0"/>
              <w:bottom w:val="single" w:color="auto" w:sz="4" w:space="0"/>
              <w:right w:val="single" w:color="000000" w:sz="2"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验收项目内容</w:t>
            </w:r>
          </w:p>
        </w:tc>
        <w:tc>
          <w:tcPr>
            <w:tcW w:w="3842"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检验标准</w:t>
            </w:r>
          </w:p>
        </w:tc>
        <w:tc>
          <w:tcPr>
            <w:tcW w:w="1942" w:type="dxa"/>
            <w:tcBorders>
              <w:top w:val="single" w:color="000000" w:sz="2" w:space="0"/>
              <w:left w:val="single" w:color="000000" w:sz="2" w:space="0"/>
              <w:bottom w:val="single" w:color="auto" w:sz="4" w:space="0"/>
              <w:right w:val="single" w:color="000000" w:sz="6"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结果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1</w:t>
            </w:r>
          </w:p>
        </w:tc>
        <w:tc>
          <w:tcPr>
            <w:tcW w:w="19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输配管</w:t>
            </w:r>
            <w:r>
              <w:rPr>
                <w:rFonts w:hint="eastAsia" w:ascii="宋体" w:hAnsi="宋体" w:cs="宋体"/>
                <w:color w:val="auto"/>
                <w:sz w:val="18"/>
                <w:szCs w:val="18"/>
                <w:highlight w:val="none"/>
                <w:lang w:val="en-US" w:eastAsia="zh-CN"/>
              </w:rPr>
              <w:t>道施工</w:t>
            </w: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color w:val="auto"/>
                <w:sz w:val="18"/>
                <w:szCs w:val="18"/>
                <w:highlight w:val="none"/>
              </w:rPr>
              <w:t>分水器、集水器</w:t>
            </w:r>
            <w:r>
              <w:rPr>
                <w:rFonts w:hint="eastAsia"/>
                <w:color w:val="auto"/>
                <w:sz w:val="18"/>
                <w:szCs w:val="18"/>
                <w:highlight w:val="none"/>
                <w:lang w:eastAsia="zh-CN"/>
              </w:rPr>
              <w:t>、</w:t>
            </w:r>
            <w:r>
              <w:rPr>
                <w:rFonts w:hint="eastAsia"/>
                <w:color w:val="auto"/>
                <w:sz w:val="18"/>
                <w:szCs w:val="18"/>
                <w:highlight w:val="none"/>
              </w:rPr>
              <w:t>混水</w:t>
            </w:r>
            <w:r>
              <w:rPr>
                <w:rFonts w:hint="eastAsia"/>
                <w:color w:val="auto"/>
                <w:sz w:val="18"/>
                <w:szCs w:val="18"/>
                <w:highlight w:val="none"/>
                <w:lang w:val="en-US" w:eastAsia="zh-CN"/>
              </w:rPr>
              <w:t>装置、去耦罐</w:t>
            </w:r>
            <w:r>
              <w:rPr>
                <w:rFonts w:hint="eastAsia"/>
                <w:color w:val="auto"/>
                <w:sz w:val="18"/>
                <w:szCs w:val="18"/>
                <w:highlight w:val="none"/>
              </w:rPr>
              <w:t>的安装</w:t>
            </w:r>
            <w:r>
              <w:rPr>
                <w:rFonts w:hint="eastAsia" w:ascii="宋体" w:hAnsi="宋体" w:cs="宋体"/>
                <w:color w:val="auto"/>
                <w:kern w:val="0"/>
                <w:sz w:val="18"/>
                <w:szCs w:val="18"/>
                <w:highlight w:val="none"/>
              </w:rPr>
              <w:t>（第8.</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条</w:t>
            </w:r>
            <w:r>
              <w:rPr>
                <w:rFonts w:hint="eastAsia" w:ascii="宋体" w:hAnsi="宋体" w:cs="宋体"/>
                <w:color w:val="auto"/>
                <w:kern w:val="0"/>
                <w:sz w:val="18"/>
                <w:szCs w:val="18"/>
                <w:highlight w:val="none"/>
                <w:lang w:val="en-US" w:eastAsia="zh-CN"/>
              </w:rPr>
              <w:t>--</w:t>
            </w:r>
            <w:r>
              <w:rPr>
                <w:rFonts w:hint="eastAsia" w:ascii="宋体" w:hAnsi="宋体" w:cs="宋体"/>
                <w:color w:val="auto"/>
                <w:kern w:val="0"/>
                <w:sz w:val="18"/>
                <w:szCs w:val="18"/>
                <w:highlight w:val="none"/>
              </w:rPr>
              <w:t>8.</w:t>
            </w:r>
            <w:r>
              <w:rPr>
                <w:rFonts w:hint="eastAsia" w:ascii="宋体" w:hAnsi="宋体" w:cs="宋体"/>
                <w:color w:val="auto"/>
                <w:kern w:val="0"/>
                <w:sz w:val="18"/>
                <w:szCs w:val="18"/>
                <w:highlight w:val="none"/>
                <w:lang w:val="en-US" w:eastAsia="zh-CN"/>
              </w:rPr>
              <w:t>3</w:t>
            </w:r>
            <w:r>
              <w:rPr>
                <w:rFonts w:hint="eastAsia" w:ascii="宋体" w:hAnsi="宋体" w:cs="宋体"/>
                <w:color w:val="auto"/>
                <w:kern w:val="0"/>
                <w:sz w:val="18"/>
                <w:szCs w:val="18"/>
                <w:highlight w:val="none"/>
              </w:rPr>
              <w:t>条</w:t>
            </w:r>
            <w:r>
              <w:rPr>
                <w:rFonts w:hint="eastAsia" w:ascii="宋体" w:hAnsi="宋体" w:cs="宋体"/>
                <w:color w:val="auto"/>
                <w:kern w:val="0"/>
                <w:sz w:val="18"/>
                <w:szCs w:val="18"/>
                <w:highlight w:val="none"/>
                <w:lang w:eastAsia="zh-CN"/>
              </w:rPr>
              <w:t>，</w:t>
            </w:r>
            <w:r>
              <w:rPr>
                <w:rFonts w:hint="eastAsia" w:ascii="宋体" w:hAnsi="宋体" w:cs="宋体"/>
                <w:color w:val="auto"/>
                <w:sz w:val="18"/>
                <w:szCs w:val="18"/>
                <w:highlight w:val="none"/>
              </w:rPr>
              <w:t>第9.3.3.7、9.3.3.8条</w:t>
            </w:r>
            <w:r>
              <w:rPr>
                <w:rFonts w:hint="eastAsia" w:ascii="宋体" w:hAnsi="宋体" w:cs="宋体"/>
                <w:color w:val="auto"/>
                <w:kern w:val="0"/>
                <w:sz w:val="18"/>
                <w:szCs w:val="18"/>
                <w:highlight w:val="none"/>
              </w:rPr>
              <w:t>）</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Style w:val="33"/>
                <w:rFonts w:hint="eastAsia" w:ascii="宋体" w:hAnsi="宋体" w:eastAsia="宋体" w:cs="宋体"/>
                <w:color w:val="auto"/>
                <w:sz w:val="18"/>
                <w:szCs w:val="18"/>
                <w:highlight w:val="none"/>
                <w:lang w:eastAsia="zh-CN"/>
              </w:rPr>
            </w:pPr>
            <w:r>
              <w:rPr>
                <w:rFonts w:hint="eastAsia"/>
                <w:color w:val="auto"/>
                <w:sz w:val="18"/>
                <w:szCs w:val="18"/>
                <w:highlight w:val="none"/>
                <w:lang w:val="en-US" w:eastAsia="zh-CN"/>
              </w:rPr>
              <w:t>输配</w:t>
            </w:r>
            <w:r>
              <w:rPr>
                <w:rFonts w:hint="eastAsia"/>
                <w:color w:val="auto"/>
                <w:sz w:val="18"/>
                <w:szCs w:val="18"/>
                <w:highlight w:val="none"/>
              </w:rPr>
              <w:t>管道</w:t>
            </w:r>
            <w:r>
              <w:rPr>
                <w:rFonts w:hint="eastAsia"/>
                <w:color w:val="auto"/>
                <w:sz w:val="18"/>
                <w:szCs w:val="18"/>
                <w:highlight w:val="none"/>
                <w:lang w:val="en-US" w:eastAsia="zh-CN"/>
              </w:rPr>
              <w:t>的安装</w:t>
            </w:r>
            <w:r>
              <w:rPr>
                <w:rFonts w:hint="eastAsia" w:ascii="宋体" w:hAnsi="宋体" w:cs="宋体"/>
                <w:color w:val="auto"/>
                <w:kern w:val="0"/>
                <w:sz w:val="18"/>
                <w:szCs w:val="18"/>
                <w:highlight w:val="none"/>
              </w:rPr>
              <w:t>（第8.</w:t>
            </w:r>
            <w:r>
              <w:rPr>
                <w:rFonts w:hint="eastAsia" w:ascii="宋体" w:hAnsi="宋体" w:cs="宋体"/>
                <w:color w:val="auto"/>
                <w:kern w:val="0"/>
                <w:sz w:val="18"/>
                <w:szCs w:val="18"/>
                <w:highlight w:val="none"/>
                <w:lang w:val="en-US" w:eastAsia="zh-CN"/>
              </w:rPr>
              <w:t>5</w:t>
            </w:r>
            <w:r>
              <w:rPr>
                <w:rFonts w:hint="eastAsia" w:ascii="宋体" w:hAnsi="宋体" w:cs="宋体"/>
                <w:color w:val="auto"/>
                <w:kern w:val="0"/>
                <w:sz w:val="18"/>
                <w:szCs w:val="18"/>
                <w:highlight w:val="none"/>
              </w:rPr>
              <w:t>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rPr>
              <w:t>暗埋管槽尺寸（第8.6条）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暗埋供暖管道的连接（第8.7条）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暗埋供暖管道在管槽内的固定（第8.8条）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暗埋供暖管道的绝热保温（第8.9条）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2</w:t>
            </w:r>
          </w:p>
        </w:tc>
        <w:tc>
          <w:tcPr>
            <w:tcW w:w="19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地面绝热层的铺设</w:t>
            </w: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绝热层材质（第6.2.1条）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地面构造施工（第9.3.1条）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侧面绝热层（9.3.2.4）</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3</w:t>
            </w:r>
          </w:p>
        </w:tc>
        <w:tc>
          <w:tcPr>
            <w:tcW w:w="19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r>
              <w:rPr>
                <w:rFonts w:hint="eastAsia"/>
                <w:color w:val="auto"/>
                <w:sz w:val="18"/>
                <w:szCs w:val="18"/>
                <w:highlight w:val="none"/>
              </w:rPr>
              <w:t>加热管的安装</w:t>
            </w: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加热管的材料（第6.2.3条）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加热管间距（第9.3.3.1条）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lang w:val="en-US" w:eastAsia="zh-CN"/>
              </w:rPr>
            </w:pPr>
          </w:p>
        </w:tc>
        <w:tc>
          <w:tcPr>
            <w:tcW w:w="19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加热管固定（第9.3.3.6条）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4</w:t>
            </w:r>
          </w:p>
        </w:tc>
        <w:tc>
          <w:tcPr>
            <w:tcW w:w="1914"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宋体" w:hAnsi="宋体" w:eastAsia="宋体" w:cs="宋体"/>
                <w:color w:val="auto"/>
                <w:sz w:val="18"/>
                <w:szCs w:val="18"/>
                <w:lang w:val="en-US" w:eastAsia="zh-CN"/>
              </w:rPr>
            </w:pPr>
            <w:r>
              <w:rPr>
                <w:rFonts w:hint="eastAsia"/>
                <w:color w:val="auto"/>
                <w:sz w:val="18"/>
                <w:szCs w:val="18"/>
                <w:highlight w:val="none"/>
              </w:rPr>
              <w:t>温控</w:t>
            </w:r>
            <w:r>
              <w:rPr>
                <w:rFonts w:hint="eastAsia"/>
                <w:color w:val="auto"/>
                <w:sz w:val="18"/>
                <w:szCs w:val="18"/>
                <w:highlight w:val="none"/>
                <w:lang w:val="en-US" w:eastAsia="zh-CN"/>
              </w:rPr>
              <w:t>线路安装</w:t>
            </w:r>
          </w:p>
        </w:tc>
        <w:tc>
          <w:tcPr>
            <w:tcW w:w="3842" w:type="dxa"/>
            <w:gridSpan w:val="3"/>
            <w:tcBorders>
              <w:top w:val="single" w:color="000000" w:sz="2" w:space="0"/>
              <w:left w:val="single" w:color="auto" w:sz="4" w:space="0"/>
              <w:bottom w:val="single" w:color="000000" w:sz="2" w:space="0"/>
              <w:right w:val="single" w:color="auto" w:sz="4"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第10条</w:t>
            </w:r>
          </w:p>
        </w:tc>
        <w:tc>
          <w:tcPr>
            <w:tcW w:w="1942" w:type="dxa"/>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tcBorders>
              <w:top w:val="single" w:color="auto" w:sz="4"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5</w:t>
            </w:r>
          </w:p>
        </w:tc>
        <w:tc>
          <w:tcPr>
            <w:tcW w:w="1914" w:type="dxa"/>
            <w:tcBorders>
              <w:top w:val="single" w:color="auto" w:sz="4"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水压试验</w:t>
            </w:r>
          </w:p>
        </w:tc>
        <w:tc>
          <w:tcPr>
            <w:tcW w:w="3842"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加热管及输配管道水压试验（第12.1、12.2条）</w:t>
            </w:r>
          </w:p>
        </w:tc>
        <w:tc>
          <w:tcPr>
            <w:tcW w:w="1942" w:type="dxa"/>
            <w:tcBorders>
              <w:top w:val="single" w:color="auto" w:sz="4"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restart"/>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6</w:t>
            </w:r>
          </w:p>
        </w:tc>
        <w:tc>
          <w:tcPr>
            <w:tcW w:w="1914" w:type="dxa"/>
            <w:vMerge w:val="restart"/>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填充层的施工</w:t>
            </w:r>
          </w:p>
        </w:tc>
        <w:tc>
          <w:tcPr>
            <w:tcW w:w="3842"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伸缩缝设置（第9.3.4.3条）</w:t>
            </w:r>
          </w:p>
        </w:tc>
        <w:tc>
          <w:tcPr>
            <w:tcW w:w="1942" w:type="dxa"/>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579" w:type="dxa"/>
            <w:vMerge w:val="continue"/>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color w:val="auto"/>
                <w:sz w:val="18"/>
                <w:szCs w:val="18"/>
                <w:lang w:eastAsia="zh-CN"/>
              </w:rPr>
            </w:pPr>
          </w:p>
        </w:tc>
        <w:tc>
          <w:tcPr>
            <w:tcW w:w="1914" w:type="dxa"/>
            <w:vMerge w:val="continue"/>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rPr>
            </w:pPr>
          </w:p>
        </w:tc>
        <w:tc>
          <w:tcPr>
            <w:tcW w:w="3842" w:type="dxa"/>
            <w:gridSpan w:val="3"/>
            <w:tcBorders>
              <w:top w:val="single" w:color="000000" w:sz="2" w:space="0"/>
              <w:left w:val="single" w:color="000000" w:sz="2"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填充层强度（第9.3.4.8条）</w:t>
            </w:r>
          </w:p>
        </w:tc>
        <w:tc>
          <w:tcPr>
            <w:tcW w:w="1942" w:type="dxa"/>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1579" w:type="dxa"/>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施工单位</w:t>
            </w:r>
          </w:p>
          <w:p>
            <w:pPr>
              <w:spacing w:line="240" w:lineRule="auto"/>
              <w:jc w:val="center"/>
              <w:rPr>
                <w:rFonts w:hint="eastAsia" w:ascii="宋体" w:hAnsi="宋体" w:cs="宋体"/>
                <w:sz w:val="18"/>
                <w:szCs w:val="18"/>
              </w:rPr>
            </w:pPr>
            <w:r>
              <w:rPr>
                <w:rFonts w:hint="eastAsia" w:ascii="宋体" w:hAnsi="宋体" w:cs="宋体"/>
                <w:sz w:val="18"/>
                <w:szCs w:val="18"/>
              </w:rPr>
              <w:t>检查评定结果</w:t>
            </w:r>
          </w:p>
        </w:tc>
        <w:tc>
          <w:tcPr>
            <w:tcW w:w="7698" w:type="dxa"/>
            <w:gridSpan w:val="5"/>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ind w:left="0" w:leftChars="0" w:firstLine="3960" w:firstLineChars="2200"/>
              <w:jc w:val="both"/>
              <w:rPr>
                <w:rFonts w:hint="eastAsia" w:ascii="宋体" w:hAnsi="宋体" w:cs="宋体"/>
                <w:sz w:val="18"/>
                <w:szCs w:val="18"/>
              </w:rPr>
            </w:pPr>
            <w:r>
              <w:rPr>
                <w:rFonts w:hint="eastAsia" w:ascii="宋体" w:hAnsi="宋体" w:cs="宋体"/>
                <w:sz w:val="18"/>
                <w:szCs w:val="18"/>
              </w:rPr>
              <w:t>检验人：</w:t>
            </w:r>
          </w:p>
          <w:p>
            <w:pPr>
              <w:spacing w:line="240" w:lineRule="auto"/>
              <w:ind w:left="0" w:leftChars="0" w:firstLine="3787" w:firstLineChars="2104"/>
              <w:jc w:val="center"/>
              <w:rPr>
                <w:rFonts w:hint="eastAsia" w:ascii="宋体" w:hAnsi="宋体" w:cs="宋体"/>
                <w:sz w:val="18"/>
                <w:szCs w:val="18"/>
              </w:rPr>
            </w:pPr>
            <w:r>
              <w:rPr>
                <w:rFonts w:hint="eastAsia" w:ascii="宋体" w:hAnsi="宋体" w:cs="宋体"/>
                <w:sz w:val="18"/>
                <w:szCs w:val="18"/>
              </w:rPr>
              <w:t>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1579" w:type="dxa"/>
            <w:tcBorders>
              <w:top w:val="single" w:color="000000" w:sz="2" w:space="0"/>
              <w:left w:val="single" w:color="000000" w:sz="6" w:space="0"/>
              <w:bottom w:val="single" w:color="000000" w:sz="2" w:space="0"/>
              <w:right w:val="single" w:color="000000" w:sz="2" w:space="0"/>
              <w:tl2br w:val="nil"/>
              <w:tr2bl w:val="nil"/>
            </w:tcBorders>
            <w:vAlign w:val="center"/>
          </w:tcPr>
          <w:p>
            <w:pPr>
              <w:spacing w:line="240" w:lineRule="auto"/>
              <w:jc w:val="center"/>
              <w:rPr>
                <w:rFonts w:hint="eastAsia" w:ascii="宋体" w:hAnsi="宋体" w:eastAsia="宋体" w:cs="宋体"/>
                <w:color w:val="auto"/>
                <w:sz w:val="18"/>
                <w:szCs w:val="18"/>
                <w:lang w:eastAsia="zh-CN"/>
              </w:rPr>
            </w:pPr>
            <w:r>
              <w:rPr>
                <w:rFonts w:hint="eastAsia" w:ascii="宋体" w:hAnsi="宋体" w:cs="宋体"/>
                <w:color w:val="auto"/>
                <w:sz w:val="18"/>
                <w:szCs w:val="18"/>
              </w:rPr>
              <w:t>验收单位</w:t>
            </w:r>
          </w:p>
          <w:p>
            <w:pPr>
              <w:spacing w:line="240" w:lineRule="auto"/>
              <w:jc w:val="center"/>
              <w:rPr>
                <w:rFonts w:hint="eastAsia" w:ascii="宋体" w:hAnsi="宋体" w:cs="宋体"/>
                <w:sz w:val="18"/>
                <w:szCs w:val="18"/>
              </w:rPr>
            </w:pPr>
            <w:r>
              <w:rPr>
                <w:rFonts w:hint="eastAsia" w:ascii="宋体" w:hAnsi="宋体" w:cs="宋体"/>
                <w:sz w:val="18"/>
                <w:szCs w:val="18"/>
              </w:rPr>
              <w:t>检查评定意见</w:t>
            </w:r>
          </w:p>
        </w:tc>
        <w:tc>
          <w:tcPr>
            <w:tcW w:w="7698" w:type="dxa"/>
            <w:gridSpan w:val="5"/>
            <w:tcBorders>
              <w:top w:val="single" w:color="000000" w:sz="2" w:space="0"/>
              <w:left w:val="single" w:color="000000" w:sz="2" w:space="0"/>
              <w:bottom w:val="single" w:color="000000" w:sz="2" w:space="0"/>
              <w:right w:val="single" w:color="000000" w:sz="6" w:space="0"/>
              <w:tl2br w:val="nil"/>
              <w:tr2bl w:val="nil"/>
            </w:tcBorders>
            <w:vAlign w:val="center"/>
          </w:tcPr>
          <w:p>
            <w:pPr>
              <w:spacing w:line="240" w:lineRule="auto"/>
              <w:ind w:left="0" w:leftChars="0" w:firstLine="3787" w:firstLineChars="2104"/>
              <w:jc w:val="both"/>
              <w:rPr>
                <w:rFonts w:hint="eastAsia" w:ascii="宋体" w:hAnsi="宋体" w:cs="宋体"/>
                <w:sz w:val="18"/>
                <w:szCs w:val="18"/>
              </w:rPr>
            </w:pPr>
            <w:r>
              <w:rPr>
                <w:rFonts w:hint="eastAsia" w:ascii="宋体" w:hAnsi="宋体" w:cs="宋体"/>
                <w:sz w:val="18"/>
                <w:szCs w:val="18"/>
              </w:rPr>
              <w:t>负责人：</w:t>
            </w:r>
          </w:p>
          <w:p>
            <w:pPr>
              <w:spacing w:line="240" w:lineRule="auto"/>
              <w:ind w:left="0" w:leftChars="0" w:firstLine="3787" w:firstLineChars="2104"/>
              <w:jc w:val="both"/>
              <w:rPr>
                <w:rFonts w:hint="eastAsia" w:ascii="宋体" w:hAnsi="宋体" w:cs="宋体"/>
                <w:sz w:val="18"/>
                <w:szCs w:val="18"/>
              </w:rPr>
            </w:pPr>
            <w:r>
              <w:rPr>
                <w:rFonts w:hint="eastAsia" w:ascii="宋体" w:hAnsi="宋体" w:cs="宋体"/>
                <w:sz w:val="18"/>
                <w:szCs w:val="18"/>
              </w:rPr>
              <w:t>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9277" w:type="dxa"/>
            <w:gridSpan w:val="6"/>
            <w:tcBorders>
              <w:top w:val="single" w:color="000000" w:sz="2" w:space="0"/>
              <w:left w:val="single" w:color="000000" w:sz="6" w:space="0"/>
              <w:bottom w:val="single" w:color="000000" w:sz="2" w:space="0"/>
              <w:right w:val="single" w:color="000000" w:sz="6" w:space="0"/>
              <w:tl2br w:val="nil"/>
              <w:tr2bl w:val="nil"/>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注：本单一式二份，一份验收单位保存，一份施工单位保存</w:t>
            </w:r>
          </w:p>
        </w:tc>
      </w:tr>
    </w:tbl>
    <w:p>
      <w:pPr>
        <w:spacing w:line="360" w:lineRule="auto"/>
        <w:rPr>
          <w:sz w:val="28"/>
          <w:szCs w:val="28"/>
        </w:rPr>
      </w:pPr>
      <w:r>
        <w:rPr>
          <w:sz w:val="28"/>
          <w:szCs w:val="28"/>
        </w:rPr>
        <w:br w:type="page"/>
      </w:r>
    </w:p>
    <w:p>
      <w:pPr>
        <w:pStyle w:val="232"/>
        <w:spacing w:line="240" w:lineRule="auto"/>
        <w:ind w:left="4394" w:hanging="4393" w:hangingChars="2175"/>
        <w:jc w:val="center"/>
        <w:rPr>
          <w:rFonts w:hint="eastAsia"/>
          <w:sz w:val="21"/>
          <w:szCs w:val="21"/>
        </w:rPr>
      </w:pPr>
      <w:bookmarkStart w:id="172" w:name="_Toc13278"/>
      <w:bookmarkStart w:id="173" w:name="_Toc18932"/>
      <w:bookmarkStart w:id="174" w:name="_Toc4650"/>
      <w:bookmarkStart w:id="175" w:name="_Toc10182"/>
      <w:r>
        <w:rPr>
          <w:rFonts w:hint="eastAsia"/>
          <w:sz w:val="21"/>
          <w:szCs w:val="21"/>
        </w:rPr>
        <w:t>附录C</w:t>
      </w:r>
      <w:bookmarkEnd w:id="172"/>
      <w:bookmarkEnd w:id="173"/>
      <w:bookmarkEnd w:id="174"/>
      <w:bookmarkEnd w:id="175"/>
    </w:p>
    <w:p>
      <w:pPr>
        <w:spacing w:line="240" w:lineRule="auto"/>
        <w:jc w:val="center"/>
        <w:rPr>
          <w:rFonts w:hint="eastAsia" w:ascii="黑体" w:hAnsi="黑体" w:eastAsia="黑体" w:cs="黑体"/>
          <w:sz w:val="21"/>
          <w:szCs w:val="21"/>
        </w:rPr>
      </w:pPr>
      <w:r>
        <w:rPr>
          <w:rFonts w:hint="eastAsia" w:ascii="黑体" w:hAnsi="黑体" w:eastAsia="黑体" w:cs="黑体"/>
          <w:sz w:val="21"/>
          <w:szCs w:val="21"/>
        </w:rPr>
        <w:t>（资料性）</w:t>
      </w:r>
    </w:p>
    <w:p>
      <w:pPr>
        <w:spacing w:line="240" w:lineRule="auto"/>
        <w:jc w:val="center"/>
        <w:rPr>
          <w:rFonts w:hint="eastAsia" w:ascii="黑体" w:hAnsi="黑体" w:eastAsia="黑体" w:cs="黑体"/>
          <w:sz w:val="21"/>
          <w:szCs w:val="21"/>
        </w:rPr>
      </w:pPr>
      <w:r>
        <w:rPr>
          <w:rFonts w:hint="eastAsia" w:ascii="黑体" w:hAnsi="黑体" w:eastAsia="黑体" w:cs="黑体"/>
          <w:sz w:val="21"/>
          <w:szCs w:val="21"/>
        </w:rPr>
        <w:t>试运行和调试验收单</w:t>
      </w:r>
    </w:p>
    <w:p>
      <w:pPr>
        <w:pStyle w:val="57"/>
        <w:ind w:left="0" w:leftChars="0" w:firstLine="0" w:firstLineChars="0"/>
        <w:rPr>
          <w:szCs w:val="21"/>
        </w:rPr>
      </w:pPr>
      <w:r>
        <w:rPr>
          <w:rFonts w:hint="eastAsia" w:hAnsi="宋体"/>
        </w:rPr>
        <w:t>试运行和调试验收单如表</w:t>
      </w:r>
      <w:r>
        <w:rPr>
          <w:rFonts w:hint="eastAsia" w:hAnsi="宋体"/>
          <w:lang w:val="en-US" w:eastAsia="zh-CN"/>
        </w:rPr>
        <w:t>C</w:t>
      </w:r>
      <w:r>
        <w:rPr>
          <w:rFonts w:hint="eastAsia" w:hAnsi="宋体"/>
        </w:rPr>
        <w:t>.1所示。</w:t>
      </w:r>
    </w:p>
    <w:p>
      <w:pPr>
        <w:pStyle w:val="78"/>
        <w:numPr>
          <w:ilvl w:val="1"/>
          <w:numId w:val="0"/>
        </w:numPr>
        <w:bidi w:val="0"/>
        <w:spacing w:line="360" w:lineRule="auto"/>
        <w:ind w:leftChars="0"/>
      </w:pPr>
      <w:r>
        <w:rPr>
          <w:rFonts w:hint="eastAsia"/>
          <w:lang w:val="en-US" w:eastAsia="zh-CN"/>
        </w:rPr>
        <w:t>表C.1</w:t>
      </w:r>
      <w:r>
        <w:rPr>
          <w:rFonts w:hint="eastAsia"/>
        </w:rPr>
        <w:t xml:space="preserve"> </w:t>
      </w:r>
      <w:r>
        <w:rPr>
          <w:rFonts w:hint="eastAsia" w:ascii="黑体" w:hAnsi="黑体" w:eastAsia="黑体" w:cs="黑体"/>
          <w:sz w:val="21"/>
          <w:szCs w:val="21"/>
        </w:rPr>
        <w:t>试运行和调试验收单</w:t>
      </w:r>
    </w:p>
    <w:tbl>
      <w:tblPr>
        <w:tblStyle w:val="231"/>
        <w:tblW w:w="93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1"/>
        <w:gridCol w:w="1678"/>
        <w:gridCol w:w="1481"/>
        <w:gridCol w:w="1135"/>
        <w:gridCol w:w="35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91" w:type="dxa"/>
            <w:tcBorders>
              <w:top w:val="single" w:color="000000" w:sz="6" w:space="0"/>
              <w:left w:val="single" w:color="000000" w:sz="6" w:space="0"/>
            </w:tcBorders>
            <w:vAlign w:val="center"/>
          </w:tcPr>
          <w:p>
            <w:pPr>
              <w:spacing w:line="240" w:lineRule="auto"/>
              <w:jc w:val="center"/>
              <w:rPr>
                <w:rFonts w:hint="eastAsia" w:ascii="宋体" w:hAnsi="宋体" w:eastAsia="宋体" w:cs="宋体"/>
                <w:sz w:val="18"/>
                <w:szCs w:val="18"/>
                <w:lang w:eastAsia="zh-CN"/>
              </w:rPr>
            </w:pPr>
            <w:r>
              <w:rPr>
                <w:rFonts w:hint="eastAsia" w:ascii="宋体" w:hAnsi="宋体" w:cs="宋体"/>
                <w:sz w:val="18"/>
                <w:szCs w:val="18"/>
              </w:rPr>
              <w:t>客户</w:t>
            </w:r>
            <w:r>
              <w:rPr>
                <w:rFonts w:hint="eastAsia" w:ascii="宋体" w:hAnsi="宋体" w:cs="宋体"/>
                <w:sz w:val="18"/>
                <w:szCs w:val="18"/>
                <w:lang w:val="en-US" w:eastAsia="zh-CN"/>
              </w:rPr>
              <w:t>名称</w:t>
            </w:r>
          </w:p>
        </w:tc>
        <w:tc>
          <w:tcPr>
            <w:tcW w:w="3159" w:type="dxa"/>
            <w:gridSpan w:val="2"/>
            <w:tcBorders>
              <w:top w:val="single" w:color="000000" w:sz="6" w:space="0"/>
            </w:tcBorders>
            <w:vAlign w:val="center"/>
          </w:tcPr>
          <w:p>
            <w:pPr>
              <w:spacing w:line="240" w:lineRule="auto"/>
              <w:jc w:val="center"/>
              <w:rPr>
                <w:rFonts w:hint="eastAsia" w:ascii="宋体" w:hAnsi="宋体" w:cs="宋体"/>
                <w:sz w:val="18"/>
                <w:szCs w:val="18"/>
              </w:rPr>
            </w:pPr>
          </w:p>
        </w:tc>
        <w:tc>
          <w:tcPr>
            <w:tcW w:w="1135" w:type="dxa"/>
            <w:tcBorders>
              <w:top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lang w:val="en-US" w:eastAsia="zh-CN"/>
              </w:rPr>
              <w:t>用户</w:t>
            </w:r>
            <w:r>
              <w:rPr>
                <w:rFonts w:hint="eastAsia" w:ascii="宋体" w:hAnsi="宋体" w:cs="宋体"/>
                <w:sz w:val="18"/>
                <w:szCs w:val="18"/>
              </w:rPr>
              <w:t>类型</w:t>
            </w:r>
          </w:p>
        </w:tc>
        <w:tc>
          <w:tcPr>
            <w:tcW w:w="3567" w:type="dxa"/>
            <w:tcBorders>
              <w:top w:val="single" w:color="000000" w:sz="6" w:space="0"/>
              <w:right w:val="single" w:color="000000" w:sz="6" w:space="0"/>
            </w:tcBorders>
            <w:vAlign w:val="center"/>
          </w:tcPr>
          <w:p>
            <w:pPr>
              <w:spacing w:line="240" w:lineRule="auto"/>
              <w:jc w:val="center"/>
              <w:rPr>
                <w:rFonts w:hint="eastAsia" w:ascii="宋体" w:hAnsi="宋体" w:cs="宋体"/>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91" w:type="dxa"/>
            <w:tcBorders>
              <w:left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工程地址</w:t>
            </w:r>
          </w:p>
        </w:tc>
        <w:tc>
          <w:tcPr>
            <w:tcW w:w="3159" w:type="dxa"/>
            <w:gridSpan w:val="2"/>
            <w:tcBorders>
              <w:right w:val="single" w:color="000000" w:sz="6" w:space="0"/>
            </w:tcBorders>
            <w:vAlign w:val="center"/>
          </w:tcPr>
          <w:p>
            <w:pPr>
              <w:spacing w:line="240" w:lineRule="auto"/>
              <w:jc w:val="center"/>
              <w:rPr>
                <w:rFonts w:hint="eastAsia" w:ascii="宋体" w:hAnsi="宋体" w:cs="宋体"/>
                <w:sz w:val="18"/>
                <w:szCs w:val="18"/>
              </w:rPr>
            </w:pPr>
          </w:p>
        </w:tc>
        <w:tc>
          <w:tcPr>
            <w:tcW w:w="1135" w:type="dxa"/>
            <w:tcBorders>
              <w:right w:val="single" w:color="000000" w:sz="6" w:space="0"/>
            </w:tcBorders>
            <w:vAlign w:val="center"/>
          </w:tcPr>
          <w:p>
            <w:pPr>
              <w:spacing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供暖类型</w:t>
            </w:r>
          </w:p>
        </w:tc>
        <w:tc>
          <w:tcPr>
            <w:tcW w:w="3567" w:type="dxa"/>
            <w:tcBorders>
              <w:right w:val="single" w:color="000000" w:sz="6" w:space="0"/>
            </w:tcBorders>
            <w:vAlign w:val="center"/>
          </w:tcPr>
          <w:p>
            <w:pPr>
              <w:spacing w:line="240" w:lineRule="auto"/>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sym w:font="Wingdings 2" w:char="00A3"/>
            </w:r>
            <w:r>
              <w:rPr>
                <w:rFonts w:hint="eastAsia" w:ascii="宋体" w:hAnsi="宋体" w:cs="宋体"/>
                <w:sz w:val="18"/>
                <w:szCs w:val="18"/>
                <w:lang w:val="en-US" w:eastAsia="zh-CN"/>
              </w:rPr>
              <w:t xml:space="preserve">散热器供暖    </w:t>
            </w:r>
            <w:r>
              <w:rPr>
                <w:rFonts w:hint="eastAsia" w:ascii="宋体" w:hAnsi="宋体" w:cs="宋体"/>
                <w:sz w:val="18"/>
                <w:szCs w:val="18"/>
                <w:lang w:val="en-US" w:eastAsia="zh-CN"/>
              </w:rPr>
              <w:sym w:font="Wingdings 2" w:char="00A3"/>
            </w:r>
            <w:r>
              <w:rPr>
                <w:rFonts w:hint="eastAsia" w:ascii="宋体" w:hAnsi="宋体" w:cs="宋体"/>
                <w:sz w:val="18"/>
                <w:szCs w:val="18"/>
                <w:lang w:val="en-US" w:eastAsia="zh-CN"/>
              </w:rPr>
              <w:t>地面供暖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491" w:type="dxa"/>
            <w:tcBorders>
              <w:left w:val="single" w:color="000000" w:sz="6" w:space="0"/>
            </w:tcBorders>
            <w:vAlign w:val="center"/>
          </w:tcPr>
          <w:p>
            <w:pPr>
              <w:spacing w:line="240" w:lineRule="auto"/>
              <w:jc w:val="center"/>
              <w:rPr>
                <w:rFonts w:hint="eastAsia" w:ascii="宋体" w:hAnsi="宋体" w:eastAsia="宋体" w:cs="宋体"/>
                <w:sz w:val="18"/>
                <w:szCs w:val="18"/>
                <w:lang w:eastAsia="zh-CN"/>
              </w:rPr>
            </w:pPr>
            <w:r>
              <w:rPr>
                <w:rFonts w:hint="eastAsia" w:ascii="宋体" w:hAnsi="宋体" w:cs="宋体"/>
                <w:sz w:val="18"/>
                <w:szCs w:val="18"/>
              </w:rPr>
              <w:t>施工</w:t>
            </w:r>
            <w:r>
              <w:rPr>
                <w:rFonts w:hint="eastAsia" w:ascii="宋体" w:hAnsi="宋体" w:cs="宋体"/>
                <w:sz w:val="18"/>
                <w:szCs w:val="18"/>
                <w:lang w:val="en-US" w:eastAsia="zh-CN"/>
              </w:rPr>
              <w:t>单位</w:t>
            </w:r>
          </w:p>
        </w:tc>
        <w:tc>
          <w:tcPr>
            <w:tcW w:w="3159" w:type="dxa"/>
            <w:gridSpan w:val="2"/>
            <w:vAlign w:val="center"/>
          </w:tcPr>
          <w:p>
            <w:pPr>
              <w:spacing w:line="240" w:lineRule="auto"/>
              <w:jc w:val="center"/>
              <w:rPr>
                <w:rFonts w:hint="eastAsia" w:ascii="宋体" w:hAnsi="宋体" w:cs="宋体"/>
                <w:sz w:val="18"/>
                <w:szCs w:val="18"/>
              </w:rPr>
            </w:pPr>
          </w:p>
        </w:tc>
        <w:tc>
          <w:tcPr>
            <w:tcW w:w="4702" w:type="dxa"/>
            <w:gridSpan w:val="2"/>
            <w:tcBorders>
              <w:right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验收交接日期：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3169" w:type="dxa"/>
            <w:gridSpan w:val="2"/>
            <w:tcBorders>
              <w:left w:val="single" w:color="000000" w:sz="6" w:space="0"/>
              <w:bottom w:val="single" w:color="auto" w:sz="4"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验收项目内容</w:t>
            </w:r>
          </w:p>
        </w:tc>
        <w:tc>
          <w:tcPr>
            <w:tcW w:w="2616" w:type="dxa"/>
            <w:gridSpan w:val="2"/>
            <w:vAlign w:val="center"/>
          </w:tcPr>
          <w:p>
            <w:pPr>
              <w:spacing w:line="240" w:lineRule="auto"/>
              <w:jc w:val="center"/>
              <w:rPr>
                <w:rFonts w:hint="eastAsia" w:ascii="宋体" w:hAnsi="宋体" w:cs="宋体"/>
                <w:sz w:val="18"/>
                <w:szCs w:val="18"/>
              </w:rPr>
            </w:pPr>
            <w:r>
              <w:rPr>
                <w:rFonts w:hint="eastAsia" w:ascii="宋体" w:hAnsi="宋体" w:cs="宋体"/>
                <w:sz w:val="18"/>
                <w:szCs w:val="18"/>
              </w:rPr>
              <w:t>检验标准</w:t>
            </w:r>
          </w:p>
        </w:tc>
        <w:tc>
          <w:tcPr>
            <w:tcW w:w="3567" w:type="dxa"/>
            <w:tcBorders>
              <w:right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结果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l</w:t>
            </w:r>
          </w:p>
        </w:tc>
        <w:tc>
          <w:tcPr>
            <w:tcW w:w="16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地面供暖/</w:t>
            </w:r>
          </w:p>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散热器供暖</w:t>
            </w:r>
          </w:p>
          <w:p>
            <w:pPr>
              <w:spacing w:line="240" w:lineRule="auto"/>
              <w:jc w:val="center"/>
              <w:rPr>
                <w:rFonts w:hint="eastAsia" w:ascii="宋体" w:hAnsi="宋体" w:cs="宋体"/>
                <w:color w:val="auto"/>
                <w:sz w:val="18"/>
                <w:szCs w:val="18"/>
              </w:rPr>
            </w:pPr>
            <w:r>
              <w:rPr>
                <w:rFonts w:hint="eastAsia" w:ascii="宋体" w:hAnsi="宋体" w:cs="宋体"/>
                <w:color w:val="auto"/>
                <w:sz w:val="18"/>
                <w:szCs w:val="18"/>
                <w:lang w:val="en-US" w:eastAsia="zh-CN"/>
              </w:rPr>
              <w:t>系统</w:t>
            </w:r>
            <w:r>
              <w:rPr>
                <w:rFonts w:hint="eastAsia" w:ascii="宋体" w:hAnsi="宋体" w:cs="宋体"/>
                <w:color w:val="auto"/>
                <w:sz w:val="18"/>
                <w:szCs w:val="18"/>
              </w:rPr>
              <w:t>试压</w:t>
            </w: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第12.1、12.2条</w:t>
            </w:r>
          </w:p>
        </w:tc>
        <w:tc>
          <w:tcPr>
            <w:tcW w:w="3567" w:type="dxa"/>
            <w:tcBorders>
              <w:bottom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2</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采暖炉</w:t>
            </w:r>
            <w:r>
              <w:rPr>
                <w:rFonts w:hint="eastAsia" w:ascii="宋体" w:hAnsi="宋体" w:cs="宋体"/>
                <w:color w:val="auto"/>
                <w:sz w:val="18"/>
                <w:szCs w:val="18"/>
                <w:lang w:val="en-US" w:eastAsia="zh-CN"/>
              </w:rPr>
              <w:t>安装</w:t>
            </w: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采暖炉</w:t>
            </w:r>
          </w:p>
          <w:p>
            <w:pPr>
              <w:spacing w:line="240" w:lineRule="auto"/>
              <w:jc w:val="center"/>
              <w:rPr>
                <w:rFonts w:hint="eastAsia" w:ascii="宋体" w:hAnsi="宋体" w:cs="宋体"/>
                <w:color w:val="auto"/>
                <w:sz w:val="18"/>
                <w:szCs w:val="18"/>
              </w:rPr>
            </w:pPr>
            <w:r>
              <w:rPr>
                <w:rFonts w:hint="eastAsia" w:ascii="宋体" w:hAnsi="宋体" w:cs="宋体"/>
                <w:color w:val="auto"/>
                <w:sz w:val="18"/>
                <w:szCs w:val="18"/>
                <w:lang w:val="en-US" w:eastAsia="zh-CN"/>
              </w:rPr>
              <w:t>（第11.1-11.7条）</w:t>
            </w:r>
          </w:p>
        </w:tc>
        <w:tc>
          <w:tcPr>
            <w:tcW w:w="3567" w:type="dxa"/>
            <w:tcBorders>
              <w:top w:val="single" w:color="auto" w:sz="4" w:space="0"/>
              <w:bottom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采暖炉燃气管</w:t>
            </w:r>
          </w:p>
          <w:p>
            <w:pPr>
              <w:spacing w:line="240" w:lineRule="auto"/>
              <w:jc w:val="center"/>
              <w:rPr>
                <w:rFonts w:hint="eastAsia" w:ascii="宋体" w:hAnsi="宋体" w:cs="宋体"/>
                <w:color w:val="auto"/>
                <w:sz w:val="18"/>
                <w:szCs w:val="18"/>
              </w:rPr>
            </w:pPr>
            <w:r>
              <w:rPr>
                <w:rFonts w:hint="eastAsia"/>
                <w:color w:val="auto"/>
                <w:sz w:val="18"/>
                <w:szCs w:val="18"/>
                <w:lang w:eastAsia="zh-CN"/>
              </w:rPr>
              <w:t>（</w:t>
            </w:r>
            <w:r>
              <w:rPr>
                <w:rFonts w:hint="eastAsia" w:ascii="宋体" w:hAnsi="宋体" w:cs="宋体"/>
                <w:color w:val="auto"/>
                <w:sz w:val="18"/>
                <w:szCs w:val="18"/>
                <w:lang w:val="en-US" w:eastAsia="zh-CN"/>
              </w:rPr>
              <w:t>第11.8条）</w:t>
            </w:r>
          </w:p>
        </w:tc>
        <w:tc>
          <w:tcPr>
            <w:tcW w:w="3567" w:type="dxa"/>
            <w:tcBorders>
              <w:top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color w:val="auto"/>
                <w:sz w:val="18"/>
                <w:szCs w:val="18"/>
                <w:lang w:eastAsia="zh-CN"/>
              </w:rPr>
            </w:pPr>
          </w:p>
        </w:tc>
        <w:tc>
          <w:tcPr>
            <w:tcW w:w="2616" w:type="dxa"/>
            <w:gridSpan w:val="2"/>
            <w:tcBorders>
              <w:left w:val="single" w:color="auto" w:sz="4" w:space="0"/>
            </w:tcBorders>
            <w:vAlign w:val="center"/>
          </w:tcPr>
          <w:p>
            <w:pPr>
              <w:spacing w:line="240" w:lineRule="auto"/>
              <w:jc w:val="center"/>
              <w:rPr>
                <w:rFonts w:hint="eastAsia"/>
                <w:color w:val="auto"/>
                <w:sz w:val="18"/>
                <w:szCs w:val="18"/>
              </w:rPr>
            </w:pPr>
            <w:r>
              <w:rPr>
                <w:rFonts w:hint="eastAsia"/>
                <w:color w:val="auto"/>
                <w:sz w:val="18"/>
                <w:szCs w:val="18"/>
              </w:rPr>
              <w:t>采暖炉调试</w:t>
            </w:r>
          </w:p>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（第</w:t>
            </w:r>
            <w:r>
              <w:rPr>
                <w:rFonts w:hint="eastAsia" w:ascii="宋体" w:hAnsi="宋体" w:cs="宋体"/>
                <w:color w:val="auto"/>
                <w:sz w:val="18"/>
                <w:szCs w:val="18"/>
                <w:highlight w:val="none"/>
                <w:lang w:val="en-US" w:eastAsia="zh-CN"/>
              </w:rPr>
              <w:t>13.2.7</w:t>
            </w:r>
            <w:r>
              <w:rPr>
                <w:rFonts w:hint="eastAsia" w:ascii="宋体" w:hAnsi="宋体" w:cs="宋体"/>
                <w:color w:val="auto"/>
                <w:sz w:val="18"/>
                <w:szCs w:val="18"/>
                <w:highlight w:val="none"/>
              </w:rPr>
              <w:t>条）</w:t>
            </w:r>
          </w:p>
        </w:tc>
        <w:tc>
          <w:tcPr>
            <w:tcW w:w="3567" w:type="dxa"/>
            <w:tcBorders>
              <w:bottom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3</w:t>
            </w:r>
          </w:p>
        </w:tc>
        <w:tc>
          <w:tcPr>
            <w:tcW w:w="167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default" w:ascii="宋体" w:hAnsi="宋体" w:cs="宋体"/>
                <w:color w:val="auto"/>
                <w:sz w:val="18"/>
                <w:szCs w:val="18"/>
                <w:lang w:val="en-US"/>
              </w:rPr>
            </w:pPr>
            <w:r>
              <w:rPr>
                <w:rFonts w:hint="eastAsia" w:ascii="宋体" w:hAnsi="宋体" w:cs="宋体"/>
                <w:color w:val="auto"/>
                <w:sz w:val="18"/>
                <w:szCs w:val="18"/>
              </w:rPr>
              <w:t>温控</w:t>
            </w:r>
            <w:r>
              <w:rPr>
                <w:rFonts w:hint="eastAsia" w:ascii="宋体" w:hAnsi="宋体" w:cs="宋体"/>
                <w:color w:val="auto"/>
                <w:sz w:val="18"/>
                <w:szCs w:val="18"/>
                <w:lang w:val="en-US" w:eastAsia="zh-CN"/>
              </w:rPr>
              <w:t>装置安装</w:t>
            </w: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lang w:val="en-US" w:eastAsia="zh-CN"/>
              </w:rPr>
              <w:t>第10条</w:t>
            </w:r>
          </w:p>
        </w:tc>
        <w:tc>
          <w:tcPr>
            <w:tcW w:w="3567" w:type="dxa"/>
            <w:tcBorders>
              <w:top w:val="single" w:color="auto" w:sz="4" w:space="0"/>
              <w:bottom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4</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lang w:val="en-US" w:eastAsia="zh-CN"/>
              </w:rPr>
              <w:t>系统调试及</w:t>
            </w:r>
            <w:r>
              <w:rPr>
                <w:rFonts w:hint="eastAsia" w:ascii="宋体" w:hAnsi="宋体" w:cs="宋体"/>
                <w:color w:val="auto"/>
                <w:sz w:val="18"/>
                <w:szCs w:val="18"/>
              </w:rPr>
              <w:t>验收</w:t>
            </w: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rPr>
              <w:t>系统运行</w:t>
            </w:r>
            <w:r>
              <w:rPr>
                <w:rFonts w:hint="eastAsia" w:ascii="宋体" w:hAnsi="宋体" w:cs="宋体"/>
                <w:color w:val="auto"/>
                <w:sz w:val="18"/>
                <w:szCs w:val="18"/>
                <w:lang w:val="en-US" w:eastAsia="zh-CN"/>
              </w:rPr>
              <w:t>及调试</w:t>
            </w:r>
          </w:p>
          <w:p>
            <w:pPr>
              <w:spacing w:line="240" w:lineRule="auto"/>
              <w:jc w:val="center"/>
              <w:rPr>
                <w:rFonts w:hint="eastAsia" w:ascii="宋体" w:hAnsi="宋体" w:cs="宋体"/>
                <w:color w:val="auto"/>
                <w:sz w:val="18"/>
                <w:szCs w:val="18"/>
              </w:rPr>
            </w:pPr>
            <w:r>
              <w:rPr>
                <w:rFonts w:hint="eastAsia" w:ascii="宋体" w:hAnsi="宋体" w:cs="宋体"/>
                <w:color w:val="auto"/>
                <w:sz w:val="18"/>
                <w:szCs w:val="18"/>
                <w:highlight w:val="none"/>
              </w:rPr>
              <w:t>（第</w:t>
            </w:r>
            <w:r>
              <w:rPr>
                <w:rFonts w:hint="eastAsia" w:ascii="宋体" w:hAnsi="宋体" w:cs="宋体"/>
                <w:color w:val="auto"/>
                <w:sz w:val="18"/>
                <w:szCs w:val="18"/>
                <w:highlight w:val="none"/>
                <w:lang w:val="en-US" w:eastAsia="zh-CN"/>
              </w:rPr>
              <w:t>13.2</w:t>
            </w:r>
            <w:r>
              <w:rPr>
                <w:rFonts w:hint="eastAsia" w:ascii="宋体" w:hAnsi="宋体" w:cs="宋体"/>
                <w:color w:val="auto"/>
                <w:sz w:val="18"/>
                <w:szCs w:val="18"/>
                <w:highlight w:val="none"/>
              </w:rPr>
              <w:t>条</w:t>
            </w:r>
            <w:r>
              <w:rPr>
                <w:rFonts w:hint="eastAsia" w:ascii="宋体" w:hAnsi="宋体" w:cs="宋体"/>
                <w:color w:val="auto"/>
                <w:sz w:val="18"/>
                <w:szCs w:val="18"/>
                <w:highlight w:val="none"/>
                <w:lang w:eastAsia="zh-CN"/>
              </w:rPr>
              <w:t>）</w:t>
            </w:r>
          </w:p>
        </w:tc>
        <w:tc>
          <w:tcPr>
            <w:tcW w:w="3567" w:type="dxa"/>
            <w:tcBorders>
              <w:top w:val="single" w:color="auto" w:sz="4" w:space="0"/>
              <w:bottom w:val="single" w:color="auto" w:sz="4"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491" w:type="dxa"/>
            <w:vMerge w:val="continue"/>
            <w:tcBorders>
              <w:top w:val="single" w:color="auto" w:sz="4" w:space="0"/>
              <w:left w:val="single" w:color="auto" w:sz="4" w:space="0"/>
              <w:bottom w:val="single" w:color="auto" w:sz="4" w:space="0"/>
            </w:tcBorders>
            <w:vAlign w:val="center"/>
          </w:tcPr>
          <w:p>
            <w:pPr>
              <w:spacing w:line="240" w:lineRule="auto"/>
              <w:jc w:val="center"/>
              <w:rPr>
                <w:rFonts w:hint="eastAsia" w:ascii="宋体" w:hAnsi="宋体" w:cs="宋体"/>
                <w:color w:val="auto"/>
                <w:sz w:val="18"/>
                <w:szCs w:val="18"/>
              </w:rPr>
            </w:pPr>
          </w:p>
        </w:tc>
        <w:tc>
          <w:tcPr>
            <w:tcW w:w="1678" w:type="dxa"/>
            <w:vMerge w:val="continue"/>
            <w:tcBorders>
              <w:top w:val="single" w:color="auto" w:sz="4" w:space="0"/>
              <w:bottom w:val="single" w:color="auto" w:sz="4" w:space="0"/>
              <w:right w:val="single" w:color="auto" w:sz="4" w:space="0"/>
            </w:tcBorders>
            <w:vAlign w:val="center"/>
          </w:tcPr>
          <w:p>
            <w:pPr>
              <w:spacing w:line="240" w:lineRule="auto"/>
              <w:jc w:val="center"/>
              <w:rPr>
                <w:rFonts w:hint="eastAsia" w:ascii="宋体" w:hAnsi="宋体" w:cs="宋体"/>
                <w:color w:val="auto"/>
                <w:sz w:val="18"/>
                <w:szCs w:val="18"/>
              </w:rPr>
            </w:pPr>
          </w:p>
        </w:tc>
        <w:tc>
          <w:tcPr>
            <w:tcW w:w="2616" w:type="dxa"/>
            <w:gridSpan w:val="2"/>
            <w:tcBorders>
              <w:left w:val="single" w:color="auto" w:sz="4" w:space="0"/>
            </w:tcBorders>
            <w:vAlign w:val="center"/>
          </w:tcPr>
          <w:p>
            <w:pPr>
              <w:spacing w:line="240" w:lineRule="auto"/>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竣工验收</w:t>
            </w:r>
          </w:p>
          <w:p>
            <w:pPr>
              <w:spacing w:line="240" w:lineRule="auto"/>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w:t>
            </w:r>
            <w:r>
              <w:rPr>
                <w:rFonts w:hint="eastAsia" w:ascii="宋体" w:hAnsi="宋体" w:cs="宋体"/>
                <w:color w:val="auto"/>
                <w:sz w:val="18"/>
                <w:szCs w:val="18"/>
                <w:highlight w:val="none"/>
              </w:rPr>
              <w:t>第</w:t>
            </w:r>
            <w:r>
              <w:rPr>
                <w:rFonts w:hint="eastAsia" w:ascii="宋体" w:hAnsi="宋体" w:cs="宋体"/>
                <w:color w:val="auto"/>
                <w:sz w:val="18"/>
                <w:szCs w:val="18"/>
                <w:highlight w:val="none"/>
                <w:lang w:val="en-US" w:eastAsia="zh-CN"/>
              </w:rPr>
              <w:t>13.3</w:t>
            </w:r>
            <w:r>
              <w:rPr>
                <w:rFonts w:hint="eastAsia" w:ascii="宋体" w:hAnsi="宋体" w:cs="宋体"/>
                <w:color w:val="auto"/>
                <w:sz w:val="18"/>
                <w:szCs w:val="18"/>
                <w:highlight w:val="none"/>
              </w:rPr>
              <w:t>条</w:t>
            </w:r>
            <w:r>
              <w:rPr>
                <w:rFonts w:hint="eastAsia" w:ascii="宋体" w:hAnsi="宋体" w:cs="宋体"/>
                <w:color w:val="auto"/>
                <w:sz w:val="18"/>
                <w:szCs w:val="18"/>
                <w:highlight w:val="none"/>
                <w:lang w:eastAsia="zh-CN"/>
              </w:rPr>
              <w:t>）</w:t>
            </w:r>
          </w:p>
        </w:tc>
        <w:tc>
          <w:tcPr>
            <w:tcW w:w="3567" w:type="dxa"/>
            <w:tcBorders>
              <w:top w:val="single" w:color="auto" w:sz="4" w:space="0"/>
              <w:bottom w:val="single" w:color="000000" w:sz="6" w:space="0"/>
              <w:right w:val="single" w:color="000000" w:sz="6" w:space="0"/>
            </w:tcBorders>
            <w:vAlign w:val="center"/>
          </w:tcPr>
          <w:p>
            <w:pPr>
              <w:spacing w:line="240" w:lineRule="auto"/>
              <w:jc w:val="center"/>
              <w:rPr>
                <w:rFonts w:hint="eastAsia" w:ascii="宋体" w:hAnsi="宋体" w:cs="宋体"/>
                <w:color w:val="auto"/>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1491" w:type="dxa"/>
            <w:tcBorders>
              <w:left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施工单位</w:t>
            </w:r>
          </w:p>
          <w:p>
            <w:pPr>
              <w:spacing w:line="240" w:lineRule="auto"/>
              <w:jc w:val="center"/>
              <w:rPr>
                <w:rFonts w:hint="eastAsia" w:ascii="宋体" w:hAnsi="宋体" w:cs="宋体"/>
                <w:sz w:val="18"/>
                <w:szCs w:val="18"/>
              </w:rPr>
            </w:pPr>
            <w:r>
              <w:rPr>
                <w:rFonts w:hint="eastAsia" w:ascii="宋体" w:hAnsi="宋体" w:cs="宋体"/>
                <w:sz w:val="18"/>
                <w:szCs w:val="18"/>
              </w:rPr>
              <w:t>检查评定结果</w:t>
            </w:r>
          </w:p>
        </w:tc>
        <w:tc>
          <w:tcPr>
            <w:tcW w:w="7861" w:type="dxa"/>
            <w:gridSpan w:val="4"/>
            <w:tcBorders>
              <w:right w:val="single" w:color="000000" w:sz="6" w:space="0"/>
            </w:tcBorders>
            <w:vAlign w:val="center"/>
          </w:tcPr>
          <w:p>
            <w:pPr>
              <w:tabs>
                <w:tab w:val="left" w:pos="3990"/>
              </w:tabs>
              <w:spacing w:line="240" w:lineRule="auto"/>
              <w:ind w:left="0" w:leftChars="0" w:firstLine="3411" w:firstLineChars="1895"/>
              <w:jc w:val="both"/>
              <w:rPr>
                <w:rFonts w:hint="eastAsia" w:ascii="宋体" w:hAnsi="宋体" w:cs="宋体"/>
                <w:sz w:val="18"/>
                <w:szCs w:val="18"/>
              </w:rPr>
            </w:pPr>
            <w:r>
              <w:rPr>
                <w:rFonts w:hint="eastAsia" w:ascii="宋体" w:hAnsi="宋体" w:cs="宋体"/>
                <w:sz w:val="18"/>
                <w:szCs w:val="18"/>
              </w:rPr>
              <w:t>检验人：</w:t>
            </w:r>
          </w:p>
          <w:p>
            <w:pPr>
              <w:spacing w:line="240" w:lineRule="auto"/>
              <w:ind w:left="0" w:leftChars="0" w:firstLine="3427" w:firstLineChars="1904"/>
              <w:jc w:val="both"/>
              <w:rPr>
                <w:rFonts w:hint="eastAsia" w:ascii="宋体" w:hAnsi="宋体" w:cs="宋体"/>
                <w:sz w:val="18"/>
                <w:szCs w:val="18"/>
              </w:rPr>
            </w:pPr>
            <w:r>
              <w:rPr>
                <w:rFonts w:hint="eastAsia" w:ascii="宋体" w:hAnsi="宋体" w:cs="宋体"/>
                <w:sz w:val="18"/>
                <w:szCs w:val="18"/>
              </w:rPr>
              <w:t>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jc w:val="center"/>
        </w:trPr>
        <w:tc>
          <w:tcPr>
            <w:tcW w:w="1491" w:type="dxa"/>
            <w:tcBorders>
              <w:left w:val="single" w:color="000000" w:sz="6" w:space="0"/>
            </w:tcBorders>
            <w:vAlign w:val="center"/>
          </w:tcPr>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验收单位</w:t>
            </w:r>
          </w:p>
          <w:p>
            <w:pPr>
              <w:spacing w:line="240" w:lineRule="auto"/>
              <w:jc w:val="center"/>
              <w:rPr>
                <w:rFonts w:hint="eastAsia" w:ascii="宋体" w:hAnsi="宋体" w:cs="宋体"/>
                <w:color w:val="auto"/>
                <w:sz w:val="18"/>
                <w:szCs w:val="18"/>
              </w:rPr>
            </w:pPr>
            <w:r>
              <w:rPr>
                <w:rFonts w:hint="eastAsia" w:ascii="宋体" w:hAnsi="宋体" w:cs="宋体"/>
                <w:color w:val="auto"/>
                <w:sz w:val="18"/>
                <w:szCs w:val="18"/>
              </w:rPr>
              <w:t>检查评定意见</w:t>
            </w:r>
          </w:p>
        </w:tc>
        <w:tc>
          <w:tcPr>
            <w:tcW w:w="7861" w:type="dxa"/>
            <w:gridSpan w:val="4"/>
            <w:tcBorders>
              <w:right w:val="single" w:color="000000" w:sz="6" w:space="0"/>
            </w:tcBorders>
            <w:vAlign w:val="center"/>
          </w:tcPr>
          <w:p>
            <w:pPr>
              <w:spacing w:line="240" w:lineRule="auto"/>
              <w:ind w:left="0" w:leftChars="0" w:firstLine="3427" w:firstLineChars="1904"/>
              <w:jc w:val="both"/>
              <w:rPr>
                <w:rFonts w:hint="eastAsia" w:ascii="宋体" w:hAnsi="宋体" w:cs="宋体"/>
                <w:color w:val="auto"/>
                <w:sz w:val="18"/>
                <w:szCs w:val="18"/>
              </w:rPr>
            </w:pPr>
            <w:r>
              <w:rPr>
                <w:rFonts w:hint="eastAsia" w:ascii="宋体" w:hAnsi="宋体" w:cs="宋体"/>
                <w:color w:val="auto"/>
                <w:sz w:val="18"/>
                <w:szCs w:val="18"/>
              </w:rPr>
              <w:t>负责人：</w:t>
            </w:r>
          </w:p>
          <w:p>
            <w:pPr>
              <w:spacing w:line="240" w:lineRule="auto"/>
              <w:ind w:left="0" w:leftChars="0" w:firstLine="3427" w:firstLineChars="1904"/>
              <w:jc w:val="both"/>
              <w:rPr>
                <w:rFonts w:hint="eastAsia" w:ascii="宋体" w:hAnsi="宋体" w:cs="宋体"/>
                <w:color w:val="auto"/>
                <w:sz w:val="18"/>
                <w:szCs w:val="18"/>
              </w:rPr>
            </w:pPr>
            <w:r>
              <w:rPr>
                <w:rFonts w:hint="eastAsia" w:ascii="宋体" w:hAnsi="宋体" w:cs="宋体"/>
                <w:color w:val="auto"/>
                <w:sz w:val="18"/>
                <w:szCs w:val="18"/>
              </w:rPr>
              <w:t>日期：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jc w:val="center"/>
        </w:trPr>
        <w:tc>
          <w:tcPr>
            <w:tcW w:w="9352" w:type="dxa"/>
            <w:gridSpan w:val="5"/>
            <w:tcBorders>
              <w:left w:val="single" w:color="000000" w:sz="6" w:space="0"/>
              <w:right w:val="single" w:color="000000" w:sz="6" w:space="0"/>
            </w:tcBorders>
            <w:vAlign w:val="center"/>
          </w:tcPr>
          <w:p>
            <w:pPr>
              <w:spacing w:line="240" w:lineRule="auto"/>
              <w:jc w:val="center"/>
              <w:rPr>
                <w:rFonts w:hint="eastAsia" w:ascii="宋体" w:hAnsi="宋体" w:cs="宋体"/>
                <w:sz w:val="18"/>
                <w:szCs w:val="18"/>
              </w:rPr>
            </w:pPr>
            <w:r>
              <w:rPr>
                <w:rFonts w:hint="eastAsia" w:ascii="宋体" w:hAnsi="宋体" w:cs="宋体"/>
                <w:sz w:val="18"/>
                <w:szCs w:val="18"/>
              </w:rPr>
              <w:t>注：本单一式二份，一份验收单位保存，一份施工单位保存</w:t>
            </w:r>
          </w:p>
        </w:tc>
      </w:tr>
    </w:tbl>
    <w:p>
      <w:pPr>
        <w:jc w:val="center"/>
      </w:pPr>
      <w:r>
        <w:rPr>
          <w:rFonts w:hint="eastAsia" w:ascii="黑体" w:hAnsi="黑体" w:eastAsia="黑体" w:cs="黑体"/>
          <w:sz w:val="28"/>
          <w:szCs w:val="28"/>
        </w:rPr>
        <w:br w:type="page"/>
      </w:r>
      <w:bookmarkStart w:id="176" w:name="_Toc20040"/>
      <w:bookmarkStart w:id="177" w:name="_Toc29526"/>
      <w:r>
        <w:rPr>
          <w:rFonts w:hint="eastAsia"/>
          <w:sz w:val="21"/>
          <w:szCs w:val="21"/>
        </w:rPr>
        <w:t>附录</w:t>
      </w:r>
      <w:r>
        <w:rPr>
          <w:rFonts w:hint="eastAsia"/>
          <w:sz w:val="21"/>
          <w:szCs w:val="21"/>
          <w:lang w:val="en-US" w:eastAsia="zh-CN"/>
        </w:rPr>
        <w:t>D</w:t>
      </w:r>
      <w:r>
        <w:br w:type="textWrapping"/>
      </w:r>
      <w:bookmarkStart w:id="178" w:name="_Toc226463912"/>
      <w:bookmarkStart w:id="179" w:name="_Toc226463870"/>
      <w:bookmarkStart w:id="180" w:name="_Toc226463947"/>
      <w:bookmarkStart w:id="181" w:name="_Toc225262707"/>
      <w:r>
        <w:rPr>
          <w:rFonts w:hint="eastAsia"/>
        </w:rPr>
        <w:t>（资料性）</w:t>
      </w:r>
      <w:r>
        <w:br w:type="textWrapping"/>
      </w:r>
      <w:r>
        <w:rPr>
          <w:rFonts w:hint="eastAsia"/>
        </w:rPr>
        <w:t>湖北省地方标准实施信息及意见反馈表</w:t>
      </w:r>
      <w:bookmarkEnd w:id="176"/>
      <w:bookmarkEnd w:id="177"/>
      <w:bookmarkEnd w:id="178"/>
      <w:bookmarkEnd w:id="179"/>
      <w:bookmarkEnd w:id="180"/>
      <w:bookmarkEnd w:id="181"/>
    </w:p>
    <w:p>
      <w:pPr>
        <w:pStyle w:val="57"/>
        <w:ind w:left="0" w:leftChars="0" w:firstLine="0" w:firstLineChars="0"/>
        <w:rPr>
          <w:szCs w:val="21"/>
        </w:rPr>
      </w:pPr>
      <w:r>
        <w:rPr>
          <w:rFonts w:hint="eastAsia" w:hAnsi="宋体"/>
        </w:rPr>
        <w:t>湖北省地方标准实施信息及意见反馈表如表</w:t>
      </w:r>
      <w:r>
        <w:rPr>
          <w:rFonts w:hint="eastAsia" w:hAnsi="宋体"/>
          <w:lang w:val="en-US" w:eastAsia="zh-CN"/>
        </w:rPr>
        <w:t>D</w:t>
      </w:r>
      <w:r>
        <w:rPr>
          <w:rFonts w:hint="eastAsia" w:hAnsi="宋体"/>
        </w:rPr>
        <w:t>.1所示。</w:t>
      </w:r>
    </w:p>
    <w:p>
      <w:pPr>
        <w:pStyle w:val="78"/>
        <w:bidi w:val="0"/>
        <w:ind w:left="0" w:leftChars="0" w:firstLine="0" w:firstLineChars="0"/>
      </w:pPr>
      <w:r>
        <w:rPr>
          <w:rFonts w:hint="eastAsia"/>
        </w:rPr>
        <w:t xml:space="preserve"> 湖北省地方标准实施信息及意见反馈表</w:t>
      </w:r>
    </w:p>
    <w:tbl>
      <w:tblPr>
        <w:tblStyle w:val="233"/>
        <w:tblW w:w="93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1"/>
        <w:gridCol w:w="1326"/>
        <w:gridCol w:w="2027"/>
        <w:gridCol w:w="3109"/>
        <w:gridCol w:w="16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537" w:type="dxa"/>
            <w:gridSpan w:val="2"/>
            <w:tcBorders>
              <w:top w:val="single" w:color="auto" w:sz="12" w:space="0"/>
              <w:left w:val="single" w:color="auto" w:sz="12" w:space="0"/>
              <w:bottom w:val="single" w:color="000000" w:sz="2"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宋体" w:hAnsi="宋体" w:eastAsia="Times New Roman"/>
                <w:kern w:val="0"/>
                <w:sz w:val="18"/>
                <w:szCs w:val="18"/>
              </w:rPr>
              <w:t>标准名称及编号</w:t>
            </w:r>
          </w:p>
        </w:tc>
        <w:tc>
          <w:tcPr>
            <w:tcW w:w="6804" w:type="dxa"/>
            <w:gridSpan w:val="3"/>
            <w:tcBorders>
              <w:top w:val="single" w:color="auto" w:sz="12" w:space="0"/>
              <w:left w:val="nil"/>
              <w:bottom w:val="single" w:color="000000" w:sz="2" w:space="0"/>
              <w:right w:val="single" w:color="auto" w:sz="12" w:space="0"/>
            </w:tcBorders>
            <w:vAlign w:val="center"/>
          </w:tcPr>
          <w:p>
            <w:pPr>
              <w:snapToGrid w:val="0"/>
              <w:rPr>
                <w:rFonts w:ascii="宋体" w:hAnsi="宋体" w:eastAsia="Times New Roman" w:cs="Arial"/>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jc w:val="center"/>
        </w:trPr>
        <w:tc>
          <w:tcPr>
            <w:tcW w:w="1211" w:type="dxa"/>
            <w:vMerge w:val="restart"/>
            <w:tcBorders>
              <w:top w:val="single" w:color="auto" w:sz="12" w:space="0"/>
              <w:left w:val="single" w:color="auto" w:sz="12" w:space="0"/>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总体评价</w:t>
            </w:r>
          </w:p>
        </w:tc>
        <w:tc>
          <w:tcPr>
            <w:tcW w:w="1326" w:type="dxa"/>
            <w:tcBorders>
              <w:top w:val="single" w:color="auto" w:sz="12" w:space="0"/>
              <w:left w:val="nil"/>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适用性</w:t>
            </w:r>
          </w:p>
        </w:tc>
        <w:tc>
          <w:tcPr>
            <w:tcW w:w="5136" w:type="dxa"/>
            <w:gridSpan w:val="2"/>
            <w:tcBorders>
              <w:top w:val="single" w:color="auto" w:sz="12" w:space="0"/>
              <w:left w:val="nil"/>
              <w:bottom w:val="single" w:color="auto" w:sz="4" w:space="0"/>
              <w:right w:val="single" w:color="auto" w:sz="4" w:space="0"/>
            </w:tcBorders>
            <w:vAlign w:val="center"/>
          </w:tcPr>
          <w:p>
            <w:pPr>
              <w:widowControl/>
              <w:kinsoku w:val="0"/>
              <w:autoSpaceDE w:val="0"/>
              <w:autoSpaceDN w:val="0"/>
              <w:snapToGrid w:val="0"/>
              <w:textAlignment w:val="baseline"/>
              <w:rPr>
                <w:rFonts w:ascii="宋体" w:hAnsi="宋体" w:eastAsia="Times New Roman"/>
                <w:kern w:val="0"/>
                <w:sz w:val="18"/>
                <w:szCs w:val="18"/>
              </w:rPr>
            </w:pPr>
            <w:r>
              <w:rPr>
                <w:rFonts w:hint="eastAsia" w:ascii="宋体" w:hAnsi="宋体" w:eastAsia="Times New Roman" w:cs="宋体"/>
                <w:kern w:val="0"/>
                <w:sz w:val="18"/>
                <w:szCs w:val="18"/>
              </w:rPr>
              <w:t>该标准与当前所在地的产业或社会发展水平是否相匹配？</w:t>
            </w:r>
          </w:p>
        </w:tc>
        <w:tc>
          <w:tcPr>
            <w:tcW w:w="1668" w:type="dxa"/>
            <w:tcBorders>
              <w:top w:val="single" w:color="auto" w:sz="12" w:space="0"/>
              <w:left w:val="nil"/>
              <w:bottom w:val="single" w:color="auto" w:sz="4"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是</w:t>
            </w:r>
            <w:r>
              <w:rPr>
                <w:rFonts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211" w:type="dxa"/>
            <w:vMerge w:val="continue"/>
            <w:tcBorders>
              <w:top w:val="single" w:color="auto" w:sz="12" w:space="0"/>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kern w:val="0"/>
                <w:sz w:val="18"/>
                <w:szCs w:val="18"/>
              </w:rPr>
            </w:pPr>
          </w:p>
        </w:tc>
        <w:tc>
          <w:tcPr>
            <w:tcW w:w="1326" w:type="dxa"/>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协调性</w:t>
            </w:r>
          </w:p>
        </w:tc>
        <w:tc>
          <w:tcPr>
            <w:tcW w:w="5136" w:type="dxa"/>
            <w:gridSpan w:val="2"/>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textAlignment w:val="baseline"/>
              <w:rPr>
                <w:rFonts w:ascii="宋体" w:hAnsi="宋体" w:eastAsia="Times New Roman"/>
                <w:kern w:val="0"/>
                <w:sz w:val="18"/>
                <w:szCs w:val="18"/>
              </w:rPr>
            </w:pPr>
            <w:r>
              <w:rPr>
                <w:rFonts w:hint="eastAsia" w:ascii="宋体" w:hAnsi="宋体" w:eastAsia="Times New Roman" w:cs="宋体"/>
                <w:kern w:val="0"/>
                <w:sz w:val="18"/>
                <w:szCs w:val="18"/>
              </w:rPr>
              <w:t>该标准的特色要求与其他强制性标准的主要技术指标、相关法律法规、部门规章或产业政策是否协调？</w:t>
            </w:r>
          </w:p>
        </w:tc>
        <w:tc>
          <w:tcPr>
            <w:tcW w:w="1668" w:type="dxa"/>
            <w:tcBorders>
              <w:top w:val="single" w:color="auto" w:sz="4" w:space="0"/>
              <w:left w:val="nil"/>
              <w:bottom w:val="single" w:color="auto" w:sz="4"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是</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jc w:val="center"/>
        </w:trPr>
        <w:tc>
          <w:tcPr>
            <w:tcW w:w="1211" w:type="dxa"/>
            <w:vMerge w:val="continue"/>
            <w:tcBorders>
              <w:top w:val="single" w:color="auto" w:sz="12" w:space="0"/>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kern w:val="0"/>
                <w:sz w:val="18"/>
                <w:szCs w:val="18"/>
              </w:rPr>
            </w:pPr>
          </w:p>
        </w:tc>
        <w:tc>
          <w:tcPr>
            <w:tcW w:w="1326" w:type="dxa"/>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执行情况</w:t>
            </w:r>
          </w:p>
        </w:tc>
        <w:tc>
          <w:tcPr>
            <w:tcW w:w="5136" w:type="dxa"/>
            <w:gridSpan w:val="2"/>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textAlignment w:val="baseline"/>
              <w:rPr>
                <w:rFonts w:ascii="宋体" w:hAnsi="宋体" w:eastAsia="Times New Roman"/>
                <w:kern w:val="0"/>
                <w:sz w:val="18"/>
                <w:szCs w:val="18"/>
              </w:rPr>
            </w:pPr>
            <w:r>
              <w:rPr>
                <w:rFonts w:hint="eastAsia" w:ascii="宋体" w:hAnsi="宋体" w:eastAsia="Times New Roman" w:cs="宋体"/>
                <w:kern w:val="0"/>
                <w:sz w:val="18"/>
                <w:szCs w:val="18"/>
              </w:rPr>
              <w:t>标准执行单位或人员是否按照标准要求组织开展相关工作？</w:t>
            </w:r>
          </w:p>
        </w:tc>
        <w:tc>
          <w:tcPr>
            <w:tcW w:w="1668" w:type="dxa"/>
            <w:tcBorders>
              <w:top w:val="single" w:color="auto" w:sz="4" w:space="0"/>
              <w:left w:val="nil"/>
              <w:bottom w:val="single" w:color="auto" w:sz="4"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是</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1" w:type="dxa"/>
            <w:vMerge w:val="restart"/>
            <w:tcBorders>
              <w:top w:val="nil"/>
              <w:left w:val="single" w:color="auto" w:sz="12" w:space="0"/>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实施信息</w:t>
            </w:r>
          </w:p>
        </w:tc>
        <w:tc>
          <w:tcPr>
            <w:tcW w:w="6462" w:type="dxa"/>
            <w:gridSpan w:val="3"/>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jc w:val="left"/>
              <w:textAlignment w:val="baseline"/>
              <w:rPr>
                <w:rFonts w:ascii="宋体" w:hAnsi="宋体" w:eastAsia="Times New Roman"/>
                <w:kern w:val="0"/>
                <w:sz w:val="18"/>
                <w:szCs w:val="18"/>
              </w:rPr>
            </w:pPr>
            <w:r>
              <w:rPr>
                <w:rFonts w:hint="eastAsia" w:ascii="宋体" w:hAnsi="宋体" w:eastAsia="Times New Roman" w:cs="宋体"/>
                <w:kern w:val="0"/>
                <w:sz w:val="18"/>
                <w:szCs w:val="18"/>
              </w:rPr>
              <w:t>标准实施过程中是否存在阻力和障碍？</w:t>
            </w:r>
          </w:p>
        </w:tc>
        <w:tc>
          <w:tcPr>
            <w:tcW w:w="1668" w:type="dxa"/>
            <w:tcBorders>
              <w:top w:val="single" w:color="auto" w:sz="4" w:space="0"/>
              <w:left w:val="nil"/>
              <w:bottom w:val="single" w:color="auto" w:sz="4"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是</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1211" w:type="dxa"/>
            <w:vMerge w:val="continue"/>
            <w:tcBorders>
              <w:top w:val="nil"/>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kern w:val="0"/>
                <w:sz w:val="18"/>
                <w:szCs w:val="18"/>
              </w:rPr>
            </w:pPr>
          </w:p>
        </w:tc>
        <w:tc>
          <w:tcPr>
            <w:tcW w:w="3353" w:type="dxa"/>
            <w:gridSpan w:val="2"/>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jc w:val="left"/>
              <w:textAlignment w:val="baseline"/>
              <w:rPr>
                <w:rFonts w:ascii="宋体" w:hAnsi="宋体" w:eastAsia="Times New Roman"/>
                <w:kern w:val="0"/>
                <w:sz w:val="18"/>
                <w:szCs w:val="18"/>
              </w:rPr>
            </w:pPr>
            <w:r>
              <w:rPr>
                <w:rFonts w:hint="eastAsia" w:ascii="宋体" w:hAnsi="宋体" w:eastAsia="Times New Roman" w:cs="宋体"/>
                <w:kern w:val="0"/>
                <w:sz w:val="18"/>
                <w:szCs w:val="18"/>
              </w:rPr>
              <w:t>实施过程中存在的主要问题</w:t>
            </w:r>
          </w:p>
        </w:tc>
        <w:tc>
          <w:tcPr>
            <w:tcW w:w="4777" w:type="dxa"/>
            <w:gridSpan w:val="2"/>
            <w:tcBorders>
              <w:top w:val="single" w:color="auto" w:sz="4" w:space="0"/>
              <w:left w:val="nil"/>
              <w:bottom w:val="single" w:color="auto" w:sz="4" w:space="0"/>
              <w:right w:val="single" w:color="auto" w:sz="12" w:space="0"/>
            </w:tcBorders>
            <w:vAlign w:val="center"/>
          </w:tcPr>
          <w:p>
            <w:pPr>
              <w:snapToGrid w:val="0"/>
              <w:rPr>
                <w:rFonts w:ascii="宋体" w:hAnsi="宋体" w:eastAsia="Times New Roman" w:cs="Arial"/>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1211" w:type="dxa"/>
            <w:vMerge w:val="restart"/>
            <w:tcBorders>
              <w:top w:val="nil"/>
              <w:left w:val="single" w:color="auto" w:sz="12" w:space="0"/>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修改意见</w:t>
            </w:r>
          </w:p>
        </w:tc>
        <w:tc>
          <w:tcPr>
            <w:tcW w:w="1326" w:type="dxa"/>
            <w:tcBorders>
              <w:top w:val="single" w:color="auto" w:sz="4" w:space="0"/>
              <w:left w:val="nil"/>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总体意见</w:t>
            </w:r>
          </w:p>
        </w:tc>
        <w:tc>
          <w:tcPr>
            <w:tcW w:w="6804" w:type="dxa"/>
            <w:gridSpan w:val="3"/>
            <w:tcBorders>
              <w:top w:val="single" w:color="auto" w:sz="4" w:space="0"/>
              <w:left w:val="nil"/>
              <w:bottom w:val="single" w:color="auto" w:sz="4"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适用</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修改</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ascii="Wingdings" w:hAnsi="Wingdings" w:eastAsia="Times New Roman"/>
                <w:kern w:val="0"/>
              </w:rPr>
              <w:t></w:t>
            </w:r>
            <w:r>
              <w:rPr>
                <w:rFonts w:hint="eastAsia" w:ascii="宋体" w:hAnsi="宋体" w:eastAsia="Times New Roman" w:cs="宋体"/>
                <w:kern w:val="0"/>
                <w:sz w:val="18"/>
                <w:szCs w:val="18"/>
              </w:rPr>
              <w:t>废止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1211" w:type="dxa"/>
            <w:vMerge w:val="continue"/>
            <w:tcBorders>
              <w:top w:val="nil"/>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kern w:val="0"/>
                <w:sz w:val="18"/>
                <w:szCs w:val="18"/>
              </w:rPr>
            </w:pPr>
          </w:p>
        </w:tc>
        <w:tc>
          <w:tcPr>
            <w:tcW w:w="1326" w:type="dxa"/>
            <w:tcBorders>
              <w:top w:val="single" w:color="auto" w:sz="4" w:space="0"/>
              <w:left w:val="nil"/>
              <w:bottom w:val="single" w:color="000000" w:sz="2"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具体修</w:t>
            </w:r>
          </w:p>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改意见</w:t>
            </w:r>
          </w:p>
        </w:tc>
        <w:tc>
          <w:tcPr>
            <w:tcW w:w="6804" w:type="dxa"/>
            <w:gridSpan w:val="3"/>
            <w:tcBorders>
              <w:top w:val="single" w:color="auto" w:sz="4" w:space="0"/>
              <w:left w:val="nil"/>
              <w:bottom w:val="single" w:color="000000" w:sz="2" w:space="0"/>
              <w:right w:val="single" w:color="auto" w:sz="12" w:space="0"/>
            </w:tcBorders>
            <w:vAlign w:val="center"/>
          </w:tcPr>
          <w:p>
            <w:pPr>
              <w:widowControl/>
              <w:kinsoku w:val="0"/>
              <w:autoSpaceDE w:val="0"/>
              <w:autoSpaceDN w:val="0"/>
              <w:snapToGrid w:val="0"/>
              <w:textAlignment w:val="baseline"/>
              <w:rPr>
                <w:rFonts w:ascii="宋体" w:hAnsi="宋体" w:eastAsia="Times New Roman"/>
                <w:kern w:val="0"/>
                <w:sz w:val="18"/>
                <w:szCs w:val="18"/>
              </w:rPr>
            </w:pPr>
            <w:r>
              <w:rPr>
                <w:rFonts w:hint="eastAsia" w:ascii="宋体" w:hAnsi="宋体" w:eastAsia="Times New Roman" w:cs="宋体"/>
                <w:kern w:val="0"/>
                <w:sz w:val="18"/>
                <w:szCs w:val="18"/>
              </w:rPr>
              <w:t>需修改章节：</w:t>
            </w:r>
          </w:p>
          <w:p>
            <w:pPr>
              <w:widowControl/>
              <w:kinsoku w:val="0"/>
              <w:autoSpaceDE w:val="0"/>
              <w:autoSpaceDN w:val="0"/>
              <w:snapToGrid w:val="0"/>
              <w:textAlignment w:val="baseline"/>
              <w:rPr>
                <w:rFonts w:ascii="宋体" w:hAnsi="宋体" w:eastAsia="Times New Roman"/>
                <w:kern w:val="0"/>
                <w:sz w:val="18"/>
                <w:szCs w:val="18"/>
              </w:rPr>
            </w:pPr>
            <w:r>
              <w:rPr>
                <w:rFonts w:hint="eastAsia" w:ascii="宋体" w:hAnsi="宋体" w:eastAsia="Times New Roman" w:cs="宋体"/>
                <w:kern w:val="0"/>
                <w:sz w:val="18"/>
                <w:szCs w:val="18"/>
              </w:rPr>
              <w:t>具体修改意见：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6" w:hRule="atLeast"/>
          <w:jc w:val="center"/>
        </w:trPr>
        <w:tc>
          <w:tcPr>
            <w:tcW w:w="1211" w:type="dxa"/>
            <w:tcBorders>
              <w:top w:val="single" w:color="auto" w:sz="4" w:space="0"/>
              <w:left w:val="single" w:color="auto" w:sz="12" w:space="0"/>
              <w:bottom w:val="single" w:color="auto" w:sz="4"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反馈渠道</w:t>
            </w:r>
          </w:p>
        </w:tc>
        <w:tc>
          <w:tcPr>
            <w:tcW w:w="8130" w:type="dxa"/>
            <w:gridSpan w:val="4"/>
            <w:tcBorders>
              <w:top w:val="single" w:color="000000" w:sz="2" w:space="0"/>
              <w:left w:val="nil"/>
              <w:bottom w:val="single" w:color="000000" w:sz="2" w:space="0"/>
              <w:right w:val="single" w:color="auto" w:sz="12" w:space="0"/>
            </w:tcBorders>
            <w:vAlign w:val="center"/>
          </w:tcPr>
          <w:p>
            <w:pPr>
              <w:widowControl/>
              <w:kinsoku w:val="0"/>
              <w:autoSpaceDE w:val="0"/>
              <w:autoSpaceDN w:val="0"/>
              <w:snapToGrid w:val="0"/>
              <w:spacing w:line="360" w:lineRule="auto"/>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标准化行政主管部门</w:t>
            </w:r>
          </w:p>
          <w:p>
            <w:pPr>
              <w:widowControl/>
              <w:kinsoku w:val="0"/>
              <w:autoSpaceDE w:val="0"/>
              <w:autoSpaceDN w:val="0"/>
              <w:snapToGrid w:val="0"/>
              <w:spacing w:line="360" w:lineRule="auto"/>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省直行业主管部门</w:t>
            </w:r>
          </w:p>
          <w:p>
            <w:pPr>
              <w:widowControl/>
              <w:kinsoku w:val="0"/>
              <w:autoSpaceDE w:val="0"/>
              <w:autoSpaceDN w:val="0"/>
              <w:snapToGrid w:val="0"/>
              <w:spacing w:line="360" w:lineRule="auto"/>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专业标准化技术委员会（工作组）</w:t>
            </w:r>
          </w:p>
          <w:p>
            <w:pPr>
              <w:widowControl/>
              <w:kinsoku w:val="0"/>
              <w:autoSpaceDE w:val="0"/>
              <w:autoSpaceDN w:val="0"/>
              <w:snapToGrid w:val="0"/>
              <w:spacing w:line="360" w:lineRule="auto"/>
              <w:textAlignment w:val="baseline"/>
              <w:rPr>
                <w:rFonts w:ascii="宋体" w:hAnsi="宋体" w:eastAsia="Times New Roman"/>
                <w:kern w:val="0"/>
                <w:sz w:val="18"/>
                <w:szCs w:val="18"/>
              </w:rPr>
            </w:pPr>
            <w:r>
              <w:rPr>
                <w:rFonts w:ascii="Wingdings" w:hAnsi="Wingdings" w:eastAsia="Times New Roman"/>
                <w:kern w:val="0"/>
              </w:rPr>
              <w:t></w:t>
            </w:r>
            <w:r>
              <w:rPr>
                <w:rFonts w:hint="eastAsia" w:ascii="宋体" w:hAnsi="宋体" w:eastAsia="Times New Roman" w:cs="宋体"/>
                <w:kern w:val="0"/>
                <w:sz w:val="18"/>
                <w:szCs w:val="18"/>
              </w:rPr>
              <w:t>标准起草组（牵头起草单位）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1211" w:type="dxa"/>
            <w:tcBorders>
              <w:top w:val="single" w:color="auto" w:sz="4" w:space="0"/>
              <w:left w:val="single" w:color="auto" w:sz="12" w:space="0"/>
              <w:bottom w:val="single" w:color="auto" w:sz="12" w:space="0"/>
              <w:right w:val="single" w:color="auto" w:sz="4"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ascii="宋体" w:hAnsi="宋体" w:eastAsia="Times New Roman"/>
                <w:kern w:val="0"/>
                <w:sz w:val="18"/>
                <w:szCs w:val="18"/>
              </w:rPr>
              <w:t>反馈人</w:t>
            </w:r>
          </w:p>
        </w:tc>
        <w:tc>
          <w:tcPr>
            <w:tcW w:w="8130" w:type="dxa"/>
            <w:gridSpan w:val="4"/>
            <w:tcBorders>
              <w:top w:val="single" w:color="000000" w:sz="2" w:space="0"/>
              <w:left w:val="nil"/>
              <w:bottom w:val="single" w:color="auto" w:sz="12" w:space="0"/>
              <w:right w:val="single" w:color="auto" w:sz="12" w:space="0"/>
            </w:tcBorders>
            <w:vAlign w:val="center"/>
          </w:tcPr>
          <w:p>
            <w:pPr>
              <w:widowControl/>
              <w:kinsoku w:val="0"/>
              <w:autoSpaceDE w:val="0"/>
              <w:autoSpaceDN w:val="0"/>
              <w:snapToGrid w:val="0"/>
              <w:jc w:val="center"/>
              <w:textAlignment w:val="baseline"/>
              <w:rPr>
                <w:rFonts w:ascii="宋体" w:hAnsi="宋体" w:eastAsia="Times New Roman"/>
                <w:kern w:val="0"/>
                <w:sz w:val="18"/>
                <w:szCs w:val="18"/>
              </w:rPr>
            </w:pPr>
            <w:r>
              <w:rPr>
                <w:rFonts w:hint="eastAsia" w:ascii="宋体" w:hAnsi="宋体" w:eastAsia="Times New Roman" w:cs="宋体"/>
                <w:kern w:val="0"/>
                <w:sz w:val="18"/>
                <w:szCs w:val="18"/>
              </w:rPr>
              <w:t>姓名：</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hint="eastAsia" w:ascii="宋体" w:hAnsi="宋体" w:eastAsia="Times New Roman" w:cs="宋体"/>
                <w:kern w:val="0"/>
                <w:sz w:val="18"/>
                <w:szCs w:val="18"/>
              </w:rPr>
              <w:t>单位：</w:t>
            </w:r>
            <w:r>
              <w:rPr>
                <w:rFonts w:ascii="宋体" w:hAnsi="宋体" w:eastAsia="Times New Roman"/>
                <w:kern w:val="0"/>
                <w:sz w:val="18"/>
                <w:szCs w:val="18"/>
              </w:rPr>
              <w:t xml:space="preserve"> </w:t>
            </w:r>
            <w:r>
              <w:rPr>
                <w:rFonts w:hint="eastAsia" w:ascii="宋体" w:hAnsi="宋体" w:eastAsia="Times New Roman"/>
                <w:kern w:val="0"/>
                <w:sz w:val="18"/>
                <w:szCs w:val="18"/>
              </w:rPr>
              <w:t xml:space="preserve">                     </w:t>
            </w:r>
            <w:r>
              <w:rPr>
                <w:rFonts w:hint="eastAsia" w:ascii="宋体" w:hAnsi="宋体" w:eastAsia="Times New Roman" w:cs="宋体"/>
                <w:kern w:val="0"/>
                <w:sz w:val="18"/>
                <w:szCs w:val="18"/>
              </w:rPr>
              <w:t>联系方式：</w:t>
            </w:r>
          </w:p>
        </w:tc>
      </w:tr>
    </w:tbl>
    <w:p>
      <w:pPr>
        <w:pStyle w:val="57"/>
        <w:ind w:firstLine="420"/>
        <w:rPr>
          <w:szCs w:val="21"/>
        </w:rPr>
      </w:pPr>
      <w:r>
        <w:rPr>
          <w:rFonts w:hint="eastAsia" w:hAnsi="宋体"/>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p>
      <w:pPr>
        <w:rPr>
          <w:rFonts w:hint="eastAsia" w:ascii="黑体" w:hAnsi="黑体" w:eastAsia="黑体" w:cs="黑体"/>
          <w:sz w:val="28"/>
          <w:szCs w:val="28"/>
        </w:rPr>
      </w:pPr>
      <w:r>
        <w:rPr>
          <w:rFonts w:hint="eastAsia" w:ascii="黑体" w:hAnsi="黑体" w:eastAsia="黑体" w:cs="黑体"/>
          <w:sz w:val="28"/>
          <w:szCs w:val="28"/>
        </w:rPr>
        <w:br w:type="page"/>
      </w:r>
    </w:p>
    <w:p>
      <w:pPr>
        <w:pStyle w:val="64"/>
        <w:spacing w:after="156"/>
      </w:pPr>
      <w:bookmarkStart w:id="182" w:name="_Toc226463871"/>
      <w:bookmarkStart w:id="183" w:name="_Toc225262708"/>
      <w:bookmarkStart w:id="184" w:name="_Toc226463913"/>
      <w:bookmarkStart w:id="185" w:name="_Toc20900"/>
      <w:bookmarkStart w:id="186" w:name="_Toc226463948"/>
      <w:bookmarkStart w:id="187" w:name="_Toc24767"/>
      <w:r>
        <w:rPr>
          <w:rFonts w:hint="eastAsia"/>
          <w:spacing w:val="105"/>
        </w:rPr>
        <w:t>参考文</w:t>
      </w:r>
      <w:r>
        <w:rPr>
          <w:rFonts w:hint="eastAsia"/>
        </w:rPr>
        <w:t>献</w:t>
      </w:r>
      <w:bookmarkEnd w:id="182"/>
      <w:bookmarkEnd w:id="183"/>
      <w:bookmarkEnd w:id="184"/>
      <w:bookmarkEnd w:id="185"/>
      <w:bookmarkEnd w:id="186"/>
      <w:bookmarkEnd w:id="187"/>
    </w:p>
    <w:p>
      <w:pPr>
        <w:pStyle w:val="57"/>
        <w:ind w:firstLine="420"/>
      </w:pPr>
    </w:p>
    <w:p>
      <w:pPr>
        <w:pStyle w:val="57"/>
        <w:ind w:firstLine="420"/>
      </w:pPr>
    </w:p>
    <w:p>
      <w:pPr>
        <w:pStyle w:val="57"/>
        <w:ind w:firstLine="420"/>
        <w:rPr>
          <w:rFonts w:hint="default" w:eastAsia="宋体"/>
          <w:lang w:val="en-US" w:eastAsia="zh-CN"/>
        </w:rPr>
      </w:pPr>
      <w:r>
        <w:rPr>
          <w:rFonts w:hint="eastAsia"/>
        </w:rPr>
        <w:t>[1]</w:t>
      </w:r>
      <w:r>
        <w:rPr>
          <w:rFonts w:hint="eastAsia"/>
          <w:lang w:val="en-US" w:eastAsia="zh-CN"/>
        </w:rPr>
        <w:t>湖北省燃气管理条例（湖北省人民代表大会常务委员会公告（第三百七十一号））</w:t>
      </w:r>
    </w:p>
    <w:p>
      <w:pPr>
        <w:pStyle w:val="57"/>
        <w:ind w:firstLine="420"/>
        <w:rPr>
          <w:rFonts w:hint="default" w:eastAsia="宋体"/>
          <w:lang w:val="en-US" w:eastAsia="zh-CN"/>
        </w:rPr>
      </w:pPr>
      <w:r>
        <w:rPr>
          <w:rFonts w:hint="eastAsia"/>
        </w:rPr>
        <w:t>[2]</w:t>
      </w:r>
      <w:r>
        <w:rPr>
          <w:rFonts w:hint="eastAsia"/>
          <w:lang w:val="en-US" w:eastAsia="zh-CN"/>
        </w:rPr>
        <w:t>分户独立热源明装散热器供暖系统技术导则RISN-TG045-2022</w:t>
      </w:r>
    </w:p>
    <w:p>
      <w:pPr>
        <w:pStyle w:val="57"/>
        <w:ind w:firstLine="420"/>
      </w:pPr>
    </w:p>
    <w:p>
      <w:pPr>
        <w:pStyle w:val="57"/>
        <w:ind w:firstLine="0" w:firstLineChars="0"/>
        <w:jc w:val="center"/>
      </w:pPr>
      <w:r>
        <w:rPr>
          <w:rFonts w:hint="eastAsia"/>
        </w:rPr>
        <w:drawing>
          <wp:inline distT="0" distB="0" distL="0" distR="0">
            <wp:extent cx="1485900" cy="317500"/>
            <wp:effectExtent l="0" t="0" r="7620" b="254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36">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p>
    <w:p>
      <w:pPr>
        <w:spacing w:line="360" w:lineRule="auto"/>
        <w:rPr>
          <w:rFonts w:hint="eastAsia" w:ascii="黑体" w:hAnsi="黑体" w:eastAsia="黑体" w:cs="黑体"/>
          <w:sz w:val="28"/>
          <w:szCs w:val="28"/>
        </w:rPr>
      </w:pPr>
    </w:p>
    <w:p>
      <w:pPr>
        <w:pStyle w:val="57"/>
        <w:ind w:firstLine="420"/>
      </w:pPr>
    </w:p>
    <w:p>
      <w:pPr>
        <w:pStyle w:val="57"/>
        <w:ind w:firstLine="420"/>
      </w:pPr>
    </w:p>
    <w:p>
      <w:pPr>
        <w:pStyle w:val="57"/>
        <w:ind w:firstLine="420"/>
      </w:pPr>
    </w:p>
    <w:bookmarkEnd w:id="20"/>
    <w:p>
      <w:pPr>
        <w:pStyle w:val="57"/>
        <w:ind w:firstLine="420"/>
      </w:pPr>
    </w:p>
    <w:p>
      <w:pPr>
        <w:pStyle w:val="57"/>
        <w:ind w:firstLine="420"/>
      </w:pPr>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Segoe UI">
    <w:altName w:val="Noto Music"/>
    <w:panose1 w:val="020B0502040204020203"/>
    <w:charset w:val="00"/>
    <w:family w:val="swiss"/>
    <w:pitch w:val="default"/>
    <w:sig w:usb0="00000000" w:usb1="00000000" w:usb2="00000029" w:usb3="00000000" w:csb0="200001DF" w:csb1="20000000"/>
  </w:font>
  <w:font w:name="Cambria Math">
    <w:altName w:val="DejaVu Math TeX Gyre"/>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oto Sans CJK JP Bold">
    <w:panose1 w:val="020B0800000000000000"/>
    <w:charset w:val="86"/>
    <w:family w:val="auto"/>
    <w:pitch w:val="default"/>
    <w:sig w:usb0="30000003" w:usb1="2BDF3C10" w:usb2="00000016" w:usb3="00000000" w:csb0="602E0107"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201" w:lineRule="exact"/>
      <w:ind w:left="285"/>
      <w:jc w:val="center"/>
      <w:rPr>
        <w:rFonts w:hint="eastAsia"/>
        <w:sz w:val="16"/>
        <w:szCs w:val="16"/>
      </w:rPr>
    </w:pPr>
    <w:r>
      <w:rPr>
        <w:sz w:val="16"/>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DB42/T XXXX—     </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DB42/T XXXX—     </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42054"/>
    <w:multiLevelType w:val="singleLevel"/>
    <w:tmpl w:val="83A42054"/>
    <w:lvl w:ilvl="0" w:tentative="0">
      <w:start w:val="1"/>
      <w:numFmt w:val="lowerLetter"/>
      <w:suff w:val="space"/>
      <w:lvlText w:val="%1)"/>
      <w:lvlJc w:val="left"/>
    </w:lvl>
  </w:abstractNum>
  <w:abstractNum w:abstractNumId="1">
    <w:nsid w:val="85037698"/>
    <w:multiLevelType w:val="singleLevel"/>
    <w:tmpl w:val="85037698"/>
    <w:lvl w:ilvl="0" w:tentative="0">
      <w:start w:val="1"/>
      <w:numFmt w:val="lowerLetter"/>
      <w:suff w:val="space"/>
      <w:lvlText w:val="%1)"/>
      <w:lvlJc w:val="left"/>
      <w:pPr>
        <w:ind w:left="0" w:firstLine="827"/>
      </w:pPr>
      <w:rPr>
        <w:rFonts w:hint="default" w:ascii="黑体" w:hAnsi="黑体" w:eastAsia="黑体" w:cs="黑体"/>
      </w:rPr>
    </w:lvl>
  </w:abstractNum>
  <w:abstractNum w:abstractNumId="2">
    <w:nsid w:val="8C318CB4"/>
    <w:multiLevelType w:val="singleLevel"/>
    <w:tmpl w:val="8C318CB4"/>
    <w:lvl w:ilvl="0" w:tentative="0">
      <w:start w:val="1"/>
      <w:numFmt w:val="decimal"/>
      <w:suff w:val="space"/>
      <w:lvlText w:val="5.5.4.%1"/>
      <w:lvlJc w:val="left"/>
      <w:pPr>
        <w:tabs>
          <w:tab w:val="left" w:pos="0"/>
        </w:tabs>
        <w:ind w:left="0" w:firstLine="395"/>
      </w:pPr>
      <w:rPr>
        <w:rFonts w:hint="default" w:ascii="黑体" w:hAnsi="黑体" w:eastAsia="黑体" w:cs="黑体"/>
        <w:sz w:val="21"/>
        <w:szCs w:val="21"/>
      </w:rPr>
    </w:lvl>
  </w:abstractNum>
  <w:abstractNum w:abstractNumId="3">
    <w:nsid w:val="8CECAD26"/>
    <w:multiLevelType w:val="singleLevel"/>
    <w:tmpl w:val="8CECAD26"/>
    <w:lvl w:ilvl="0" w:tentative="0">
      <w:start w:val="1"/>
      <w:numFmt w:val="lowerLetter"/>
      <w:suff w:val="nothing"/>
      <w:lvlText w:val="%1）"/>
      <w:lvlJc w:val="left"/>
      <w:pPr>
        <w:ind w:left="0" w:firstLine="827"/>
      </w:pPr>
      <w:rPr>
        <w:rFonts w:hint="default"/>
      </w:rPr>
    </w:lvl>
  </w:abstractNum>
  <w:abstractNum w:abstractNumId="4">
    <w:nsid w:val="8E063C62"/>
    <w:multiLevelType w:val="singleLevel"/>
    <w:tmpl w:val="8E063C62"/>
    <w:lvl w:ilvl="0" w:tentative="0">
      <w:start w:val="1"/>
      <w:numFmt w:val="decimal"/>
      <w:suff w:val="space"/>
      <w:lvlText w:val="6.2.3.%1"/>
      <w:lvlJc w:val="left"/>
      <w:pPr>
        <w:tabs>
          <w:tab w:val="left" w:pos="0"/>
        </w:tabs>
        <w:ind w:left="0" w:firstLine="395"/>
      </w:pPr>
      <w:rPr>
        <w:rFonts w:hint="default" w:ascii="黑体" w:hAnsi="黑体" w:eastAsia="黑体" w:cs="黑体"/>
        <w:sz w:val="21"/>
        <w:szCs w:val="21"/>
      </w:rPr>
    </w:lvl>
  </w:abstractNum>
  <w:abstractNum w:abstractNumId="5">
    <w:nsid w:val="8FDA69B8"/>
    <w:multiLevelType w:val="singleLevel"/>
    <w:tmpl w:val="8FDA69B8"/>
    <w:lvl w:ilvl="0" w:tentative="0">
      <w:start w:val="1"/>
      <w:numFmt w:val="lowerLetter"/>
      <w:suff w:val="space"/>
      <w:lvlText w:val="%1)"/>
      <w:lvlJc w:val="left"/>
    </w:lvl>
  </w:abstractNum>
  <w:abstractNum w:abstractNumId="6">
    <w:nsid w:val="902D7EB0"/>
    <w:multiLevelType w:val="singleLevel"/>
    <w:tmpl w:val="902D7EB0"/>
    <w:lvl w:ilvl="0" w:tentative="0">
      <w:start w:val="1"/>
      <w:numFmt w:val="decimal"/>
      <w:suff w:val="space"/>
      <w:lvlText w:val="5.6.3.%1"/>
      <w:lvlJc w:val="left"/>
      <w:pPr>
        <w:tabs>
          <w:tab w:val="left" w:pos="0"/>
        </w:tabs>
        <w:ind w:left="0" w:firstLine="395"/>
      </w:pPr>
      <w:rPr>
        <w:rFonts w:hint="default" w:ascii="黑体" w:hAnsi="黑体" w:eastAsia="黑体" w:cs="黑体"/>
        <w:sz w:val="21"/>
        <w:szCs w:val="21"/>
      </w:rPr>
    </w:lvl>
  </w:abstractNum>
  <w:abstractNum w:abstractNumId="7">
    <w:nsid w:val="9323729E"/>
    <w:multiLevelType w:val="singleLevel"/>
    <w:tmpl w:val="9323729E"/>
    <w:lvl w:ilvl="0" w:tentative="0">
      <w:start w:val="1"/>
      <w:numFmt w:val="decimal"/>
      <w:suff w:val="space"/>
      <w:lvlText w:val="9.3.3.%1"/>
      <w:lvlJc w:val="left"/>
      <w:pPr>
        <w:tabs>
          <w:tab w:val="left" w:pos="0"/>
        </w:tabs>
        <w:ind w:left="0" w:firstLine="401"/>
      </w:pPr>
      <w:rPr>
        <w:rFonts w:hint="default" w:ascii="黑体" w:hAnsi="黑体" w:eastAsia="黑体" w:cs="黑体"/>
        <w:sz w:val="21"/>
        <w:szCs w:val="21"/>
      </w:rPr>
    </w:lvl>
  </w:abstractNum>
  <w:abstractNum w:abstractNumId="8">
    <w:nsid w:val="95766FB9"/>
    <w:multiLevelType w:val="singleLevel"/>
    <w:tmpl w:val="95766FB9"/>
    <w:lvl w:ilvl="0" w:tentative="0">
      <w:start w:val="1"/>
      <w:numFmt w:val="decimal"/>
      <w:suff w:val="space"/>
      <w:lvlText w:val="5.3.%1"/>
      <w:lvlJc w:val="left"/>
      <w:pPr>
        <w:tabs>
          <w:tab w:val="left" w:pos="0"/>
        </w:tabs>
        <w:ind w:left="0" w:firstLine="395"/>
      </w:pPr>
      <w:rPr>
        <w:rFonts w:hint="default" w:ascii="黑体" w:hAnsi="黑体" w:eastAsia="黑体" w:cs="黑体"/>
      </w:rPr>
    </w:lvl>
  </w:abstractNum>
  <w:abstractNum w:abstractNumId="9">
    <w:nsid w:val="9AD4AADD"/>
    <w:multiLevelType w:val="singleLevel"/>
    <w:tmpl w:val="9AD4AADD"/>
    <w:lvl w:ilvl="0" w:tentative="0">
      <w:start w:val="1"/>
      <w:numFmt w:val="decimal"/>
      <w:suff w:val="space"/>
      <w:lvlText w:val="5.2.%1"/>
      <w:lvlJc w:val="left"/>
      <w:pPr>
        <w:tabs>
          <w:tab w:val="left" w:pos="0"/>
        </w:tabs>
        <w:ind w:left="0" w:firstLine="827"/>
      </w:pPr>
      <w:rPr>
        <w:rFonts w:hint="default" w:ascii="黑体" w:hAnsi="黑体" w:eastAsia="黑体" w:cs="黑体"/>
        <w:sz w:val="21"/>
        <w:szCs w:val="21"/>
      </w:rPr>
    </w:lvl>
  </w:abstractNum>
  <w:abstractNum w:abstractNumId="10">
    <w:nsid w:val="9E12C3A7"/>
    <w:multiLevelType w:val="singleLevel"/>
    <w:tmpl w:val="9E12C3A7"/>
    <w:lvl w:ilvl="0" w:tentative="0">
      <w:start w:val="1"/>
      <w:numFmt w:val="lowerLetter"/>
      <w:suff w:val="space"/>
      <w:lvlText w:val="%1)"/>
      <w:lvlJc w:val="left"/>
    </w:lvl>
  </w:abstractNum>
  <w:abstractNum w:abstractNumId="11">
    <w:nsid w:val="9E24DC31"/>
    <w:multiLevelType w:val="singleLevel"/>
    <w:tmpl w:val="9E24DC31"/>
    <w:lvl w:ilvl="0" w:tentative="0">
      <w:start w:val="1"/>
      <w:numFmt w:val="decimal"/>
      <w:suff w:val="space"/>
      <w:lvlText w:val="13.1.%1"/>
      <w:lvlJc w:val="left"/>
      <w:pPr>
        <w:tabs>
          <w:tab w:val="left" w:pos="0"/>
        </w:tabs>
        <w:ind w:left="0" w:firstLine="827"/>
      </w:pPr>
      <w:rPr>
        <w:rFonts w:hint="default" w:ascii="黑体" w:hAnsi="黑体" w:eastAsia="黑体" w:cs="黑体"/>
        <w:sz w:val="21"/>
        <w:szCs w:val="21"/>
      </w:rPr>
    </w:lvl>
  </w:abstractNum>
  <w:abstractNum w:abstractNumId="12">
    <w:nsid w:val="9F2235F4"/>
    <w:multiLevelType w:val="singleLevel"/>
    <w:tmpl w:val="9F2235F4"/>
    <w:lvl w:ilvl="0" w:tentative="0">
      <w:start w:val="1"/>
      <w:numFmt w:val="lowerLetter"/>
      <w:suff w:val="space"/>
      <w:lvlText w:val="%1)"/>
      <w:lvlJc w:val="left"/>
    </w:lvl>
  </w:abstractNum>
  <w:abstractNum w:abstractNumId="13">
    <w:nsid w:val="A20E8AA6"/>
    <w:multiLevelType w:val="singleLevel"/>
    <w:tmpl w:val="A20E8AA6"/>
    <w:lvl w:ilvl="0" w:tentative="0">
      <w:start w:val="1"/>
      <w:numFmt w:val="lowerLetter"/>
      <w:suff w:val="nothing"/>
      <w:lvlText w:val="%1）"/>
      <w:lvlJc w:val="left"/>
      <w:pPr>
        <w:ind w:left="0" w:firstLine="827"/>
      </w:pPr>
      <w:rPr>
        <w:rFonts w:hint="default"/>
      </w:rPr>
    </w:lvl>
  </w:abstractNum>
  <w:abstractNum w:abstractNumId="14">
    <w:nsid w:val="A6441D38"/>
    <w:multiLevelType w:val="singleLevel"/>
    <w:tmpl w:val="A6441D38"/>
    <w:lvl w:ilvl="0" w:tentative="0">
      <w:start w:val="1"/>
      <w:numFmt w:val="lowerLetter"/>
      <w:suff w:val="nothing"/>
      <w:lvlText w:val="%1）"/>
      <w:lvlJc w:val="left"/>
      <w:pPr>
        <w:ind w:left="0" w:firstLine="827"/>
      </w:pPr>
      <w:rPr>
        <w:rFonts w:hint="default"/>
      </w:rPr>
    </w:lvl>
  </w:abstractNum>
  <w:abstractNum w:abstractNumId="15">
    <w:nsid w:val="AA62BF2E"/>
    <w:multiLevelType w:val="singleLevel"/>
    <w:tmpl w:val="AA62BF2E"/>
    <w:lvl w:ilvl="0" w:tentative="0">
      <w:start w:val="1"/>
      <w:numFmt w:val="decimal"/>
      <w:suff w:val="space"/>
      <w:lvlText w:val="9.3.2.%1"/>
      <w:lvlJc w:val="left"/>
      <w:pPr>
        <w:tabs>
          <w:tab w:val="left" w:pos="0"/>
        </w:tabs>
        <w:ind w:left="0" w:firstLine="401"/>
      </w:pPr>
      <w:rPr>
        <w:rFonts w:hint="default" w:ascii="黑体" w:hAnsi="黑体" w:eastAsia="黑体" w:cs="黑体"/>
        <w:sz w:val="21"/>
        <w:szCs w:val="21"/>
      </w:rPr>
    </w:lvl>
  </w:abstractNum>
  <w:abstractNum w:abstractNumId="16">
    <w:nsid w:val="AA7F0D92"/>
    <w:multiLevelType w:val="singleLevel"/>
    <w:tmpl w:val="AA7F0D92"/>
    <w:lvl w:ilvl="0" w:tentative="0">
      <w:start w:val="1"/>
      <w:numFmt w:val="lowerLetter"/>
      <w:suff w:val="space"/>
      <w:lvlText w:val="%1)"/>
      <w:lvlJc w:val="left"/>
    </w:lvl>
  </w:abstractNum>
  <w:abstractNum w:abstractNumId="17">
    <w:nsid w:val="B0BFA481"/>
    <w:multiLevelType w:val="singleLevel"/>
    <w:tmpl w:val="B0BFA481"/>
    <w:lvl w:ilvl="0" w:tentative="0">
      <w:start w:val="1"/>
      <w:numFmt w:val="decimal"/>
      <w:suff w:val="space"/>
      <w:lvlText w:val="14.%1"/>
      <w:lvlJc w:val="left"/>
      <w:pPr>
        <w:tabs>
          <w:tab w:val="left" w:pos="0"/>
        </w:tabs>
        <w:ind w:left="0" w:firstLine="827"/>
      </w:pPr>
      <w:rPr>
        <w:rFonts w:hint="default" w:ascii="黑体" w:hAnsi="黑体" w:eastAsia="黑体" w:cs="黑体"/>
        <w:sz w:val="21"/>
        <w:szCs w:val="21"/>
      </w:rPr>
    </w:lvl>
  </w:abstractNum>
  <w:abstractNum w:abstractNumId="18">
    <w:nsid w:val="B316F0D4"/>
    <w:multiLevelType w:val="singleLevel"/>
    <w:tmpl w:val="B316F0D4"/>
    <w:lvl w:ilvl="0" w:tentative="0">
      <w:start w:val="1"/>
      <w:numFmt w:val="lowerLetter"/>
      <w:suff w:val="space"/>
      <w:lvlText w:val="%1)"/>
      <w:lvlJc w:val="left"/>
    </w:lvl>
  </w:abstractNum>
  <w:abstractNum w:abstractNumId="19">
    <w:nsid w:val="B3B30CAF"/>
    <w:multiLevelType w:val="singleLevel"/>
    <w:tmpl w:val="B3B30CAF"/>
    <w:lvl w:ilvl="0" w:tentative="0">
      <w:start w:val="1"/>
      <w:numFmt w:val="lowerLetter"/>
      <w:suff w:val="nothing"/>
      <w:lvlText w:val="%1）"/>
      <w:lvlJc w:val="left"/>
      <w:pPr>
        <w:ind w:left="0" w:firstLine="827"/>
      </w:pPr>
      <w:rPr>
        <w:rFonts w:hint="default"/>
      </w:rPr>
    </w:lvl>
  </w:abstractNum>
  <w:abstractNum w:abstractNumId="20">
    <w:nsid w:val="B3CF998D"/>
    <w:multiLevelType w:val="singleLevel"/>
    <w:tmpl w:val="B3CF998D"/>
    <w:lvl w:ilvl="0" w:tentative="0">
      <w:start w:val="1"/>
      <w:numFmt w:val="lowerLetter"/>
      <w:suff w:val="space"/>
      <w:lvlText w:val="%1)"/>
      <w:lvlJc w:val="left"/>
    </w:lvl>
  </w:abstractNum>
  <w:abstractNum w:abstractNumId="21">
    <w:nsid w:val="B5D271C6"/>
    <w:multiLevelType w:val="singleLevel"/>
    <w:tmpl w:val="B5D271C6"/>
    <w:lvl w:ilvl="0" w:tentative="0">
      <w:start w:val="1"/>
      <w:numFmt w:val="decimal"/>
      <w:suff w:val="space"/>
      <w:lvlText w:val="9.3.4.%1"/>
      <w:lvlJc w:val="left"/>
      <w:pPr>
        <w:tabs>
          <w:tab w:val="left" w:pos="0"/>
        </w:tabs>
        <w:ind w:left="0" w:firstLine="401"/>
      </w:pPr>
      <w:rPr>
        <w:rFonts w:hint="default" w:ascii="黑体" w:hAnsi="黑体" w:eastAsia="黑体" w:cs="黑体"/>
        <w:sz w:val="21"/>
        <w:szCs w:val="21"/>
      </w:rPr>
    </w:lvl>
  </w:abstractNum>
  <w:abstractNum w:abstractNumId="22">
    <w:nsid w:val="B6A58894"/>
    <w:multiLevelType w:val="singleLevel"/>
    <w:tmpl w:val="B6A58894"/>
    <w:lvl w:ilvl="0" w:tentative="0">
      <w:start w:val="1"/>
      <w:numFmt w:val="decimal"/>
      <w:suff w:val="space"/>
      <w:lvlText w:val="5.6.1.%1"/>
      <w:lvlJc w:val="left"/>
      <w:pPr>
        <w:tabs>
          <w:tab w:val="left" w:pos="0"/>
        </w:tabs>
        <w:ind w:left="0" w:firstLine="395"/>
      </w:pPr>
      <w:rPr>
        <w:rFonts w:hint="default" w:ascii="黑体" w:hAnsi="黑体" w:eastAsia="黑体" w:cs="黑体"/>
        <w:sz w:val="21"/>
        <w:szCs w:val="21"/>
      </w:rPr>
    </w:lvl>
  </w:abstractNum>
  <w:abstractNum w:abstractNumId="23">
    <w:nsid w:val="BB9B2492"/>
    <w:multiLevelType w:val="singleLevel"/>
    <w:tmpl w:val="BB9B2492"/>
    <w:lvl w:ilvl="0" w:tentative="0">
      <w:start w:val="1"/>
      <w:numFmt w:val="decimal"/>
      <w:suff w:val="space"/>
      <w:lvlText w:val="13.3.%1"/>
      <w:lvlJc w:val="left"/>
      <w:pPr>
        <w:tabs>
          <w:tab w:val="left" w:pos="0"/>
        </w:tabs>
        <w:ind w:left="0" w:firstLine="827"/>
      </w:pPr>
      <w:rPr>
        <w:rFonts w:hint="default" w:ascii="黑体" w:hAnsi="黑体" w:eastAsia="黑体" w:cs="黑体"/>
        <w:sz w:val="21"/>
        <w:szCs w:val="21"/>
      </w:rPr>
    </w:lvl>
  </w:abstractNum>
  <w:abstractNum w:abstractNumId="24">
    <w:nsid w:val="C2715A60"/>
    <w:multiLevelType w:val="singleLevel"/>
    <w:tmpl w:val="C2715A60"/>
    <w:lvl w:ilvl="0" w:tentative="0">
      <w:start w:val="1"/>
      <w:numFmt w:val="lowerLetter"/>
      <w:suff w:val="space"/>
      <w:lvlText w:val="%1)"/>
      <w:lvlJc w:val="left"/>
    </w:lvl>
  </w:abstractNum>
  <w:abstractNum w:abstractNumId="25">
    <w:nsid w:val="C431E45B"/>
    <w:multiLevelType w:val="singleLevel"/>
    <w:tmpl w:val="C431E45B"/>
    <w:lvl w:ilvl="0" w:tentative="0">
      <w:start w:val="1"/>
      <w:numFmt w:val="lowerLetter"/>
      <w:suff w:val="space"/>
      <w:lvlText w:val="%1)"/>
      <w:lvlJc w:val="left"/>
    </w:lvl>
  </w:abstractNum>
  <w:abstractNum w:abstractNumId="26">
    <w:nsid w:val="C62932D3"/>
    <w:multiLevelType w:val="singleLevel"/>
    <w:tmpl w:val="C62932D3"/>
    <w:lvl w:ilvl="0" w:tentative="0">
      <w:start w:val="1"/>
      <w:numFmt w:val="lowerLetter"/>
      <w:suff w:val="space"/>
      <w:lvlText w:val="%1)"/>
      <w:lvlJc w:val="left"/>
    </w:lvl>
  </w:abstractNum>
  <w:abstractNum w:abstractNumId="27">
    <w:nsid w:val="CB3D942A"/>
    <w:multiLevelType w:val="singleLevel"/>
    <w:tmpl w:val="CB3D942A"/>
    <w:lvl w:ilvl="0" w:tentative="0">
      <w:start w:val="1"/>
      <w:numFmt w:val="decimal"/>
      <w:suff w:val="space"/>
      <w:lvlText w:val="9.2.1.%1"/>
      <w:lvlJc w:val="left"/>
      <w:pPr>
        <w:tabs>
          <w:tab w:val="left" w:pos="0"/>
        </w:tabs>
        <w:ind w:left="0" w:firstLine="401"/>
      </w:pPr>
      <w:rPr>
        <w:rFonts w:hint="default" w:ascii="黑体" w:hAnsi="黑体" w:eastAsia="黑体" w:cs="黑体"/>
        <w:sz w:val="21"/>
        <w:szCs w:val="21"/>
      </w:rPr>
    </w:lvl>
  </w:abstractNum>
  <w:abstractNum w:abstractNumId="28">
    <w:nsid w:val="CD357F2B"/>
    <w:multiLevelType w:val="singleLevel"/>
    <w:tmpl w:val="CD357F2B"/>
    <w:lvl w:ilvl="0" w:tentative="0">
      <w:start w:val="1"/>
      <w:numFmt w:val="lowerLetter"/>
      <w:suff w:val="nothing"/>
      <w:lvlText w:val="%1）"/>
      <w:lvlJc w:val="left"/>
      <w:pPr>
        <w:ind w:left="0" w:firstLine="827"/>
      </w:pPr>
      <w:rPr>
        <w:rFonts w:hint="default"/>
      </w:rPr>
    </w:lvl>
  </w:abstractNum>
  <w:abstractNum w:abstractNumId="29">
    <w:nsid w:val="CEBA15D9"/>
    <w:multiLevelType w:val="singleLevel"/>
    <w:tmpl w:val="CEBA15D9"/>
    <w:lvl w:ilvl="0" w:tentative="0">
      <w:start w:val="1"/>
      <w:numFmt w:val="decimal"/>
      <w:suff w:val="space"/>
      <w:lvlText w:val="6.2.2.%1"/>
      <w:lvlJc w:val="left"/>
      <w:pPr>
        <w:tabs>
          <w:tab w:val="left" w:pos="0"/>
        </w:tabs>
        <w:ind w:left="0" w:firstLine="395"/>
      </w:pPr>
      <w:rPr>
        <w:rFonts w:hint="default" w:ascii="黑体" w:hAnsi="黑体" w:eastAsia="黑体" w:cs="黑体"/>
        <w:sz w:val="21"/>
        <w:szCs w:val="21"/>
      </w:rPr>
    </w:lvl>
  </w:abstractNum>
  <w:abstractNum w:abstractNumId="30">
    <w:nsid w:val="D5816CF3"/>
    <w:multiLevelType w:val="singleLevel"/>
    <w:tmpl w:val="D5816CF3"/>
    <w:lvl w:ilvl="0" w:tentative="0">
      <w:start w:val="1"/>
      <w:numFmt w:val="lowerLetter"/>
      <w:suff w:val="space"/>
      <w:lvlText w:val="%1)"/>
      <w:lvlJc w:val="left"/>
    </w:lvl>
  </w:abstractNum>
  <w:abstractNum w:abstractNumId="31">
    <w:nsid w:val="D6586A30"/>
    <w:multiLevelType w:val="singleLevel"/>
    <w:tmpl w:val="D6586A30"/>
    <w:lvl w:ilvl="0" w:tentative="0">
      <w:start w:val="1"/>
      <w:numFmt w:val="lowerLetter"/>
      <w:suff w:val="space"/>
      <w:lvlText w:val="%1)"/>
      <w:lvlJc w:val="left"/>
      <w:pPr>
        <w:ind w:left="0" w:firstLine="827"/>
      </w:pPr>
      <w:rPr>
        <w:rFonts w:hint="default" w:ascii="黑体" w:hAnsi="黑体" w:eastAsia="黑体" w:cs="黑体"/>
      </w:rPr>
    </w:lvl>
  </w:abstractNum>
  <w:abstractNum w:abstractNumId="32">
    <w:nsid w:val="D92608BD"/>
    <w:multiLevelType w:val="singleLevel"/>
    <w:tmpl w:val="D92608BD"/>
    <w:lvl w:ilvl="0" w:tentative="0">
      <w:start w:val="1"/>
      <w:numFmt w:val="lowerLetter"/>
      <w:suff w:val="space"/>
      <w:lvlText w:val="%1)"/>
      <w:lvlJc w:val="left"/>
      <w:pPr>
        <w:ind w:left="0" w:firstLine="827"/>
      </w:pPr>
      <w:rPr>
        <w:rFonts w:hint="default" w:ascii="黑体" w:hAnsi="黑体" w:eastAsia="黑体" w:cs="黑体"/>
      </w:rPr>
    </w:lvl>
  </w:abstractNum>
  <w:abstractNum w:abstractNumId="33">
    <w:nsid w:val="DABFD32B"/>
    <w:multiLevelType w:val="singleLevel"/>
    <w:tmpl w:val="DABFD32B"/>
    <w:lvl w:ilvl="0" w:tentative="0">
      <w:start w:val="1"/>
      <w:numFmt w:val="decimal"/>
      <w:suff w:val="space"/>
      <w:lvlText w:val="5.1.%1"/>
      <w:lvlJc w:val="left"/>
      <w:pPr>
        <w:tabs>
          <w:tab w:val="left" w:pos="0"/>
        </w:tabs>
        <w:ind w:left="0" w:firstLine="827"/>
      </w:pPr>
      <w:rPr>
        <w:rFonts w:hint="default" w:ascii="黑体" w:hAnsi="黑体" w:eastAsia="黑体" w:cs="黑体"/>
      </w:rPr>
    </w:lvl>
  </w:abstractNum>
  <w:abstractNum w:abstractNumId="34">
    <w:nsid w:val="DB0164FC"/>
    <w:multiLevelType w:val="singleLevel"/>
    <w:tmpl w:val="DB0164FC"/>
    <w:lvl w:ilvl="0" w:tentative="0">
      <w:start w:val="1"/>
      <w:numFmt w:val="decimal"/>
      <w:suff w:val="space"/>
      <w:lvlText w:val="5.5.3.%1"/>
      <w:lvlJc w:val="left"/>
      <w:pPr>
        <w:tabs>
          <w:tab w:val="left" w:pos="0"/>
        </w:tabs>
        <w:ind w:left="0" w:firstLine="395"/>
      </w:pPr>
      <w:rPr>
        <w:rFonts w:hint="default" w:ascii="黑体" w:hAnsi="黑体" w:eastAsia="黑体" w:cs="黑体"/>
        <w:sz w:val="21"/>
        <w:szCs w:val="21"/>
      </w:rPr>
    </w:lvl>
  </w:abstractNum>
  <w:abstractNum w:abstractNumId="35">
    <w:nsid w:val="DEFF8548"/>
    <w:multiLevelType w:val="singleLevel"/>
    <w:tmpl w:val="DEFF8548"/>
    <w:lvl w:ilvl="0" w:tentative="0">
      <w:start w:val="1"/>
      <w:numFmt w:val="lowerLetter"/>
      <w:suff w:val="nothing"/>
      <w:lvlText w:val="%1）"/>
      <w:lvlJc w:val="left"/>
      <w:pPr>
        <w:ind w:left="0" w:firstLine="827"/>
      </w:pPr>
      <w:rPr>
        <w:rFonts w:hint="default"/>
      </w:rPr>
    </w:lvl>
  </w:abstractNum>
  <w:abstractNum w:abstractNumId="36">
    <w:nsid w:val="E0750E50"/>
    <w:multiLevelType w:val="singleLevel"/>
    <w:tmpl w:val="E0750E50"/>
    <w:lvl w:ilvl="0" w:tentative="0">
      <w:start w:val="1"/>
      <w:numFmt w:val="decimal"/>
      <w:suff w:val="space"/>
      <w:lvlText w:val="5.2.2.%1"/>
      <w:lvlJc w:val="left"/>
      <w:pPr>
        <w:tabs>
          <w:tab w:val="left" w:pos="0"/>
        </w:tabs>
        <w:ind w:left="0" w:firstLine="827"/>
      </w:pPr>
      <w:rPr>
        <w:rFonts w:hint="default" w:ascii="黑体" w:hAnsi="黑体" w:eastAsia="黑体" w:cs="黑体"/>
        <w:sz w:val="21"/>
        <w:szCs w:val="21"/>
      </w:rPr>
    </w:lvl>
  </w:abstractNum>
  <w:abstractNum w:abstractNumId="37">
    <w:nsid w:val="E56B9DFA"/>
    <w:multiLevelType w:val="singleLevel"/>
    <w:tmpl w:val="E56B9DFA"/>
    <w:lvl w:ilvl="0" w:tentative="0">
      <w:start w:val="1"/>
      <w:numFmt w:val="lowerLetter"/>
      <w:suff w:val="space"/>
      <w:lvlText w:val="%1)"/>
      <w:lvlJc w:val="left"/>
    </w:lvl>
  </w:abstractNum>
  <w:abstractNum w:abstractNumId="38">
    <w:nsid w:val="E8576C66"/>
    <w:multiLevelType w:val="singleLevel"/>
    <w:tmpl w:val="E8576C66"/>
    <w:lvl w:ilvl="0" w:tentative="0">
      <w:start w:val="1"/>
      <w:numFmt w:val="decimal"/>
      <w:suff w:val="space"/>
      <w:lvlText w:val="10.%1"/>
      <w:lvlJc w:val="left"/>
      <w:pPr>
        <w:tabs>
          <w:tab w:val="left" w:pos="0"/>
        </w:tabs>
        <w:ind w:left="0" w:firstLine="401"/>
      </w:pPr>
      <w:rPr>
        <w:rFonts w:hint="default" w:ascii="黑体" w:hAnsi="黑体" w:eastAsia="黑体" w:cs="黑体"/>
        <w:sz w:val="21"/>
        <w:szCs w:val="21"/>
      </w:rPr>
    </w:lvl>
  </w:abstractNum>
  <w:abstractNum w:abstractNumId="39">
    <w:nsid w:val="E887B463"/>
    <w:multiLevelType w:val="singleLevel"/>
    <w:tmpl w:val="E887B463"/>
    <w:lvl w:ilvl="0" w:tentative="0">
      <w:start w:val="1"/>
      <w:numFmt w:val="lowerLetter"/>
      <w:suff w:val="nothing"/>
      <w:lvlText w:val="%1）"/>
      <w:lvlJc w:val="left"/>
      <w:pPr>
        <w:ind w:left="0" w:firstLine="827"/>
      </w:pPr>
      <w:rPr>
        <w:rFonts w:hint="default"/>
      </w:rPr>
    </w:lvl>
  </w:abstractNum>
  <w:abstractNum w:abstractNumId="40">
    <w:nsid w:val="EE5CD898"/>
    <w:multiLevelType w:val="singleLevel"/>
    <w:tmpl w:val="EE5CD898"/>
    <w:lvl w:ilvl="0" w:tentative="0">
      <w:start w:val="1"/>
      <w:numFmt w:val="decimal"/>
      <w:suff w:val="space"/>
      <w:lvlText w:val="5.4.%1"/>
      <w:lvlJc w:val="left"/>
      <w:pPr>
        <w:tabs>
          <w:tab w:val="left" w:pos="0"/>
        </w:tabs>
        <w:ind w:left="0" w:firstLine="827"/>
      </w:pPr>
      <w:rPr>
        <w:rFonts w:hint="default" w:ascii="黑体" w:hAnsi="黑体" w:eastAsia="黑体" w:cs="黑体"/>
        <w:sz w:val="21"/>
        <w:szCs w:val="21"/>
      </w:rPr>
    </w:lvl>
  </w:abstractNum>
  <w:abstractNum w:abstractNumId="41">
    <w:nsid w:val="EFC973E5"/>
    <w:multiLevelType w:val="singleLevel"/>
    <w:tmpl w:val="EFC973E5"/>
    <w:lvl w:ilvl="0" w:tentative="0">
      <w:start w:val="1"/>
      <w:numFmt w:val="lowerLetter"/>
      <w:suff w:val="space"/>
      <w:lvlText w:val="%1)"/>
      <w:lvlJc w:val="left"/>
    </w:lvl>
  </w:abstractNum>
  <w:abstractNum w:abstractNumId="42">
    <w:nsid w:val="F070F2A6"/>
    <w:multiLevelType w:val="singleLevel"/>
    <w:tmpl w:val="F070F2A6"/>
    <w:lvl w:ilvl="0" w:tentative="0">
      <w:start w:val="1"/>
      <w:numFmt w:val="lowerLetter"/>
      <w:suff w:val="space"/>
      <w:lvlText w:val="%1)"/>
      <w:lvlJc w:val="left"/>
    </w:lvl>
  </w:abstractNum>
  <w:abstractNum w:abstractNumId="43">
    <w:nsid w:val="F96CEF81"/>
    <w:multiLevelType w:val="singleLevel"/>
    <w:tmpl w:val="F96CEF81"/>
    <w:lvl w:ilvl="0" w:tentative="0">
      <w:start w:val="1"/>
      <w:numFmt w:val="lowerLetter"/>
      <w:suff w:val="nothing"/>
      <w:lvlText w:val="%1）"/>
      <w:lvlJc w:val="left"/>
      <w:pPr>
        <w:ind w:left="0" w:firstLine="827"/>
      </w:pPr>
      <w:rPr>
        <w:rFonts w:hint="default"/>
      </w:rPr>
    </w:lvl>
  </w:abstractNum>
  <w:abstractNum w:abstractNumId="44">
    <w:nsid w:val="FBCEF917"/>
    <w:multiLevelType w:val="singleLevel"/>
    <w:tmpl w:val="FBCEF917"/>
    <w:lvl w:ilvl="0" w:tentative="0">
      <w:start w:val="1"/>
      <w:numFmt w:val="lowerLetter"/>
      <w:suff w:val="nothing"/>
      <w:lvlText w:val="%1）"/>
      <w:lvlJc w:val="left"/>
      <w:pPr>
        <w:ind w:left="0" w:firstLine="827"/>
      </w:pPr>
      <w:rPr>
        <w:rFonts w:hint="default"/>
      </w:rPr>
    </w:lvl>
  </w:abstractNum>
  <w:abstractNum w:abstractNumId="45">
    <w:nsid w:val="FD4E0D38"/>
    <w:multiLevelType w:val="singleLevel"/>
    <w:tmpl w:val="FD4E0D38"/>
    <w:lvl w:ilvl="0" w:tentative="0">
      <w:start w:val="1"/>
      <w:numFmt w:val="decimal"/>
      <w:suff w:val="space"/>
      <w:lvlText w:val="3.%1"/>
      <w:lvlJc w:val="left"/>
      <w:pPr>
        <w:ind w:left="0" w:firstLine="401"/>
      </w:pPr>
      <w:rPr>
        <w:rFonts w:hint="default" w:ascii="黑体" w:hAnsi="黑体" w:eastAsia="黑体" w:cs="黑体"/>
      </w:rPr>
    </w:lvl>
  </w:abstractNum>
  <w:abstractNum w:abstractNumId="46">
    <w:nsid w:val="01D30FDF"/>
    <w:multiLevelType w:val="singleLevel"/>
    <w:tmpl w:val="01D30FDF"/>
    <w:lvl w:ilvl="0" w:tentative="0">
      <w:start w:val="1"/>
      <w:numFmt w:val="lowerLetter"/>
      <w:suff w:val="space"/>
      <w:lvlText w:val="%1)"/>
      <w:lvlJc w:val="left"/>
    </w:lvl>
  </w:abstractNum>
  <w:abstractNum w:abstractNumId="47">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48">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9">
    <w:nsid w:val="071AB7CD"/>
    <w:multiLevelType w:val="singleLevel"/>
    <w:tmpl w:val="071AB7CD"/>
    <w:lvl w:ilvl="0" w:tentative="0">
      <w:start w:val="1"/>
      <w:numFmt w:val="lowerLetter"/>
      <w:suff w:val="nothing"/>
      <w:lvlText w:val="%1）"/>
      <w:lvlJc w:val="left"/>
      <w:pPr>
        <w:ind w:left="0" w:firstLine="827"/>
      </w:pPr>
      <w:rPr>
        <w:rFonts w:hint="default"/>
      </w:rPr>
    </w:lvl>
  </w:abstractNum>
  <w:abstractNum w:abstractNumId="50">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1">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2">
    <w:nsid w:val="084396B0"/>
    <w:multiLevelType w:val="singleLevel"/>
    <w:tmpl w:val="084396B0"/>
    <w:lvl w:ilvl="0" w:tentative="0">
      <w:start w:val="1"/>
      <w:numFmt w:val="decimal"/>
      <w:suff w:val="space"/>
      <w:lvlText w:val="9.3.6.%1"/>
      <w:lvlJc w:val="left"/>
      <w:pPr>
        <w:tabs>
          <w:tab w:val="left" w:pos="0"/>
        </w:tabs>
        <w:ind w:left="0" w:firstLine="401"/>
      </w:pPr>
      <w:rPr>
        <w:rFonts w:hint="default" w:ascii="黑体" w:hAnsi="黑体" w:eastAsia="黑体" w:cs="黑体"/>
        <w:sz w:val="21"/>
        <w:szCs w:val="21"/>
      </w:rPr>
    </w:lvl>
  </w:abstractNum>
  <w:abstractNum w:abstractNumId="53">
    <w:nsid w:val="08AE6BCE"/>
    <w:multiLevelType w:val="singleLevel"/>
    <w:tmpl w:val="08AE6BCE"/>
    <w:lvl w:ilvl="0" w:tentative="0">
      <w:start w:val="1"/>
      <w:numFmt w:val="lowerLetter"/>
      <w:suff w:val="space"/>
      <w:lvlText w:val="%1)"/>
      <w:lvlJc w:val="left"/>
    </w:lvl>
  </w:abstractNum>
  <w:abstractNum w:abstractNumId="54">
    <w:nsid w:val="0A580EFA"/>
    <w:multiLevelType w:val="singleLevel"/>
    <w:tmpl w:val="0A580EFA"/>
    <w:lvl w:ilvl="0" w:tentative="0">
      <w:start w:val="1"/>
      <w:numFmt w:val="decimal"/>
      <w:suff w:val="space"/>
      <w:lvlText w:val="5.5.1.%1"/>
      <w:lvlJc w:val="left"/>
      <w:pPr>
        <w:tabs>
          <w:tab w:val="left" w:pos="0"/>
        </w:tabs>
        <w:ind w:left="0" w:firstLine="827"/>
      </w:pPr>
      <w:rPr>
        <w:rFonts w:hint="default" w:ascii="黑体" w:hAnsi="黑体" w:eastAsia="黑体" w:cs="黑体"/>
        <w:sz w:val="21"/>
        <w:szCs w:val="21"/>
      </w:rPr>
    </w:lvl>
  </w:abstractNum>
  <w:abstractNum w:abstractNumId="55">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6">
    <w:nsid w:val="0BBAEF1E"/>
    <w:multiLevelType w:val="singleLevel"/>
    <w:tmpl w:val="0BBAEF1E"/>
    <w:lvl w:ilvl="0" w:tentative="0">
      <w:start w:val="1"/>
      <w:numFmt w:val="decimal"/>
      <w:suff w:val="space"/>
      <w:lvlText w:val="12.%1"/>
      <w:lvlJc w:val="left"/>
      <w:pPr>
        <w:tabs>
          <w:tab w:val="left" w:pos="0"/>
        </w:tabs>
        <w:ind w:left="0" w:firstLine="827"/>
      </w:pPr>
      <w:rPr>
        <w:rFonts w:hint="default" w:ascii="黑体" w:hAnsi="黑体" w:eastAsia="黑体" w:cs="黑体"/>
        <w:sz w:val="21"/>
        <w:szCs w:val="21"/>
      </w:rPr>
    </w:lvl>
  </w:abstractNum>
  <w:abstractNum w:abstractNumId="57">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8">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59">
    <w:nsid w:val="1258A21C"/>
    <w:multiLevelType w:val="singleLevel"/>
    <w:tmpl w:val="1258A21C"/>
    <w:lvl w:ilvl="0" w:tentative="0">
      <w:start w:val="1"/>
      <w:numFmt w:val="lowerLetter"/>
      <w:suff w:val="space"/>
      <w:lvlText w:val="%1)"/>
      <w:lvlJc w:val="left"/>
    </w:lvl>
  </w:abstractNum>
  <w:abstractNum w:abstractNumId="60">
    <w:nsid w:val="1950D14D"/>
    <w:multiLevelType w:val="singleLevel"/>
    <w:tmpl w:val="1950D14D"/>
    <w:lvl w:ilvl="0" w:tentative="0">
      <w:start w:val="1"/>
      <w:numFmt w:val="decimal"/>
      <w:suff w:val="space"/>
      <w:lvlText w:val="5.%1"/>
      <w:lvlJc w:val="left"/>
      <w:pPr>
        <w:tabs>
          <w:tab w:val="left" w:pos="0"/>
        </w:tabs>
        <w:ind w:left="0" w:firstLine="401"/>
      </w:pPr>
      <w:rPr>
        <w:rFonts w:hint="default" w:ascii="黑体" w:hAnsi="黑体" w:eastAsia="黑体" w:cs="黑体"/>
        <w:sz w:val="21"/>
        <w:szCs w:val="21"/>
      </w:rPr>
    </w:lvl>
  </w:abstractNum>
  <w:abstractNum w:abstractNumId="61">
    <w:nsid w:val="1A107473"/>
    <w:multiLevelType w:val="singleLevel"/>
    <w:tmpl w:val="1A107473"/>
    <w:lvl w:ilvl="0" w:tentative="0">
      <w:start w:val="1"/>
      <w:numFmt w:val="decimal"/>
      <w:suff w:val="space"/>
      <w:lvlText w:val="6.2.%1"/>
      <w:lvlJc w:val="left"/>
      <w:pPr>
        <w:tabs>
          <w:tab w:val="left" w:pos="0"/>
        </w:tabs>
        <w:ind w:left="0" w:firstLine="395"/>
      </w:pPr>
      <w:rPr>
        <w:rFonts w:hint="default" w:ascii="黑体" w:hAnsi="黑体" w:eastAsia="黑体" w:cs="黑体"/>
        <w:sz w:val="21"/>
        <w:szCs w:val="21"/>
      </w:rPr>
    </w:lvl>
  </w:abstractNum>
  <w:abstractNum w:abstractNumId="62">
    <w:nsid w:val="1A9484D7"/>
    <w:multiLevelType w:val="singleLevel"/>
    <w:tmpl w:val="1A9484D7"/>
    <w:lvl w:ilvl="0" w:tentative="0">
      <w:start w:val="1"/>
      <w:numFmt w:val="lowerLetter"/>
      <w:suff w:val="space"/>
      <w:lvlText w:val="%1)"/>
      <w:lvlJc w:val="left"/>
      <w:pPr>
        <w:ind w:left="0" w:firstLine="827"/>
      </w:pPr>
      <w:rPr>
        <w:rFonts w:hint="default"/>
      </w:rPr>
    </w:lvl>
  </w:abstractNum>
  <w:abstractNum w:abstractNumId="63">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4">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5">
    <w:nsid w:val="1C4A1816"/>
    <w:multiLevelType w:val="singleLevel"/>
    <w:tmpl w:val="1C4A1816"/>
    <w:lvl w:ilvl="0" w:tentative="0">
      <w:start w:val="1"/>
      <w:numFmt w:val="lowerLetter"/>
      <w:suff w:val="nothing"/>
      <w:lvlText w:val="%1）"/>
      <w:lvlJc w:val="left"/>
      <w:pPr>
        <w:ind w:left="0" w:firstLine="827"/>
      </w:pPr>
      <w:rPr>
        <w:rFonts w:hint="default"/>
      </w:rPr>
    </w:lvl>
  </w:abstractNum>
  <w:abstractNum w:abstractNumId="66">
    <w:nsid w:val="1D1B7F51"/>
    <w:multiLevelType w:val="singleLevel"/>
    <w:tmpl w:val="1D1B7F51"/>
    <w:lvl w:ilvl="0" w:tentative="0">
      <w:start w:val="1"/>
      <w:numFmt w:val="decimal"/>
      <w:suff w:val="space"/>
      <w:lvlText w:val="7.%1"/>
      <w:lvlJc w:val="left"/>
      <w:pPr>
        <w:tabs>
          <w:tab w:val="left" w:pos="0"/>
        </w:tabs>
        <w:ind w:left="0" w:firstLine="395"/>
      </w:pPr>
      <w:rPr>
        <w:rFonts w:hint="default" w:ascii="黑体" w:hAnsi="黑体" w:eastAsia="黑体" w:cs="黑体"/>
        <w:sz w:val="21"/>
        <w:szCs w:val="21"/>
      </w:rPr>
    </w:lvl>
  </w:abstractNum>
  <w:abstractNum w:abstractNumId="67">
    <w:nsid w:val="1E4D0471"/>
    <w:multiLevelType w:val="singleLevel"/>
    <w:tmpl w:val="1E4D0471"/>
    <w:lvl w:ilvl="0" w:tentative="0">
      <w:start w:val="1"/>
      <w:numFmt w:val="lowerLetter"/>
      <w:suff w:val="space"/>
      <w:lvlText w:val="%1)"/>
      <w:lvlJc w:val="left"/>
    </w:lvl>
  </w:abstractNum>
  <w:abstractNum w:abstractNumId="68">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69">
    <w:nsid w:val="1F396A8D"/>
    <w:multiLevelType w:val="singleLevel"/>
    <w:tmpl w:val="1F396A8D"/>
    <w:lvl w:ilvl="0" w:tentative="0">
      <w:start w:val="1"/>
      <w:numFmt w:val="lowerLetter"/>
      <w:suff w:val="space"/>
      <w:lvlText w:val="%1)"/>
      <w:lvlJc w:val="left"/>
    </w:lvl>
  </w:abstractNum>
  <w:abstractNum w:abstractNumId="70">
    <w:nsid w:val="1F60CFD3"/>
    <w:multiLevelType w:val="singleLevel"/>
    <w:tmpl w:val="1F60CFD3"/>
    <w:lvl w:ilvl="0" w:tentative="0">
      <w:start w:val="1"/>
      <w:numFmt w:val="lowerLetter"/>
      <w:suff w:val="space"/>
      <w:lvlText w:val="%1)"/>
      <w:lvlJc w:val="left"/>
      <w:pPr>
        <w:ind w:left="0" w:firstLine="827"/>
      </w:pPr>
      <w:rPr>
        <w:rFonts w:hint="default"/>
      </w:rPr>
    </w:lvl>
  </w:abstractNum>
  <w:abstractNum w:abstractNumId="71">
    <w:nsid w:val="2315E39B"/>
    <w:multiLevelType w:val="singleLevel"/>
    <w:tmpl w:val="2315E39B"/>
    <w:lvl w:ilvl="0" w:tentative="0">
      <w:start w:val="1"/>
      <w:numFmt w:val="decimal"/>
      <w:suff w:val="space"/>
      <w:lvlText w:val="5.6.%1"/>
      <w:lvlJc w:val="left"/>
      <w:pPr>
        <w:tabs>
          <w:tab w:val="left" w:pos="0"/>
        </w:tabs>
        <w:ind w:left="0" w:firstLine="395"/>
      </w:pPr>
      <w:rPr>
        <w:rFonts w:hint="default" w:ascii="黑体" w:hAnsi="黑体" w:eastAsia="黑体" w:cs="黑体"/>
        <w:sz w:val="21"/>
        <w:szCs w:val="21"/>
      </w:rPr>
    </w:lvl>
  </w:abstractNum>
  <w:abstractNum w:abstractNumId="72">
    <w:nsid w:val="23727EAD"/>
    <w:multiLevelType w:val="singleLevel"/>
    <w:tmpl w:val="23727EAD"/>
    <w:lvl w:ilvl="0" w:tentative="0">
      <w:start w:val="1"/>
      <w:numFmt w:val="decimal"/>
      <w:suff w:val="space"/>
      <w:lvlText w:val="9.1.%1"/>
      <w:lvlJc w:val="left"/>
      <w:pPr>
        <w:tabs>
          <w:tab w:val="left" w:pos="0"/>
        </w:tabs>
        <w:ind w:left="0" w:firstLine="401"/>
      </w:pPr>
      <w:rPr>
        <w:rFonts w:hint="default" w:ascii="黑体" w:hAnsi="黑体" w:eastAsia="黑体" w:cs="黑体"/>
        <w:sz w:val="21"/>
        <w:szCs w:val="21"/>
      </w:rPr>
    </w:lvl>
  </w:abstractNum>
  <w:abstractNum w:abstractNumId="73">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4">
    <w:nsid w:val="321BDAAA"/>
    <w:multiLevelType w:val="singleLevel"/>
    <w:tmpl w:val="321BDAAA"/>
    <w:lvl w:ilvl="0" w:tentative="0">
      <w:start w:val="1"/>
      <w:numFmt w:val="decimal"/>
      <w:suff w:val="space"/>
      <w:lvlText w:val="5.6.2.%1"/>
      <w:lvlJc w:val="left"/>
      <w:pPr>
        <w:tabs>
          <w:tab w:val="left" w:pos="0"/>
        </w:tabs>
        <w:ind w:left="0" w:firstLine="395"/>
      </w:pPr>
      <w:rPr>
        <w:rFonts w:hint="default" w:ascii="黑体" w:hAnsi="黑体" w:eastAsia="黑体" w:cs="黑体"/>
        <w:sz w:val="21"/>
        <w:szCs w:val="21"/>
      </w:rPr>
    </w:lvl>
  </w:abstractNum>
  <w:abstractNum w:abstractNumId="75">
    <w:nsid w:val="32224113"/>
    <w:multiLevelType w:val="singleLevel"/>
    <w:tmpl w:val="32224113"/>
    <w:lvl w:ilvl="0" w:tentative="0">
      <w:start w:val="1"/>
      <w:numFmt w:val="decimal"/>
      <w:suff w:val="space"/>
      <w:lvlText w:val="5.5.%1"/>
      <w:lvlJc w:val="left"/>
      <w:pPr>
        <w:tabs>
          <w:tab w:val="left" w:pos="0"/>
        </w:tabs>
        <w:ind w:left="0" w:firstLine="395"/>
      </w:pPr>
      <w:rPr>
        <w:rFonts w:hint="default" w:ascii="黑体" w:hAnsi="黑体" w:eastAsia="黑体" w:cs="黑体"/>
        <w:sz w:val="21"/>
        <w:szCs w:val="21"/>
      </w:rPr>
    </w:lvl>
  </w:abstractNum>
  <w:abstractNum w:abstractNumId="76">
    <w:nsid w:val="32311189"/>
    <w:multiLevelType w:val="singleLevel"/>
    <w:tmpl w:val="32311189"/>
    <w:lvl w:ilvl="0" w:tentative="0">
      <w:start w:val="1"/>
      <w:numFmt w:val="decimal"/>
      <w:suff w:val="space"/>
      <w:lvlText w:val="9.2.2.%1"/>
      <w:lvlJc w:val="left"/>
      <w:pPr>
        <w:tabs>
          <w:tab w:val="left" w:pos="0"/>
        </w:tabs>
        <w:ind w:left="0" w:firstLine="401"/>
      </w:pPr>
      <w:rPr>
        <w:rFonts w:hint="default" w:ascii="黑体" w:hAnsi="黑体" w:eastAsia="黑体" w:cs="黑体"/>
        <w:sz w:val="21"/>
        <w:szCs w:val="21"/>
      </w:rPr>
    </w:lvl>
  </w:abstractNum>
  <w:abstractNum w:abstractNumId="77">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78">
    <w:nsid w:val="32FD4375"/>
    <w:multiLevelType w:val="singleLevel"/>
    <w:tmpl w:val="32FD4375"/>
    <w:lvl w:ilvl="0" w:tentative="0">
      <w:start w:val="1"/>
      <w:numFmt w:val="lowerLetter"/>
      <w:suff w:val="space"/>
      <w:lvlText w:val="%1)"/>
      <w:lvlJc w:val="left"/>
    </w:lvl>
  </w:abstractNum>
  <w:abstractNum w:abstractNumId="79">
    <w:nsid w:val="33B829B3"/>
    <w:multiLevelType w:val="singleLevel"/>
    <w:tmpl w:val="33B829B3"/>
    <w:lvl w:ilvl="0" w:tentative="0">
      <w:start w:val="1"/>
      <w:numFmt w:val="lowerLetter"/>
      <w:suff w:val="space"/>
      <w:lvlText w:val="%1)"/>
      <w:lvlJc w:val="left"/>
    </w:lvl>
  </w:abstractNum>
  <w:abstractNum w:abstractNumId="80">
    <w:nsid w:val="35E210BE"/>
    <w:multiLevelType w:val="singleLevel"/>
    <w:tmpl w:val="35E210BE"/>
    <w:lvl w:ilvl="0" w:tentative="0">
      <w:start w:val="1"/>
      <w:numFmt w:val="decimal"/>
      <w:lvlText w:val="%1)"/>
      <w:lvlJc w:val="left"/>
      <w:pPr>
        <w:ind w:left="425" w:hanging="425"/>
      </w:pPr>
      <w:rPr>
        <w:rFonts w:hint="default"/>
      </w:rPr>
    </w:lvl>
  </w:abstractNum>
  <w:abstractNum w:abstractNumId="81">
    <w:nsid w:val="36857622"/>
    <w:multiLevelType w:val="singleLevel"/>
    <w:tmpl w:val="36857622"/>
    <w:lvl w:ilvl="0" w:tentative="0">
      <w:start w:val="1"/>
      <w:numFmt w:val="decimal"/>
      <w:suff w:val="space"/>
      <w:lvlText w:val="11.%1"/>
      <w:lvlJc w:val="left"/>
      <w:pPr>
        <w:tabs>
          <w:tab w:val="left" w:pos="0"/>
        </w:tabs>
        <w:ind w:left="0" w:firstLine="827"/>
      </w:pPr>
      <w:rPr>
        <w:rFonts w:hint="default" w:ascii="黑体" w:hAnsi="黑体" w:eastAsia="黑体" w:cs="黑体"/>
        <w:sz w:val="21"/>
        <w:szCs w:val="21"/>
      </w:rPr>
    </w:lvl>
  </w:abstractNum>
  <w:abstractNum w:abstractNumId="82">
    <w:nsid w:val="3A33D5D6"/>
    <w:multiLevelType w:val="singleLevel"/>
    <w:tmpl w:val="3A33D5D6"/>
    <w:lvl w:ilvl="0" w:tentative="0">
      <w:start w:val="1"/>
      <w:numFmt w:val="decimal"/>
      <w:suff w:val="space"/>
      <w:lvlText w:val="5.5.2.%1"/>
      <w:lvlJc w:val="left"/>
      <w:pPr>
        <w:tabs>
          <w:tab w:val="left" w:pos="0"/>
        </w:tabs>
        <w:ind w:left="0" w:firstLine="395"/>
      </w:pPr>
      <w:rPr>
        <w:rFonts w:hint="default" w:ascii="黑体" w:hAnsi="黑体" w:eastAsia="黑体" w:cs="黑体"/>
        <w:sz w:val="21"/>
        <w:szCs w:val="21"/>
      </w:rPr>
    </w:lvl>
  </w:abstractNum>
  <w:abstractNum w:abstractNumId="83">
    <w:nsid w:val="42EEA7C3"/>
    <w:multiLevelType w:val="singleLevel"/>
    <w:tmpl w:val="42EEA7C3"/>
    <w:lvl w:ilvl="0" w:tentative="0">
      <w:start w:val="1"/>
      <w:numFmt w:val="lowerLetter"/>
      <w:suff w:val="space"/>
      <w:lvlText w:val="%1)"/>
      <w:lvlJc w:val="left"/>
    </w:lvl>
  </w:abstractNum>
  <w:abstractNum w:abstractNumId="84">
    <w:nsid w:val="42EFE4DD"/>
    <w:multiLevelType w:val="singleLevel"/>
    <w:tmpl w:val="42EFE4DD"/>
    <w:lvl w:ilvl="0" w:tentative="0">
      <w:start w:val="1"/>
      <w:numFmt w:val="decimal"/>
      <w:suff w:val="space"/>
      <w:lvlText w:val="9.%1"/>
      <w:lvlJc w:val="left"/>
      <w:pPr>
        <w:tabs>
          <w:tab w:val="left" w:pos="0"/>
        </w:tabs>
        <w:ind w:left="0" w:firstLine="401"/>
      </w:pPr>
      <w:rPr>
        <w:rFonts w:hint="default" w:ascii="黑体" w:hAnsi="黑体" w:eastAsia="黑体" w:cs="黑体"/>
        <w:sz w:val="21"/>
        <w:szCs w:val="21"/>
      </w:rPr>
    </w:lvl>
  </w:abstractNum>
  <w:abstractNum w:abstractNumId="85">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6">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7">
    <w:nsid w:val="49981E3F"/>
    <w:multiLevelType w:val="singleLevel"/>
    <w:tmpl w:val="49981E3F"/>
    <w:lvl w:ilvl="0" w:tentative="0">
      <w:start w:val="1"/>
      <w:numFmt w:val="decimal"/>
      <w:suff w:val="space"/>
      <w:lvlText w:val="5.2.1.%1"/>
      <w:lvlJc w:val="left"/>
      <w:pPr>
        <w:tabs>
          <w:tab w:val="left" w:pos="0"/>
        </w:tabs>
        <w:ind w:left="0" w:firstLine="827"/>
      </w:pPr>
      <w:rPr>
        <w:rFonts w:hint="default" w:ascii="黑体" w:hAnsi="黑体" w:eastAsia="黑体" w:cs="黑体"/>
        <w:sz w:val="21"/>
        <w:szCs w:val="21"/>
      </w:rPr>
    </w:lvl>
  </w:abstractNum>
  <w:abstractNum w:abstractNumId="88">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89">
    <w:nsid w:val="4D2DC5F2"/>
    <w:multiLevelType w:val="singleLevel"/>
    <w:tmpl w:val="4D2DC5F2"/>
    <w:lvl w:ilvl="0" w:tentative="0">
      <w:start w:val="1"/>
      <w:numFmt w:val="lowerLetter"/>
      <w:suff w:val="nothing"/>
      <w:lvlText w:val="%1）"/>
      <w:lvlJc w:val="left"/>
      <w:pPr>
        <w:ind w:left="0" w:firstLine="827"/>
      </w:pPr>
      <w:rPr>
        <w:rFonts w:hint="default"/>
      </w:rPr>
    </w:lvl>
  </w:abstractNum>
  <w:abstractNum w:abstractNumId="90">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91">
    <w:nsid w:val="4E73A01F"/>
    <w:multiLevelType w:val="singleLevel"/>
    <w:tmpl w:val="4E73A01F"/>
    <w:lvl w:ilvl="0" w:tentative="0">
      <w:start w:val="1"/>
      <w:numFmt w:val="decimal"/>
      <w:suff w:val="space"/>
      <w:lvlText w:val="9.2.%1"/>
      <w:lvlJc w:val="left"/>
      <w:pPr>
        <w:tabs>
          <w:tab w:val="left" w:pos="0"/>
        </w:tabs>
        <w:ind w:left="0" w:firstLine="401"/>
      </w:pPr>
      <w:rPr>
        <w:rFonts w:hint="default" w:ascii="黑体" w:hAnsi="黑体" w:eastAsia="黑体" w:cs="黑体"/>
        <w:sz w:val="21"/>
        <w:szCs w:val="21"/>
      </w:rPr>
    </w:lvl>
  </w:abstractNum>
  <w:abstractNum w:abstractNumId="92">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93">
    <w:nsid w:val="55496D9B"/>
    <w:multiLevelType w:val="singleLevel"/>
    <w:tmpl w:val="55496D9B"/>
    <w:lvl w:ilvl="0" w:tentative="0">
      <w:start w:val="1"/>
      <w:numFmt w:val="lowerLetter"/>
      <w:suff w:val="space"/>
      <w:lvlText w:val="%1)"/>
      <w:lvlJc w:val="left"/>
    </w:lvl>
  </w:abstractNum>
  <w:abstractNum w:abstractNumId="94">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95">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6">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7">
    <w:nsid w:val="572F2517"/>
    <w:multiLevelType w:val="singleLevel"/>
    <w:tmpl w:val="572F2517"/>
    <w:lvl w:ilvl="0" w:tentative="0">
      <w:start w:val="1"/>
      <w:numFmt w:val="decimal"/>
      <w:suff w:val="space"/>
      <w:lvlText w:val="6.4.%1"/>
      <w:lvlJc w:val="left"/>
      <w:pPr>
        <w:tabs>
          <w:tab w:val="left" w:pos="0"/>
        </w:tabs>
        <w:ind w:left="0" w:firstLine="395"/>
      </w:pPr>
      <w:rPr>
        <w:rFonts w:hint="default" w:ascii="黑体" w:hAnsi="黑体" w:eastAsia="黑体" w:cs="黑体"/>
        <w:sz w:val="21"/>
        <w:szCs w:val="21"/>
      </w:rPr>
    </w:lvl>
  </w:abstractNum>
  <w:abstractNum w:abstractNumId="98">
    <w:nsid w:val="5A5760CD"/>
    <w:multiLevelType w:val="singleLevel"/>
    <w:tmpl w:val="5A5760CD"/>
    <w:lvl w:ilvl="0" w:tentative="0">
      <w:start w:val="1"/>
      <w:numFmt w:val="decimal"/>
      <w:suff w:val="space"/>
      <w:lvlText w:val="13.2.%1"/>
      <w:lvlJc w:val="left"/>
      <w:pPr>
        <w:tabs>
          <w:tab w:val="left" w:pos="0"/>
        </w:tabs>
        <w:ind w:left="0" w:firstLine="827"/>
      </w:pPr>
      <w:rPr>
        <w:rFonts w:hint="default" w:ascii="黑体" w:hAnsi="黑体" w:eastAsia="黑体" w:cs="黑体"/>
        <w:sz w:val="21"/>
        <w:szCs w:val="21"/>
      </w:rPr>
    </w:lvl>
  </w:abstractNum>
  <w:abstractNum w:abstractNumId="99">
    <w:nsid w:val="6420F75C"/>
    <w:multiLevelType w:val="singleLevel"/>
    <w:tmpl w:val="6420F75C"/>
    <w:lvl w:ilvl="0" w:tentative="0">
      <w:start w:val="1"/>
      <w:numFmt w:val="decimal"/>
      <w:suff w:val="space"/>
      <w:lvlText w:val="6.%1"/>
      <w:lvlJc w:val="left"/>
      <w:pPr>
        <w:tabs>
          <w:tab w:val="left" w:pos="0"/>
        </w:tabs>
        <w:ind w:left="0" w:firstLine="395"/>
      </w:pPr>
      <w:rPr>
        <w:rFonts w:hint="default" w:ascii="黑体" w:hAnsi="黑体" w:eastAsia="黑体" w:cs="黑体"/>
        <w:sz w:val="21"/>
        <w:szCs w:val="21"/>
      </w:rPr>
    </w:lvl>
  </w:abstractNum>
  <w:abstractNum w:abstractNumId="10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10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10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4">
    <w:nsid w:val="68D096CE"/>
    <w:multiLevelType w:val="singleLevel"/>
    <w:tmpl w:val="68D096CE"/>
    <w:lvl w:ilvl="0" w:tentative="0">
      <w:start w:val="1"/>
      <w:numFmt w:val="lowerLetter"/>
      <w:suff w:val="space"/>
      <w:lvlText w:val="%1)"/>
      <w:lvlJc w:val="left"/>
    </w:lvl>
  </w:abstractNum>
  <w:abstractNum w:abstractNumId="105">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06">
    <w:nsid w:val="6B5799C3"/>
    <w:multiLevelType w:val="singleLevel"/>
    <w:tmpl w:val="6B5799C3"/>
    <w:lvl w:ilvl="0" w:tentative="0">
      <w:start w:val="1"/>
      <w:numFmt w:val="decimal"/>
      <w:suff w:val="space"/>
      <w:lvlText w:val="6.2.1.%1"/>
      <w:lvlJc w:val="left"/>
      <w:pPr>
        <w:tabs>
          <w:tab w:val="left" w:pos="0"/>
        </w:tabs>
        <w:ind w:left="0" w:firstLine="395"/>
      </w:pPr>
      <w:rPr>
        <w:rFonts w:hint="default" w:ascii="黑体" w:hAnsi="黑体" w:eastAsia="黑体" w:cs="黑体"/>
        <w:sz w:val="21"/>
        <w:szCs w:val="21"/>
      </w:rPr>
    </w:lvl>
  </w:abstractNum>
  <w:abstractNum w:abstractNumId="107">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8">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9">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0">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1">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12">
    <w:nsid w:val="6DFB5518"/>
    <w:multiLevelType w:val="singleLevel"/>
    <w:tmpl w:val="6DFB5518"/>
    <w:lvl w:ilvl="0" w:tentative="0">
      <w:start w:val="1"/>
      <w:numFmt w:val="decimal"/>
      <w:suff w:val="space"/>
      <w:lvlText w:val="13.%1"/>
      <w:lvlJc w:val="left"/>
      <w:pPr>
        <w:tabs>
          <w:tab w:val="left" w:pos="0"/>
        </w:tabs>
        <w:ind w:left="0" w:firstLine="827"/>
      </w:pPr>
      <w:rPr>
        <w:rFonts w:hint="default" w:ascii="黑体" w:hAnsi="黑体" w:eastAsia="黑体" w:cs="黑体"/>
        <w:sz w:val="21"/>
        <w:szCs w:val="21"/>
      </w:rPr>
    </w:lvl>
  </w:abstractNum>
  <w:abstractNum w:abstractNumId="113">
    <w:nsid w:val="6EC5F660"/>
    <w:multiLevelType w:val="singleLevel"/>
    <w:tmpl w:val="6EC5F660"/>
    <w:lvl w:ilvl="0" w:tentative="0">
      <w:start w:val="1"/>
      <w:numFmt w:val="decimal"/>
      <w:suff w:val="space"/>
      <w:lvlText w:val="9.3.%1"/>
      <w:lvlJc w:val="left"/>
      <w:pPr>
        <w:tabs>
          <w:tab w:val="left" w:pos="0"/>
        </w:tabs>
        <w:ind w:left="0" w:firstLine="401"/>
      </w:pPr>
      <w:rPr>
        <w:rFonts w:hint="default" w:ascii="黑体" w:hAnsi="黑体" w:eastAsia="黑体" w:cs="黑体"/>
        <w:sz w:val="21"/>
        <w:szCs w:val="21"/>
      </w:rPr>
    </w:lvl>
  </w:abstractNum>
  <w:abstractNum w:abstractNumId="114">
    <w:nsid w:val="76723925"/>
    <w:multiLevelType w:val="singleLevel"/>
    <w:tmpl w:val="76723925"/>
    <w:lvl w:ilvl="0" w:tentative="0">
      <w:start w:val="1"/>
      <w:numFmt w:val="lowerLetter"/>
      <w:suff w:val="space"/>
      <w:lvlText w:val="%1)"/>
      <w:lvlJc w:val="left"/>
    </w:lvl>
  </w:abstractNum>
  <w:abstractNum w:abstractNumId="115">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6">
    <w:nsid w:val="77988F01"/>
    <w:multiLevelType w:val="singleLevel"/>
    <w:tmpl w:val="77988F01"/>
    <w:lvl w:ilvl="0" w:tentative="0">
      <w:start w:val="1"/>
      <w:numFmt w:val="decimal"/>
      <w:suff w:val="space"/>
      <w:lvlText w:val="8.%1"/>
      <w:lvlJc w:val="left"/>
      <w:pPr>
        <w:tabs>
          <w:tab w:val="left" w:pos="0"/>
        </w:tabs>
        <w:ind w:left="0" w:firstLine="395"/>
      </w:pPr>
      <w:rPr>
        <w:rFonts w:hint="default" w:ascii="黑体" w:hAnsi="黑体" w:eastAsia="黑体" w:cs="黑体"/>
        <w:sz w:val="21"/>
        <w:szCs w:val="21"/>
      </w:rPr>
    </w:lvl>
  </w:abstractNum>
  <w:abstractNum w:abstractNumId="117">
    <w:nsid w:val="7B38D43D"/>
    <w:multiLevelType w:val="singleLevel"/>
    <w:tmpl w:val="7B38D43D"/>
    <w:lvl w:ilvl="0" w:tentative="0">
      <w:start w:val="1"/>
      <w:numFmt w:val="lowerLetter"/>
      <w:suff w:val="nothing"/>
      <w:lvlText w:val="%1）"/>
      <w:lvlJc w:val="left"/>
      <w:pPr>
        <w:ind w:left="0" w:firstLine="827"/>
      </w:pPr>
      <w:rPr>
        <w:rFonts w:hint="default"/>
      </w:rPr>
    </w:lvl>
  </w:abstractNum>
  <w:abstractNum w:abstractNumId="118">
    <w:nsid w:val="7C659F2B"/>
    <w:multiLevelType w:val="singleLevel"/>
    <w:tmpl w:val="7C659F2B"/>
    <w:lvl w:ilvl="0" w:tentative="0">
      <w:start w:val="1"/>
      <w:numFmt w:val="decimal"/>
      <w:suff w:val="space"/>
      <w:lvlText w:val="6.2.%1"/>
      <w:lvlJc w:val="left"/>
      <w:pPr>
        <w:tabs>
          <w:tab w:val="left" w:pos="0"/>
        </w:tabs>
        <w:ind w:left="0" w:firstLine="395"/>
      </w:pPr>
      <w:rPr>
        <w:rFonts w:hint="default" w:ascii="黑体" w:hAnsi="黑体" w:eastAsia="黑体" w:cs="黑体"/>
        <w:sz w:val="21"/>
        <w:szCs w:val="21"/>
      </w:rPr>
    </w:lvl>
  </w:abstractNum>
  <w:abstractNum w:abstractNumId="119">
    <w:nsid w:val="7CA223FA"/>
    <w:multiLevelType w:val="singleLevel"/>
    <w:tmpl w:val="7CA223FA"/>
    <w:lvl w:ilvl="0" w:tentative="0">
      <w:start w:val="1"/>
      <w:numFmt w:val="lowerLetter"/>
      <w:suff w:val="space"/>
      <w:lvlText w:val="%1)"/>
      <w:lvlJc w:val="left"/>
    </w:lvl>
  </w:abstractNum>
  <w:num w:numId="1">
    <w:abstractNumId w:val="47"/>
  </w:num>
  <w:num w:numId="2">
    <w:abstractNumId w:val="109"/>
  </w:num>
  <w:num w:numId="3">
    <w:abstractNumId w:val="57"/>
  </w:num>
  <w:num w:numId="4">
    <w:abstractNumId w:val="103"/>
  </w:num>
  <w:num w:numId="5">
    <w:abstractNumId w:val="95"/>
  </w:num>
  <w:num w:numId="6">
    <w:abstractNumId w:val="86"/>
  </w:num>
  <w:num w:numId="7">
    <w:abstractNumId w:val="64"/>
  </w:num>
  <w:num w:numId="8">
    <w:abstractNumId w:val="51"/>
  </w:num>
  <w:num w:numId="9">
    <w:abstractNumId w:val="68"/>
  </w:num>
  <w:num w:numId="10">
    <w:abstractNumId w:val="92"/>
  </w:num>
  <w:num w:numId="11">
    <w:abstractNumId w:val="107"/>
  </w:num>
  <w:num w:numId="12">
    <w:abstractNumId w:val="77"/>
  </w:num>
  <w:num w:numId="13">
    <w:abstractNumId w:val="85"/>
  </w:num>
  <w:num w:numId="14">
    <w:abstractNumId w:val="63"/>
  </w:num>
  <w:num w:numId="15">
    <w:abstractNumId w:val="96"/>
  </w:num>
  <w:num w:numId="16">
    <w:abstractNumId w:val="101"/>
  </w:num>
  <w:num w:numId="17">
    <w:abstractNumId w:val="94"/>
  </w:num>
  <w:num w:numId="18">
    <w:abstractNumId w:val="111"/>
  </w:num>
  <w:num w:numId="19">
    <w:abstractNumId w:val="90"/>
  </w:num>
  <w:num w:numId="20">
    <w:abstractNumId w:val="48"/>
  </w:num>
  <w:num w:numId="21">
    <w:abstractNumId w:val="73"/>
  </w:num>
  <w:num w:numId="22">
    <w:abstractNumId w:val="115"/>
  </w:num>
  <w:num w:numId="23">
    <w:abstractNumId w:val="100"/>
  </w:num>
  <w:num w:numId="24">
    <w:abstractNumId w:val="58"/>
  </w:num>
  <w:num w:numId="25">
    <w:abstractNumId w:val="108"/>
  </w:num>
  <w:num w:numId="26">
    <w:abstractNumId w:val="110"/>
  </w:num>
  <w:num w:numId="27">
    <w:abstractNumId w:val="50"/>
  </w:num>
  <w:num w:numId="28">
    <w:abstractNumId w:val="55"/>
  </w:num>
  <w:num w:numId="29">
    <w:abstractNumId w:val="88"/>
  </w:num>
  <w:num w:numId="30">
    <w:abstractNumId w:val="105"/>
  </w:num>
  <w:num w:numId="31">
    <w:abstractNumId w:val="102"/>
  </w:num>
  <w:num w:numId="32">
    <w:abstractNumId w:val="45"/>
  </w:num>
  <w:num w:numId="33">
    <w:abstractNumId w:val="60"/>
  </w:num>
  <w:num w:numId="34">
    <w:abstractNumId w:val="33"/>
  </w:num>
  <w:num w:numId="35">
    <w:abstractNumId w:val="65"/>
  </w:num>
  <w:num w:numId="36">
    <w:abstractNumId w:val="49"/>
  </w:num>
  <w:num w:numId="37">
    <w:abstractNumId w:val="9"/>
  </w:num>
  <w:num w:numId="38">
    <w:abstractNumId w:val="87"/>
  </w:num>
  <w:num w:numId="39">
    <w:abstractNumId w:val="36"/>
  </w:num>
  <w:num w:numId="40">
    <w:abstractNumId w:val="8"/>
  </w:num>
  <w:num w:numId="41">
    <w:abstractNumId w:val="35"/>
  </w:num>
  <w:num w:numId="42">
    <w:abstractNumId w:val="19"/>
  </w:num>
  <w:num w:numId="43">
    <w:abstractNumId w:val="40"/>
  </w:num>
  <w:num w:numId="44">
    <w:abstractNumId w:val="3"/>
  </w:num>
  <w:num w:numId="45">
    <w:abstractNumId w:val="44"/>
  </w:num>
  <w:num w:numId="46">
    <w:abstractNumId w:val="43"/>
  </w:num>
  <w:num w:numId="47">
    <w:abstractNumId w:val="89"/>
  </w:num>
  <w:num w:numId="48">
    <w:abstractNumId w:val="14"/>
  </w:num>
  <w:num w:numId="49">
    <w:abstractNumId w:val="75"/>
  </w:num>
  <w:num w:numId="50">
    <w:abstractNumId w:val="54"/>
  </w:num>
  <w:num w:numId="51">
    <w:abstractNumId w:val="28"/>
  </w:num>
  <w:num w:numId="52">
    <w:abstractNumId w:val="82"/>
  </w:num>
  <w:num w:numId="53">
    <w:abstractNumId w:val="34"/>
  </w:num>
  <w:num w:numId="54">
    <w:abstractNumId w:val="39"/>
  </w:num>
  <w:num w:numId="55">
    <w:abstractNumId w:val="2"/>
  </w:num>
  <w:num w:numId="56">
    <w:abstractNumId w:val="71"/>
  </w:num>
  <w:num w:numId="57">
    <w:abstractNumId w:val="22"/>
  </w:num>
  <w:num w:numId="58">
    <w:abstractNumId w:val="74"/>
  </w:num>
  <w:num w:numId="59">
    <w:abstractNumId w:val="117"/>
  </w:num>
  <w:num w:numId="60">
    <w:abstractNumId w:val="6"/>
  </w:num>
  <w:num w:numId="61">
    <w:abstractNumId w:val="13"/>
  </w:num>
  <w:num w:numId="62">
    <w:abstractNumId w:val="99"/>
  </w:num>
  <w:num w:numId="63">
    <w:abstractNumId w:val="61"/>
  </w:num>
  <w:num w:numId="64">
    <w:abstractNumId w:val="62"/>
  </w:num>
  <w:num w:numId="65">
    <w:abstractNumId w:val="70"/>
  </w:num>
  <w:num w:numId="66">
    <w:abstractNumId w:val="118"/>
  </w:num>
  <w:num w:numId="67">
    <w:abstractNumId w:val="106"/>
  </w:num>
  <w:num w:numId="68">
    <w:abstractNumId w:val="29"/>
  </w:num>
  <w:num w:numId="69">
    <w:abstractNumId w:val="32"/>
  </w:num>
  <w:num w:numId="70">
    <w:abstractNumId w:val="31"/>
  </w:num>
  <w:num w:numId="71">
    <w:abstractNumId w:val="4"/>
  </w:num>
  <w:num w:numId="72">
    <w:abstractNumId w:val="1"/>
  </w:num>
  <w:num w:numId="73">
    <w:abstractNumId w:val="97"/>
  </w:num>
  <w:num w:numId="74">
    <w:abstractNumId w:val="66"/>
  </w:num>
  <w:num w:numId="75">
    <w:abstractNumId w:val="116"/>
  </w:num>
  <w:num w:numId="76">
    <w:abstractNumId w:val="10"/>
  </w:num>
  <w:num w:numId="77">
    <w:abstractNumId w:val="26"/>
  </w:num>
  <w:num w:numId="78">
    <w:abstractNumId w:val="37"/>
  </w:num>
  <w:num w:numId="79">
    <w:abstractNumId w:val="0"/>
  </w:num>
  <w:num w:numId="80">
    <w:abstractNumId w:val="12"/>
  </w:num>
  <w:num w:numId="81">
    <w:abstractNumId w:val="69"/>
  </w:num>
  <w:num w:numId="82">
    <w:abstractNumId w:val="25"/>
  </w:num>
  <w:num w:numId="83">
    <w:abstractNumId w:val="84"/>
  </w:num>
  <w:num w:numId="84">
    <w:abstractNumId w:val="72"/>
  </w:num>
  <w:num w:numId="85">
    <w:abstractNumId w:val="91"/>
  </w:num>
  <w:num w:numId="86">
    <w:abstractNumId w:val="27"/>
  </w:num>
  <w:num w:numId="87">
    <w:abstractNumId w:val="16"/>
  </w:num>
  <w:num w:numId="88">
    <w:abstractNumId w:val="76"/>
  </w:num>
  <w:num w:numId="89">
    <w:abstractNumId w:val="113"/>
  </w:num>
  <w:num w:numId="90">
    <w:abstractNumId w:val="15"/>
  </w:num>
  <w:num w:numId="91">
    <w:abstractNumId w:val="53"/>
  </w:num>
  <w:num w:numId="92">
    <w:abstractNumId w:val="24"/>
  </w:num>
  <w:num w:numId="93">
    <w:abstractNumId w:val="7"/>
  </w:num>
  <w:num w:numId="94">
    <w:abstractNumId w:val="78"/>
  </w:num>
  <w:num w:numId="95">
    <w:abstractNumId w:val="119"/>
  </w:num>
  <w:num w:numId="96">
    <w:abstractNumId w:val="21"/>
  </w:num>
  <w:num w:numId="97">
    <w:abstractNumId w:val="30"/>
  </w:num>
  <w:num w:numId="98">
    <w:abstractNumId w:val="59"/>
  </w:num>
  <w:num w:numId="99">
    <w:abstractNumId w:val="52"/>
  </w:num>
  <w:num w:numId="100">
    <w:abstractNumId w:val="5"/>
  </w:num>
  <w:num w:numId="101">
    <w:abstractNumId w:val="38"/>
  </w:num>
  <w:num w:numId="102">
    <w:abstractNumId w:val="18"/>
  </w:num>
  <w:num w:numId="103">
    <w:abstractNumId w:val="81"/>
  </w:num>
  <w:num w:numId="104">
    <w:abstractNumId w:val="79"/>
  </w:num>
  <w:num w:numId="105">
    <w:abstractNumId w:val="42"/>
  </w:num>
  <w:num w:numId="106">
    <w:abstractNumId w:val="41"/>
  </w:num>
  <w:num w:numId="107">
    <w:abstractNumId w:val="80"/>
  </w:num>
  <w:num w:numId="108">
    <w:abstractNumId w:val="56"/>
  </w:num>
  <w:num w:numId="109">
    <w:abstractNumId w:val="46"/>
  </w:num>
  <w:num w:numId="110">
    <w:abstractNumId w:val="67"/>
  </w:num>
  <w:num w:numId="111">
    <w:abstractNumId w:val="112"/>
  </w:num>
  <w:num w:numId="112">
    <w:abstractNumId w:val="11"/>
  </w:num>
  <w:num w:numId="113">
    <w:abstractNumId w:val="20"/>
  </w:num>
  <w:num w:numId="114">
    <w:abstractNumId w:val="98"/>
  </w:num>
  <w:num w:numId="115">
    <w:abstractNumId w:val="93"/>
  </w:num>
  <w:num w:numId="116">
    <w:abstractNumId w:val="114"/>
  </w:num>
  <w:num w:numId="117">
    <w:abstractNumId w:val="23"/>
  </w:num>
  <w:num w:numId="118">
    <w:abstractNumId w:val="83"/>
  </w:num>
  <w:num w:numId="119">
    <w:abstractNumId w:val="104"/>
  </w:num>
  <w:num w:numId="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iYmYwMDA3NjM0MmUxOWZmY2ZlNTY3NWQ0OTlkY2EifQ=="/>
  </w:docVars>
  <w:rsids>
    <w:rsidRoot w:val="001A446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46D"/>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167C"/>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0A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5544226"/>
    <w:rsid w:val="0A6752D1"/>
    <w:rsid w:val="0CD276AF"/>
    <w:rsid w:val="0D513A67"/>
    <w:rsid w:val="0F4C6068"/>
    <w:rsid w:val="142E0338"/>
    <w:rsid w:val="17171B0D"/>
    <w:rsid w:val="1DC615E1"/>
    <w:rsid w:val="233D573E"/>
    <w:rsid w:val="26000237"/>
    <w:rsid w:val="289B4836"/>
    <w:rsid w:val="297939AC"/>
    <w:rsid w:val="2A0B4F4C"/>
    <w:rsid w:val="2B4C58E1"/>
    <w:rsid w:val="2C153E60"/>
    <w:rsid w:val="34FD5E7A"/>
    <w:rsid w:val="38D113DA"/>
    <w:rsid w:val="396E47F9"/>
    <w:rsid w:val="39F94929"/>
    <w:rsid w:val="3E0755D2"/>
    <w:rsid w:val="418E5F9D"/>
    <w:rsid w:val="41EF717B"/>
    <w:rsid w:val="43562841"/>
    <w:rsid w:val="475A2C17"/>
    <w:rsid w:val="4AF3097D"/>
    <w:rsid w:val="529E7462"/>
    <w:rsid w:val="58AA491E"/>
    <w:rsid w:val="599B53FF"/>
    <w:rsid w:val="59F749A7"/>
    <w:rsid w:val="5E2004A9"/>
    <w:rsid w:val="646C1447"/>
    <w:rsid w:val="660D4A4B"/>
    <w:rsid w:val="699F478D"/>
    <w:rsid w:val="6A5C442C"/>
    <w:rsid w:val="701A11C1"/>
    <w:rsid w:val="706F4486"/>
    <w:rsid w:val="716A2C7A"/>
    <w:rsid w:val="7258705C"/>
    <w:rsid w:val="73260D1B"/>
    <w:rsid w:val="79D57D57"/>
    <w:rsid w:val="7C744877"/>
    <w:rsid w:val="7D4C0002"/>
    <w:rsid w:val="BFFF8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240" w:lineRule="auto"/>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autoSpaceDE w:val="0"/>
      <w:autoSpaceDN w:val="0"/>
      <w:spacing w:before="100" w:beforeLines="100" w:after="100" w:afterLines="100" w:line="240" w:lineRule="auto"/>
      <w:outlineLvl w:val="1"/>
    </w:pPr>
    <w:rPr>
      <w:rFonts w:ascii="Arial" w:hAnsi="Arial" w:eastAsia="黑体"/>
      <w:szCs w:val="21"/>
    </w:rPr>
  </w:style>
  <w:style w:type="paragraph" w:styleId="4">
    <w:name w:val="heading 3"/>
    <w:basedOn w:val="1"/>
    <w:next w:val="1"/>
    <w:link w:val="37"/>
    <w:qFormat/>
    <w:uiPriority w:val="0"/>
    <w:pPr>
      <w:keepNext/>
      <w:keepLines/>
      <w:spacing w:before="100" w:beforeLines="100" w:after="100" w:afterLines="100" w:line="240" w:lineRule="auto"/>
      <w:outlineLvl w:val="2"/>
    </w:pPr>
    <w:rPr>
      <w:rFonts w:eastAsia="黑体"/>
      <w:szCs w:val="21"/>
    </w:rPr>
  </w:style>
  <w:style w:type="paragraph" w:styleId="5">
    <w:name w:val="heading 4"/>
    <w:basedOn w:val="1"/>
    <w:next w:val="1"/>
    <w:link w:val="38"/>
    <w:qFormat/>
    <w:uiPriority w:val="0"/>
    <w:pPr>
      <w:keepNext/>
      <w:keepLines/>
      <w:spacing w:line="240" w:lineRule="auto"/>
      <w:outlineLvl w:val="3"/>
    </w:pPr>
    <w:rPr>
      <w:rFonts w:ascii="Arial" w:hAnsi="Arial" w:eastAsia="黑体"/>
      <w:bCs/>
      <w:sz w:val="21"/>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7"/>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6"/>
    <w:semiHidden/>
    <w:unhideWhenUsed/>
    <w:qFormat/>
    <w:uiPriority w:val="99"/>
    <w:rPr>
      <w:sz w:val="18"/>
      <w:szCs w:val="18"/>
    </w:rPr>
  </w:style>
  <w:style w:type="paragraph" w:styleId="17">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4"/>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9"/>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annotation reference"/>
    <w:basedOn w:val="28"/>
    <w:qFormat/>
    <w:uiPriority w:val="0"/>
    <w:rPr>
      <w:rFonts w:asciiTheme="minorHAnsi" w:hAnsiTheme="minorHAnsi" w:eastAsiaTheme="minorEastAsia"/>
      <w:color w:val="262626" w:themeColor="text1" w:themeTint="D9"/>
      <w:sz w:val="21"/>
      <w:szCs w:val="21"/>
      <w14:textFill>
        <w14:solidFill>
          <w14:schemeClr w14:val="tx1">
            <w14:lumMod w14:val="85000"/>
            <w14:lumOff w14:val="15000"/>
          </w14:schemeClr>
        </w14:solidFill>
      </w14:textFill>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kern w:val="2"/>
      <w:sz w:val="21"/>
      <w:szCs w:val="21"/>
    </w:rPr>
  </w:style>
  <w:style w:type="character" w:customStyle="1" w:styleId="37">
    <w:name w:val="标题 3 字符"/>
    <w:link w:val="4"/>
    <w:qFormat/>
    <w:uiPriority w:val="0"/>
    <w:rPr>
      <w:rFonts w:eastAsia="黑体"/>
      <w:kern w:val="2"/>
      <w:sz w:val="21"/>
      <w:szCs w:val="21"/>
    </w:rPr>
  </w:style>
  <w:style w:type="character" w:customStyle="1" w:styleId="38">
    <w:name w:val="标题 4 字符"/>
    <w:link w:val="5"/>
    <w:qFormat/>
    <w:uiPriority w:val="0"/>
    <w:rPr>
      <w:rFonts w:ascii="Arial" w:hAnsi="Arial" w:eastAsia="黑体"/>
      <w:bCs/>
      <w:kern w:val="2"/>
      <w:sz w:val="21"/>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8"/>
    <w:qFormat/>
    <w:uiPriority w:val="99"/>
    <w:rPr>
      <w:kern w:val="2"/>
      <w:sz w:val="18"/>
      <w:szCs w:val="18"/>
    </w:rPr>
  </w:style>
  <w:style w:type="character" w:customStyle="1" w:styleId="45">
    <w:name w:val="页脚 字符"/>
    <w:link w:val="17"/>
    <w:qFormat/>
    <w:uiPriority w:val="99"/>
    <w:rPr>
      <w:rFonts w:ascii="宋体"/>
      <w:kern w:val="2"/>
      <w:sz w:val="18"/>
      <w:szCs w:val="18"/>
    </w:rPr>
  </w:style>
  <w:style w:type="character" w:customStyle="1" w:styleId="46">
    <w:name w:val="批注框文本 字符"/>
    <w:link w:val="16"/>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5"/>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3"/>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Subtle Reference"/>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1"/>
    <w:semiHidden/>
    <w:qFormat/>
    <w:uiPriority w:val="0"/>
    <w:rPr>
      <w:rFonts w:ascii="宋体"/>
      <w:kern w:val="2"/>
      <w:sz w:val="18"/>
      <w:szCs w:val="18"/>
    </w:rPr>
  </w:style>
  <w:style w:type="paragraph" w:customStyle="1" w:styleId="101">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semiHidden/>
    <w:qFormat/>
    <w:uiPriority w:val="0"/>
    <w:pPr>
      <w:adjustRightInd/>
      <w:spacing w:line="240" w:lineRule="auto"/>
      <w:jc w:val="left"/>
    </w:pPr>
    <w:rPr>
      <w:bCs/>
      <w:iCs/>
    </w:rPr>
  </w:style>
  <w:style w:type="paragraph" w:customStyle="1" w:styleId="144">
    <w:name w:val="目录 31"/>
    <w:basedOn w:val="1"/>
    <w:next w:val="1"/>
    <w:semiHidden/>
    <w:qFormat/>
    <w:uiPriority w:val="0"/>
    <w:pPr>
      <w:spacing w:line="240" w:lineRule="auto"/>
    </w:pPr>
    <w:rPr>
      <w:rFonts w:ascii="宋体" w:hAnsi="宋体"/>
      <w:iCs/>
    </w:rPr>
  </w:style>
  <w:style w:type="paragraph" w:customStyle="1" w:styleId="145">
    <w:name w:val="目录 41"/>
    <w:basedOn w:val="1"/>
    <w:next w:val="1"/>
    <w:semiHidden/>
    <w:qFormat/>
    <w:uiPriority w:val="0"/>
    <w:pPr>
      <w:adjustRightInd/>
      <w:spacing w:line="240" w:lineRule="auto"/>
      <w:jc w:val="left"/>
    </w:pPr>
  </w:style>
  <w:style w:type="paragraph" w:customStyle="1" w:styleId="146">
    <w:name w:val="目录 51"/>
    <w:basedOn w:val="1"/>
    <w:next w:val="1"/>
    <w:semiHidden/>
    <w:qFormat/>
    <w:uiPriority w:val="0"/>
    <w:pPr>
      <w:spacing w:line="240" w:lineRule="auto"/>
    </w:pPr>
    <w:rPr>
      <w:rFonts w:ascii="宋体" w:hAnsi="宋体"/>
    </w:rPr>
  </w:style>
  <w:style w:type="paragraph" w:customStyle="1" w:styleId="147">
    <w:name w:val="目录 61"/>
    <w:basedOn w:val="1"/>
    <w:next w:val="1"/>
    <w:semiHidden/>
    <w:qFormat/>
    <w:uiPriority w:val="0"/>
    <w:pPr>
      <w:adjustRightInd/>
      <w:spacing w:line="240" w:lineRule="auto"/>
      <w:jc w:val="left"/>
    </w:pPr>
  </w:style>
  <w:style w:type="paragraph" w:customStyle="1" w:styleId="148">
    <w:name w:val="目录 71"/>
    <w:basedOn w:val="147"/>
    <w:semiHidden/>
    <w:qFormat/>
    <w:uiPriority w:val="0"/>
    <w:pPr>
      <w:ind w:left="1260"/>
    </w:pPr>
  </w:style>
  <w:style w:type="paragraph" w:customStyle="1" w:styleId="149">
    <w:name w:val="目录 81"/>
    <w:basedOn w:val="148"/>
    <w:semiHidden/>
    <w:qFormat/>
    <w:uiPriority w:val="0"/>
    <w:pPr>
      <w:ind w:left="1470"/>
    </w:pPr>
  </w:style>
  <w:style w:type="paragraph" w:customStyle="1" w:styleId="150">
    <w:name w:val="目录 91"/>
    <w:basedOn w:val="149"/>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宋体"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8"/>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rPr>
      <w:rFonts w:ascii="Times New Roman"/>
    </w:rPr>
  </w:style>
  <w:style w:type="paragraph" w:customStyle="1" w:styleId="190">
    <w:name w:val="标准文件_一级项2"/>
    <w:basedOn w:val="57"/>
    <w:qFormat/>
    <w:uiPriority w:val="0"/>
    <w:pPr>
      <w:numPr>
        <w:ilvl w:val="0"/>
        <w:numId w:val="31"/>
      </w:numPr>
      <w:spacing w:line="300" w:lineRule="exact"/>
      <w:ind w:firstLineChars="0"/>
    </w:pPr>
    <w:rPr>
      <w:rFonts w:ascii="Times New Roman"/>
    </w:r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8"/>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vAnchor="page" w:hAnchor="page" w:x="1419" w:y="14097"/>
    </w:pPr>
  </w:style>
  <w:style w:type="paragraph" w:customStyle="1" w:styleId="195">
    <w:name w:val="其他实施日期"/>
    <w:basedOn w:val="155"/>
    <w:qFormat/>
    <w:uiPriority w:val="0"/>
    <w:pPr>
      <w:framePr w:w="3997" w:h="471" w:hRule="exact" w:vSpace="181"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8"/>
    <w:qFormat/>
    <w:uiPriority w:val="0"/>
    <w:rPr>
      <w:rFonts w:ascii="黑体" w:eastAsia="黑体"/>
      <w:spacing w:val="85"/>
      <w:w w:val="100"/>
      <w:position w:val="3"/>
      <w:sz w:val="28"/>
      <w:szCs w:val="28"/>
    </w:rPr>
  </w:style>
  <w:style w:type="table" w:customStyle="1" w:styleId="231">
    <w:name w:val="Table Normal"/>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232">
    <w:name w:val="附录标题"/>
    <w:next w:val="1"/>
    <w:qFormat/>
    <w:uiPriority w:val="0"/>
    <w:pPr>
      <w:kinsoku w:val="0"/>
      <w:autoSpaceDE w:val="0"/>
      <w:autoSpaceDN w:val="0"/>
      <w:adjustRightInd w:val="0"/>
      <w:spacing w:before="65" w:line="230" w:lineRule="auto"/>
      <w:ind w:left="4615"/>
      <w:textAlignment w:val="baseline"/>
      <w:outlineLvl w:val="0"/>
    </w:pPr>
    <w:rPr>
      <w:rFonts w:ascii="黑体" w:hAnsi="黑体" w:eastAsia="黑体" w:cs="黑体"/>
      <w:color w:val="000000"/>
      <w:spacing w:val="-4"/>
      <w:lang w:val="en-US" w:eastAsia="zh-CN" w:bidi="ar-SA"/>
    </w:rPr>
  </w:style>
  <w:style w:type="table" w:customStyle="1" w:styleId="233">
    <w:name w:val="Table Normal11"/>
    <w:basedOn w:val="26"/>
    <w:qFormat/>
    <w:uiPriority w:val="0"/>
    <w:rPr>
      <w:rFonts w:ascii="Times New Roman" w:hAnsi="Times New Roman" w:eastAsia="Times New Roman"/>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0" Type="http://schemas.openxmlformats.org/officeDocument/2006/relationships/glossaryDocument" Target="glossary/document.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5.jpeg"/><Relationship Id="rId35" Type="http://schemas.openxmlformats.org/officeDocument/2006/relationships/image" Target="media/image14.wmf"/><Relationship Id="rId34" Type="http://schemas.openxmlformats.org/officeDocument/2006/relationships/image" Target="media/image13.wmf"/><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footnotes" Target="footnotes.xml"/><Relationship Id="rId29" Type="http://schemas.openxmlformats.org/officeDocument/2006/relationships/image" Target="media/image8.wmf"/><Relationship Id="rId28" Type="http://schemas.openxmlformats.org/officeDocument/2006/relationships/oleObject" Target="embeddings/oleObject7.bin"/><Relationship Id="rId27" Type="http://schemas.openxmlformats.org/officeDocument/2006/relationships/image" Target="media/image7.wmf"/><Relationship Id="rId26" Type="http://schemas.openxmlformats.org/officeDocument/2006/relationships/oleObject" Target="embeddings/oleObject6.bin"/><Relationship Id="rId25" Type="http://schemas.openxmlformats.org/officeDocument/2006/relationships/image" Target="media/image6.wmf"/><Relationship Id="rId24" Type="http://schemas.openxmlformats.org/officeDocument/2006/relationships/oleObject" Target="embeddings/oleObject5.bin"/><Relationship Id="rId23" Type="http://schemas.openxmlformats.org/officeDocument/2006/relationships/image" Target="media/image5.wmf"/><Relationship Id="rId22" Type="http://schemas.openxmlformats.org/officeDocument/2006/relationships/oleObject" Target="embeddings/oleObject4.bin"/><Relationship Id="rId21" Type="http://schemas.openxmlformats.org/officeDocument/2006/relationships/image" Target="media/image4.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2.bin"/><Relationship Id="rId17" Type="http://schemas.openxmlformats.org/officeDocument/2006/relationships/image" Target="media/image2.wmf"/><Relationship Id="rId16" Type="http://schemas.openxmlformats.org/officeDocument/2006/relationships/oleObject" Target="embeddings/oleObject1.bin"/><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home\PC1\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9B3AA4C3D244E119C4BB22A0C311BAA"/>
        <w:style w:val=""/>
        <w:category>
          <w:name w:val="常规"/>
          <w:gallery w:val="placeholder"/>
        </w:category>
        <w:types>
          <w:type w:val="bbPlcHdr"/>
        </w:types>
        <w:behaviors>
          <w:behavior w:val="content"/>
        </w:behaviors>
        <w:description w:val=""/>
        <w:guid w:val="{65BC50DC-E6EE-45D7-86C9-84049C1DD3E9}"/>
      </w:docPartPr>
      <w:docPartBody>
        <w:p>
          <w:pPr>
            <w:pStyle w:val="5"/>
          </w:pPr>
          <w:r>
            <w:rPr>
              <w:rStyle w:val="4"/>
              <w:rFonts w:hint="eastAsia"/>
            </w:rPr>
            <w:t>单击或点击此处输入文字。</w:t>
          </w:r>
        </w:p>
      </w:docPartBody>
    </w:docPart>
    <w:docPart>
      <w:docPartPr>
        <w:name w:val="A74C24B77AD74B3A862CE9C1738DF46D"/>
        <w:style w:val=""/>
        <w:category>
          <w:name w:val="常规"/>
          <w:gallery w:val="placeholder"/>
        </w:category>
        <w:types>
          <w:type w:val="bbPlcHdr"/>
        </w:types>
        <w:behaviors>
          <w:behavior w:val="content"/>
        </w:behaviors>
        <w:description w:val=""/>
        <w:guid w:val="{019C2D3A-B4E0-428F-9A51-7035207843EA}"/>
      </w:docPartPr>
      <w:docPartBody>
        <w:p>
          <w:pPr>
            <w:pStyle w:val="6"/>
          </w:pPr>
          <w:r>
            <w:rPr>
              <w:rStyle w:val="4"/>
              <w:rFonts w:hint="eastAsia"/>
            </w:rPr>
            <w:t>选择一项。</w:t>
          </w:r>
        </w:p>
      </w:docPartBody>
    </w:docPart>
    <w:docPart>
      <w:docPartPr>
        <w:name w:val="71939B0EF1254D9CA1771452EA84B8E7"/>
        <w:style w:val=""/>
        <w:category>
          <w:name w:val="常规"/>
          <w:gallery w:val="placeholder"/>
        </w:category>
        <w:types>
          <w:type w:val="bbPlcHdr"/>
        </w:types>
        <w:behaviors>
          <w:behavior w:val="content"/>
        </w:behaviors>
        <w:description w:val=""/>
        <w:guid w:val="{CFE06C66-A538-455B-A382-61D8637E2E10}"/>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E"/>
    <w:rsid w:val="002E0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9B3AA4C3D244E119C4BB22A0C311BA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74C24B77AD74B3A862CE9C1738DF46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1939B0EF1254D9CA1771452EA84B8E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31</Pages>
  <Words>300</Words>
  <Characters>425</Characters>
  <Lines>79</Lines>
  <Paragraphs>71</Paragraphs>
  <TotalTime>12</TotalTime>
  <ScaleCrop>false</ScaleCrop>
  <LinksUpToDate>false</LinksUpToDate>
  <CharactersWithSpaces>492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2023-01-05T22:58:00Z</dcterms:created>
  <dc:creator>邵璇</dc:creator>
  <dc:description>&lt;config cover="true" show_menu="true" version="1.0.0" doctype="SDKXY"&gt;_x000d_
&lt;/config&gt;</dc:description>
  <cp:lastModifiedBy>user</cp:lastModifiedBy>
  <cp:lastPrinted>2020-08-31T02:00:00Z</cp:lastPrinted>
  <dcterms:modified xsi:type="dcterms:W3CDTF">2026-08-11T09:14:11Z</dcterms:modified>
  <dc:title>地方标准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2052-11.8.2.10489</vt:lpwstr>
  </property>
  <property fmtid="{D5CDD505-2E9C-101B-9397-08002B2CF9AE}" pid="15" name="ICV">
    <vt:lpwstr>0C98CE2356B144129E20309FB618DBF1_13</vt:lpwstr>
  </property>
  <property fmtid="{D5CDD505-2E9C-101B-9397-08002B2CF9AE}" pid="16" name="KSOTemplateDocerSaveRecord">
    <vt:lpwstr>eyJoZGlkIjoiZDlkOGM4ODVjOWMyNGNiZjJkNzVjNzI4YzI5MDZlNDEiLCJ1c2VySWQiOiIxMDIwNTUxMjgyIn0=</vt:lpwstr>
  </property>
</Properties>
</file>