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7A2C7">
      <w:pPr>
        <w:spacing w:line="240" w:lineRule="auto"/>
        <w:rPr>
          <w:rFonts w:hint="eastAsia" w:ascii="黑体" w:hAnsi="黑体" w:eastAsia="黑体"/>
          <w:kern w:val="0"/>
          <w:sz w:val="10"/>
          <w:szCs w:val="10"/>
        </w:rPr>
      </w:pPr>
    </w:p>
    <w:tbl>
      <w:tblPr>
        <w:tblStyle w:val="34"/>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7FF94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CC468E3">
            <w:pPr>
              <w:pStyle w:val="21"/>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334E75E9">
            <w:pPr>
              <w:pStyle w:val="21"/>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93.080.01</w:t>
            </w:r>
            <w:r>
              <w:rPr>
                <w:rFonts w:ascii="黑体" w:hAnsi="黑体" w:eastAsia="黑体"/>
                <w:sz w:val="21"/>
                <w:szCs w:val="21"/>
              </w:rPr>
              <w:fldChar w:fldCharType="end"/>
            </w:r>
          </w:p>
        </w:tc>
      </w:tr>
      <w:tr w14:paraId="63436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957995C">
            <w:pPr>
              <w:pStyle w:val="21"/>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479C8105">
            <w:pPr>
              <w:pStyle w:val="21"/>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P 65</w:t>
            </w:r>
            <w:r>
              <w:rPr>
                <w:rFonts w:ascii="黑体" w:hAnsi="黑体" w:eastAsia="黑体"/>
                <w:sz w:val="21"/>
                <w:szCs w:val="21"/>
              </w:rPr>
              <w:fldChar w:fldCharType="end"/>
            </w:r>
          </w:p>
        </w:tc>
      </w:tr>
    </w:tbl>
    <w:tbl>
      <w:tblPr>
        <w:tblStyle w:val="34"/>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AC61C0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0C6648C5">
            <w:pPr>
              <w:pStyle w:val="57"/>
              <w:framePr w:w="0" w:hRule="auto" w:wrap="auto" w:vAnchor="margin" w:hAnchor="text" w:xAlign="left" w:yAlign="inline"/>
              <w:rPr>
                <w:rFonts w:hint="eastAsia" w:ascii="宋体" w:hAnsi="宋体"/>
                <w:sz w:val="28"/>
                <w:szCs w:val="28"/>
              </w:rPr>
            </w:pPr>
            <w:r>
              <w:rPr>
                <w:rFonts w:hint="eastAsia"/>
                <w:szCs w:val="96"/>
              </w:rPr>
              <w:t>DB</w:t>
            </w:r>
            <w:r>
              <w:fldChar w:fldCharType="begin">
                <w:ffData>
                  <w:name w:val="c1"/>
                  <w:enabled/>
                  <w:calcOnExit w:val="0"/>
                  <w:textInput>
                    <w:maxLength w:val="8"/>
                  </w:textInput>
                </w:ffData>
              </w:fldChar>
            </w:r>
            <w:r>
              <w:instrText xml:space="preserve"> FORMTEXT </w:instrText>
            </w:r>
            <w:r>
              <w:fldChar w:fldCharType="separate"/>
            </w:r>
            <w:r>
              <w:t>42</w:t>
            </w:r>
            <w:r>
              <w:fldChar w:fldCharType="end"/>
            </w:r>
          </w:p>
        </w:tc>
      </w:tr>
    </w:tbl>
    <w:p w14:paraId="7284C489">
      <w:pPr>
        <w:pStyle w:val="58"/>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r>
        <w:rPr>
          <w:rFonts w:hint="eastAsia" w:ascii="黑体" w:hAnsi="黑体" w:eastAsia="黑体"/>
          <w:b w:val="0"/>
          <w:bCs w:val="0"/>
          <w:w w:val="100"/>
          <w:sz w:val="48"/>
          <w:szCs w:val="48"/>
        </w:rPr>
        <w:t>地方标准</w:t>
      </w:r>
    </w:p>
    <w:p w14:paraId="03EF1CAC">
      <w:pPr>
        <w:pStyle w:val="203"/>
        <w:rPr>
          <w:lang w:val="fr-FR"/>
        </w:rPr>
      </w:pPr>
      <w:r>
        <w:rPr>
          <w:lang w:val="fr-FR"/>
        </w:rPr>
        <w:t>DB</w:t>
      </w:r>
      <w:r>
        <w:fldChar w:fldCharType="begin">
          <w:ffData>
            <w:name w:val="文字1"/>
            <w:enabled/>
            <w:calcOnExit w:val="0"/>
            <w:textInput>
              <w:default w:val="XX/T"/>
            </w:textInput>
          </w:ffData>
        </w:fldChar>
      </w:r>
      <w:r>
        <w:rPr>
          <w:lang w:val="fr-FR"/>
        </w:rPr>
        <w:instrText xml:space="preserve"> FORMTEXT </w:instrText>
      </w:r>
      <w:r>
        <w:fldChar w:fldCharType="separate"/>
      </w:r>
      <w:r>
        <w:rPr>
          <w:lang w:val="fr-FR"/>
        </w:rPr>
        <w:t>XX/T</w:t>
      </w:r>
      <w:r>
        <w:fldChar w:fldCharType="end"/>
      </w:r>
      <w:r>
        <w:rPr>
          <w:lang w:val="fr-FR"/>
        </w:rPr>
        <w:t xml:space="preserve"> </w:t>
      </w:r>
      <w:r>
        <w:fldChar w:fldCharType="begin">
          <w:ffData>
            <w:name w:val="NSTD_CODE_F"/>
            <w:enabled/>
            <w:calcOnExit w:val="0"/>
            <w:textInput>
              <w:default w:val="XXXX"/>
            </w:textInput>
          </w:ffData>
        </w:fldChar>
      </w:r>
      <w:r>
        <w:rPr>
          <w:lang w:val="fr-FR"/>
        </w:rPr>
        <w:instrText xml:space="preserve"> FORMTEXT </w:instrText>
      </w:r>
      <w:r>
        <w:fldChar w:fldCharType="separate"/>
      </w:r>
      <w:r>
        <w:rPr>
          <w:lang w:val="fr-FR"/>
        </w:rPr>
        <w:t>XXXX</w:t>
      </w:r>
      <w:r>
        <w:fldChar w:fldCharType="end"/>
      </w:r>
      <w:r>
        <w:rPr>
          <w:rFonts w:hAnsi="黑体"/>
          <w:lang w:val="fr-FR"/>
        </w:rPr>
        <w:t>—</w:t>
      </w:r>
      <w:r>
        <w:fldChar w:fldCharType="begin">
          <w:ffData>
            <w:name w:val="NSTD_CODE_B"/>
            <w:enabled/>
            <w:calcOnExit w:val="0"/>
            <w:textInput>
              <w:default w:val="XXXX"/>
            </w:textInput>
          </w:ffData>
        </w:fldChar>
      </w:r>
      <w:r>
        <w:rPr>
          <w:lang w:val="fr-FR"/>
        </w:rPr>
        <w:instrText xml:space="preserve"> FORMTEXT </w:instrText>
      </w:r>
      <w:r>
        <w:fldChar w:fldCharType="separate"/>
      </w:r>
      <w:r>
        <w:rPr>
          <w:lang w:val="fr-FR"/>
        </w:rPr>
        <w:t>XXXX</w:t>
      </w:r>
      <w:r>
        <w:fldChar w:fldCharType="end"/>
      </w:r>
    </w:p>
    <w:p w14:paraId="1AD0F385">
      <w:pPr>
        <w:pStyle w:val="204"/>
        <w:rPr>
          <w:rFonts w:hint="eastAsia" w:hAnsi="黑体"/>
        </w:rPr>
      </w:pPr>
      <w:r>
        <w:rPr>
          <w:rFonts w:hAnsi="黑体"/>
        </w:rPr>
        <w:fldChar w:fldCharType="begin">
          <w:ffData>
            <w:name w:val="OSTD_CODE"/>
            <w:enabled/>
            <w:calcOnExit w:val="0"/>
            <w:textInput/>
          </w:ffData>
        </w:fldChar>
      </w:r>
      <w:r>
        <w:rPr>
          <w:rFonts w:hAnsi="黑体"/>
        </w:rPr>
        <w:instrText xml:space="preserve"> FORMTEXT </w:instrText>
      </w:r>
      <w:r>
        <w:rPr>
          <w:rFonts w:hAnsi="黑体"/>
        </w:rPr>
        <w:fldChar w:fldCharType="separate"/>
      </w:r>
      <w:r>
        <w:rPr>
          <w:rFonts w:hAnsi="黑体"/>
        </w:rPr>
        <w:t>     </w:t>
      </w:r>
      <w:r>
        <w:rPr>
          <w:rFonts w:hAnsi="黑体"/>
        </w:rPr>
        <w:fldChar w:fldCharType="end"/>
      </w:r>
    </w:p>
    <w:p w14:paraId="60DA0513">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5408"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540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4NJltgAAAAM&#10;AQAADwAAAAAAAAABACAAAAAiAAAAZHJzL2Rvd25yZXYueG1sUEsBAhQAFAAAAAgAh07iQNyOH4/j&#10;AQAArAMAAA4AAAAAAAAAAQAgAAAAJwEAAGRycy9lMm9Eb2MueG1sUEsFBgAAAAAGAAYAWQEAAHwF&#10;AAAAAA==&#10;">
                <v:fill on="f" focussize="0,0"/>
                <v:stroke color="#000000" joinstyle="round"/>
                <v:imagedata o:title=""/>
                <o:lock v:ext="edit" aspectratio="f"/>
              </v:line>
            </w:pict>
          </mc:Fallback>
        </mc:AlternateContent>
      </w:r>
    </w:p>
    <w:p w14:paraId="7EF93880">
      <w:pPr>
        <w:pStyle w:val="58"/>
        <w:framePr w:w="9639" w:h="6976" w:hRule="exact" w:hSpace="0" w:vSpace="0" w:hAnchor="page" w:y="6408"/>
        <w:jc w:val="center"/>
        <w:rPr>
          <w:rFonts w:hint="eastAsia" w:ascii="黑体" w:hAnsi="黑体" w:eastAsia="黑体"/>
          <w:b w:val="0"/>
          <w:bCs w:val="0"/>
          <w:w w:val="100"/>
        </w:rPr>
      </w:pPr>
    </w:p>
    <w:p w14:paraId="371D415B">
      <w:pPr>
        <w:pStyle w:val="205"/>
        <w:framePr w:h="6974" w:hRule="exact" w:wrap="around" w:x="1419" w:anchorLock="1"/>
        <w:rPr>
          <w:rFonts w:hint="eastAsia"/>
        </w:rPr>
      </w:pPr>
      <w:r>
        <w:rPr>
          <w:rFonts w:hint="eastAsia"/>
        </w:rPr>
        <w:t>建筑与市政工程基坑地下水控制技术规程</w:t>
      </w:r>
    </w:p>
    <w:p w14:paraId="71AF2AF2">
      <w:pPr>
        <w:framePr w:w="9639" w:h="6974" w:hRule="exact" w:wrap="around" w:vAnchor="page" w:hAnchor="page" w:x="1419" w:y="6408" w:anchorLock="1"/>
        <w:ind w:left="-1418"/>
      </w:pPr>
    </w:p>
    <w:p w14:paraId="18F5A065">
      <w:pPr>
        <w:pStyle w:val="133"/>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t xml:space="preserve">Groundwater </w:t>
      </w:r>
      <w:r>
        <w:rPr>
          <w:rFonts w:hint="eastAsia" w:ascii="黑体" w:hAnsi="黑体" w:eastAsia="黑体"/>
          <w:szCs w:val="28"/>
        </w:rPr>
        <w:t>c</w:t>
      </w:r>
      <w:r>
        <w:rPr>
          <w:rFonts w:ascii="黑体" w:hAnsi="黑体" w:eastAsia="黑体"/>
          <w:szCs w:val="28"/>
        </w:rPr>
        <w:t xml:space="preserve">ontrol of </w:t>
      </w:r>
      <w:r>
        <w:rPr>
          <w:rFonts w:hint="eastAsia" w:ascii="黑体" w:hAnsi="黑体" w:eastAsia="黑体"/>
          <w:szCs w:val="28"/>
        </w:rPr>
        <w:t>f</w:t>
      </w:r>
      <w:r>
        <w:rPr>
          <w:rFonts w:ascii="黑体" w:hAnsi="黑体" w:eastAsia="黑体"/>
          <w:szCs w:val="28"/>
        </w:rPr>
        <w:t xml:space="preserve">oundation </w:t>
      </w:r>
      <w:r>
        <w:rPr>
          <w:rFonts w:hint="eastAsia" w:ascii="黑体" w:hAnsi="黑体" w:eastAsia="黑体"/>
          <w:szCs w:val="28"/>
        </w:rPr>
        <w:t>p</w:t>
      </w:r>
      <w:r>
        <w:rPr>
          <w:rFonts w:ascii="黑体" w:hAnsi="黑体" w:eastAsia="黑体"/>
          <w:szCs w:val="28"/>
        </w:rPr>
        <w:t xml:space="preserve">it in </w:t>
      </w:r>
      <w:r>
        <w:rPr>
          <w:rFonts w:hint="eastAsia" w:ascii="黑体" w:hAnsi="黑体" w:eastAsia="黑体"/>
          <w:szCs w:val="28"/>
        </w:rPr>
        <w:t>b</w:t>
      </w:r>
      <w:r>
        <w:rPr>
          <w:rFonts w:ascii="黑体" w:hAnsi="黑体" w:eastAsia="黑体"/>
          <w:szCs w:val="28"/>
        </w:rPr>
        <w:t xml:space="preserve">uilding and </w:t>
      </w:r>
      <w:r>
        <w:rPr>
          <w:rFonts w:hint="eastAsia" w:ascii="黑体" w:hAnsi="黑体" w:eastAsia="黑体"/>
          <w:szCs w:val="28"/>
        </w:rPr>
        <w:t>m</w:t>
      </w:r>
      <w:r>
        <w:rPr>
          <w:rFonts w:ascii="黑体" w:hAnsi="黑体" w:eastAsia="黑体"/>
          <w:szCs w:val="28"/>
        </w:rPr>
        <w:t xml:space="preserve">unicipal </w:t>
      </w:r>
      <w:r>
        <w:rPr>
          <w:rFonts w:hint="eastAsia" w:ascii="黑体" w:hAnsi="黑体" w:eastAsia="黑体"/>
          <w:szCs w:val="28"/>
        </w:rPr>
        <w:t>e</w:t>
      </w:r>
      <w:r>
        <w:rPr>
          <w:rFonts w:ascii="黑体" w:hAnsi="黑体" w:eastAsia="黑体"/>
          <w:szCs w:val="28"/>
        </w:rPr>
        <w:t>ngineering</w:t>
      </w:r>
    </w:p>
    <w:p w14:paraId="43D5A2C2">
      <w:pPr>
        <w:pStyle w:val="133"/>
        <w:framePr w:w="9639" w:h="6974" w:hRule="exact" w:wrap="around" w:vAnchor="page" w:hAnchor="page" w:x="1419" w:y="6408" w:anchorLock="1"/>
        <w:textAlignment w:val="bottom"/>
        <w:rPr>
          <w:rFonts w:eastAsia="黑体"/>
          <w:szCs w:val="28"/>
        </w:rPr>
      </w:pPr>
    </w:p>
    <w:p w14:paraId="363C3DDA">
      <w:pPr>
        <w:pStyle w:val="133"/>
        <w:framePr w:w="9639" w:h="6974" w:hRule="exact" w:wrap="around" w:vAnchor="page" w:hAnchor="page" w:x="1419" w:y="6408" w:anchorLock="1"/>
        <w:textAlignment w:val="bottom"/>
        <w:rPr>
          <w:rFonts w:eastAsia="黑体"/>
          <w:szCs w:val="28"/>
        </w:rPr>
      </w:pPr>
    </w:p>
    <w:p w14:paraId="2B474824">
      <w:pPr>
        <w:pStyle w:val="133"/>
        <w:framePr w:w="9639" w:h="6974" w:hRule="exact" w:wrap="around" w:vAnchor="page" w:hAnchor="page" w:x="1419" w:y="6408" w:anchorLock="1"/>
        <w:textAlignment w:val="bottom"/>
        <w:rPr>
          <w:rFonts w:eastAsia="黑体"/>
          <w:szCs w:val="28"/>
        </w:rPr>
      </w:pPr>
      <w:r>
        <w:rPr>
          <w:rFonts w:hint="eastAsia" w:eastAsia="黑体"/>
          <w:szCs w:val="28"/>
        </w:rPr>
        <w:t>征求意见稿</w:t>
      </w:r>
    </w:p>
    <w:p w14:paraId="67298B55">
      <w:pPr>
        <w:framePr w:w="9639" w:h="6974" w:hRule="exact" w:wrap="around" w:vAnchor="page" w:hAnchor="page" w:x="1419" w:y="6408" w:anchorLock="1"/>
        <w:spacing w:line="760" w:lineRule="exact"/>
        <w:ind w:left="-1418"/>
      </w:pPr>
    </w:p>
    <w:p w14:paraId="7D07CB66">
      <w:pPr>
        <w:pStyle w:val="133"/>
        <w:framePr w:w="9639" w:h="6974" w:hRule="exact" w:wrap="around" w:vAnchor="page" w:hAnchor="page" w:x="1419" w:y="6408" w:anchorLock="1"/>
        <w:textAlignment w:val="bottom"/>
        <w:rPr>
          <w:rFonts w:eastAsia="黑体"/>
          <w:szCs w:val="28"/>
        </w:rPr>
      </w:pPr>
    </w:p>
    <w:p w14:paraId="45B5BD30">
      <w:pPr>
        <w:pStyle w:val="133"/>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FORMDROPDOWN</w:instrText>
      </w:r>
      <w:r>
        <w:rPr>
          <w:sz w:val="24"/>
          <w:szCs w:val="28"/>
        </w:rPr>
        <w:fldChar w:fldCharType="separate"/>
      </w:r>
      <w:r>
        <w:rPr>
          <w:sz w:val="24"/>
          <w:szCs w:val="28"/>
        </w:rPr>
        <w:fldChar w:fldCharType="end"/>
      </w:r>
    </w:p>
    <w:p w14:paraId="366332CE">
      <w:pPr>
        <w:pStyle w:val="133"/>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r>
        <w:rPr>
          <w:sz w:val="21"/>
          <w:szCs w:val="28"/>
        </w:rPr>
        <w:instrText xml:space="preserve"> FORMTEXT </w:instrText>
      </w:r>
      <w:r>
        <w:rPr>
          <w:sz w:val="21"/>
          <w:szCs w:val="28"/>
        </w:rPr>
        <w:fldChar w:fldCharType="separate"/>
      </w:r>
      <w:r>
        <w:rPr>
          <w:sz w:val="21"/>
          <w:szCs w:val="28"/>
        </w:rPr>
        <w:t>     </w:t>
      </w:r>
      <w:r>
        <w:rPr>
          <w:sz w:val="21"/>
          <w:szCs w:val="28"/>
        </w:rPr>
        <w:fldChar w:fldCharType="end"/>
      </w:r>
    </w:p>
    <w:p w14:paraId="7FD3F8CD">
      <w:pPr>
        <w:pStyle w:val="201"/>
        <w:framePr w:y="14176"/>
      </w:pPr>
      <w:r>
        <w:rPr>
          <w:rFonts w:ascii="黑体"/>
        </w:rPr>
        <w:fldChar w:fldCharType="begin">
          <w:ffData>
            <w:name w:val="PLSH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发布</w:t>
      </w:r>
    </w:p>
    <w:p w14:paraId="0C2CA14F">
      <w:pPr>
        <w:pStyle w:val="202"/>
        <w:framePr w:y="14176"/>
      </w:pPr>
      <w:r>
        <w:rPr>
          <w:rFonts w:ascii="黑体"/>
        </w:rPr>
        <w:fldChar w:fldCharType="begin">
          <w:ffData>
            <w:name w:val="CROT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tbl>
      <w:tblPr>
        <w:tblStyle w:val="33"/>
        <w:tblW w:w="8472" w:type="dxa"/>
        <w:tblInd w:w="135" w:type="dxa"/>
        <w:tblLayout w:type="fixed"/>
        <w:tblCellMar>
          <w:top w:w="0" w:type="dxa"/>
          <w:left w:w="108" w:type="dxa"/>
          <w:bottom w:w="0" w:type="dxa"/>
          <w:right w:w="108" w:type="dxa"/>
        </w:tblCellMar>
      </w:tblPr>
      <w:tblGrid>
        <w:gridCol w:w="5019"/>
        <w:gridCol w:w="3453"/>
      </w:tblGrid>
      <w:tr w14:paraId="7F08E1EE">
        <w:tblPrEx>
          <w:tblCellMar>
            <w:top w:w="0" w:type="dxa"/>
            <w:left w:w="108" w:type="dxa"/>
            <w:bottom w:w="0" w:type="dxa"/>
            <w:right w:w="108" w:type="dxa"/>
          </w:tblCellMar>
        </w:tblPrEx>
        <w:tc>
          <w:tcPr>
            <w:tcW w:w="5019" w:type="dxa"/>
            <w:tcBorders>
              <w:top w:val="nil"/>
              <w:left w:val="nil"/>
              <w:bottom w:val="nil"/>
              <w:right w:val="nil"/>
            </w:tcBorders>
          </w:tcPr>
          <w:p w14:paraId="58910D75">
            <w:pPr>
              <w:framePr w:h="734" w:hRule="exact" w:hSpace="181" w:vSpace="181" w:wrap="around" w:vAnchor="page" w:hAnchor="page" w:x="2264" w:y="14989"/>
              <w:spacing w:line="0" w:lineRule="atLeast"/>
              <w:jc w:val="distribute"/>
              <w:rPr>
                <w:rFonts w:eastAsia="黑体"/>
                <w:bCs/>
                <w:sz w:val="28"/>
                <w:szCs w:val="28"/>
              </w:rPr>
            </w:pPr>
            <w:r>
              <w:rPr>
                <w:rFonts w:ascii="黑体" w:hAnsi="黑体" w:eastAsia="黑体"/>
                <w:bCs/>
                <w:sz w:val="28"/>
                <w:szCs w:val="28"/>
              </w:rPr>
              <w:t>湖北省住房和城乡建设厅</w:t>
            </w:r>
          </w:p>
        </w:tc>
        <w:tc>
          <w:tcPr>
            <w:tcW w:w="3453" w:type="dxa"/>
            <w:vMerge w:val="restart"/>
            <w:tcBorders>
              <w:top w:val="nil"/>
              <w:left w:val="nil"/>
              <w:bottom w:val="nil"/>
              <w:right w:val="nil"/>
            </w:tcBorders>
            <w:vAlign w:val="center"/>
          </w:tcPr>
          <w:p w14:paraId="2E8BE68B">
            <w:pPr>
              <w:framePr w:h="734" w:hRule="exact" w:hSpace="181" w:vSpace="181" w:wrap="around" w:vAnchor="page" w:hAnchor="page" w:x="2264" w:y="14989"/>
              <w:spacing w:line="0" w:lineRule="atLeast"/>
              <w:ind w:firstLine="450" w:firstLineChars="100"/>
              <w:rPr>
                <w:rFonts w:eastAsia="黑体"/>
                <w:bCs/>
                <w:sz w:val="36"/>
                <w:szCs w:val="36"/>
              </w:rPr>
            </w:pPr>
            <w:r>
              <w:rPr>
                <w:rFonts w:ascii="黑体" w:hAnsi="黑体" w:eastAsia="黑体"/>
                <w:bCs/>
                <w:spacing w:val="85"/>
                <w:position w:val="3"/>
                <w:sz w:val="28"/>
                <w:szCs w:val="28"/>
              </w:rPr>
              <w:t>联合发布</w:t>
            </w:r>
          </w:p>
        </w:tc>
      </w:tr>
      <w:tr w14:paraId="32F7F3CA">
        <w:tblPrEx>
          <w:tblCellMar>
            <w:top w:w="0" w:type="dxa"/>
            <w:left w:w="108" w:type="dxa"/>
            <w:bottom w:w="0" w:type="dxa"/>
            <w:right w:w="108" w:type="dxa"/>
          </w:tblCellMar>
        </w:tblPrEx>
        <w:tc>
          <w:tcPr>
            <w:tcW w:w="5019" w:type="dxa"/>
            <w:tcBorders>
              <w:top w:val="nil"/>
              <w:left w:val="nil"/>
              <w:bottom w:val="nil"/>
              <w:right w:val="nil"/>
            </w:tcBorders>
          </w:tcPr>
          <w:p w14:paraId="673F11B3">
            <w:pPr>
              <w:framePr w:h="734" w:hRule="exact" w:hSpace="181" w:vSpace="181" w:wrap="around" w:vAnchor="page" w:hAnchor="page" w:x="2264" w:y="14989"/>
              <w:spacing w:line="0" w:lineRule="atLeast"/>
              <w:jc w:val="distribute"/>
              <w:rPr>
                <w:rFonts w:eastAsia="黑体"/>
                <w:bCs/>
                <w:sz w:val="28"/>
                <w:szCs w:val="28"/>
              </w:rPr>
            </w:pPr>
            <w:r>
              <w:rPr>
                <w:rFonts w:ascii="黑体" w:hAnsi="黑体" w:eastAsia="黑体"/>
                <w:bCs/>
                <w:sz w:val="28"/>
                <w:szCs w:val="28"/>
              </w:rPr>
              <w:t>湖北省市场监督管理局</w:t>
            </w:r>
            <w:r>
              <w:rPr>
                <w:rFonts w:eastAsia="黑体"/>
                <w:bCs/>
                <w:sz w:val="28"/>
                <w:szCs w:val="28"/>
              </w:rPr>
              <w:t xml:space="preserve">    </w:t>
            </w:r>
          </w:p>
        </w:tc>
        <w:tc>
          <w:tcPr>
            <w:tcW w:w="3453" w:type="dxa"/>
            <w:vMerge w:val="continue"/>
            <w:tcBorders>
              <w:top w:val="nil"/>
              <w:left w:val="nil"/>
              <w:bottom w:val="nil"/>
              <w:right w:val="nil"/>
            </w:tcBorders>
            <w:vAlign w:val="center"/>
          </w:tcPr>
          <w:p w14:paraId="07A12FB0">
            <w:pPr>
              <w:framePr w:h="734" w:hRule="exact" w:hSpace="181" w:vSpace="181" w:wrap="around" w:vAnchor="page" w:hAnchor="page" w:x="2264" w:y="14989"/>
              <w:widowControl/>
              <w:jc w:val="left"/>
              <w:rPr>
                <w:rFonts w:eastAsia="黑体"/>
                <w:bCs/>
                <w:sz w:val="36"/>
                <w:szCs w:val="36"/>
              </w:rPr>
            </w:pPr>
          </w:p>
        </w:tc>
      </w:tr>
    </w:tbl>
    <w:p w14:paraId="12893D34">
      <w:pPr>
        <w:rPr>
          <w:spacing w:val="320"/>
        </w:rPr>
      </w:pPr>
      <w:r>
        <w:rPr>
          <w:rFonts w:ascii="黑体" w:hAnsi="黑体" w:eastAsia="黑体"/>
          <w:kern w:val="0"/>
          <w:sz w:val="10"/>
          <w:szCs w:val="10"/>
        </w:rPr>
        <mc:AlternateContent>
          <mc:Choice Requires="wps">
            <w:drawing>
              <wp:anchor distT="0" distB="0" distL="114300" distR="114300" simplePos="0" relativeHeight="251672576" behindDoc="0" locked="0" layoutInCell="1" allowOverlap="0">
                <wp:simplePos x="0" y="0"/>
                <wp:positionH relativeFrom="page">
                  <wp:posOffset>890905</wp:posOffset>
                </wp:positionH>
                <wp:positionV relativeFrom="page">
                  <wp:posOffset>9291955</wp:posOffset>
                </wp:positionV>
                <wp:extent cx="6120130" cy="0"/>
                <wp:effectExtent l="0" t="4445" r="0" b="508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15pt;margin-top:731.65pt;height:0pt;width:481.9pt;mso-position-horizontal-relative:page;mso-position-vertical-relative:page;z-index:251672576;mso-width-relative:page;mso-height-relative:page;" filled="f" stroked="t" coordsize="21600,21600" o:allowoverlap="f" o:gfxdata="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6C4Db1gAAAA4B&#10;AAAPAAAAAAAAAAEAIAAAACIAAABkcnMvZG93bnJldi54bWxQSwECFAAUAAAACACHTuJA0Gp8HuQB&#10;AACsAwAADgAAAAAAAAABACAAAAAlAQAAZHJzL2Uyb0RvYy54bWxQSwUGAAAAAAYABgBZAQAAewUA&#10;AAAA&#10;">
                <v:fill on="f" focussize="0,0"/>
                <v:stroke color="#000000" joinstyle="round"/>
                <v:imagedata o:title=""/>
                <o:lock v:ext="edit" aspectratio="f"/>
              </v:line>
            </w:pict>
          </mc:Fallback>
        </mc:AlternateContent>
      </w:r>
      <w:r>
        <w:rPr>
          <w:rFonts w:hint="eastAsia"/>
          <w:spacing w:val="320"/>
        </w:rPr>
        <w:br w:type="page"/>
      </w:r>
    </w:p>
    <w:p w14:paraId="4D354577">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p>
    <w:p w14:paraId="70ED7C9B">
      <w:pPr>
        <w:pStyle w:val="99"/>
        <w:spacing w:after="468"/>
      </w:pPr>
      <w:bookmarkStart w:id="0" w:name="BookMark1"/>
      <w:bookmarkStart w:id="1" w:name="_Toc119400638"/>
      <w:r>
        <w:rPr>
          <w:rFonts w:hint="eastAsia"/>
          <w:spacing w:val="320"/>
        </w:rPr>
        <w:t>目</w:t>
      </w:r>
      <w:r>
        <w:rPr>
          <w:rFonts w:hint="eastAsia"/>
        </w:rPr>
        <w:t>次</w:t>
      </w:r>
    </w:p>
    <w:p w14:paraId="3BC64951">
      <w:pPr>
        <w:pStyle w:val="22"/>
        <w:tabs>
          <w:tab w:val="right" w:leader="dot" w:pos="935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"_Toc19449" </w:instrText>
      </w:r>
      <w:r>
        <w:fldChar w:fldCharType="separate"/>
      </w:r>
      <w:r>
        <w:rPr>
          <w:rFonts w:hint="eastAsia"/>
        </w:rPr>
        <w:t>前</w:t>
      </w:r>
      <w:r>
        <w:t>言</w:t>
      </w:r>
      <w:r>
        <w:tab/>
      </w:r>
      <w:r>
        <w:fldChar w:fldCharType="begin"/>
      </w:r>
      <w:r>
        <w:instrText xml:space="preserve"> PAGEREF _Toc19449 \h </w:instrText>
      </w:r>
      <w:r>
        <w:fldChar w:fldCharType="separate"/>
      </w:r>
      <w:r>
        <w:t>III</w:t>
      </w:r>
      <w:r>
        <w:fldChar w:fldCharType="end"/>
      </w:r>
      <w:r>
        <w:fldChar w:fldCharType="end"/>
      </w:r>
    </w:p>
    <w:p w14:paraId="222FC700">
      <w:pPr>
        <w:pStyle w:val="22"/>
        <w:tabs>
          <w:tab w:val="right" w:leader="dot" w:pos="9354"/>
        </w:tabs>
      </w:pPr>
      <w:r>
        <w:fldChar w:fldCharType="begin"/>
      </w:r>
      <w:r>
        <w:instrText xml:space="preserve"> HYPERLINK \l "_Toc13744" </w:instrText>
      </w:r>
      <w:r>
        <w:fldChar w:fldCharType="separate"/>
      </w:r>
      <w:r>
        <w:rPr>
          <w:rFonts w:hint="eastAsia" w:ascii="黑体" w:eastAsia="黑体"/>
        </w:rPr>
        <w:t xml:space="preserve">1 </w:t>
      </w:r>
      <w:r>
        <w:rPr>
          <w:rFonts w:hint="eastAsia"/>
        </w:rPr>
        <w:t>范围</w:t>
      </w:r>
      <w:r>
        <w:tab/>
      </w:r>
      <w:r>
        <w:fldChar w:fldCharType="begin"/>
      </w:r>
      <w:r>
        <w:instrText xml:space="preserve"> PAGEREF _Toc13744 \h </w:instrText>
      </w:r>
      <w:r>
        <w:fldChar w:fldCharType="separate"/>
      </w:r>
      <w:r>
        <w:t>1</w:t>
      </w:r>
      <w:r>
        <w:fldChar w:fldCharType="end"/>
      </w:r>
      <w:r>
        <w:fldChar w:fldCharType="end"/>
      </w:r>
    </w:p>
    <w:p w14:paraId="11C776E2">
      <w:pPr>
        <w:pStyle w:val="22"/>
        <w:tabs>
          <w:tab w:val="right" w:leader="dot" w:pos="9354"/>
        </w:tabs>
      </w:pPr>
      <w:r>
        <w:fldChar w:fldCharType="begin"/>
      </w:r>
      <w:r>
        <w:instrText xml:space="preserve"> HYPERLINK \l "_Toc16404"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_Toc16404 \h </w:instrText>
      </w:r>
      <w:r>
        <w:fldChar w:fldCharType="separate"/>
      </w:r>
      <w:r>
        <w:t>1</w:t>
      </w:r>
      <w:r>
        <w:fldChar w:fldCharType="end"/>
      </w:r>
      <w:r>
        <w:fldChar w:fldCharType="end"/>
      </w:r>
    </w:p>
    <w:p w14:paraId="4D498744">
      <w:pPr>
        <w:pStyle w:val="22"/>
        <w:tabs>
          <w:tab w:val="right" w:leader="dot" w:pos="9354"/>
        </w:tabs>
      </w:pPr>
      <w:r>
        <w:fldChar w:fldCharType="begin"/>
      </w:r>
      <w:r>
        <w:instrText xml:space="preserve"> HYPERLINK \l "_Toc31724"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_Toc31724 \h </w:instrText>
      </w:r>
      <w:r>
        <w:fldChar w:fldCharType="separate"/>
      </w:r>
      <w:r>
        <w:t>2</w:t>
      </w:r>
      <w:r>
        <w:fldChar w:fldCharType="end"/>
      </w:r>
      <w:r>
        <w:fldChar w:fldCharType="end"/>
      </w:r>
    </w:p>
    <w:p w14:paraId="1D87086E">
      <w:pPr>
        <w:pStyle w:val="22"/>
        <w:tabs>
          <w:tab w:val="right" w:leader="dot" w:pos="9354"/>
        </w:tabs>
      </w:pPr>
      <w:r>
        <w:fldChar w:fldCharType="begin"/>
      </w:r>
      <w:r>
        <w:instrText xml:space="preserve"> HYPERLINK \l "_Toc3271" </w:instrText>
      </w:r>
      <w:r>
        <w:fldChar w:fldCharType="separate"/>
      </w:r>
      <w:r>
        <w:rPr>
          <w:rFonts w:hint="eastAsia" w:ascii="黑体" w:eastAsia="黑体"/>
        </w:rPr>
        <w:t xml:space="preserve">4 </w:t>
      </w:r>
      <w:r>
        <w:rPr>
          <w:rFonts w:hint="eastAsia"/>
        </w:rPr>
        <w:t>符号</w:t>
      </w:r>
      <w:r>
        <w:tab/>
      </w:r>
      <w:r>
        <w:fldChar w:fldCharType="begin"/>
      </w:r>
      <w:r>
        <w:instrText xml:space="preserve"> PAGEREF _Toc3271 \h </w:instrText>
      </w:r>
      <w:r>
        <w:fldChar w:fldCharType="separate"/>
      </w:r>
      <w:r>
        <w:t>3</w:t>
      </w:r>
      <w:r>
        <w:fldChar w:fldCharType="end"/>
      </w:r>
      <w:r>
        <w:fldChar w:fldCharType="end"/>
      </w:r>
    </w:p>
    <w:p w14:paraId="615E55B9">
      <w:pPr>
        <w:pStyle w:val="28"/>
        <w:tabs>
          <w:tab w:val="right" w:leader="dot" w:pos="9354"/>
          <w:tab w:val="clear" w:pos="9344"/>
        </w:tabs>
      </w:pPr>
      <w:r>
        <w:fldChar w:fldCharType="begin"/>
      </w:r>
      <w:r>
        <w:instrText xml:space="preserve"> HYPERLINK \l "_Toc25924" </w:instrText>
      </w:r>
      <w:r>
        <w:fldChar w:fldCharType="separate"/>
      </w:r>
      <w:r>
        <w:rPr>
          <w:rFonts w:hint="eastAsia" w:ascii="黑体" w:hAnsi="黑体" w:eastAsia="黑体"/>
          <w:kern w:val="0"/>
          <w14:scene3d>
            <w14:lightRig w14:rig="threePt" w14:dir="t">
              <w14:rot w14:lat="0" w14:lon="0" w14:rev="0"/>
            </w14:lightRig>
          </w14:scene3d>
        </w:rPr>
        <w:t xml:space="preserve">4.1 </w:t>
      </w:r>
      <w:r>
        <w:rPr>
          <w:rFonts w:hint="eastAsia"/>
        </w:rPr>
        <w:t>尺寸参数</w:t>
      </w:r>
      <w:r>
        <w:tab/>
      </w:r>
      <w:r>
        <w:fldChar w:fldCharType="begin"/>
      </w:r>
      <w:r>
        <w:instrText xml:space="preserve"> PAGEREF _Toc25924 \h </w:instrText>
      </w:r>
      <w:r>
        <w:fldChar w:fldCharType="separate"/>
      </w:r>
      <w:r>
        <w:t>4</w:t>
      </w:r>
      <w:r>
        <w:fldChar w:fldCharType="end"/>
      </w:r>
      <w:r>
        <w:fldChar w:fldCharType="end"/>
      </w:r>
    </w:p>
    <w:p w14:paraId="3C7FE7C7">
      <w:pPr>
        <w:pStyle w:val="28"/>
        <w:tabs>
          <w:tab w:val="right" w:leader="dot" w:pos="9354"/>
          <w:tab w:val="clear" w:pos="9344"/>
        </w:tabs>
      </w:pPr>
      <w:r>
        <w:fldChar w:fldCharType="begin"/>
      </w:r>
      <w:r>
        <w:instrText xml:space="preserve"> HYPERLINK \l "_Toc11284" </w:instrText>
      </w:r>
      <w:r>
        <w:fldChar w:fldCharType="separate"/>
      </w:r>
      <w:r>
        <w:rPr>
          <w:rFonts w:hint="eastAsia" w:ascii="黑体" w:hAnsi="黑体" w:eastAsia="黑体"/>
          <w:kern w:val="0"/>
          <w14:scene3d>
            <w14:lightRig w14:rig="threePt" w14:dir="t">
              <w14:rot w14:lat="0" w14:lon="0" w14:rev="0"/>
            </w14:lightRig>
          </w14:scene3d>
        </w:rPr>
        <w:t xml:space="preserve">4.2 </w:t>
      </w:r>
      <w:r>
        <w:rPr>
          <w:rFonts w:hint="eastAsia"/>
        </w:rPr>
        <w:t>性能参数</w:t>
      </w:r>
      <w:r>
        <w:tab/>
      </w:r>
      <w:r>
        <w:fldChar w:fldCharType="begin"/>
      </w:r>
      <w:r>
        <w:instrText xml:space="preserve"> PAGEREF _Toc11284 \h </w:instrText>
      </w:r>
      <w:r>
        <w:fldChar w:fldCharType="separate"/>
      </w:r>
      <w:r>
        <w:t>4</w:t>
      </w:r>
      <w:r>
        <w:fldChar w:fldCharType="end"/>
      </w:r>
      <w:r>
        <w:fldChar w:fldCharType="end"/>
      </w:r>
    </w:p>
    <w:p w14:paraId="169CDBC3">
      <w:pPr>
        <w:pStyle w:val="22"/>
        <w:tabs>
          <w:tab w:val="right" w:leader="dot" w:pos="9354"/>
        </w:tabs>
      </w:pPr>
      <w:r>
        <w:fldChar w:fldCharType="begin"/>
      </w:r>
      <w:r>
        <w:instrText xml:space="preserve"> HYPERLINK \l "_Toc21119" </w:instrText>
      </w:r>
      <w:r>
        <w:fldChar w:fldCharType="separate"/>
      </w:r>
      <w:r>
        <w:rPr>
          <w:rFonts w:hint="eastAsia" w:ascii="黑体" w:eastAsia="黑体"/>
        </w:rPr>
        <w:t xml:space="preserve">5 </w:t>
      </w:r>
      <w:r>
        <w:rPr>
          <w:rFonts w:hint="eastAsia" w:hAnsi="Times New Roman"/>
        </w:rPr>
        <w:t>总则</w:t>
      </w:r>
      <w:r>
        <w:tab/>
      </w:r>
      <w:r>
        <w:fldChar w:fldCharType="begin"/>
      </w:r>
      <w:r>
        <w:instrText xml:space="preserve"> PAGEREF _Toc21119 \h </w:instrText>
      </w:r>
      <w:r>
        <w:fldChar w:fldCharType="separate"/>
      </w:r>
      <w:r>
        <w:t>6</w:t>
      </w:r>
      <w:r>
        <w:fldChar w:fldCharType="end"/>
      </w:r>
      <w:r>
        <w:fldChar w:fldCharType="end"/>
      </w:r>
    </w:p>
    <w:p w14:paraId="4E3055F8">
      <w:pPr>
        <w:pStyle w:val="22"/>
        <w:tabs>
          <w:tab w:val="right" w:leader="dot" w:pos="9354"/>
        </w:tabs>
      </w:pPr>
      <w:r>
        <w:fldChar w:fldCharType="begin"/>
      </w:r>
      <w:r>
        <w:instrText xml:space="preserve"> HYPERLINK \l "_Toc17242" </w:instrText>
      </w:r>
      <w:r>
        <w:fldChar w:fldCharType="separate"/>
      </w:r>
      <w:r>
        <w:rPr>
          <w:rFonts w:hint="eastAsia" w:ascii="黑体" w:eastAsia="黑体"/>
        </w:rPr>
        <w:t xml:space="preserve">6 </w:t>
      </w:r>
      <w:r>
        <w:rPr>
          <w:rFonts w:hint="eastAsia"/>
        </w:rPr>
        <w:t>基本规定</w:t>
      </w:r>
      <w:r>
        <w:tab/>
      </w:r>
      <w:r>
        <w:fldChar w:fldCharType="begin"/>
      </w:r>
      <w:r>
        <w:instrText xml:space="preserve"> PAGEREF _Toc17242 \h </w:instrText>
      </w:r>
      <w:r>
        <w:fldChar w:fldCharType="separate"/>
      </w:r>
      <w:r>
        <w:t>6</w:t>
      </w:r>
      <w:r>
        <w:fldChar w:fldCharType="end"/>
      </w:r>
      <w:r>
        <w:fldChar w:fldCharType="end"/>
      </w:r>
    </w:p>
    <w:p w14:paraId="63841674">
      <w:pPr>
        <w:pStyle w:val="22"/>
        <w:tabs>
          <w:tab w:val="right" w:leader="dot" w:pos="9354"/>
        </w:tabs>
      </w:pPr>
      <w:r>
        <w:fldChar w:fldCharType="begin"/>
      </w:r>
      <w:r>
        <w:instrText xml:space="preserve"> HYPERLINK \l "_Toc15964" </w:instrText>
      </w:r>
      <w:r>
        <w:fldChar w:fldCharType="separate"/>
      </w:r>
      <w:r>
        <w:rPr>
          <w:rFonts w:hint="eastAsia" w:ascii="黑体" w:eastAsia="黑体"/>
        </w:rPr>
        <w:t xml:space="preserve">7 </w:t>
      </w:r>
      <w:r>
        <w:rPr>
          <w:rFonts w:hint="eastAsia"/>
        </w:rPr>
        <w:t>水文地质勘察</w:t>
      </w:r>
      <w:r>
        <w:tab/>
      </w:r>
      <w:r>
        <w:fldChar w:fldCharType="begin"/>
      </w:r>
      <w:r>
        <w:instrText xml:space="preserve"> PAGEREF _Toc15964 \h </w:instrText>
      </w:r>
      <w:r>
        <w:fldChar w:fldCharType="separate"/>
      </w:r>
      <w:r>
        <w:t>7</w:t>
      </w:r>
      <w:r>
        <w:fldChar w:fldCharType="end"/>
      </w:r>
      <w:r>
        <w:fldChar w:fldCharType="end"/>
      </w:r>
    </w:p>
    <w:p w14:paraId="59A37A40">
      <w:pPr>
        <w:pStyle w:val="28"/>
        <w:tabs>
          <w:tab w:val="right" w:leader="dot" w:pos="9354"/>
          <w:tab w:val="clear" w:pos="9344"/>
        </w:tabs>
      </w:pPr>
      <w:r>
        <w:fldChar w:fldCharType="begin"/>
      </w:r>
      <w:r>
        <w:instrText xml:space="preserve"> HYPERLINK \l "_Toc8889" </w:instrText>
      </w:r>
      <w:r>
        <w:fldChar w:fldCharType="separate"/>
      </w:r>
      <w:r>
        <w:rPr>
          <w:rFonts w:hint="eastAsia" w:ascii="黑体" w:hAnsi="黑体" w:eastAsia="黑体"/>
          <w:kern w:val="0"/>
          <w14:scene3d>
            <w14:lightRig w14:rig="threePt" w14:dir="t">
              <w14:rot w14:lat="0" w14:lon="0" w14:rev="0"/>
            </w14:lightRig>
          </w14:scene3d>
        </w:rPr>
        <w:t xml:space="preserve">7.1 </w:t>
      </w:r>
      <w:r>
        <w:rPr>
          <w:rFonts w:hint="eastAsia"/>
        </w:rPr>
        <w:t>一般规定</w:t>
      </w:r>
      <w:r>
        <w:tab/>
      </w:r>
      <w:r>
        <w:fldChar w:fldCharType="begin"/>
      </w:r>
      <w:r>
        <w:instrText xml:space="preserve"> PAGEREF _Toc8889 \h </w:instrText>
      </w:r>
      <w:r>
        <w:fldChar w:fldCharType="separate"/>
      </w:r>
      <w:r>
        <w:t>7</w:t>
      </w:r>
      <w:r>
        <w:fldChar w:fldCharType="end"/>
      </w:r>
      <w:r>
        <w:fldChar w:fldCharType="end"/>
      </w:r>
    </w:p>
    <w:p w14:paraId="14D93BE6">
      <w:pPr>
        <w:pStyle w:val="28"/>
        <w:tabs>
          <w:tab w:val="right" w:leader="dot" w:pos="9354"/>
          <w:tab w:val="clear" w:pos="9344"/>
        </w:tabs>
      </w:pPr>
      <w:r>
        <w:fldChar w:fldCharType="begin"/>
      </w:r>
      <w:r>
        <w:instrText xml:space="preserve"> HYPERLINK \l "_Toc32440" </w:instrText>
      </w:r>
      <w:r>
        <w:fldChar w:fldCharType="separate"/>
      </w:r>
      <w:r>
        <w:rPr>
          <w:rFonts w:hint="eastAsia" w:ascii="黑体" w:hAnsi="黑体" w:eastAsia="黑体"/>
          <w:kern w:val="0"/>
          <w14:scene3d>
            <w14:lightRig w14:rig="threePt" w14:dir="t">
              <w14:rot w14:lat="0" w14:lon="0" w14:rev="0"/>
            </w14:lightRig>
          </w14:scene3d>
        </w:rPr>
        <w:t xml:space="preserve">7.2 </w:t>
      </w:r>
      <w:r>
        <w:rPr>
          <w:rFonts w:hint="eastAsia"/>
        </w:rPr>
        <w:t>水文地质测绘</w:t>
      </w:r>
      <w:r>
        <w:tab/>
      </w:r>
      <w:r>
        <w:fldChar w:fldCharType="begin"/>
      </w:r>
      <w:r>
        <w:instrText xml:space="preserve"> PAGEREF _Toc32440 \h </w:instrText>
      </w:r>
      <w:r>
        <w:fldChar w:fldCharType="separate"/>
      </w:r>
      <w:r>
        <w:t>7</w:t>
      </w:r>
      <w:r>
        <w:fldChar w:fldCharType="end"/>
      </w:r>
      <w:r>
        <w:fldChar w:fldCharType="end"/>
      </w:r>
    </w:p>
    <w:p w14:paraId="3D746847">
      <w:pPr>
        <w:pStyle w:val="28"/>
        <w:tabs>
          <w:tab w:val="right" w:leader="dot" w:pos="9354"/>
          <w:tab w:val="clear" w:pos="9344"/>
        </w:tabs>
      </w:pPr>
      <w:r>
        <w:fldChar w:fldCharType="begin"/>
      </w:r>
      <w:r>
        <w:instrText xml:space="preserve"> HYPERLINK \l "_Toc13476" </w:instrText>
      </w:r>
      <w:r>
        <w:fldChar w:fldCharType="separate"/>
      </w:r>
      <w:r>
        <w:rPr>
          <w:rFonts w:hint="eastAsia" w:ascii="黑体" w:hAnsi="黑体" w:eastAsia="黑体"/>
          <w:kern w:val="0"/>
          <w14:scene3d>
            <w14:lightRig w14:rig="threePt" w14:dir="t">
              <w14:rot w14:lat="0" w14:lon="0" w14:rev="0"/>
            </w14:lightRig>
          </w14:scene3d>
        </w:rPr>
        <w:t xml:space="preserve">7.3 </w:t>
      </w:r>
      <w:r>
        <w:rPr>
          <w:rFonts w:hint="eastAsia"/>
        </w:rPr>
        <w:t>水文地质钻探</w:t>
      </w:r>
      <w:r>
        <w:tab/>
      </w:r>
      <w:r>
        <w:fldChar w:fldCharType="begin"/>
      </w:r>
      <w:r>
        <w:instrText xml:space="preserve"> PAGEREF _Toc13476 \h </w:instrText>
      </w:r>
      <w:r>
        <w:fldChar w:fldCharType="separate"/>
      </w:r>
      <w:r>
        <w:t>8</w:t>
      </w:r>
      <w:r>
        <w:fldChar w:fldCharType="end"/>
      </w:r>
      <w:r>
        <w:fldChar w:fldCharType="end"/>
      </w:r>
    </w:p>
    <w:p w14:paraId="3B39A95D">
      <w:pPr>
        <w:pStyle w:val="28"/>
        <w:tabs>
          <w:tab w:val="right" w:leader="dot" w:pos="9354"/>
          <w:tab w:val="clear" w:pos="9344"/>
        </w:tabs>
      </w:pPr>
      <w:r>
        <w:fldChar w:fldCharType="begin"/>
      </w:r>
      <w:r>
        <w:instrText xml:space="preserve"> HYPERLINK \l "_Toc17814" </w:instrText>
      </w:r>
      <w:r>
        <w:fldChar w:fldCharType="separate"/>
      </w:r>
      <w:r>
        <w:rPr>
          <w:rFonts w:hint="eastAsia" w:ascii="黑体" w:hAnsi="黑体" w:eastAsia="黑体"/>
          <w:kern w:val="0"/>
          <w14:scene3d>
            <w14:lightRig w14:rig="threePt" w14:dir="t">
              <w14:rot w14:lat="0" w14:lon="0" w14:rev="0"/>
            </w14:lightRig>
          </w14:scene3d>
        </w:rPr>
        <w:t xml:space="preserve">7.4 </w:t>
      </w:r>
      <w:r>
        <w:rPr>
          <w:rFonts w:hint="eastAsia"/>
        </w:rPr>
        <w:t>水文地质试验</w:t>
      </w:r>
      <w:r>
        <w:rPr>
          <w:rFonts w:hint="eastAsia" w:ascii="MS Gothic" w:hAnsi="MS Gothic" w:eastAsia="MS Gothic" w:cs="MS Gothic"/>
        </w:rPr>
        <w:t>  </w:t>
      </w:r>
      <w:r>
        <w:tab/>
      </w:r>
      <w:r>
        <w:fldChar w:fldCharType="begin"/>
      </w:r>
      <w:r>
        <w:instrText xml:space="preserve"> PAGEREF _Toc17814 \h </w:instrText>
      </w:r>
      <w:r>
        <w:fldChar w:fldCharType="separate"/>
      </w:r>
      <w:r>
        <w:t>9</w:t>
      </w:r>
      <w:r>
        <w:fldChar w:fldCharType="end"/>
      </w:r>
      <w:r>
        <w:fldChar w:fldCharType="end"/>
      </w:r>
    </w:p>
    <w:p w14:paraId="355086AF">
      <w:pPr>
        <w:pStyle w:val="28"/>
        <w:tabs>
          <w:tab w:val="right" w:leader="dot" w:pos="9354"/>
          <w:tab w:val="clear" w:pos="9344"/>
        </w:tabs>
      </w:pPr>
      <w:r>
        <w:fldChar w:fldCharType="begin"/>
      </w:r>
      <w:r>
        <w:instrText xml:space="preserve"> HYPERLINK \l "_Toc2388" </w:instrText>
      </w:r>
      <w:r>
        <w:fldChar w:fldCharType="separate"/>
      </w:r>
      <w:r>
        <w:rPr>
          <w:rFonts w:hint="eastAsia" w:ascii="黑体" w:hAnsi="黑体" w:eastAsia="黑体"/>
          <w:kern w:val="0"/>
          <w14:scene3d>
            <w14:lightRig w14:rig="threePt" w14:dir="t">
              <w14:rot w14:lat="0" w14:lon="0" w14:rev="0"/>
            </w14:lightRig>
          </w14:scene3d>
        </w:rPr>
        <w:t xml:space="preserve">7.5 </w:t>
      </w:r>
      <w:r>
        <w:rPr>
          <w:rFonts w:hint="eastAsia"/>
        </w:rPr>
        <w:t>勘察成果</w:t>
      </w:r>
      <w:r>
        <w:tab/>
      </w:r>
      <w:r>
        <w:fldChar w:fldCharType="begin"/>
      </w:r>
      <w:r>
        <w:instrText xml:space="preserve"> PAGEREF _Toc2388 \h </w:instrText>
      </w:r>
      <w:r>
        <w:fldChar w:fldCharType="separate"/>
      </w:r>
      <w:r>
        <w:t>13</w:t>
      </w:r>
      <w:r>
        <w:fldChar w:fldCharType="end"/>
      </w:r>
      <w:r>
        <w:fldChar w:fldCharType="end"/>
      </w:r>
    </w:p>
    <w:p w14:paraId="73EA9428">
      <w:pPr>
        <w:pStyle w:val="22"/>
        <w:tabs>
          <w:tab w:val="right" w:leader="dot" w:pos="9354"/>
        </w:tabs>
      </w:pPr>
      <w:r>
        <w:fldChar w:fldCharType="begin"/>
      </w:r>
      <w:r>
        <w:instrText xml:space="preserve"> HYPERLINK \l "_Toc28235" </w:instrText>
      </w:r>
      <w:r>
        <w:fldChar w:fldCharType="separate"/>
      </w:r>
      <w:r>
        <w:rPr>
          <w:rFonts w:hint="eastAsia" w:ascii="黑体" w:eastAsia="黑体"/>
        </w:rPr>
        <w:t xml:space="preserve">8 </w:t>
      </w:r>
      <w:r>
        <w:rPr>
          <w:rFonts w:hint="eastAsia"/>
        </w:rPr>
        <w:t>隔渗</w:t>
      </w:r>
      <w:r>
        <w:tab/>
      </w:r>
      <w:r>
        <w:fldChar w:fldCharType="begin"/>
      </w:r>
      <w:r>
        <w:instrText xml:space="preserve"> PAGEREF _Toc28235 \h </w:instrText>
      </w:r>
      <w:r>
        <w:fldChar w:fldCharType="separate"/>
      </w:r>
      <w:r>
        <w:t>14</w:t>
      </w:r>
      <w:r>
        <w:fldChar w:fldCharType="end"/>
      </w:r>
      <w:r>
        <w:fldChar w:fldCharType="end"/>
      </w:r>
    </w:p>
    <w:p w14:paraId="62D2D496">
      <w:pPr>
        <w:pStyle w:val="28"/>
        <w:tabs>
          <w:tab w:val="right" w:leader="dot" w:pos="9354"/>
          <w:tab w:val="clear" w:pos="9344"/>
        </w:tabs>
      </w:pPr>
      <w:r>
        <w:fldChar w:fldCharType="begin"/>
      </w:r>
      <w:r>
        <w:instrText xml:space="preserve"> HYPERLINK \l "_Toc13054" </w:instrText>
      </w:r>
      <w:r>
        <w:fldChar w:fldCharType="separate"/>
      </w:r>
      <w:r>
        <w:rPr>
          <w:rFonts w:hint="eastAsia" w:ascii="黑体" w:hAnsi="黑体" w:eastAsia="黑体"/>
          <w:kern w:val="0"/>
          <w14:scene3d>
            <w14:lightRig w14:rig="threePt" w14:dir="t">
              <w14:rot w14:lat="0" w14:lon="0" w14:rev="0"/>
            </w14:lightRig>
          </w14:scene3d>
        </w:rPr>
        <w:t xml:space="preserve">8.1 </w:t>
      </w:r>
      <w:r>
        <w:rPr>
          <w:rFonts w:hint="eastAsia"/>
        </w:rPr>
        <w:t>一般规定</w:t>
      </w:r>
      <w:r>
        <w:tab/>
      </w:r>
      <w:r>
        <w:fldChar w:fldCharType="begin"/>
      </w:r>
      <w:r>
        <w:instrText xml:space="preserve"> PAGEREF _Toc13054 \h </w:instrText>
      </w:r>
      <w:r>
        <w:fldChar w:fldCharType="separate"/>
      </w:r>
      <w:r>
        <w:t>14</w:t>
      </w:r>
      <w:r>
        <w:fldChar w:fldCharType="end"/>
      </w:r>
      <w:r>
        <w:fldChar w:fldCharType="end"/>
      </w:r>
    </w:p>
    <w:p w14:paraId="2E04B90D">
      <w:pPr>
        <w:pStyle w:val="28"/>
        <w:tabs>
          <w:tab w:val="right" w:leader="dot" w:pos="9354"/>
          <w:tab w:val="clear" w:pos="9344"/>
        </w:tabs>
      </w:pPr>
      <w:r>
        <w:fldChar w:fldCharType="begin"/>
      </w:r>
      <w:r>
        <w:instrText xml:space="preserve"> HYPERLINK \l "_Toc15762" </w:instrText>
      </w:r>
      <w:r>
        <w:fldChar w:fldCharType="separate"/>
      </w:r>
      <w:r>
        <w:rPr>
          <w:rFonts w:hint="eastAsia" w:ascii="黑体" w:hAnsi="黑体" w:eastAsia="黑体"/>
          <w:kern w:val="0"/>
          <w14:scene3d>
            <w14:lightRig w14:rig="threePt" w14:dir="t">
              <w14:rot w14:lat="0" w14:lon="0" w14:rev="0"/>
            </w14:lightRig>
          </w14:scene3d>
        </w:rPr>
        <w:t xml:space="preserve">8.2 </w:t>
      </w:r>
      <w:r>
        <w:rPr>
          <w:rFonts w:hint="eastAsia"/>
        </w:rPr>
        <w:t>设计</w:t>
      </w:r>
      <w:r>
        <w:tab/>
      </w:r>
      <w:r>
        <w:fldChar w:fldCharType="begin"/>
      </w:r>
      <w:r>
        <w:instrText xml:space="preserve"> PAGEREF _Toc15762 \h </w:instrText>
      </w:r>
      <w:r>
        <w:fldChar w:fldCharType="separate"/>
      </w:r>
      <w:r>
        <w:t>14</w:t>
      </w:r>
      <w:r>
        <w:fldChar w:fldCharType="end"/>
      </w:r>
      <w:r>
        <w:fldChar w:fldCharType="end"/>
      </w:r>
    </w:p>
    <w:p w14:paraId="0BBC68C2">
      <w:pPr>
        <w:pStyle w:val="28"/>
        <w:tabs>
          <w:tab w:val="right" w:leader="dot" w:pos="9354"/>
          <w:tab w:val="clear" w:pos="9344"/>
        </w:tabs>
      </w:pPr>
      <w:r>
        <w:fldChar w:fldCharType="begin"/>
      </w:r>
      <w:r>
        <w:instrText xml:space="preserve"> HYPERLINK \l "_Toc14716" </w:instrText>
      </w:r>
      <w:r>
        <w:fldChar w:fldCharType="separate"/>
      </w:r>
      <w:r>
        <w:rPr>
          <w:rFonts w:hint="eastAsia" w:ascii="黑体" w:hAnsi="黑体" w:eastAsia="黑体"/>
          <w:kern w:val="0"/>
          <w14:scene3d>
            <w14:lightRig w14:rig="threePt" w14:dir="t">
              <w14:rot w14:lat="0" w14:lon="0" w14:rev="0"/>
            </w14:lightRig>
          </w14:scene3d>
        </w:rPr>
        <w:t xml:space="preserve">8.3 </w:t>
      </w:r>
      <w:r>
        <w:rPr>
          <w:rFonts w:hint="eastAsia"/>
        </w:rPr>
        <w:t>施工</w:t>
      </w:r>
      <w:r>
        <w:tab/>
      </w:r>
      <w:r>
        <w:fldChar w:fldCharType="begin"/>
      </w:r>
      <w:r>
        <w:instrText xml:space="preserve"> PAGEREF _Toc14716 \h </w:instrText>
      </w:r>
      <w:r>
        <w:fldChar w:fldCharType="separate"/>
      </w:r>
      <w:r>
        <w:t>15</w:t>
      </w:r>
      <w:r>
        <w:fldChar w:fldCharType="end"/>
      </w:r>
      <w:r>
        <w:fldChar w:fldCharType="end"/>
      </w:r>
    </w:p>
    <w:p w14:paraId="3E041324">
      <w:pPr>
        <w:pStyle w:val="22"/>
        <w:tabs>
          <w:tab w:val="right" w:leader="dot" w:pos="9354"/>
        </w:tabs>
      </w:pPr>
      <w:r>
        <w:fldChar w:fldCharType="begin"/>
      </w:r>
      <w:r>
        <w:instrText xml:space="preserve"> HYPERLINK \l "_Toc16826" </w:instrText>
      </w:r>
      <w:r>
        <w:fldChar w:fldCharType="separate"/>
      </w:r>
      <w:r>
        <w:rPr>
          <w:rFonts w:hint="eastAsia" w:ascii="黑体" w:eastAsia="黑体"/>
        </w:rPr>
        <w:t xml:space="preserve">9 </w:t>
      </w:r>
      <w:r>
        <w:rPr>
          <w:rFonts w:hint="eastAsia"/>
        </w:rPr>
        <w:t>降水与集水明排</w:t>
      </w:r>
      <w:r>
        <w:tab/>
      </w:r>
      <w:r>
        <w:fldChar w:fldCharType="begin"/>
      </w:r>
      <w:r>
        <w:instrText xml:space="preserve"> PAGEREF _Toc16826 \h </w:instrText>
      </w:r>
      <w:r>
        <w:fldChar w:fldCharType="separate"/>
      </w:r>
      <w:r>
        <w:t>19</w:t>
      </w:r>
      <w:r>
        <w:fldChar w:fldCharType="end"/>
      </w:r>
      <w:r>
        <w:fldChar w:fldCharType="end"/>
      </w:r>
    </w:p>
    <w:p w14:paraId="0C191F6A">
      <w:pPr>
        <w:pStyle w:val="28"/>
        <w:tabs>
          <w:tab w:val="right" w:leader="dot" w:pos="9354"/>
          <w:tab w:val="clear" w:pos="9344"/>
        </w:tabs>
      </w:pPr>
      <w:r>
        <w:fldChar w:fldCharType="begin"/>
      </w:r>
      <w:r>
        <w:instrText xml:space="preserve"> HYPERLINK \l "_Toc2112" </w:instrText>
      </w:r>
      <w:r>
        <w:fldChar w:fldCharType="separate"/>
      </w:r>
      <w:r>
        <w:rPr>
          <w:rFonts w:hint="eastAsia" w:ascii="黑体" w:hAnsi="黑体" w:eastAsia="黑体"/>
          <w:kern w:val="0"/>
          <w14:scene3d>
            <w14:lightRig w14:rig="threePt" w14:dir="t">
              <w14:rot w14:lat="0" w14:lon="0" w14:rev="0"/>
            </w14:lightRig>
          </w14:scene3d>
        </w:rPr>
        <w:t xml:space="preserve">9.1 </w:t>
      </w:r>
      <w:r>
        <w:rPr>
          <w:rFonts w:hint="eastAsia"/>
        </w:rPr>
        <w:t>一般规定</w:t>
      </w:r>
      <w:r>
        <w:tab/>
      </w:r>
      <w:r>
        <w:fldChar w:fldCharType="begin"/>
      </w:r>
      <w:r>
        <w:instrText xml:space="preserve"> PAGEREF _Toc2112 \h </w:instrText>
      </w:r>
      <w:r>
        <w:fldChar w:fldCharType="separate"/>
      </w:r>
      <w:r>
        <w:t>19</w:t>
      </w:r>
      <w:r>
        <w:fldChar w:fldCharType="end"/>
      </w:r>
      <w:r>
        <w:fldChar w:fldCharType="end"/>
      </w:r>
    </w:p>
    <w:p w14:paraId="7BE4E608">
      <w:pPr>
        <w:pStyle w:val="28"/>
        <w:tabs>
          <w:tab w:val="right" w:leader="dot" w:pos="9354"/>
          <w:tab w:val="clear" w:pos="9344"/>
        </w:tabs>
      </w:pPr>
      <w:r>
        <w:fldChar w:fldCharType="begin"/>
      </w:r>
      <w:r>
        <w:instrText xml:space="preserve"> HYPERLINK \l "_Toc23905" </w:instrText>
      </w:r>
      <w:r>
        <w:fldChar w:fldCharType="separate"/>
      </w:r>
      <w:r>
        <w:rPr>
          <w:rFonts w:hint="eastAsia" w:ascii="黑体" w:hAnsi="黑体" w:eastAsia="黑体"/>
          <w:kern w:val="0"/>
          <w14:scene3d>
            <w14:lightRig w14:rig="threePt" w14:dir="t">
              <w14:rot w14:lat="0" w14:lon="0" w14:rev="0"/>
            </w14:lightRig>
          </w14:scene3d>
        </w:rPr>
        <w:t xml:space="preserve">9.2 </w:t>
      </w:r>
      <w:r>
        <w:rPr>
          <w:rFonts w:hint="eastAsia"/>
        </w:rPr>
        <w:t>设计</w:t>
      </w:r>
      <w:r>
        <w:tab/>
      </w:r>
      <w:r>
        <w:fldChar w:fldCharType="begin"/>
      </w:r>
      <w:r>
        <w:instrText xml:space="preserve"> PAGEREF _Toc23905 \h </w:instrText>
      </w:r>
      <w:r>
        <w:fldChar w:fldCharType="separate"/>
      </w:r>
      <w:r>
        <w:t>20</w:t>
      </w:r>
      <w:r>
        <w:fldChar w:fldCharType="end"/>
      </w:r>
      <w:r>
        <w:fldChar w:fldCharType="end"/>
      </w:r>
    </w:p>
    <w:p w14:paraId="7FD384A5">
      <w:pPr>
        <w:pStyle w:val="28"/>
        <w:tabs>
          <w:tab w:val="right" w:leader="dot" w:pos="9354"/>
          <w:tab w:val="clear" w:pos="9344"/>
        </w:tabs>
      </w:pPr>
      <w:r>
        <w:fldChar w:fldCharType="begin"/>
      </w:r>
      <w:r>
        <w:instrText xml:space="preserve"> HYPERLINK \l "_Toc20626" </w:instrText>
      </w:r>
      <w:r>
        <w:fldChar w:fldCharType="separate"/>
      </w:r>
      <w:r>
        <w:rPr>
          <w:rFonts w:hint="eastAsia" w:ascii="黑体" w:hAnsi="黑体" w:eastAsia="黑体"/>
          <w:kern w:val="0"/>
          <w14:scene3d>
            <w14:lightRig w14:rig="threePt" w14:dir="t">
              <w14:rot w14:lat="0" w14:lon="0" w14:rev="0"/>
            </w14:lightRig>
          </w14:scene3d>
        </w:rPr>
        <w:t xml:space="preserve">9.3 </w:t>
      </w:r>
      <w:r>
        <w:rPr>
          <w:rFonts w:hint="eastAsia"/>
        </w:rPr>
        <w:t>管井降水</w:t>
      </w:r>
      <w:r>
        <w:tab/>
      </w:r>
      <w:r>
        <w:fldChar w:fldCharType="begin"/>
      </w:r>
      <w:r>
        <w:instrText xml:space="preserve"> PAGEREF _Toc20626 \h </w:instrText>
      </w:r>
      <w:r>
        <w:fldChar w:fldCharType="separate"/>
      </w:r>
      <w:r>
        <w:t>21</w:t>
      </w:r>
      <w:r>
        <w:fldChar w:fldCharType="end"/>
      </w:r>
      <w:r>
        <w:fldChar w:fldCharType="end"/>
      </w:r>
    </w:p>
    <w:p w14:paraId="0E1FA148">
      <w:pPr>
        <w:pStyle w:val="28"/>
        <w:tabs>
          <w:tab w:val="right" w:leader="dot" w:pos="9354"/>
          <w:tab w:val="clear" w:pos="9344"/>
        </w:tabs>
      </w:pPr>
      <w:r>
        <w:fldChar w:fldCharType="begin"/>
      </w:r>
      <w:r>
        <w:instrText xml:space="preserve"> HYPERLINK \l "_Toc6448" </w:instrText>
      </w:r>
      <w:r>
        <w:fldChar w:fldCharType="separate"/>
      </w:r>
      <w:r>
        <w:rPr>
          <w:rFonts w:hint="eastAsia" w:ascii="黑体" w:hAnsi="黑体" w:eastAsia="黑体"/>
          <w:kern w:val="0"/>
          <w:szCs w:val="22"/>
          <w14:scene3d>
            <w14:lightRig w14:rig="threePt" w14:dir="t">
              <w14:rot w14:lat="0" w14:lon="0" w14:rev="0"/>
            </w14:lightRig>
          </w14:scene3d>
        </w:rPr>
        <w:t xml:space="preserve">9.4 </w:t>
      </w:r>
      <w:r>
        <w:rPr>
          <w:rFonts w:hint="eastAsia"/>
          <w:szCs w:val="22"/>
        </w:rPr>
        <w:t>真空管井</w:t>
      </w:r>
      <w:r>
        <w:tab/>
      </w:r>
      <w:r>
        <w:fldChar w:fldCharType="begin"/>
      </w:r>
      <w:r>
        <w:instrText xml:space="preserve"> PAGEREF _Toc6448 \h </w:instrText>
      </w:r>
      <w:r>
        <w:fldChar w:fldCharType="separate"/>
      </w:r>
      <w:r>
        <w:t>30</w:t>
      </w:r>
      <w:r>
        <w:fldChar w:fldCharType="end"/>
      </w:r>
      <w:r>
        <w:fldChar w:fldCharType="end"/>
      </w:r>
    </w:p>
    <w:p w14:paraId="6C486CCE">
      <w:pPr>
        <w:pStyle w:val="28"/>
        <w:tabs>
          <w:tab w:val="right" w:leader="dot" w:pos="9354"/>
          <w:tab w:val="clear" w:pos="9344"/>
        </w:tabs>
      </w:pPr>
      <w:r>
        <w:fldChar w:fldCharType="begin"/>
      </w:r>
      <w:r>
        <w:instrText xml:space="preserve"> HYPERLINK \l "_Toc11001" </w:instrText>
      </w:r>
      <w:r>
        <w:fldChar w:fldCharType="separate"/>
      </w:r>
      <w:r>
        <w:rPr>
          <w:rFonts w:hint="eastAsia" w:ascii="黑体" w:hAnsi="黑体" w:eastAsia="黑体"/>
          <w:kern w:val="0"/>
          <w:szCs w:val="22"/>
          <w14:scene3d>
            <w14:lightRig w14:rig="threePt" w14:dir="t">
              <w14:rot w14:lat="0" w14:lon="0" w14:rev="0"/>
            </w14:lightRig>
          </w14:scene3d>
        </w:rPr>
        <w:t xml:space="preserve">9.5 </w:t>
      </w:r>
      <w:r>
        <w:rPr>
          <w:rFonts w:hint="eastAsia"/>
          <w:szCs w:val="22"/>
        </w:rPr>
        <w:t>轻型井点</w:t>
      </w:r>
      <w:r>
        <w:tab/>
      </w:r>
      <w:r>
        <w:fldChar w:fldCharType="begin"/>
      </w:r>
      <w:r>
        <w:instrText xml:space="preserve"> PAGEREF _Toc11001 \h </w:instrText>
      </w:r>
      <w:r>
        <w:fldChar w:fldCharType="separate"/>
      </w:r>
      <w:r>
        <w:t>30</w:t>
      </w:r>
      <w:r>
        <w:fldChar w:fldCharType="end"/>
      </w:r>
      <w:r>
        <w:fldChar w:fldCharType="end"/>
      </w:r>
    </w:p>
    <w:p w14:paraId="39275AFA">
      <w:pPr>
        <w:pStyle w:val="28"/>
        <w:tabs>
          <w:tab w:val="right" w:leader="dot" w:pos="9354"/>
          <w:tab w:val="clear" w:pos="9344"/>
        </w:tabs>
      </w:pPr>
      <w:r>
        <w:fldChar w:fldCharType="begin"/>
      </w:r>
      <w:r>
        <w:instrText xml:space="preserve"> HYPERLINK \l "_Toc31778" </w:instrText>
      </w:r>
      <w:r>
        <w:fldChar w:fldCharType="separate"/>
      </w:r>
      <w:r>
        <w:rPr>
          <w:rFonts w:hint="eastAsia" w:ascii="黑体" w:hAnsi="黑体" w:eastAsia="黑体"/>
          <w:kern w:val="0"/>
          <w14:scene3d>
            <w14:lightRig w14:rig="threePt" w14:dir="t">
              <w14:rot w14:lat="0" w14:lon="0" w14:rev="0"/>
            </w14:lightRig>
          </w14:scene3d>
        </w:rPr>
        <w:t xml:space="preserve">9.6 </w:t>
      </w:r>
      <w:r>
        <w:rPr>
          <w:rFonts w:hint="eastAsia"/>
          <w:szCs w:val="22"/>
        </w:rPr>
        <w:t>抽水帷幕</w:t>
      </w:r>
      <w:r>
        <w:tab/>
      </w:r>
      <w:r>
        <w:fldChar w:fldCharType="begin"/>
      </w:r>
      <w:r>
        <w:instrText xml:space="preserve"> PAGEREF _Toc31778 \h </w:instrText>
      </w:r>
      <w:r>
        <w:fldChar w:fldCharType="separate"/>
      </w:r>
      <w:r>
        <w:t>31</w:t>
      </w:r>
      <w:r>
        <w:fldChar w:fldCharType="end"/>
      </w:r>
      <w:r>
        <w:fldChar w:fldCharType="end"/>
      </w:r>
    </w:p>
    <w:p w14:paraId="21207786">
      <w:pPr>
        <w:pStyle w:val="28"/>
        <w:tabs>
          <w:tab w:val="right" w:leader="dot" w:pos="9354"/>
          <w:tab w:val="clear" w:pos="9344"/>
        </w:tabs>
      </w:pPr>
      <w:r>
        <w:fldChar w:fldCharType="begin"/>
      </w:r>
      <w:r>
        <w:instrText xml:space="preserve"> HYPERLINK \l "_Toc22729" </w:instrText>
      </w:r>
      <w:r>
        <w:fldChar w:fldCharType="separate"/>
      </w:r>
      <w:r>
        <w:rPr>
          <w:rFonts w:hint="eastAsia" w:ascii="黑体" w:hAnsi="黑体" w:eastAsia="黑体"/>
          <w:kern w:val="0"/>
          <w:szCs w:val="22"/>
          <w14:scene3d>
            <w14:lightRig w14:rig="threePt" w14:dir="t">
              <w14:rot w14:lat="0" w14:lon="0" w14:rev="0"/>
            </w14:lightRig>
          </w14:scene3d>
        </w:rPr>
        <w:t xml:space="preserve">9.7 </w:t>
      </w:r>
      <w:r>
        <w:rPr>
          <w:rFonts w:hint="eastAsia"/>
          <w:szCs w:val="22"/>
        </w:rPr>
        <w:t>集水明排</w:t>
      </w:r>
      <w:r>
        <w:tab/>
      </w:r>
      <w:r>
        <w:fldChar w:fldCharType="begin"/>
      </w:r>
      <w:r>
        <w:instrText xml:space="preserve"> PAGEREF _Toc22729 \h </w:instrText>
      </w:r>
      <w:r>
        <w:fldChar w:fldCharType="separate"/>
      </w:r>
      <w:r>
        <w:t>31</w:t>
      </w:r>
      <w:r>
        <w:fldChar w:fldCharType="end"/>
      </w:r>
      <w:r>
        <w:fldChar w:fldCharType="end"/>
      </w:r>
    </w:p>
    <w:p w14:paraId="67BDAF59">
      <w:pPr>
        <w:pStyle w:val="28"/>
        <w:tabs>
          <w:tab w:val="right" w:leader="dot" w:pos="9354"/>
          <w:tab w:val="clear" w:pos="9344"/>
        </w:tabs>
      </w:pPr>
      <w:r>
        <w:fldChar w:fldCharType="begin"/>
      </w:r>
      <w:r>
        <w:instrText xml:space="preserve"> HYPERLINK \l "_Toc26464" </w:instrText>
      </w:r>
      <w:r>
        <w:fldChar w:fldCharType="separate"/>
      </w:r>
      <w:r>
        <w:rPr>
          <w:rFonts w:hint="eastAsia" w:ascii="黑体" w:hAnsi="黑体" w:eastAsia="黑体"/>
          <w:kern w:val="0"/>
          <w14:scene3d>
            <w14:lightRig w14:rig="threePt" w14:dir="t">
              <w14:rot w14:lat="0" w14:lon="0" w14:rev="0"/>
            </w14:lightRig>
          </w14:scene3d>
        </w:rPr>
        <w:t xml:space="preserve">9.8 </w:t>
      </w:r>
      <w:r>
        <w:rPr>
          <w:rFonts w:hint="eastAsia"/>
        </w:rPr>
        <w:t>施工</w:t>
      </w:r>
      <w:r>
        <w:tab/>
      </w:r>
      <w:r>
        <w:fldChar w:fldCharType="begin"/>
      </w:r>
      <w:r>
        <w:instrText xml:space="preserve"> PAGEREF _Toc26464 \h </w:instrText>
      </w:r>
      <w:r>
        <w:fldChar w:fldCharType="separate"/>
      </w:r>
      <w:r>
        <w:t>32</w:t>
      </w:r>
      <w:r>
        <w:fldChar w:fldCharType="end"/>
      </w:r>
      <w:r>
        <w:fldChar w:fldCharType="end"/>
      </w:r>
    </w:p>
    <w:p w14:paraId="2C2F659E">
      <w:pPr>
        <w:pStyle w:val="28"/>
        <w:tabs>
          <w:tab w:val="right" w:leader="dot" w:pos="9354"/>
          <w:tab w:val="clear" w:pos="9344"/>
        </w:tabs>
      </w:pPr>
      <w:r>
        <w:fldChar w:fldCharType="begin"/>
      </w:r>
      <w:r>
        <w:instrText xml:space="preserve"> HYPERLINK \l "_Toc20256" </w:instrText>
      </w:r>
      <w:r>
        <w:fldChar w:fldCharType="separate"/>
      </w:r>
      <w:r>
        <w:rPr>
          <w:rFonts w:hint="eastAsia" w:ascii="黑体" w:hAnsi="黑体" w:eastAsia="黑体"/>
          <w:kern w:val="0"/>
          <w14:scene3d>
            <w14:lightRig w14:rig="threePt" w14:dir="t">
              <w14:rot w14:lat="0" w14:lon="0" w14:rev="0"/>
            </w14:lightRig>
          </w14:scene3d>
        </w:rPr>
        <w:t xml:space="preserve">9.9 </w:t>
      </w:r>
      <w:r>
        <w:rPr>
          <w:rFonts w:hint="eastAsia" w:hAnsi="Times New Roman"/>
        </w:rPr>
        <w:t>运行</w:t>
      </w:r>
      <w:r>
        <w:rPr>
          <w:rFonts w:hint="eastAsia"/>
        </w:rPr>
        <w:t>与维护</w:t>
      </w:r>
      <w:r>
        <w:tab/>
      </w:r>
      <w:r>
        <w:fldChar w:fldCharType="begin"/>
      </w:r>
      <w:r>
        <w:instrText xml:space="preserve"> PAGEREF _Toc20256 \h </w:instrText>
      </w:r>
      <w:r>
        <w:fldChar w:fldCharType="separate"/>
      </w:r>
      <w:r>
        <w:t>33</w:t>
      </w:r>
      <w:r>
        <w:fldChar w:fldCharType="end"/>
      </w:r>
      <w:r>
        <w:fldChar w:fldCharType="end"/>
      </w:r>
    </w:p>
    <w:p w14:paraId="2CE5B553">
      <w:pPr>
        <w:pStyle w:val="28"/>
        <w:tabs>
          <w:tab w:val="right" w:leader="dot" w:pos="9354"/>
          <w:tab w:val="clear" w:pos="9344"/>
        </w:tabs>
      </w:pPr>
      <w:r>
        <w:fldChar w:fldCharType="begin"/>
      </w:r>
      <w:r>
        <w:instrText xml:space="preserve"> HYPERLINK \l "_Toc6597" </w:instrText>
      </w:r>
      <w:r>
        <w:fldChar w:fldCharType="separate"/>
      </w:r>
      <w:r>
        <w:rPr>
          <w:rFonts w:hint="eastAsia" w:ascii="黑体" w:hAnsi="黑体" w:eastAsia="黑体"/>
          <w:kern w:val="0"/>
          <w14:scene3d>
            <w14:lightRig w14:rig="threePt" w14:dir="t">
              <w14:rot w14:lat="0" w14:lon="0" w14:rev="0"/>
            </w14:lightRig>
          </w14:scene3d>
        </w:rPr>
        <w:t xml:space="preserve">9.10 </w:t>
      </w:r>
      <w:r>
        <w:rPr>
          <w:rFonts w:hint="eastAsia"/>
        </w:rPr>
        <w:t>周边环境影响风险控制</w:t>
      </w:r>
      <w:r>
        <w:tab/>
      </w:r>
      <w:r>
        <w:fldChar w:fldCharType="begin"/>
      </w:r>
      <w:r>
        <w:instrText xml:space="preserve"> PAGEREF _Toc6597 \h </w:instrText>
      </w:r>
      <w:r>
        <w:fldChar w:fldCharType="separate"/>
      </w:r>
      <w:r>
        <w:t>34</w:t>
      </w:r>
      <w:r>
        <w:fldChar w:fldCharType="end"/>
      </w:r>
      <w:r>
        <w:fldChar w:fldCharType="end"/>
      </w:r>
    </w:p>
    <w:p w14:paraId="0E73B9E5">
      <w:pPr>
        <w:pStyle w:val="22"/>
        <w:tabs>
          <w:tab w:val="right" w:leader="dot" w:pos="9354"/>
        </w:tabs>
      </w:pPr>
      <w:r>
        <w:fldChar w:fldCharType="begin"/>
      </w:r>
      <w:r>
        <w:instrText xml:space="preserve"> HYPERLINK \l "_Toc16094" </w:instrText>
      </w:r>
      <w:r>
        <w:fldChar w:fldCharType="separate"/>
      </w:r>
      <w:r>
        <w:rPr>
          <w:rFonts w:hint="eastAsia" w:ascii="黑体" w:eastAsia="黑体"/>
        </w:rPr>
        <w:t xml:space="preserve">10 </w:t>
      </w:r>
      <w:r>
        <w:rPr>
          <w:rFonts w:hint="eastAsia"/>
        </w:rPr>
        <w:t>回灌</w:t>
      </w:r>
      <w:r>
        <w:tab/>
      </w:r>
      <w:r>
        <w:fldChar w:fldCharType="begin"/>
      </w:r>
      <w:r>
        <w:instrText xml:space="preserve"> PAGEREF _Toc16094 \h </w:instrText>
      </w:r>
      <w:r>
        <w:fldChar w:fldCharType="separate"/>
      </w:r>
      <w:r>
        <w:t>34</w:t>
      </w:r>
      <w:r>
        <w:fldChar w:fldCharType="end"/>
      </w:r>
      <w:r>
        <w:fldChar w:fldCharType="end"/>
      </w:r>
    </w:p>
    <w:p w14:paraId="3F717874">
      <w:pPr>
        <w:pStyle w:val="28"/>
        <w:tabs>
          <w:tab w:val="right" w:leader="dot" w:pos="9354"/>
          <w:tab w:val="clear" w:pos="9344"/>
        </w:tabs>
      </w:pPr>
      <w:r>
        <w:fldChar w:fldCharType="begin"/>
      </w:r>
      <w:r>
        <w:instrText xml:space="preserve"> HYPERLINK \l "_Toc24685" </w:instrText>
      </w:r>
      <w:r>
        <w:fldChar w:fldCharType="separate"/>
      </w:r>
      <w:r>
        <w:rPr>
          <w:rFonts w:hint="eastAsia" w:ascii="黑体" w:hAnsi="黑体" w:eastAsia="黑体"/>
          <w:kern w:val="0"/>
          <w14:scene3d>
            <w14:lightRig w14:rig="threePt" w14:dir="t">
              <w14:rot w14:lat="0" w14:lon="0" w14:rev="0"/>
            </w14:lightRig>
          </w14:scene3d>
        </w:rPr>
        <w:t xml:space="preserve">10.1 </w:t>
      </w:r>
      <w:r>
        <w:rPr>
          <w:rFonts w:hint="eastAsia"/>
        </w:rPr>
        <w:t>一般规定</w:t>
      </w:r>
      <w:r>
        <w:tab/>
      </w:r>
      <w:r>
        <w:fldChar w:fldCharType="begin"/>
      </w:r>
      <w:r>
        <w:instrText xml:space="preserve"> PAGEREF _Toc24685 \h </w:instrText>
      </w:r>
      <w:r>
        <w:fldChar w:fldCharType="separate"/>
      </w:r>
      <w:r>
        <w:t>35</w:t>
      </w:r>
      <w:r>
        <w:fldChar w:fldCharType="end"/>
      </w:r>
      <w:r>
        <w:fldChar w:fldCharType="end"/>
      </w:r>
    </w:p>
    <w:p w14:paraId="0053D03C">
      <w:pPr>
        <w:pStyle w:val="28"/>
        <w:tabs>
          <w:tab w:val="right" w:leader="dot" w:pos="9354"/>
          <w:tab w:val="clear" w:pos="9344"/>
        </w:tabs>
      </w:pPr>
      <w:r>
        <w:fldChar w:fldCharType="begin"/>
      </w:r>
      <w:r>
        <w:instrText xml:space="preserve"> HYPERLINK \l "_Toc10592" </w:instrText>
      </w:r>
      <w:r>
        <w:fldChar w:fldCharType="separate"/>
      </w:r>
      <w:r>
        <w:rPr>
          <w:rFonts w:hint="eastAsia" w:ascii="黑体" w:hAnsi="黑体" w:eastAsia="黑体"/>
          <w:kern w:val="0"/>
          <w14:scene3d>
            <w14:lightRig w14:rig="threePt" w14:dir="t">
              <w14:rot w14:lat="0" w14:lon="0" w14:rev="0"/>
            </w14:lightRig>
          </w14:scene3d>
        </w:rPr>
        <w:t xml:space="preserve">10.2 </w:t>
      </w:r>
      <w:r>
        <w:rPr>
          <w:rFonts w:hint="eastAsia"/>
        </w:rPr>
        <w:t>设计</w:t>
      </w:r>
      <w:r>
        <w:tab/>
      </w:r>
      <w:r>
        <w:fldChar w:fldCharType="begin"/>
      </w:r>
      <w:r>
        <w:instrText xml:space="preserve"> PAGEREF _Toc10592 \h </w:instrText>
      </w:r>
      <w:r>
        <w:fldChar w:fldCharType="separate"/>
      </w:r>
      <w:r>
        <w:t>35</w:t>
      </w:r>
      <w:r>
        <w:fldChar w:fldCharType="end"/>
      </w:r>
      <w:r>
        <w:fldChar w:fldCharType="end"/>
      </w:r>
    </w:p>
    <w:p w14:paraId="7E071046">
      <w:pPr>
        <w:pStyle w:val="28"/>
        <w:tabs>
          <w:tab w:val="right" w:leader="dot" w:pos="9354"/>
          <w:tab w:val="clear" w:pos="9344"/>
        </w:tabs>
      </w:pPr>
      <w:r>
        <w:fldChar w:fldCharType="begin"/>
      </w:r>
      <w:r>
        <w:instrText xml:space="preserve"> HYPERLINK \l "_Toc25876" </w:instrText>
      </w:r>
      <w:r>
        <w:fldChar w:fldCharType="separate"/>
      </w:r>
      <w:r>
        <w:rPr>
          <w:rFonts w:hint="eastAsia" w:ascii="黑体" w:hAnsi="黑体" w:eastAsia="黑体"/>
          <w:kern w:val="0"/>
          <w14:scene3d>
            <w14:lightRig w14:rig="threePt" w14:dir="t">
              <w14:rot w14:lat="0" w14:lon="0" w14:rev="0"/>
            </w14:lightRig>
          </w14:scene3d>
        </w:rPr>
        <w:t xml:space="preserve">10.3 </w:t>
      </w:r>
      <w:r>
        <w:rPr>
          <w:rFonts w:hint="eastAsia" w:hAnsi="Times New Roman"/>
        </w:rPr>
        <w:t>施工</w:t>
      </w:r>
      <w:r>
        <w:tab/>
      </w:r>
      <w:r>
        <w:fldChar w:fldCharType="begin"/>
      </w:r>
      <w:r>
        <w:instrText xml:space="preserve"> PAGEREF _Toc25876 \h </w:instrText>
      </w:r>
      <w:r>
        <w:fldChar w:fldCharType="separate"/>
      </w:r>
      <w:r>
        <w:t>36</w:t>
      </w:r>
      <w:r>
        <w:fldChar w:fldCharType="end"/>
      </w:r>
      <w:r>
        <w:fldChar w:fldCharType="end"/>
      </w:r>
    </w:p>
    <w:p w14:paraId="282CA0B5">
      <w:pPr>
        <w:pStyle w:val="28"/>
        <w:tabs>
          <w:tab w:val="right" w:leader="dot" w:pos="9354"/>
          <w:tab w:val="clear" w:pos="9344"/>
        </w:tabs>
      </w:pPr>
      <w:r>
        <w:fldChar w:fldCharType="begin"/>
      </w:r>
      <w:r>
        <w:instrText xml:space="preserve"> HYPERLINK \l "_Toc20483" </w:instrText>
      </w:r>
      <w:r>
        <w:fldChar w:fldCharType="separate"/>
      </w:r>
      <w:r>
        <w:rPr>
          <w:rFonts w:hint="eastAsia" w:ascii="黑体" w:hAnsi="黑体" w:eastAsia="黑体"/>
          <w:kern w:val="0"/>
          <w14:scene3d>
            <w14:lightRig w14:rig="threePt" w14:dir="t">
              <w14:rot w14:lat="0" w14:lon="0" w14:rev="0"/>
            </w14:lightRig>
          </w14:scene3d>
        </w:rPr>
        <w:t xml:space="preserve">10.4 </w:t>
      </w:r>
      <w:r>
        <w:rPr>
          <w:rFonts w:hint="eastAsia" w:hAnsi="Times New Roman"/>
        </w:rPr>
        <w:t>运行</w:t>
      </w:r>
      <w:r>
        <w:rPr>
          <w:rFonts w:hint="eastAsia"/>
        </w:rPr>
        <w:t>与维护</w:t>
      </w:r>
      <w:r>
        <w:tab/>
      </w:r>
      <w:r>
        <w:fldChar w:fldCharType="begin"/>
      </w:r>
      <w:r>
        <w:instrText xml:space="preserve"> PAGEREF _Toc20483 \h </w:instrText>
      </w:r>
      <w:r>
        <w:fldChar w:fldCharType="separate"/>
      </w:r>
      <w:r>
        <w:t>37</w:t>
      </w:r>
      <w:r>
        <w:fldChar w:fldCharType="end"/>
      </w:r>
      <w:r>
        <w:fldChar w:fldCharType="end"/>
      </w:r>
    </w:p>
    <w:p w14:paraId="1115A13F">
      <w:pPr>
        <w:pStyle w:val="22"/>
        <w:tabs>
          <w:tab w:val="right" w:leader="dot" w:pos="9354"/>
        </w:tabs>
      </w:pPr>
      <w:r>
        <w:fldChar w:fldCharType="begin"/>
      </w:r>
      <w:r>
        <w:instrText xml:space="preserve"> HYPERLINK \l "_Toc20487" </w:instrText>
      </w:r>
      <w:r>
        <w:fldChar w:fldCharType="separate"/>
      </w:r>
      <w:r>
        <w:rPr>
          <w:rFonts w:hint="eastAsia" w:ascii="黑体" w:eastAsia="黑体"/>
        </w:rPr>
        <w:t xml:space="preserve">11 </w:t>
      </w:r>
      <w:r>
        <w:rPr>
          <w:rFonts w:hint="eastAsia"/>
        </w:rPr>
        <w:t>检测与监测</w:t>
      </w:r>
      <w:r>
        <w:tab/>
      </w:r>
      <w:r>
        <w:fldChar w:fldCharType="begin"/>
      </w:r>
      <w:r>
        <w:instrText xml:space="preserve"> PAGEREF _Toc20487 \h </w:instrText>
      </w:r>
      <w:r>
        <w:fldChar w:fldCharType="separate"/>
      </w:r>
      <w:r>
        <w:t>38</w:t>
      </w:r>
      <w:r>
        <w:fldChar w:fldCharType="end"/>
      </w:r>
      <w:r>
        <w:fldChar w:fldCharType="end"/>
      </w:r>
    </w:p>
    <w:p w14:paraId="6090563C">
      <w:pPr>
        <w:pStyle w:val="28"/>
        <w:tabs>
          <w:tab w:val="right" w:leader="dot" w:pos="9354"/>
          <w:tab w:val="clear" w:pos="9344"/>
        </w:tabs>
      </w:pPr>
      <w:r>
        <w:fldChar w:fldCharType="begin"/>
      </w:r>
      <w:r>
        <w:instrText xml:space="preserve"> HYPERLINK \l "_Toc31923" </w:instrText>
      </w:r>
      <w:r>
        <w:fldChar w:fldCharType="separate"/>
      </w:r>
      <w:r>
        <w:rPr>
          <w:rFonts w:hint="eastAsia" w:ascii="黑体" w:hAnsi="黑体" w:eastAsia="黑体"/>
          <w:kern w:val="0"/>
          <w14:scene3d>
            <w14:lightRig w14:rig="threePt" w14:dir="t">
              <w14:rot w14:lat="0" w14:lon="0" w14:rev="0"/>
            </w14:lightRig>
          </w14:scene3d>
        </w:rPr>
        <w:t xml:space="preserve">11.1 </w:t>
      </w:r>
      <w:r>
        <w:rPr>
          <w:rFonts w:hint="eastAsia"/>
        </w:rPr>
        <w:t>一般规定</w:t>
      </w:r>
      <w:r>
        <w:tab/>
      </w:r>
      <w:r>
        <w:fldChar w:fldCharType="begin"/>
      </w:r>
      <w:r>
        <w:instrText xml:space="preserve"> PAGEREF _Toc31923 \h </w:instrText>
      </w:r>
      <w:r>
        <w:fldChar w:fldCharType="separate"/>
      </w:r>
      <w:r>
        <w:t>38</w:t>
      </w:r>
      <w:r>
        <w:fldChar w:fldCharType="end"/>
      </w:r>
      <w:r>
        <w:fldChar w:fldCharType="end"/>
      </w:r>
    </w:p>
    <w:p w14:paraId="529C82E9">
      <w:pPr>
        <w:pStyle w:val="28"/>
        <w:tabs>
          <w:tab w:val="right" w:leader="dot" w:pos="9354"/>
          <w:tab w:val="clear" w:pos="9344"/>
        </w:tabs>
      </w:pPr>
      <w:r>
        <w:fldChar w:fldCharType="begin"/>
      </w:r>
      <w:r>
        <w:instrText xml:space="preserve"> HYPERLINK \l "_Toc25331" </w:instrText>
      </w:r>
      <w:r>
        <w:fldChar w:fldCharType="separate"/>
      </w:r>
      <w:r>
        <w:rPr>
          <w:rFonts w:hint="eastAsia" w:ascii="黑体" w:hAnsi="黑体" w:eastAsia="黑体"/>
          <w:kern w:val="0"/>
          <w14:scene3d>
            <w14:lightRig w14:rig="threePt" w14:dir="t">
              <w14:rot w14:lat="0" w14:lon="0" w14:rev="0"/>
            </w14:lightRig>
          </w14:scene3d>
        </w:rPr>
        <w:t xml:space="preserve">11.2 </w:t>
      </w:r>
      <w:r>
        <w:rPr>
          <w:rFonts w:hint="eastAsia"/>
        </w:rPr>
        <w:t>检测</w:t>
      </w:r>
      <w:r>
        <w:tab/>
      </w:r>
      <w:r>
        <w:fldChar w:fldCharType="begin"/>
      </w:r>
      <w:r>
        <w:instrText xml:space="preserve"> PAGEREF _Toc25331 \h </w:instrText>
      </w:r>
      <w:r>
        <w:fldChar w:fldCharType="separate"/>
      </w:r>
      <w:r>
        <w:t>38</w:t>
      </w:r>
      <w:r>
        <w:fldChar w:fldCharType="end"/>
      </w:r>
      <w:r>
        <w:fldChar w:fldCharType="end"/>
      </w:r>
    </w:p>
    <w:p w14:paraId="7C9211FB">
      <w:pPr>
        <w:pStyle w:val="28"/>
        <w:tabs>
          <w:tab w:val="right" w:leader="dot" w:pos="9354"/>
          <w:tab w:val="clear" w:pos="9344"/>
        </w:tabs>
      </w:pPr>
      <w:r>
        <w:fldChar w:fldCharType="begin"/>
      </w:r>
      <w:r>
        <w:instrText xml:space="preserve"> HYPERLINK \l "_Toc21532" </w:instrText>
      </w:r>
      <w:r>
        <w:fldChar w:fldCharType="separate"/>
      </w:r>
      <w:r>
        <w:rPr>
          <w:rFonts w:hint="eastAsia" w:ascii="黑体" w:hAnsi="黑体" w:eastAsia="黑体"/>
          <w:kern w:val="0"/>
          <w14:scene3d>
            <w14:lightRig w14:rig="threePt" w14:dir="t">
              <w14:rot w14:lat="0" w14:lon="0" w14:rev="0"/>
            </w14:lightRig>
          </w14:scene3d>
        </w:rPr>
        <w:t xml:space="preserve">11.3 </w:t>
      </w:r>
      <w:r>
        <w:rPr>
          <w:rFonts w:hint="eastAsia"/>
        </w:rPr>
        <w:t>监测</w:t>
      </w:r>
      <w:r>
        <w:tab/>
      </w:r>
      <w:r>
        <w:fldChar w:fldCharType="begin"/>
      </w:r>
      <w:r>
        <w:instrText xml:space="preserve"> PAGEREF _Toc21532 \h </w:instrText>
      </w:r>
      <w:r>
        <w:fldChar w:fldCharType="separate"/>
      </w:r>
      <w:r>
        <w:t>39</w:t>
      </w:r>
      <w:r>
        <w:fldChar w:fldCharType="end"/>
      </w:r>
      <w:r>
        <w:fldChar w:fldCharType="end"/>
      </w:r>
    </w:p>
    <w:p w14:paraId="0B0B54B9">
      <w:pPr>
        <w:pStyle w:val="22"/>
        <w:tabs>
          <w:tab w:val="right" w:leader="dot" w:pos="9354"/>
        </w:tabs>
      </w:pPr>
      <w:r>
        <w:fldChar w:fldCharType="begin"/>
      </w:r>
      <w:r>
        <w:instrText xml:space="preserve"> HYPERLINK \l "_Toc20487" </w:instrText>
      </w:r>
      <w:r>
        <w:fldChar w:fldCharType="separate"/>
      </w:r>
      <w:r>
        <w:rPr>
          <w:rFonts w:hint="eastAsia" w:ascii="黑体" w:eastAsia="黑体"/>
        </w:rPr>
        <w:t>12</w:t>
      </w:r>
      <w:r>
        <w:t>标准实施与评价</w:t>
      </w:r>
      <w:r>
        <w:tab/>
      </w:r>
      <w:r>
        <w:rPr>
          <w:rFonts w:hint="eastAsia"/>
        </w:rPr>
        <w:t>40</w:t>
      </w:r>
      <w:r>
        <w:rPr>
          <w:rFonts w:hint="eastAsia"/>
        </w:rPr>
        <w:fldChar w:fldCharType="end"/>
      </w:r>
    </w:p>
    <w:p w14:paraId="29EE3A5A">
      <w:pPr>
        <w:pStyle w:val="22"/>
        <w:tabs>
          <w:tab w:val="right" w:leader="dot" w:pos="9354"/>
        </w:tabs>
      </w:pPr>
      <w:r>
        <w:fldChar w:fldCharType="begin"/>
      </w:r>
      <w:r>
        <w:instrText xml:space="preserve"> HYPERLINK \l "_Toc6872" </w:instrText>
      </w:r>
      <w:r>
        <w:fldChar w:fldCharType="separate"/>
      </w:r>
      <w:r>
        <w:rPr>
          <w:rFonts w:ascii="黑体" w:hAnsi="Times New Roman" w:eastAsia="黑体"/>
          <w:spacing w:val="100"/>
        </w:rPr>
        <w:t>附录</w:t>
      </w:r>
      <w:r>
        <w:rPr>
          <w:rFonts w:hint="eastAsia"/>
          <w:spacing w:val="100"/>
        </w:rPr>
        <w:t>A</w:t>
      </w:r>
      <w:r>
        <w:t xml:space="preserve"> </w:t>
      </w:r>
      <w:r>
        <w:rPr>
          <w:rFonts w:hint="eastAsia"/>
        </w:rPr>
        <w:t>（资料性） 湖北地区水文地质概况</w:t>
      </w:r>
      <w:r>
        <w:tab/>
      </w:r>
      <w:r>
        <w:fldChar w:fldCharType="begin"/>
      </w:r>
      <w:r>
        <w:instrText xml:space="preserve"> PAGEREF _Toc6872 \h </w:instrText>
      </w:r>
      <w:r>
        <w:fldChar w:fldCharType="separate"/>
      </w:r>
      <w:r>
        <w:t>41</w:t>
      </w:r>
      <w:r>
        <w:fldChar w:fldCharType="end"/>
      </w:r>
      <w:r>
        <w:fldChar w:fldCharType="end"/>
      </w:r>
    </w:p>
    <w:p w14:paraId="255ECA03">
      <w:pPr>
        <w:pStyle w:val="22"/>
        <w:tabs>
          <w:tab w:val="right" w:leader="dot" w:pos="9354"/>
        </w:tabs>
      </w:pPr>
      <w:r>
        <w:fldChar w:fldCharType="begin"/>
      </w:r>
      <w:r>
        <w:instrText xml:space="preserve"> HYPERLINK \l "_Toc9778" </w:instrText>
      </w:r>
      <w:r>
        <w:fldChar w:fldCharType="separate"/>
      </w:r>
      <w:r>
        <w:rPr>
          <w:rFonts w:ascii="黑体" w:hAnsi="Times New Roman" w:eastAsia="黑体"/>
          <w:spacing w:val="100"/>
        </w:rPr>
        <w:t>附录</w:t>
      </w:r>
      <w:r>
        <w:rPr>
          <w:rFonts w:hint="eastAsia"/>
          <w:spacing w:val="100"/>
        </w:rPr>
        <w:t>B</w:t>
      </w:r>
      <w:r>
        <w:t xml:space="preserve"> </w:t>
      </w:r>
      <w:r>
        <w:rPr>
          <w:rFonts w:hint="eastAsia"/>
        </w:rPr>
        <w:t>（资料性） 常见的成井方法及洗井工艺</w:t>
      </w:r>
      <w:r>
        <w:tab/>
      </w:r>
      <w:r>
        <w:fldChar w:fldCharType="begin"/>
      </w:r>
      <w:r>
        <w:instrText xml:space="preserve"> PAGEREF _Toc9778 \h </w:instrText>
      </w:r>
      <w:r>
        <w:fldChar w:fldCharType="separate"/>
      </w:r>
      <w:r>
        <w:t>42</w:t>
      </w:r>
      <w:r>
        <w:fldChar w:fldCharType="end"/>
      </w:r>
      <w:r>
        <w:fldChar w:fldCharType="end"/>
      </w:r>
    </w:p>
    <w:p w14:paraId="2D09B499">
      <w:pPr>
        <w:pStyle w:val="22"/>
        <w:tabs>
          <w:tab w:val="right" w:leader="dot" w:pos="9354"/>
        </w:tabs>
      </w:pPr>
      <w:r>
        <w:fldChar w:fldCharType="begin"/>
      </w:r>
      <w:r>
        <w:instrText xml:space="preserve"> HYPERLINK \l "_Toc6886" </w:instrText>
      </w:r>
      <w:r>
        <w:fldChar w:fldCharType="separate"/>
      </w:r>
      <w:r>
        <w:rPr>
          <w:rFonts w:ascii="黑体" w:hAnsi="Times New Roman" w:eastAsia="黑体"/>
          <w:spacing w:val="100"/>
        </w:rPr>
        <w:t>附录</w:t>
      </w:r>
      <w:r>
        <w:rPr>
          <w:rFonts w:hint="eastAsia"/>
          <w:spacing w:val="100"/>
        </w:rPr>
        <w:t>C</w:t>
      </w:r>
      <w:r>
        <w:t xml:space="preserve"> </w:t>
      </w:r>
      <w:r>
        <w:rPr>
          <w:rFonts w:hint="eastAsia"/>
        </w:rPr>
        <w:t>（资料性）</w:t>
      </w:r>
      <w:r>
        <w:t xml:space="preserve"> </w:t>
      </w:r>
      <w:r>
        <w:rPr>
          <w:rFonts w:hint="eastAsia"/>
        </w:rPr>
        <w:t>基坑隔渗帷幕方法</w:t>
      </w:r>
      <w:r>
        <w:tab/>
      </w:r>
      <w:r>
        <w:fldChar w:fldCharType="begin"/>
      </w:r>
      <w:r>
        <w:instrText xml:space="preserve"> PAGEREF _Toc6886 \h </w:instrText>
      </w:r>
      <w:r>
        <w:fldChar w:fldCharType="separate"/>
      </w:r>
      <w:r>
        <w:t>44</w:t>
      </w:r>
      <w:r>
        <w:fldChar w:fldCharType="end"/>
      </w:r>
      <w:r>
        <w:fldChar w:fldCharType="end"/>
      </w:r>
    </w:p>
    <w:p w14:paraId="3B9C022D">
      <w:pPr>
        <w:pStyle w:val="22"/>
        <w:tabs>
          <w:tab w:val="right" w:leader="dot" w:pos="9354"/>
        </w:tabs>
      </w:pPr>
      <w:r>
        <w:fldChar w:fldCharType="begin"/>
      </w:r>
      <w:r>
        <w:instrText xml:space="preserve"> HYPERLINK \l "_Toc6189" </w:instrText>
      </w:r>
      <w:r>
        <w:fldChar w:fldCharType="separate"/>
      </w:r>
      <w:r>
        <w:rPr>
          <w:rFonts w:ascii="黑体" w:hAnsi="Times New Roman" w:eastAsia="黑体"/>
          <w:spacing w:val="100"/>
        </w:rPr>
        <w:t>附录</w:t>
      </w:r>
      <w:r>
        <w:rPr>
          <w:rFonts w:hint="eastAsia"/>
          <w:spacing w:val="100"/>
        </w:rPr>
        <w:t>D</w:t>
      </w:r>
      <w:r>
        <w:t xml:space="preserve"> </w:t>
      </w:r>
      <w:r>
        <w:rPr>
          <w:rFonts w:hint="eastAsia"/>
        </w:rPr>
        <w:t>（规范性）</w:t>
      </w:r>
      <w:r>
        <w:t xml:space="preserve"> </w:t>
      </w:r>
      <w:r>
        <w:rPr>
          <w:rFonts w:hint="eastAsia"/>
        </w:rPr>
        <w:t>基坑工程连通性抽水试验</w:t>
      </w:r>
      <w:r>
        <w:tab/>
      </w:r>
      <w:r>
        <w:fldChar w:fldCharType="begin"/>
      </w:r>
      <w:r>
        <w:instrText xml:space="preserve"> PAGEREF _Toc6189 \h </w:instrText>
      </w:r>
      <w:r>
        <w:fldChar w:fldCharType="separate"/>
      </w:r>
      <w:r>
        <w:t>45</w:t>
      </w:r>
      <w:r>
        <w:fldChar w:fldCharType="end"/>
      </w:r>
      <w:r>
        <w:fldChar w:fldCharType="end"/>
      </w:r>
    </w:p>
    <w:p w14:paraId="097A22E7">
      <w:pPr>
        <w:pStyle w:val="22"/>
        <w:tabs>
          <w:tab w:val="right" w:leader="dot" w:pos="9354"/>
        </w:tabs>
      </w:pPr>
      <w:r>
        <w:fldChar w:fldCharType="begin"/>
      </w:r>
      <w:r>
        <w:instrText xml:space="preserve"> HYPERLINK \l "_Toc28446" </w:instrText>
      </w:r>
      <w:r>
        <w:fldChar w:fldCharType="separate"/>
      </w:r>
      <w:r>
        <w:rPr>
          <w:rFonts w:ascii="黑体" w:hAnsi="Times New Roman" w:eastAsia="黑体"/>
          <w:spacing w:val="100"/>
        </w:rPr>
        <w:t>附录</w:t>
      </w:r>
      <w:r>
        <w:rPr>
          <w:rFonts w:hint="eastAsia"/>
          <w:spacing w:val="100"/>
        </w:rPr>
        <w:t>E</w:t>
      </w:r>
      <w:r>
        <w:t xml:space="preserve"> </w:t>
      </w:r>
      <w:r>
        <w:rPr>
          <w:rFonts w:hint="eastAsia"/>
        </w:rPr>
        <w:t>（资料性） 降水水位计算与预测</w:t>
      </w:r>
      <w:r>
        <w:tab/>
      </w:r>
      <w:r>
        <w:fldChar w:fldCharType="begin"/>
      </w:r>
      <w:r>
        <w:instrText xml:space="preserve"> PAGEREF _Toc28446 \h </w:instrText>
      </w:r>
      <w:r>
        <w:fldChar w:fldCharType="separate"/>
      </w:r>
      <w:r>
        <w:t>48</w:t>
      </w:r>
      <w:r>
        <w:fldChar w:fldCharType="end"/>
      </w:r>
      <w:r>
        <w:fldChar w:fldCharType="end"/>
      </w:r>
    </w:p>
    <w:p w14:paraId="4C8581E4">
      <w:pPr>
        <w:pStyle w:val="22"/>
        <w:tabs>
          <w:tab w:val="right" w:leader="dot" w:pos="9354"/>
        </w:tabs>
      </w:pPr>
      <w:r>
        <w:fldChar w:fldCharType="begin"/>
      </w:r>
      <w:r>
        <w:instrText xml:space="preserve"> HYPERLINK \l "_Toc6956" </w:instrText>
      </w:r>
      <w:r>
        <w:fldChar w:fldCharType="separate"/>
      </w:r>
      <w:r>
        <w:rPr>
          <w:rFonts w:ascii="黑体" w:hAnsi="Times New Roman" w:eastAsia="黑体"/>
          <w:spacing w:val="100"/>
        </w:rPr>
        <w:t>附录</w:t>
      </w:r>
      <w:r>
        <w:rPr>
          <w:rFonts w:hint="eastAsia"/>
          <w:spacing w:val="100"/>
        </w:rPr>
        <w:t>F</w:t>
      </w:r>
      <w:r>
        <w:t xml:space="preserve"> </w:t>
      </w:r>
      <w:r>
        <w:rPr>
          <w:rFonts w:hint="eastAsia"/>
        </w:rPr>
        <w:t>（规范性） 回灌试验技术要求</w:t>
      </w:r>
      <w:r>
        <w:tab/>
      </w:r>
      <w:r>
        <w:fldChar w:fldCharType="begin"/>
      </w:r>
      <w:r>
        <w:instrText xml:space="preserve"> PAGEREF _Toc6956 \h </w:instrText>
      </w:r>
      <w:r>
        <w:fldChar w:fldCharType="separate"/>
      </w:r>
      <w:r>
        <w:t>51</w:t>
      </w:r>
      <w:r>
        <w:fldChar w:fldCharType="end"/>
      </w:r>
      <w:r>
        <w:fldChar w:fldCharType="end"/>
      </w:r>
    </w:p>
    <w:p w14:paraId="65DDC989">
      <w:pPr>
        <w:pStyle w:val="22"/>
        <w:tabs>
          <w:tab w:val="right" w:leader="dot" w:pos="9354"/>
        </w:tabs>
      </w:pPr>
      <w:r>
        <w:fldChar w:fldCharType="begin"/>
      </w:r>
      <w:r>
        <w:instrText xml:space="preserve"> HYPERLINK \l "_Toc6956" </w:instrText>
      </w:r>
      <w:r>
        <w:fldChar w:fldCharType="separate"/>
      </w:r>
      <w:r>
        <w:rPr>
          <w:rFonts w:ascii="黑体" w:hAnsi="Times New Roman" w:eastAsia="黑体"/>
          <w:spacing w:val="100"/>
        </w:rPr>
        <w:t>附录</w:t>
      </w:r>
      <w:r>
        <w:rPr>
          <w:rFonts w:hint="eastAsia" w:ascii="黑体" w:hAnsi="Times New Roman" w:eastAsia="黑体"/>
          <w:spacing w:val="100"/>
        </w:rPr>
        <w:t>G</w:t>
      </w:r>
      <w:r>
        <w:t xml:space="preserve"> </w:t>
      </w:r>
      <w:r>
        <w:rPr>
          <w:rFonts w:hint="eastAsia"/>
        </w:rPr>
        <w:t>（资料性）湖北省地方标准实施信息及意见反馈表</w:t>
      </w:r>
      <w:r>
        <w:tab/>
      </w:r>
      <w:r>
        <w:fldChar w:fldCharType="begin"/>
      </w:r>
      <w:r>
        <w:instrText xml:space="preserve"> PAGEREF _Toc6956 \h </w:instrText>
      </w:r>
      <w:r>
        <w:fldChar w:fldCharType="separate"/>
      </w:r>
      <w:r>
        <w:t>5</w:t>
      </w:r>
      <w:r>
        <w:rPr>
          <w:rFonts w:hint="eastAsia"/>
        </w:rPr>
        <w:t>2</w:t>
      </w:r>
      <w:r>
        <w:fldChar w:fldCharType="end"/>
      </w:r>
      <w:r>
        <w:fldChar w:fldCharType="end"/>
      </w:r>
    </w:p>
    <w:p w14:paraId="33545F43">
      <w:pPr>
        <w:pStyle w:val="22"/>
        <w:tabs>
          <w:tab w:val="right" w:leader="dot" w:pos="9354"/>
        </w:tabs>
      </w:pPr>
      <w:r>
        <w:fldChar w:fldCharType="begin"/>
      </w:r>
      <w:r>
        <w:instrText xml:space="preserve"> HYPERLINK \l "_Toc32019" </w:instrText>
      </w:r>
      <w:r>
        <w:fldChar w:fldCharType="separate"/>
      </w:r>
      <w:r>
        <w:rPr>
          <w:rFonts w:hint="eastAsia" w:ascii="黑体" w:hAnsi="黑体" w:eastAsia="黑体" w:cs="黑体"/>
          <w:szCs w:val="36"/>
        </w:rPr>
        <w:t>条</w:t>
      </w:r>
      <w:r>
        <w:rPr>
          <w:rFonts w:ascii="Cambria Math" w:hAnsi="Cambria Math" w:eastAsia="黑体" w:cs="Cambria Math"/>
          <w:szCs w:val="36"/>
        </w:rPr>
        <w:t> </w:t>
      </w:r>
      <w:r>
        <w:rPr>
          <w:rFonts w:hint="eastAsia" w:ascii="黑体" w:hAnsi="黑体" w:eastAsia="黑体" w:cs="黑体"/>
          <w:szCs w:val="36"/>
        </w:rPr>
        <w:t>文</w:t>
      </w:r>
      <w:r>
        <w:rPr>
          <w:rFonts w:ascii="Cambria Math" w:hAnsi="Cambria Math" w:eastAsia="黑体" w:cs="Cambria Math"/>
          <w:szCs w:val="36"/>
        </w:rPr>
        <w:t> </w:t>
      </w:r>
      <w:r>
        <w:rPr>
          <w:rFonts w:hint="eastAsia" w:ascii="黑体" w:hAnsi="黑体" w:eastAsia="黑体" w:cs="黑体"/>
          <w:szCs w:val="36"/>
        </w:rPr>
        <w:t>说</w:t>
      </w:r>
      <w:r>
        <w:rPr>
          <w:rFonts w:ascii="Cambria Math" w:hAnsi="Cambria Math" w:eastAsia="黑体" w:cs="Cambria Math"/>
          <w:szCs w:val="36"/>
        </w:rPr>
        <w:t> </w:t>
      </w:r>
      <w:r>
        <w:rPr>
          <w:rFonts w:hint="eastAsia" w:ascii="黑体" w:hAnsi="黑体" w:eastAsia="黑体" w:cs="黑体"/>
          <w:szCs w:val="36"/>
        </w:rPr>
        <w:t>明</w:t>
      </w:r>
      <w:r>
        <w:tab/>
      </w:r>
      <w:r>
        <w:fldChar w:fldCharType="begin"/>
      </w:r>
      <w:r>
        <w:instrText xml:space="preserve"> PAGEREF _Toc32019 \h </w:instrText>
      </w:r>
      <w:r>
        <w:fldChar w:fldCharType="separate"/>
      </w:r>
      <w:r>
        <w:t>53</w:t>
      </w:r>
      <w:r>
        <w:fldChar w:fldCharType="end"/>
      </w:r>
      <w:r>
        <w:fldChar w:fldCharType="end"/>
      </w:r>
    </w:p>
    <w:p w14:paraId="65F3E6DE">
      <w:pPr>
        <w:pStyle w:val="99"/>
        <w:spacing w:after="468"/>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0"/>
    <w:p w14:paraId="37EDEE7F">
      <w:pPr>
        <w:pStyle w:val="97"/>
        <w:spacing w:after="468"/>
        <w:ind w:left="0" w:firstLine="0"/>
      </w:pPr>
      <w:bookmarkStart w:id="2" w:name="_Toc19449"/>
      <w:bookmarkStart w:id="3" w:name="BookMark2"/>
      <w:r>
        <w:rPr>
          <w:rFonts w:hint="eastAsia"/>
        </w:rPr>
        <w:t xml:space="preserve">前    </w:t>
      </w:r>
      <w:r>
        <w:t>言</w:t>
      </w:r>
      <w:bookmarkEnd w:id="1"/>
      <w:bookmarkEnd w:id="2"/>
    </w:p>
    <w:p w14:paraId="3CE0B43E">
      <w:pPr>
        <w:pStyle w:val="64"/>
        <w:ind w:firstLine="420"/>
      </w:pPr>
      <w:r>
        <w:rPr>
          <w:rFonts w:hint="eastAsia"/>
        </w:rPr>
        <w:t>本文件按照GB/T 1.1—2020《标准化工作导则   第1部分：标准化文件的结构和起草规则》的规定起草。</w:t>
      </w:r>
    </w:p>
    <w:p w14:paraId="2CC71FBD">
      <w:pPr>
        <w:pStyle w:val="64"/>
        <w:ind w:firstLine="420"/>
      </w:pPr>
      <w:r>
        <w:rPr>
          <w:rFonts w:hint="eastAsia"/>
        </w:rPr>
        <w:t>请注意本文件的某些内容可能涉及专利。本文件的发布机构不承担识别专利的责任。</w:t>
      </w:r>
    </w:p>
    <w:p w14:paraId="75B1A15A">
      <w:pPr>
        <w:pStyle w:val="64"/>
        <w:ind w:firstLine="420"/>
      </w:pPr>
      <w:r>
        <w:rPr>
          <w:rFonts w:hint="eastAsia"/>
        </w:rPr>
        <w:t>本文件由湖北省住房和城乡建设厅提出并归口管理。</w:t>
      </w:r>
    </w:p>
    <w:p w14:paraId="0E2C683D">
      <w:pPr>
        <w:pStyle w:val="64"/>
        <w:ind w:firstLine="420"/>
      </w:pPr>
      <w:r>
        <w:rPr>
          <w:rFonts w:hint="eastAsia"/>
        </w:rPr>
        <w:t>本文件起草单位：武汉市市政建设集团有限公司、武汉丰达地质工程有限公司、湖北省水文地质工程地质勘察院有限公司、武汉市勘察设计有限公司、武汉正洪岩土工程有限公司、中国地质大学（武汉）、中国煤炭科工集团武汉设计研究院有限公司、中南勘察设计院集团有限公司、武汉市政工程设计研究院有限责任公司、中南建筑设计院股份有限公司、中国市政工程中南设计研究总院有限公司、中冶武勘工程技术有限公司、中机三勘岩土工程有限公司、中南勘察基础工程有限公司、中信建设有限责任公司、武汉华中岩土工程有限责任公司、武汉地质勘察基础工程有限公司、湖北地矿建设勘察有限公司、襄阳地质工程勘察院有限责任公司、湖北鄂西地质设计有限公司、荆州市勘察设计协会、武汉市昌厦基础工程有限责任公司、中铁十一局集团有限公司、湖北道泽岩土工程有限公司、武汉市市政工程机械化施工有限公司、武汉浅层工程技术有限公司。</w:t>
      </w:r>
    </w:p>
    <w:p w14:paraId="1B703113">
      <w:pPr>
        <w:pStyle w:val="64"/>
        <w:ind w:firstLine="420"/>
      </w:pPr>
      <w:r>
        <w:rPr>
          <w:rFonts w:hint="eastAsia"/>
        </w:rPr>
        <w:t>本文件起草人：冯晓腊、肖铭钊、徐杨青、黄祥国、李智民、施木俊、刘佑祥、危正平、张杰青、陈义平、和礼红、</w:t>
      </w:r>
      <w:bookmarkEnd w:id="3"/>
      <w:bookmarkStart w:id="4" w:name="BookMark4"/>
      <w:r>
        <w:t>阎波</w:t>
      </w:r>
      <w:r>
        <w:rPr>
          <w:rFonts w:hint="eastAsia"/>
        </w:rPr>
        <w:t>、庞建成、晏绍新、丁洪元、马郧、张旭东、谢武军、金新峰、</w:t>
      </w:r>
      <w:r>
        <w:t>李栋广</w:t>
      </w:r>
      <w:r>
        <w:rPr>
          <w:rFonts w:hint="eastAsia"/>
        </w:rPr>
        <w:t>、黄超群、刘律、马昌慧、胡文惠、郭建波、閤超、肖道平、李凌、何宏伟、吴罡、程康、谢昭宇、李天祥、周明林、王戈、刘艳敏、陈律、熊宗海、蔡足根、代昂、徐丹、刘秀珍、赵鹏飞、王泽希、胡科、卢吉、陈斌、胡励耘、钟显辉、贺浩、杨明、李立峰、牛岩、董龙彬、曹芳、肖舟、唐达昆、王元清、张红章、周方伟、刘培林、祁海、黄栋</w:t>
      </w:r>
    </w:p>
    <w:p w14:paraId="28CE4808">
      <w:pPr>
        <w:pStyle w:val="64"/>
        <w:ind w:firstLine="420"/>
        <w:rPr>
          <w:color w:val="0000FF"/>
        </w:rPr>
        <w:sectPr>
          <w:footerReference r:id="rId15" w:type="default"/>
          <w:footerReference r:id="rId16" w:type="even"/>
          <w:pgSz w:w="11906" w:h="16838"/>
          <w:pgMar w:top="1928" w:right="1134" w:bottom="1134" w:left="1134" w:header="1361" w:footer="1077" w:gutter="284"/>
          <w:pgNumType w:fmt="upperRoman"/>
          <w:cols w:space="425" w:num="1"/>
          <w:formProt w:val="0"/>
          <w:docGrid w:type="lines" w:linePitch="312" w:charSpace="0"/>
        </w:sectPr>
      </w:pPr>
      <w:r>
        <w:rPr>
          <w:rFonts w:hint="eastAsia"/>
        </w:rPr>
        <w:t>本文件实施应用中的疑问，可咨询湖北省住房和城乡建设厅，联系电话：027-68873088，邮箱：@qq.com。在执行过程中如有意见和建议，请邮寄武汉丰达地质工程有限公司，地址：</w:t>
      </w:r>
      <w:r>
        <w:rPr>
          <w:color w:val="0000FF"/>
        </w:rPr>
        <w:t xml:space="preserve"> </w:t>
      </w:r>
    </w:p>
    <w:sdt>
      <w:sdtPr>
        <w:tag w:val="NEW_STAND_NAME"/>
        <w:id w:val="595910757"/>
        <w:lock w:val="sdtLocked"/>
        <w:placeholder>
          <w:docPart w:val="EE270FE93A2F4319828ECE77788D8805"/>
        </w:placeholder>
      </w:sdtPr>
      <w:sdtContent>
        <w:p w14:paraId="3DEE2F9D">
          <w:pPr>
            <w:pStyle w:val="185"/>
            <w:spacing w:before="624" w:beforeLines="200" w:after="686" w:afterLines="220" w:line="240" w:lineRule="auto"/>
            <w:rPr>
              <w:rFonts w:hint="eastAsia"/>
            </w:rPr>
          </w:pPr>
          <w:bookmarkStart w:id="5" w:name="NEW_STAND_NAME"/>
          <w:r>
            <w:rPr>
              <w:rFonts w:hint="eastAsia"/>
            </w:rPr>
            <w:t>建筑与市政工程基坑地下水控制技术规程</w:t>
          </w:r>
        </w:p>
      </w:sdtContent>
    </w:sdt>
    <w:bookmarkEnd w:id="5"/>
    <w:p w14:paraId="295BA86F">
      <w:pPr>
        <w:pStyle w:val="112"/>
        <w:spacing w:before="312" w:after="312"/>
      </w:pPr>
      <w:bookmarkStart w:id="6" w:name="_Toc26986771"/>
      <w:bookmarkStart w:id="7" w:name="_Toc24884218"/>
      <w:bookmarkStart w:id="8" w:name="_Toc17233333"/>
      <w:bookmarkStart w:id="9" w:name="_Toc24884211"/>
      <w:bookmarkStart w:id="10" w:name="_Toc26986530"/>
      <w:bookmarkStart w:id="11" w:name="_Toc17233325"/>
      <w:bookmarkStart w:id="12" w:name="_Toc26648465"/>
      <w:bookmarkStart w:id="13" w:name="_Toc97191423"/>
      <w:bookmarkStart w:id="14" w:name="_Toc26718930"/>
      <w:bookmarkStart w:id="15" w:name="_Toc119400639"/>
      <w:bookmarkStart w:id="16" w:name="_Toc13744"/>
      <w:r>
        <w:rPr>
          <w:rFonts w:hint="eastAsia"/>
        </w:rPr>
        <w:t>范围</w:t>
      </w:r>
      <w:bookmarkEnd w:id="6"/>
      <w:bookmarkEnd w:id="7"/>
      <w:bookmarkEnd w:id="8"/>
      <w:bookmarkEnd w:id="9"/>
      <w:bookmarkEnd w:id="10"/>
      <w:bookmarkEnd w:id="11"/>
      <w:bookmarkEnd w:id="12"/>
      <w:bookmarkEnd w:id="13"/>
      <w:bookmarkEnd w:id="14"/>
      <w:bookmarkEnd w:id="15"/>
      <w:bookmarkEnd w:id="16"/>
    </w:p>
    <w:p w14:paraId="129B9347">
      <w:pPr>
        <w:pStyle w:val="64"/>
        <w:ind w:firstLine="420"/>
      </w:pPr>
      <w:bookmarkStart w:id="17" w:name="_Toc24884219"/>
      <w:bookmarkStart w:id="18" w:name="_Toc26648466"/>
      <w:bookmarkStart w:id="19" w:name="_Toc17233334"/>
      <w:bookmarkStart w:id="20" w:name="_Toc17233326"/>
      <w:bookmarkStart w:id="21" w:name="_Toc24884212"/>
      <w:r>
        <w:rPr>
          <w:rFonts w:hint="eastAsia"/>
        </w:rPr>
        <w:t>本文件规定了建筑与市政工程地下水控制技术的基本规定、水文地质勘察、隔渗、降水与集水明排、回灌、检测与监测等内容。</w:t>
      </w:r>
    </w:p>
    <w:p w14:paraId="1BB64FC1">
      <w:pPr>
        <w:pStyle w:val="64"/>
        <w:ind w:firstLine="420"/>
      </w:pPr>
      <w:r>
        <w:rPr>
          <w:rFonts w:hint="eastAsia"/>
        </w:rPr>
        <w:t>本文件适用于湖北省建筑与市政工程的地下水控制。其他工程可参照执行。</w:t>
      </w:r>
    </w:p>
    <w:p w14:paraId="7E22675A">
      <w:pPr>
        <w:pStyle w:val="112"/>
        <w:spacing w:before="312" w:after="312"/>
      </w:pPr>
      <w:bookmarkStart w:id="22" w:name="_Toc26986772"/>
      <w:bookmarkStart w:id="23" w:name="_Toc97191424"/>
      <w:bookmarkStart w:id="24" w:name="_Toc119400640"/>
      <w:bookmarkStart w:id="25" w:name="_Toc16404"/>
      <w:bookmarkStart w:id="26" w:name="_Toc26718931"/>
      <w:bookmarkStart w:id="27" w:name="_Toc26986531"/>
      <w:r>
        <w:rPr>
          <w:rFonts w:hint="eastAsia"/>
        </w:rPr>
        <w:t>规范性引用文件</w:t>
      </w:r>
      <w:bookmarkEnd w:id="17"/>
      <w:bookmarkEnd w:id="18"/>
      <w:bookmarkEnd w:id="19"/>
      <w:bookmarkEnd w:id="20"/>
      <w:bookmarkEnd w:id="21"/>
      <w:bookmarkEnd w:id="22"/>
      <w:bookmarkEnd w:id="23"/>
      <w:bookmarkEnd w:id="24"/>
      <w:bookmarkEnd w:id="25"/>
      <w:bookmarkEnd w:id="26"/>
      <w:bookmarkEnd w:id="27"/>
    </w:p>
    <w:sdt>
      <w:sdtPr>
        <w:rPr>
          <w:rFonts w:hint="eastAsia"/>
        </w:rPr>
        <w:id w:val="715848253"/>
        <w:placeholder>
          <w:docPart w:val="011E3DC2703F46B2A4DDD73AD2693BC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0902DCF">
          <w:pPr>
            <w:pStyle w:val="64"/>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2338009">
      <w:pPr>
        <w:pStyle w:val="64"/>
        <w:ind w:firstLine="420"/>
      </w:pPr>
      <w:r>
        <w:rPr>
          <w:rFonts w:hint="eastAsia"/>
        </w:rPr>
        <w:t>GB 50007  建筑地基基础设计规范</w:t>
      </w:r>
    </w:p>
    <w:p w14:paraId="1B3AC8FE">
      <w:pPr>
        <w:pStyle w:val="64"/>
        <w:ind w:firstLine="420"/>
      </w:pPr>
      <w:r>
        <w:rPr>
          <w:rFonts w:hint="eastAsia"/>
        </w:rPr>
        <w:t>GB 50027  供水水文地质勘察规范</w:t>
      </w:r>
    </w:p>
    <w:p w14:paraId="7EE07E48">
      <w:pPr>
        <w:pStyle w:val="64"/>
        <w:ind w:firstLine="420"/>
      </w:pPr>
      <w:r>
        <w:rPr>
          <w:rFonts w:hint="eastAsia"/>
        </w:rPr>
        <w:t>GB 50202   建筑地基基础工程施工质量验收标准</w:t>
      </w:r>
    </w:p>
    <w:p w14:paraId="6A4C00C2">
      <w:pPr>
        <w:pStyle w:val="64"/>
        <w:ind w:firstLine="420"/>
      </w:pPr>
      <w:r>
        <w:rPr>
          <w:rFonts w:hint="eastAsia"/>
        </w:rPr>
        <w:t>GB 50497   建筑基坑工程监测技术标准</w:t>
      </w:r>
    </w:p>
    <w:p w14:paraId="48CB6370">
      <w:pPr>
        <w:pStyle w:val="64"/>
        <w:ind w:firstLine="420"/>
      </w:pPr>
      <w:r>
        <w:rPr>
          <w:rFonts w:hint="eastAsia"/>
        </w:rPr>
        <w:t>GB 50911   城市轨道交通工程监测技术规范</w:t>
      </w:r>
    </w:p>
    <w:p w14:paraId="5F81190C">
      <w:pPr>
        <w:pStyle w:val="64"/>
        <w:ind w:firstLine="420"/>
      </w:pPr>
      <w:r>
        <w:rPr>
          <w:rFonts w:hint="eastAsia"/>
        </w:rPr>
        <w:t>GB 55034   建筑与市政施工现场安全卫生与职业健康通用规范</w:t>
      </w:r>
    </w:p>
    <w:p w14:paraId="43523F11">
      <w:pPr>
        <w:pStyle w:val="64"/>
        <w:ind w:firstLine="420"/>
      </w:pPr>
      <w:r>
        <w:rPr>
          <w:rFonts w:hint="eastAsia"/>
        </w:rPr>
        <w:t>JGJ 79    建筑地基处理技术规范</w:t>
      </w:r>
    </w:p>
    <w:p w14:paraId="060C1227">
      <w:pPr>
        <w:pStyle w:val="64"/>
        <w:ind w:firstLine="420"/>
      </w:pPr>
      <w:r>
        <w:rPr>
          <w:rFonts w:hint="eastAsia"/>
        </w:rPr>
        <w:t>JGJ 120   建筑基坑支护技术规程</w:t>
      </w:r>
    </w:p>
    <w:p w14:paraId="37DF4247">
      <w:pPr>
        <w:pStyle w:val="64"/>
        <w:ind w:firstLine="420"/>
      </w:pPr>
      <w:r>
        <w:rPr>
          <w:rFonts w:hint="eastAsia"/>
        </w:rPr>
        <w:t>JGJ 311   建筑深基坑工程施工安全技术规范</w:t>
      </w:r>
    </w:p>
    <w:p w14:paraId="02141FAD">
      <w:pPr>
        <w:pStyle w:val="64"/>
        <w:ind w:firstLine="420"/>
      </w:pPr>
      <w:r>
        <w:rPr>
          <w:rFonts w:hint="eastAsia"/>
        </w:rPr>
        <w:t>JGJ/T 87  建筑工程地质勘探与取样技术规程</w:t>
      </w:r>
    </w:p>
    <w:p w14:paraId="31667CE1">
      <w:pPr>
        <w:pStyle w:val="64"/>
        <w:ind w:firstLine="420"/>
      </w:pPr>
      <w:r>
        <w:rPr>
          <w:rFonts w:hint="eastAsia"/>
        </w:rPr>
        <w:t>JGJ/T 199  型钢水泥土搅拌墙技术规程</w:t>
      </w:r>
    </w:p>
    <w:p w14:paraId="643CD261">
      <w:pPr>
        <w:pStyle w:val="64"/>
        <w:ind w:firstLine="420"/>
      </w:pPr>
      <w:r>
        <w:rPr>
          <w:rFonts w:hint="eastAsia"/>
        </w:rPr>
        <w:t>JGJ/T 303   渠式切割水泥土连续墙技术规程</w:t>
      </w:r>
    </w:p>
    <w:p w14:paraId="6C1D5476">
      <w:pPr>
        <w:pStyle w:val="64"/>
        <w:ind w:firstLine="420"/>
      </w:pPr>
      <w:r>
        <w:rPr>
          <w:rFonts w:hint="eastAsia"/>
        </w:rPr>
        <w:t>JGJ/T 396   咬合式排桩技术标准 </w:t>
      </w:r>
    </w:p>
    <w:p w14:paraId="69C7BCCD">
      <w:pPr>
        <w:pStyle w:val="64"/>
        <w:ind w:firstLine="420"/>
      </w:pPr>
      <w:r>
        <w:rPr>
          <w:rFonts w:hint="eastAsia"/>
        </w:rPr>
        <w:t>DB42/T 159   基坑工程技术规程</w:t>
      </w:r>
    </w:p>
    <w:p w14:paraId="4D45BAB4">
      <w:pPr>
        <w:pStyle w:val="64"/>
        <w:ind w:firstLine="420"/>
      </w:pPr>
      <w:r>
        <w:rPr>
          <w:rFonts w:hint="eastAsia"/>
        </w:rPr>
        <w:t>DB42/T 830   基坑管井降水工程技术规程</w:t>
      </w:r>
    </w:p>
    <w:p w14:paraId="5B7A047C">
      <w:pPr>
        <w:pStyle w:val="64"/>
        <w:ind w:firstLine="420"/>
      </w:pPr>
      <w:r>
        <w:rPr>
          <w:rFonts w:hint="eastAsia"/>
        </w:rPr>
        <w:t>DB42/T 1710   工程勘察钻探封孔技术规程</w:t>
      </w:r>
    </w:p>
    <w:p w14:paraId="7A5977D8">
      <w:pPr>
        <w:pStyle w:val="64"/>
        <w:ind w:firstLine="420"/>
      </w:pPr>
      <w:r>
        <w:rPr>
          <w:rFonts w:hint="eastAsia"/>
        </w:rPr>
        <w:t>DB42/T 1774   等厚度水泥土搅拌墙技术规程</w:t>
      </w:r>
    </w:p>
    <w:p w14:paraId="50147694">
      <w:pPr>
        <w:pStyle w:val="64"/>
        <w:ind w:firstLine="420"/>
      </w:pPr>
      <w:r>
        <w:rPr>
          <w:rFonts w:hint="eastAsia"/>
        </w:rPr>
        <w:t>DB42/T 1833   河道管理范围钻孔封孔技术规程</w:t>
      </w:r>
    </w:p>
    <w:p w14:paraId="78319637">
      <w:pPr>
        <w:pStyle w:val="64"/>
        <w:ind w:firstLine="420"/>
      </w:pPr>
      <w:r>
        <w:rPr>
          <w:rFonts w:hint="eastAsia"/>
        </w:rPr>
        <w:t>T/CCES 20   全方位高压喷射注浆技术规程</w:t>
      </w:r>
    </w:p>
    <w:p w14:paraId="51436E54">
      <w:pPr>
        <w:pStyle w:val="112"/>
        <w:keepNext/>
        <w:spacing w:before="312" w:after="312"/>
        <w:sectPr>
          <w:pgSz w:w="11906" w:h="16838"/>
          <w:pgMar w:top="1928" w:right="1134" w:bottom="1134" w:left="1134" w:header="1361" w:footer="1077" w:gutter="284"/>
          <w:pgNumType w:start="1"/>
          <w:cols w:space="425" w:num="1"/>
          <w:formProt w:val="0"/>
          <w:docGrid w:type="lines" w:linePitch="312" w:charSpace="0"/>
        </w:sectPr>
      </w:pPr>
      <w:bookmarkStart w:id="28" w:name="_Toc119400641"/>
      <w:bookmarkStart w:id="29" w:name="_Toc97191425"/>
    </w:p>
    <w:p w14:paraId="71360D50">
      <w:pPr>
        <w:pStyle w:val="112"/>
        <w:keepNext/>
        <w:spacing w:before="312" w:after="312"/>
      </w:pPr>
      <w:bookmarkStart w:id="30" w:name="_Toc31724"/>
      <w:r>
        <w:rPr>
          <w:rFonts w:hint="eastAsia"/>
          <w:szCs w:val="21"/>
        </w:rPr>
        <w:t>术语和定义</w:t>
      </w:r>
      <w:bookmarkEnd w:id="28"/>
      <w:bookmarkEnd w:id="29"/>
      <w:bookmarkEnd w:id="30"/>
    </w:p>
    <w:sdt>
      <w:sdtPr>
        <w:id w:val="-1909835108"/>
        <w:placeholder>
          <w:docPart w:val="1EBC5FA6199D48F682F055C655BD57F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255B0F45">
          <w:pPr>
            <w:pStyle w:val="64"/>
            <w:keepNext/>
            <w:ind w:firstLine="420"/>
          </w:pPr>
          <w:bookmarkStart w:id="31" w:name="_Toc26986532"/>
          <w:bookmarkEnd w:id="31"/>
          <w:r>
            <w:t>下列术语和定义适用于本文件。</w:t>
          </w:r>
        </w:p>
      </w:sdtContent>
    </w:sdt>
    <w:p w14:paraId="0836B56F">
      <w:pPr>
        <w:pStyle w:val="231"/>
        <w:keepNext/>
        <w:ind w:left="420" w:hanging="420" w:hangingChars="200"/>
        <w:rPr>
          <w:rFonts w:hint="eastAsia" w:ascii="黑体" w:hAnsi="黑体" w:eastAsia="黑体"/>
        </w:rPr>
      </w:pPr>
      <w:bookmarkStart w:id="32" w:name="_Toc21484_WPSOffice_Level2"/>
    </w:p>
    <w:p w14:paraId="61E82BE9">
      <w:pPr>
        <w:pStyle w:val="238"/>
        <w:keepNext/>
        <w:numPr>
          <w:ilvl w:val="0"/>
          <w:numId w:val="0"/>
        </w:numPr>
        <w:spacing w:before="0" w:beforeLines="0" w:after="0" w:afterLines="0"/>
        <w:ind w:firstLine="420" w:firstLineChars="200"/>
      </w:pPr>
      <w:bookmarkStart w:id="33" w:name="_Toc26864"/>
      <w:bookmarkStart w:id="34" w:name="_Toc28580"/>
      <w:r>
        <w:rPr>
          <w:rFonts w:hint="eastAsia"/>
        </w:rPr>
        <w:t>基坑工程</w:t>
      </w:r>
      <w:bookmarkEnd w:id="33"/>
      <w:bookmarkEnd w:id="34"/>
      <w:r>
        <w:rPr>
          <w:rFonts w:hint="eastAsia"/>
        </w:rPr>
        <w:t xml:space="preserve"> </w:t>
      </w:r>
      <w:r>
        <w:t xml:space="preserve"> </w:t>
      </w:r>
      <w:r>
        <w:rPr>
          <w:rFonts w:hint="eastAsia"/>
        </w:rPr>
        <w:t>e</w:t>
      </w:r>
      <w:r>
        <w:t xml:space="preserve">xcavation </w:t>
      </w:r>
      <w:r>
        <w:rPr>
          <w:rFonts w:hint="eastAsia"/>
        </w:rPr>
        <w:t>engineering</w:t>
      </w:r>
    </w:p>
    <w:p w14:paraId="1F9E72E5">
      <w:pPr>
        <w:pStyle w:val="238"/>
        <w:numPr>
          <w:ilvl w:val="1"/>
          <w:numId w:val="0"/>
        </w:numPr>
        <w:spacing w:before="0" w:beforeLines="0" w:after="0" w:afterLines="0"/>
        <w:ind w:firstLine="420" w:firstLineChars="200"/>
        <w:rPr>
          <w:rFonts w:hint="eastAsia" w:ascii="宋体" w:hAnsi="宋体" w:eastAsia="宋体" w:cs="宋体"/>
        </w:rPr>
      </w:pPr>
      <w:bookmarkStart w:id="35" w:name="_Toc7898"/>
      <w:bookmarkEnd w:id="35"/>
      <w:bookmarkStart w:id="36" w:name="_Toc26215"/>
      <w:bookmarkEnd w:id="36"/>
      <w:r>
        <w:rPr>
          <w:rFonts w:hint="eastAsia" w:ascii="宋体" w:hAnsi="宋体" w:eastAsia="宋体" w:cs="宋体"/>
        </w:rPr>
        <w:t>为保证地面向下开挖形成的地下空间在下部结构或地下结构施工期间的安全稳定所需的挡土结构、地下水控制、土方开挖与回填及环境监测等各项措施的总称。</w:t>
      </w:r>
    </w:p>
    <w:p w14:paraId="0589A8E4">
      <w:pPr>
        <w:pStyle w:val="231"/>
      </w:pPr>
    </w:p>
    <w:p w14:paraId="6A27246A">
      <w:pPr>
        <w:pStyle w:val="238"/>
        <w:numPr>
          <w:ilvl w:val="0"/>
          <w:numId w:val="0"/>
        </w:numPr>
        <w:spacing w:before="0" w:beforeLines="0" w:after="0" w:afterLines="0"/>
        <w:ind w:firstLine="420" w:firstLineChars="200"/>
      </w:pPr>
      <w:r>
        <w:rPr>
          <w:rFonts w:hint="eastAsia"/>
        </w:rPr>
        <w:t xml:space="preserve">地下水控制 </w:t>
      </w:r>
      <w:r>
        <w:t xml:space="preserve"> </w:t>
      </w:r>
      <w:r>
        <w:rPr>
          <w:rFonts w:hint="eastAsia"/>
        </w:rPr>
        <w:t>groundwater control</w:t>
      </w:r>
    </w:p>
    <w:p w14:paraId="06613F35">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为保证支护结构、基坑开挖、地下结构的正常施工，控制和减少对基坑周边环境产生不利影响而采取的隔渗、降水、排水、回灌等工程措施的统称。</w:t>
      </w:r>
    </w:p>
    <w:p w14:paraId="30DB68AA">
      <w:pPr>
        <w:pStyle w:val="231"/>
        <w:ind w:left="420" w:hanging="420" w:hangingChars="200"/>
      </w:pPr>
    </w:p>
    <w:p w14:paraId="7D3673F2">
      <w:pPr>
        <w:pStyle w:val="238"/>
        <w:numPr>
          <w:ilvl w:val="0"/>
          <w:numId w:val="0"/>
        </w:numPr>
        <w:spacing w:before="0" w:beforeLines="0" w:after="0" w:afterLines="0"/>
        <w:ind w:firstLine="420" w:firstLineChars="200"/>
      </w:pPr>
      <w:r>
        <w:rPr>
          <w:rFonts w:hint="eastAsia"/>
        </w:rPr>
        <w:t xml:space="preserve">突涌 </w:t>
      </w:r>
      <w:r>
        <w:t xml:space="preserve"> </w:t>
      </w:r>
      <w:r>
        <w:rPr>
          <w:rFonts w:hint="eastAsia"/>
        </w:rPr>
        <w:t>abrupt gush</w:t>
      </w:r>
    </w:p>
    <w:p w14:paraId="194FE4B6">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当基坑开挖后，开挖面以下隔水层的自重压力小于下部承压水水头压力时，引起开挖面土体隆起破坏并同时发生喷水涌砂的现象。</w:t>
      </w:r>
    </w:p>
    <w:p w14:paraId="7EFC45D4">
      <w:pPr>
        <w:pStyle w:val="231"/>
        <w:ind w:left="420" w:hanging="420" w:hangingChars="200"/>
      </w:pPr>
    </w:p>
    <w:p w14:paraId="64D09F3C">
      <w:pPr>
        <w:pStyle w:val="238"/>
        <w:numPr>
          <w:ilvl w:val="0"/>
          <w:numId w:val="0"/>
        </w:numPr>
        <w:spacing w:before="0" w:beforeLines="0" w:after="0" w:afterLines="0"/>
        <w:ind w:firstLine="420" w:firstLineChars="200"/>
      </w:pPr>
      <w:r>
        <w:rPr>
          <w:rFonts w:hint="eastAsia"/>
        </w:rPr>
        <w:t xml:space="preserve">流土 </w:t>
      </w:r>
      <w:r>
        <w:t xml:space="preserve"> </w:t>
      </w:r>
      <w:r>
        <w:rPr>
          <w:rFonts w:hint="eastAsia"/>
        </w:rPr>
        <w:t>soil flow</w:t>
      </w:r>
    </w:p>
    <w:p w14:paraId="39E87843">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饱和的松散土体在渗流作用下，当水力坡降（梯度）达到某一临界数值后，产生悬浮流动的现象，主要发生在颗粒较细且级配均匀的粉、细砂或粉土中。</w:t>
      </w:r>
    </w:p>
    <w:p w14:paraId="46143F3B">
      <w:pPr>
        <w:pStyle w:val="231"/>
        <w:ind w:left="420" w:hanging="420" w:hangingChars="200"/>
      </w:pPr>
    </w:p>
    <w:p w14:paraId="4F7C788F">
      <w:pPr>
        <w:pStyle w:val="238"/>
        <w:numPr>
          <w:ilvl w:val="0"/>
          <w:numId w:val="0"/>
        </w:numPr>
        <w:spacing w:before="0" w:beforeLines="0" w:after="0" w:afterLines="0"/>
        <w:ind w:firstLine="420" w:firstLineChars="200"/>
      </w:pPr>
      <w:r>
        <w:rPr>
          <w:rFonts w:hint="eastAsia"/>
        </w:rPr>
        <w:t xml:space="preserve">管涌 </w:t>
      </w:r>
      <w:r>
        <w:t xml:space="preserve"> </w:t>
      </w:r>
      <w:r>
        <w:rPr>
          <w:rFonts w:hint="eastAsia"/>
        </w:rPr>
        <w:t>piping</w:t>
      </w:r>
    </w:p>
    <w:p w14:paraId="4614DE3F">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在渗流力作用下，细小颗粒通过粗大颗粒的孔隙发生移动和被带出，土中的空隙逐渐增大，形成管状渗流通道，从而使土体产生变形、失稳的现象。</w:t>
      </w:r>
    </w:p>
    <w:p w14:paraId="04C072E7">
      <w:pPr>
        <w:pStyle w:val="231"/>
        <w:ind w:left="420" w:hanging="420" w:hangingChars="200"/>
      </w:pPr>
    </w:p>
    <w:p w14:paraId="76D2727A">
      <w:pPr>
        <w:pStyle w:val="238"/>
        <w:numPr>
          <w:ilvl w:val="0"/>
          <w:numId w:val="0"/>
        </w:numPr>
        <w:spacing w:before="0" w:beforeLines="0" w:after="0" w:afterLines="0"/>
        <w:ind w:firstLine="420" w:firstLineChars="200"/>
      </w:pPr>
      <w:r>
        <w:rPr>
          <w:rFonts w:hint="eastAsia"/>
        </w:rPr>
        <w:t xml:space="preserve">隔渗帷幕 </w:t>
      </w:r>
      <w:r>
        <w:t xml:space="preserve"> </w:t>
      </w:r>
      <w:r>
        <w:rPr>
          <w:rFonts w:hint="eastAsia"/>
        </w:rPr>
        <w:t>groundwater cut-off curtain</w:t>
      </w:r>
    </w:p>
    <w:p w14:paraId="7536ADFB">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用以阻隔或减少地下水通过基坑侧壁与坑底进入基坑的幕墙状竖向和水平向截水体。</w:t>
      </w:r>
    </w:p>
    <w:p w14:paraId="784429BE">
      <w:pPr>
        <w:pStyle w:val="231"/>
        <w:ind w:left="420" w:hanging="420" w:hangingChars="200"/>
      </w:pPr>
    </w:p>
    <w:p w14:paraId="3FBEED35">
      <w:pPr>
        <w:pStyle w:val="238"/>
        <w:numPr>
          <w:ilvl w:val="0"/>
          <w:numId w:val="0"/>
        </w:numPr>
        <w:spacing w:before="0" w:beforeLines="0" w:after="0" w:afterLines="0"/>
        <w:ind w:firstLine="420" w:firstLineChars="200"/>
      </w:pPr>
      <w:r>
        <w:rPr>
          <w:rFonts w:hint="eastAsia"/>
        </w:rPr>
        <w:t xml:space="preserve">悬挂式帷幕 </w:t>
      </w:r>
      <w:r>
        <w:t xml:space="preserve"> </w:t>
      </w:r>
      <w:r>
        <w:rPr>
          <w:rFonts w:hint="eastAsia"/>
        </w:rPr>
        <w:t>unclosed curtain for cutting-off drains</w:t>
      </w:r>
    </w:p>
    <w:p w14:paraId="771448EA">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底端位于含水层之中的隔渗帷幕。</w:t>
      </w:r>
    </w:p>
    <w:p w14:paraId="14BBAA02">
      <w:pPr>
        <w:pStyle w:val="231"/>
        <w:ind w:left="420" w:hanging="420" w:hangingChars="200"/>
      </w:pPr>
    </w:p>
    <w:p w14:paraId="597CD5E7">
      <w:pPr>
        <w:pStyle w:val="238"/>
        <w:numPr>
          <w:ilvl w:val="0"/>
          <w:numId w:val="0"/>
        </w:numPr>
        <w:spacing w:before="0" w:beforeLines="0" w:after="0" w:afterLines="0"/>
        <w:ind w:firstLine="420" w:firstLineChars="200"/>
      </w:pPr>
      <w:r>
        <w:rPr>
          <w:rFonts w:hint="eastAsia"/>
        </w:rPr>
        <w:t xml:space="preserve">落底式帷幕 </w:t>
      </w:r>
      <w:r>
        <w:t xml:space="preserve"> </w:t>
      </w:r>
      <w:r>
        <w:rPr>
          <w:rFonts w:hint="eastAsia"/>
        </w:rPr>
        <w:t>closed curtain for cutting-off drains</w:t>
      </w:r>
    </w:p>
    <w:p w14:paraId="3898ED6A">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底端位于相对隔水层一定深度的隔渗帷幕。</w:t>
      </w:r>
    </w:p>
    <w:p w14:paraId="4EEB950F">
      <w:pPr>
        <w:pStyle w:val="231"/>
        <w:keepNext/>
        <w:ind w:left="420" w:hanging="420" w:hangingChars="200"/>
      </w:pPr>
    </w:p>
    <w:p w14:paraId="7908A620">
      <w:pPr>
        <w:pStyle w:val="238"/>
        <w:keepNext/>
        <w:numPr>
          <w:ilvl w:val="0"/>
          <w:numId w:val="0"/>
        </w:numPr>
        <w:spacing w:before="0" w:beforeLines="0" w:after="0" w:afterLines="0"/>
        <w:ind w:firstLine="420" w:firstLineChars="200"/>
      </w:pPr>
      <w:r>
        <w:rPr>
          <w:rFonts w:hint="eastAsia"/>
        </w:rPr>
        <w:t xml:space="preserve">渠式切割水泥土搅拌墙 （TRD） </w:t>
      </w:r>
      <w:r>
        <w:t xml:space="preserve"> </w:t>
      </w:r>
      <w:r>
        <w:rPr>
          <w:rFonts w:hint="eastAsia"/>
        </w:rPr>
        <w:t>trench-cutting re-mixing deep wall</w:t>
      </w:r>
    </w:p>
    <w:p w14:paraId="2FE22422">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通过主机带动竖向插入岩土层的链锯式切割箱横向移动、切割及灌注水泥浆，在槽内进行混合、搅拌、固结形成等厚度水泥土搅拌墙。</w:t>
      </w:r>
    </w:p>
    <w:p w14:paraId="0180177C">
      <w:pPr>
        <w:pStyle w:val="231"/>
        <w:ind w:left="420" w:hanging="420" w:hangingChars="200"/>
      </w:pPr>
    </w:p>
    <w:p w14:paraId="2F90807F">
      <w:pPr>
        <w:pStyle w:val="238"/>
        <w:numPr>
          <w:ilvl w:val="0"/>
          <w:numId w:val="0"/>
        </w:numPr>
        <w:spacing w:before="0" w:beforeLines="0" w:after="0" w:afterLines="0"/>
        <w:ind w:firstLine="420" w:firstLineChars="200"/>
      </w:pPr>
      <w:r>
        <w:rPr>
          <w:rFonts w:hint="eastAsia"/>
        </w:rPr>
        <w:t xml:space="preserve">铣削深搅水泥土搅拌墙 （CSM） </w:t>
      </w:r>
      <w:r>
        <w:t xml:space="preserve"> </w:t>
      </w:r>
      <w:r>
        <w:rPr>
          <w:rFonts w:hint="eastAsia"/>
        </w:rPr>
        <w:t>cutter soil mixing deep wall</w:t>
      </w:r>
    </w:p>
    <w:p w14:paraId="45E01262">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采用铣削式设备，在槽内通过铣轮的钻进、提升、喷浆搅拌、固结形成等厚度水泥土搅拌墙。</w:t>
      </w:r>
    </w:p>
    <w:p w14:paraId="620E7DE6">
      <w:pPr>
        <w:pStyle w:val="231"/>
        <w:ind w:left="420" w:hanging="420" w:hangingChars="200"/>
      </w:pPr>
    </w:p>
    <w:p w14:paraId="402E1A01">
      <w:pPr>
        <w:pStyle w:val="238"/>
        <w:numPr>
          <w:ilvl w:val="0"/>
          <w:numId w:val="0"/>
        </w:numPr>
        <w:spacing w:before="0" w:beforeLines="0" w:after="0" w:afterLines="0"/>
        <w:ind w:firstLine="420" w:firstLineChars="200"/>
      </w:pPr>
      <w:r>
        <w:rPr>
          <w:rFonts w:hint="eastAsia"/>
        </w:rPr>
        <w:t xml:space="preserve">全方位高压喷射注浆 （MJS） </w:t>
      </w:r>
      <w:r>
        <w:t xml:space="preserve"> </w:t>
      </w:r>
      <w:r>
        <w:rPr>
          <w:rFonts w:hint="eastAsia"/>
        </w:rPr>
        <w:t>omnibearing high pressure jet grouting</w:t>
      </w:r>
    </w:p>
    <w:p w14:paraId="137CB211">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利用可多方位施工的高压喷射注浆设备和具有强制排浆、可调控地内压力功能的钻具，通过喷射流切割土体并与土体拌和形成水泥土加固体的方法。</w:t>
      </w:r>
    </w:p>
    <w:p w14:paraId="33C41E33">
      <w:pPr>
        <w:pStyle w:val="231"/>
        <w:keepNext/>
        <w:ind w:left="420" w:hanging="420" w:hangingChars="200"/>
      </w:pPr>
    </w:p>
    <w:p w14:paraId="6129D3A3">
      <w:pPr>
        <w:pStyle w:val="238"/>
        <w:numPr>
          <w:ilvl w:val="0"/>
          <w:numId w:val="0"/>
        </w:numPr>
        <w:spacing w:before="0" w:beforeLines="0" w:after="0" w:afterLines="0"/>
        <w:ind w:firstLine="420"/>
      </w:pPr>
      <w:r>
        <w:rPr>
          <w:rFonts w:hint="eastAsia"/>
        </w:rPr>
        <w:t>冷缝 Cold Joint</w:t>
      </w:r>
    </w:p>
    <w:p w14:paraId="63343829">
      <w:pPr>
        <w:pStyle w:val="238"/>
        <w:numPr>
          <w:ilvl w:val="1"/>
          <w:numId w:val="0"/>
        </w:numPr>
        <w:spacing w:before="0" w:beforeLines="0" w:after="0" w:afterLines="0"/>
        <w:ind w:firstLine="420"/>
        <w:rPr>
          <w:rFonts w:hint="eastAsia" w:ascii="宋体" w:hAnsi="宋体" w:eastAsia="宋体" w:cs="宋体"/>
        </w:rPr>
      </w:pPr>
      <w:r>
        <w:rPr>
          <w:rFonts w:hint="eastAsia" w:ascii="宋体" w:hAnsi="宋体" w:eastAsia="宋体" w:cs="宋体"/>
        </w:rPr>
        <w:t>水泥土类止水帷幕在施工过程中，由于前后两次施工的桩体时间间隔过长，导致后施工的桩体无法与先施工的桩体在水泥初凝前完成有效咬合，从而在两者交界处形成一条潜在的渗水通道。</w:t>
      </w:r>
    </w:p>
    <w:p w14:paraId="083F5C16">
      <w:pPr>
        <w:pStyle w:val="231"/>
        <w:ind w:left="420" w:hanging="420" w:hangingChars="200"/>
      </w:pPr>
    </w:p>
    <w:p w14:paraId="6964B13D">
      <w:pPr>
        <w:pStyle w:val="238"/>
        <w:numPr>
          <w:ilvl w:val="0"/>
          <w:numId w:val="0"/>
        </w:numPr>
        <w:spacing w:before="0" w:beforeLines="0" w:after="0" w:afterLines="0"/>
        <w:ind w:firstLine="420" w:firstLineChars="200"/>
      </w:pPr>
      <w:r>
        <w:rPr>
          <w:rFonts w:hint="eastAsia"/>
        </w:rPr>
        <w:t xml:space="preserve">降水 </w:t>
      </w:r>
      <w:r>
        <w:t xml:space="preserve"> </w:t>
      </w:r>
      <w:r>
        <w:rPr>
          <w:rFonts w:hint="eastAsia"/>
        </w:rPr>
        <w:t>dewatering</w:t>
      </w:r>
    </w:p>
    <w:p w14:paraId="48C6F92B">
      <w:pPr>
        <w:pStyle w:val="238"/>
        <w:numPr>
          <w:ilvl w:val="0"/>
          <w:numId w:val="0"/>
        </w:numPr>
        <w:spacing w:before="0" w:beforeLines="0" w:after="0" w:afterLines="0"/>
        <w:ind w:firstLine="420" w:firstLineChars="200"/>
      </w:pPr>
      <w:r>
        <w:rPr>
          <w:rFonts w:hint="eastAsia" w:ascii="宋体" w:hAnsi="宋体" w:eastAsia="宋体" w:cs="宋体"/>
        </w:rPr>
        <w:t>采用轻型井点、管井等抽排水设施降低地下水位，以防止地下水对基坑支护和土方开挖产生影响，称为降水。基底进入含水层（承压水或潜水）时，将水位降低至基底以下，称为疏干降水；如基底有一定厚度的隔水层，降低后的承压含水层测（压）管水位高于基底，称为减压降水。</w:t>
      </w:r>
    </w:p>
    <w:p w14:paraId="7475A6E9">
      <w:pPr>
        <w:pStyle w:val="231"/>
        <w:ind w:left="420" w:hanging="420" w:hangingChars="200"/>
      </w:pPr>
    </w:p>
    <w:p w14:paraId="6792519B">
      <w:pPr>
        <w:pStyle w:val="238"/>
        <w:numPr>
          <w:ilvl w:val="0"/>
          <w:numId w:val="0"/>
        </w:numPr>
        <w:spacing w:before="0" w:beforeLines="0" w:after="0" w:afterLines="0"/>
        <w:ind w:firstLine="420" w:firstLineChars="200"/>
      </w:pPr>
      <w:r>
        <w:rPr>
          <w:rFonts w:hint="eastAsia"/>
        </w:rPr>
        <w:t xml:space="preserve">轻型井点 </w:t>
      </w:r>
      <w:r>
        <w:t xml:space="preserve"> </w:t>
      </w:r>
      <w:r>
        <w:rPr>
          <w:rFonts w:hint="eastAsia"/>
        </w:rPr>
        <w:t>light well point dewatering</w:t>
      </w:r>
    </w:p>
    <w:p w14:paraId="570AA28F">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沿基坑周围以一定的间距埋入井点管至含水层内，在地面上用水平铺设的集水总管将各井点管连接起来，在一定位置设置真空泵和离心泵，使地下水在真空吸力的作用下经滤管进入井管，然后经集水总管排出，从而降低地下水位的一种降水方法。</w:t>
      </w:r>
    </w:p>
    <w:p w14:paraId="720BE8EF">
      <w:pPr>
        <w:pStyle w:val="231"/>
        <w:ind w:left="420" w:hanging="420" w:hangingChars="200"/>
      </w:pPr>
    </w:p>
    <w:p w14:paraId="2FA671CC">
      <w:pPr>
        <w:pStyle w:val="238"/>
        <w:numPr>
          <w:ilvl w:val="0"/>
          <w:numId w:val="0"/>
        </w:numPr>
        <w:spacing w:before="0" w:beforeLines="0" w:after="0" w:afterLines="0"/>
        <w:ind w:firstLine="420" w:firstLineChars="200"/>
      </w:pPr>
      <w:r>
        <w:rPr>
          <w:rFonts w:hint="eastAsia"/>
        </w:rPr>
        <w:t xml:space="preserve">管井 </w:t>
      </w:r>
      <w:r>
        <w:t xml:space="preserve"> </w:t>
      </w:r>
      <w:r>
        <w:rPr>
          <w:rFonts w:hint="eastAsia"/>
        </w:rPr>
        <w:t>tube well</w:t>
      </w:r>
    </w:p>
    <w:p w14:paraId="5BA455E8">
      <w:pPr>
        <w:pStyle w:val="238"/>
        <w:numPr>
          <w:ilvl w:val="1"/>
          <w:numId w:val="0"/>
        </w:numPr>
        <w:spacing w:before="0" w:beforeLines="0" w:after="0" w:afterLines="0"/>
        <w:ind w:firstLine="420" w:firstLineChars="200"/>
      </w:pPr>
      <w:r>
        <w:rPr>
          <w:rFonts w:hint="eastAsia" w:ascii="宋体" w:hAnsi="宋体" w:eastAsia="宋体" w:cs="宋体"/>
        </w:rPr>
        <w:t>用于按照一定标准抽排或回灌地下水的竖向结构。</w:t>
      </w:r>
    </w:p>
    <w:p w14:paraId="243733B9">
      <w:pPr>
        <w:pStyle w:val="231"/>
        <w:ind w:left="420" w:hanging="420" w:hangingChars="200"/>
      </w:pPr>
    </w:p>
    <w:p w14:paraId="096782B3">
      <w:pPr>
        <w:pStyle w:val="238"/>
        <w:numPr>
          <w:ilvl w:val="0"/>
          <w:numId w:val="0"/>
        </w:numPr>
        <w:spacing w:before="0" w:beforeLines="0" w:after="0" w:afterLines="0"/>
        <w:ind w:firstLine="420" w:firstLineChars="200"/>
      </w:pPr>
      <w:r>
        <w:rPr>
          <w:rFonts w:hint="eastAsia"/>
        </w:rPr>
        <w:t xml:space="preserve">真空管井 </w:t>
      </w:r>
      <w:r>
        <w:t xml:space="preserve"> </w:t>
      </w:r>
      <w:r>
        <w:rPr>
          <w:rFonts w:hint="eastAsia"/>
        </w:rPr>
        <w:t>vacuum tube well</w:t>
      </w:r>
    </w:p>
    <w:p w14:paraId="07CBAD25">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真空管井是在常规管井降水的基础上，增设真空泵等抽气集水系统的一种管井。</w:t>
      </w:r>
    </w:p>
    <w:p w14:paraId="12191825">
      <w:pPr>
        <w:pStyle w:val="231"/>
        <w:keepNext/>
        <w:ind w:left="420" w:hanging="420" w:hangingChars="200"/>
      </w:pPr>
    </w:p>
    <w:p w14:paraId="73B4B9DE">
      <w:pPr>
        <w:pStyle w:val="238"/>
        <w:keepNext/>
        <w:numPr>
          <w:ilvl w:val="0"/>
          <w:numId w:val="0"/>
        </w:numPr>
        <w:spacing w:before="0" w:beforeLines="0" w:after="0" w:afterLines="0"/>
        <w:ind w:firstLine="420" w:firstLineChars="200"/>
      </w:pPr>
      <w:r>
        <w:rPr>
          <w:rFonts w:hint="eastAsia"/>
        </w:rPr>
        <w:t>抽水试验</w:t>
      </w:r>
      <w:r>
        <w:t xml:space="preserve">  </w:t>
      </w:r>
      <w:r>
        <w:rPr>
          <w:rFonts w:hint="eastAsia"/>
        </w:rPr>
        <w:t>pumping test</w:t>
      </w:r>
    </w:p>
    <w:p w14:paraId="08C6B349">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通过管井中抽水和观测，获取含水层水文地质参数的现场试验。</w:t>
      </w:r>
    </w:p>
    <w:p w14:paraId="73105AB8">
      <w:pPr>
        <w:pStyle w:val="231"/>
        <w:keepNext/>
        <w:ind w:left="420" w:hanging="420" w:hangingChars="200"/>
      </w:pPr>
    </w:p>
    <w:p w14:paraId="2E672406">
      <w:pPr>
        <w:pStyle w:val="238"/>
        <w:keepNext/>
        <w:numPr>
          <w:ilvl w:val="0"/>
          <w:numId w:val="0"/>
        </w:numPr>
        <w:spacing w:before="0" w:beforeLines="0" w:after="0" w:afterLines="0"/>
        <w:ind w:firstLine="420" w:firstLineChars="200"/>
      </w:pPr>
      <w:r>
        <w:rPr>
          <w:rFonts w:hint="eastAsia"/>
        </w:rPr>
        <w:t xml:space="preserve">回灌 </w:t>
      </w:r>
      <w:r>
        <w:t xml:space="preserve"> </w:t>
      </w:r>
      <w:r>
        <w:rPr>
          <w:rFonts w:hint="eastAsia"/>
        </w:rPr>
        <w:t>groundwater recharge</w:t>
      </w:r>
    </w:p>
    <w:p w14:paraId="18720BAA">
      <w:pPr>
        <w:pStyle w:val="238"/>
        <w:numPr>
          <w:ilvl w:val="1"/>
          <w:numId w:val="0"/>
        </w:numPr>
        <w:spacing w:before="0" w:beforeLines="0" w:after="0" w:afterLines="0"/>
        <w:ind w:firstLine="420" w:firstLineChars="200"/>
      </w:pPr>
      <w:r>
        <w:rPr>
          <w:rFonts w:hint="eastAsia" w:ascii="宋体" w:hAnsi="宋体" w:eastAsia="宋体" w:cs="宋体"/>
        </w:rPr>
        <w:t>将符合水质要求的水引渗入地下含水层，稳定地下水位，防止地下水位降低使土体固结产生有危害的沉降、不均匀沉降的工程措施。</w:t>
      </w:r>
    </w:p>
    <w:p w14:paraId="273A6943">
      <w:pPr>
        <w:spacing w:line="240" w:lineRule="auto"/>
      </w:pPr>
    </w:p>
    <w:p w14:paraId="28679589">
      <w:pPr>
        <w:pStyle w:val="231"/>
        <w:ind w:left="420" w:hanging="420" w:hangingChars="200"/>
      </w:pPr>
    </w:p>
    <w:p w14:paraId="18748C76">
      <w:pPr>
        <w:pStyle w:val="238"/>
        <w:numPr>
          <w:ilvl w:val="0"/>
          <w:numId w:val="0"/>
        </w:numPr>
        <w:spacing w:before="0" w:beforeLines="0" w:after="0" w:afterLines="0"/>
        <w:ind w:firstLine="420" w:firstLineChars="200"/>
      </w:pPr>
      <w:r>
        <w:rPr>
          <w:rFonts w:hint="eastAsia"/>
        </w:rPr>
        <w:t>回灌目标含水层 recharging layer</w:t>
      </w:r>
    </w:p>
    <w:p w14:paraId="55053541">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回灌工程设计所确定的、接受人工回灌水的特定含水层。</w:t>
      </w:r>
    </w:p>
    <w:p w14:paraId="55984A58">
      <w:pPr>
        <w:pStyle w:val="231"/>
        <w:ind w:left="420" w:hanging="420" w:hangingChars="200"/>
      </w:pPr>
    </w:p>
    <w:p w14:paraId="50D7AB1F">
      <w:pPr>
        <w:pStyle w:val="238"/>
        <w:numPr>
          <w:ilvl w:val="0"/>
          <w:numId w:val="0"/>
        </w:numPr>
        <w:spacing w:before="0" w:beforeLines="0" w:after="0" w:afterLines="0"/>
        <w:ind w:firstLine="420" w:firstLineChars="200"/>
      </w:pPr>
      <w:r>
        <w:rPr>
          <w:rFonts w:hint="eastAsia"/>
        </w:rPr>
        <w:t>回灌控制水位 recharge control water level</w:t>
      </w:r>
    </w:p>
    <w:p w14:paraId="4558B1F7">
      <w:pPr>
        <w:pStyle w:val="238"/>
        <w:numPr>
          <w:ilvl w:val="1"/>
          <w:numId w:val="0"/>
        </w:numPr>
        <w:spacing w:before="0" w:beforeLines="0" w:after="0" w:afterLines="0"/>
        <w:ind w:firstLine="420" w:firstLineChars="200"/>
      </w:pPr>
      <w:r>
        <w:rPr>
          <w:rFonts w:hint="eastAsia" w:ascii="宋体" w:hAnsi="宋体" w:eastAsia="宋体" w:cs="宋体"/>
        </w:rPr>
        <w:t>设计文件规定的，回灌影响区内（保护区内）必须维持的水位限值。</w:t>
      </w:r>
    </w:p>
    <w:p w14:paraId="59633F14">
      <w:pPr>
        <w:pStyle w:val="231"/>
        <w:keepNext/>
        <w:ind w:left="420" w:hanging="420" w:hangingChars="200"/>
      </w:pPr>
    </w:p>
    <w:p w14:paraId="7B6D9C6D">
      <w:pPr>
        <w:pStyle w:val="238"/>
        <w:numPr>
          <w:ilvl w:val="0"/>
          <w:numId w:val="0"/>
        </w:numPr>
        <w:spacing w:before="0" w:beforeLines="0" w:after="0" w:afterLines="0"/>
        <w:ind w:firstLine="420" w:firstLineChars="200"/>
      </w:pPr>
      <w:r>
        <w:rPr>
          <w:rFonts w:hint="eastAsia"/>
        </w:rPr>
        <w:t xml:space="preserve">地下水控制信息化施工 </w:t>
      </w:r>
      <w:r>
        <w:t xml:space="preserve"> </w:t>
      </w:r>
      <w:r>
        <w:rPr>
          <w:rFonts w:hint="eastAsia"/>
        </w:rPr>
        <w:t>informationlized construction of groundwater control</w:t>
      </w:r>
    </w:p>
    <w:p w14:paraId="67C0F49C">
      <w:pPr>
        <w:pStyle w:val="238"/>
        <w:numPr>
          <w:ilvl w:val="1"/>
          <w:numId w:val="0"/>
        </w:numPr>
        <w:spacing w:before="0" w:beforeLines="0" w:after="0" w:afterLines="0"/>
        <w:ind w:firstLine="420" w:firstLineChars="200"/>
        <w:rPr>
          <w:rFonts w:hint="eastAsia" w:ascii="宋体" w:hAnsi="宋体" w:eastAsia="宋体" w:cs="宋体"/>
        </w:rPr>
      </w:pPr>
      <w:r>
        <w:rPr>
          <w:rFonts w:hint="eastAsia" w:ascii="宋体" w:hAnsi="宋体" w:eastAsia="宋体" w:cs="宋体"/>
        </w:rPr>
        <w:t>在降水、回灌、隔渗等地下水控制工程中，实时监测水位、压力、流量、沉降等数据，结合地质条件与周边环境反馈、施工时序等，动态评估安全并及时调整方案的施工方法。</w:t>
      </w:r>
    </w:p>
    <w:bookmarkEnd w:id="32"/>
    <w:p w14:paraId="0CD7A031">
      <w:pPr>
        <w:pStyle w:val="112"/>
        <w:spacing w:before="312" w:after="312"/>
      </w:pPr>
      <w:bookmarkStart w:id="37" w:name="_Toc3271"/>
      <w:r>
        <w:rPr>
          <w:rFonts w:hint="eastAsia"/>
        </w:rPr>
        <w:t>符号</w:t>
      </w:r>
      <w:bookmarkEnd w:id="37"/>
    </w:p>
    <w:p w14:paraId="24BA2750">
      <w:pPr>
        <w:pStyle w:val="113"/>
        <w:spacing w:before="156" w:after="156"/>
      </w:pPr>
      <w:bookmarkStart w:id="38" w:name="_Toc25924"/>
      <w:bookmarkStart w:id="39" w:name="_Toc7905"/>
      <w:bookmarkStart w:id="40" w:name="_Toc8354"/>
      <w:r>
        <w:rPr>
          <w:rFonts w:hint="eastAsia"/>
        </w:rPr>
        <w:t>尺寸参数</w:t>
      </w:r>
      <w:bookmarkEnd w:id="38"/>
    </w:p>
    <w:p w14:paraId="001492FF">
      <w:pPr>
        <w:pStyle w:val="64"/>
        <w:ind w:firstLine="420"/>
        <w:rPr>
          <w:rFonts w:hint="eastAsia" w:hAnsi="宋体" w:cs="宋体"/>
        </w:rPr>
      </w:pPr>
      <w:r>
        <w:rPr>
          <w:rFonts w:hint="eastAsia" w:hAnsi="宋体" w:cs="宋体"/>
          <w:i/>
          <w:iCs/>
        </w:rPr>
        <w:t>r</w:t>
      </w:r>
      <w:r>
        <w:rPr>
          <w:rFonts w:hint="eastAsia" w:hAnsi="宋体" w:cs="宋体"/>
          <w:vertAlign w:val="subscript"/>
        </w:rPr>
        <w:t>o</w:t>
      </w:r>
      <w:r>
        <w:rPr>
          <w:rFonts w:hint="eastAsia" w:hAnsi="宋体" w:cs="宋体"/>
        </w:rPr>
        <w:t>——基坑等效半径，m； </w:t>
      </w:r>
    </w:p>
    <w:p w14:paraId="325F3EF6">
      <w:pPr>
        <w:pStyle w:val="64"/>
        <w:ind w:firstLine="420"/>
        <w:rPr>
          <w:rFonts w:hint="eastAsia" w:hAnsi="宋体" w:cs="宋体"/>
        </w:rPr>
      </w:pPr>
      <w:r>
        <w:rPr>
          <w:rFonts w:hint="eastAsia" w:hAnsi="宋体" w:cs="宋体"/>
          <w:i/>
          <w:iCs/>
        </w:rPr>
        <w:t>H</w:t>
      </w:r>
      <w:r>
        <w:rPr>
          <w:rFonts w:hint="eastAsia" w:hAnsi="宋体" w:cs="宋体"/>
        </w:rPr>
        <w:t>——任意点处隔水底板到降水前静水位的高度，m；</w:t>
      </w:r>
    </w:p>
    <w:p w14:paraId="00D3FDB0">
      <w:pPr>
        <w:pStyle w:val="64"/>
        <w:ind w:firstLine="420"/>
        <w:rPr>
          <w:rFonts w:hint="eastAsia" w:hAnsi="宋体" w:cs="宋体"/>
        </w:rPr>
      </w:pPr>
      <w:r>
        <w:rPr>
          <w:rFonts w:hint="eastAsia" w:hAnsi="宋体" w:cs="宋体"/>
          <w:i/>
          <w:iCs/>
        </w:rPr>
        <w:t>H</w:t>
      </w:r>
      <w:r>
        <w:rPr>
          <w:rFonts w:hint="eastAsia" w:hAnsi="宋体" w:cs="宋体"/>
          <w:i/>
          <w:iCs/>
          <w:vertAlign w:val="subscript"/>
        </w:rPr>
        <w:t>w</w:t>
      </w:r>
      <w:r>
        <w:rPr>
          <w:rFonts w:hint="eastAsia" w:hAnsi="宋体" w:cs="宋体"/>
        </w:rPr>
        <w:t>——承压水水头高度，m；</w:t>
      </w:r>
    </w:p>
    <w:p w14:paraId="1F6440E9">
      <w:pPr>
        <w:pStyle w:val="64"/>
        <w:ind w:firstLine="420"/>
        <w:rPr>
          <w:rFonts w:hint="eastAsia" w:hAnsi="宋体" w:cs="宋体"/>
        </w:rPr>
      </w:pPr>
      <w:r>
        <w:rPr>
          <w:rFonts w:hint="eastAsia" w:hAnsi="宋体" w:cs="宋体"/>
          <w:i/>
          <w:iCs/>
        </w:rPr>
        <w:t>M</w:t>
      </w:r>
      <w:r>
        <w:rPr>
          <w:rFonts w:hint="eastAsia" w:hAnsi="宋体" w:cs="宋体"/>
        </w:rPr>
        <w:t>——含水层厚度，m；</w:t>
      </w:r>
    </w:p>
    <w:p w14:paraId="479AA1A1">
      <w:pPr>
        <w:pStyle w:val="64"/>
        <w:ind w:firstLine="420"/>
        <w:rPr>
          <w:rFonts w:hint="eastAsia" w:hAnsi="宋体" w:cs="宋体"/>
        </w:rPr>
      </w:pPr>
      <w:r>
        <w:rPr>
          <w:rFonts w:hint="eastAsia" w:hAnsi="宋体" w:cs="宋体"/>
          <w:i/>
          <w:iCs/>
        </w:rPr>
        <w:t>s</w:t>
      </w:r>
      <w:r>
        <w:rPr>
          <w:rFonts w:hint="eastAsia" w:hAnsi="宋体" w:cs="宋体"/>
          <w:i/>
          <w:iCs/>
          <w:vertAlign w:val="subscript"/>
        </w:rPr>
        <w:t>w</w:t>
      </w:r>
      <w:r>
        <w:rPr>
          <w:rFonts w:hint="eastAsia" w:hAnsi="宋体" w:cs="宋体"/>
        </w:rPr>
        <w:t>——水位降深（抽水井内），m；</w:t>
      </w:r>
    </w:p>
    <w:p w14:paraId="79E0E788">
      <w:pPr>
        <w:pStyle w:val="64"/>
        <w:ind w:firstLine="420"/>
        <w:rPr>
          <w:rFonts w:hint="eastAsia" w:hAnsi="宋体" w:cs="宋体"/>
        </w:rPr>
      </w:pPr>
      <w:r>
        <w:rPr>
          <w:rFonts w:hint="eastAsia" w:hAnsi="宋体" w:cs="宋体"/>
          <w:i/>
          <w:iCs/>
        </w:rPr>
        <w:t>D</w:t>
      </w:r>
      <w:r>
        <w:rPr>
          <w:rFonts w:hint="eastAsia" w:hAnsi="宋体" w:cs="宋体"/>
        </w:rPr>
        <w:t>——基坑底至承压含水层顶板的距离，m；</w:t>
      </w:r>
    </w:p>
    <w:p w14:paraId="7E95B0B0">
      <w:pPr>
        <w:pStyle w:val="64"/>
        <w:ind w:firstLine="420"/>
        <w:rPr>
          <w:rFonts w:hint="eastAsia" w:hAnsi="宋体" w:cs="宋体"/>
        </w:rPr>
      </w:pPr>
      <w:r>
        <w:rPr>
          <w:rFonts w:hint="eastAsia" w:hAnsi="宋体" w:cs="宋体"/>
          <w:i/>
          <w:iCs/>
        </w:rPr>
        <w:t>L</w:t>
      </w:r>
      <w:r>
        <w:rPr>
          <w:rFonts w:hint="eastAsia" w:hAnsi="宋体" w:cs="宋体"/>
          <w:vertAlign w:val="subscript"/>
        </w:rPr>
        <w:t>2</w:t>
      </w:r>
      <w:r>
        <w:rPr>
          <w:rFonts w:hint="eastAsia" w:hAnsi="宋体" w:cs="宋体"/>
        </w:rPr>
        <w:t>——隔渗帷幕或连续桩、墙插入基坑底以下的深度，m；</w:t>
      </w:r>
    </w:p>
    <w:p w14:paraId="5B56CCF5">
      <w:pPr>
        <w:pStyle w:val="64"/>
        <w:ind w:firstLine="420"/>
        <w:rPr>
          <w:rFonts w:hint="eastAsia" w:hAnsi="宋体" w:cs="宋体"/>
        </w:rPr>
      </w:pPr>
      <w:r>
        <w:rPr>
          <w:rFonts w:hint="eastAsia" w:hAnsi="宋体" w:cs="宋体"/>
          <w:i/>
          <w:iCs/>
        </w:rPr>
        <w:t>L</w:t>
      </w:r>
      <w:r>
        <w:rPr>
          <w:rFonts w:hint="eastAsia" w:hAnsi="宋体" w:cs="宋体"/>
          <w:vertAlign w:val="subscript"/>
        </w:rPr>
        <w:t>1</w:t>
      </w:r>
      <w:r>
        <w:rPr>
          <w:rFonts w:hint="eastAsia" w:hAnsi="宋体" w:cs="宋体"/>
        </w:rPr>
        <w:t>——潜水面或承压含水层顶面至基坑底面的土层厚度，m；</w:t>
      </w:r>
    </w:p>
    <w:p w14:paraId="613BCE47">
      <w:pPr>
        <w:pStyle w:val="64"/>
        <w:ind w:firstLine="420"/>
        <w:rPr>
          <w:rFonts w:hint="eastAsia" w:hAnsi="宋体" w:cs="宋体"/>
        </w:rPr>
      </w:pPr>
      <w:r>
        <w:rPr>
          <w:rFonts w:hint="eastAsia" w:hAnsi="宋体" w:cs="宋体"/>
        </w:rPr>
        <w:t>Δ</w:t>
      </w:r>
      <w:r>
        <w:rPr>
          <w:rFonts w:hint="eastAsia" w:hAnsi="宋体" w:cs="宋体"/>
          <w:i/>
          <w:iCs/>
        </w:rPr>
        <w:t>h</w:t>
      </w:r>
      <w:r>
        <w:rPr>
          <w:rFonts w:hint="eastAsia" w:hAnsi="宋体" w:cs="宋体"/>
        </w:rPr>
        <w:t>——基坑内外的水头，m；</w:t>
      </w:r>
    </w:p>
    <w:p w14:paraId="21761C76">
      <w:pPr>
        <w:pStyle w:val="64"/>
        <w:ind w:firstLine="420"/>
        <w:rPr>
          <w:rFonts w:hint="eastAsia" w:hAnsi="宋体" w:cs="宋体"/>
        </w:rPr>
      </w:pPr>
      <w:r>
        <w:rPr>
          <w:rFonts w:hint="eastAsia" w:hAnsi="宋体" w:cs="宋体"/>
          <w:i/>
          <w:iCs/>
        </w:rPr>
        <w:t>l</w:t>
      </w:r>
      <w:r>
        <w:rPr>
          <w:rFonts w:hint="eastAsia" w:hAnsi="宋体" w:cs="宋体"/>
        </w:rPr>
        <w:t>——过滤器工作部分长度，m ；</w:t>
      </w:r>
    </w:p>
    <w:p w14:paraId="0E33F701">
      <w:pPr>
        <w:pStyle w:val="64"/>
        <w:ind w:firstLine="420"/>
        <w:rPr>
          <w:rFonts w:hint="eastAsia" w:hAnsi="宋体" w:cs="宋体"/>
        </w:rPr>
      </w:pPr>
      <w:r>
        <w:rPr>
          <w:rFonts w:hint="eastAsia" w:hAnsi="宋体" w:cs="宋体"/>
          <w:i/>
          <w:iCs/>
        </w:rPr>
        <w:t>V</w:t>
      </w:r>
      <w:r>
        <w:rPr>
          <w:rFonts w:hint="eastAsia" w:hAnsi="宋体" w:cs="宋体"/>
        </w:rPr>
        <w:t>——基坑内潜水土体的体积，m</w:t>
      </w:r>
      <w:r>
        <w:rPr>
          <w:rFonts w:hint="eastAsia" w:hAnsi="宋体" w:cs="宋体"/>
          <w:vertAlign w:val="superscript"/>
        </w:rPr>
        <w:t>3</w:t>
      </w:r>
      <w:r>
        <w:rPr>
          <w:rFonts w:hint="eastAsia" w:hAnsi="宋体" w:cs="宋体"/>
        </w:rPr>
        <w:t>；</w:t>
      </w:r>
    </w:p>
    <w:p w14:paraId="3A4B3AB5">
      <w:pPr>
        <w:pStyle w:val="64"/>
        <w:ind w:firstLine="420"/>
        <w:rPr>
          <w:rFonts w:hint="eastAsia" w:hAnsi="宋体" w:cs="宋体"/>
        </w:rPr>
      </w:pPr>
      <w:r>
        <w:rPr>
          <w:rFonts w:hint="eastAsia" w:hAnsi="宋体" w:cs="宋体"/>
          <w:i/>
          <w:iCs/>
        </w:rPr>
        <w:t>F</w:t>
      </w:r>
      <w:r>
        <w:rPr>
          <w:rFonts w:hint="eastAsia" w:hAnsi="宋体" w:cs="宋体"/>
        </w:rPr>
        <w:t>——基坑面积，m</w:t>
      </w:r>
      <w:r>
        <w:rPr>
          <w:rFonts w:hint="eastAsia" w:hAnsi="宋体" w:cs="宋体"/>
          <w:vertAlign w:val="superscript"/>
        </w:rPr>
        <w:t>2</w:t>
      </w:r>
      <w:r>
        <w:rPr>
          <w:rFonts w:hint="eastAsia" w:hAnsi="宋体" w:cs="宋体"/>
        </w:rPr>
        <w:t>；</w:t>
      </w:r>
    </w:p>
    <w:p w14:paraId="3585AFD0">
      <w:pPr>
        <w:pStyle w:val="64"/>
        <w:ind w:firstLine="420"/>
        <w:rPr>
          <w:rFonts w:hint="eastAsia" w:hAnsi="宋体" w:cs="宋体"/>
        </w:rPr>
      </w:pPr>
      <w:r>
        <w:rPr>
          <w:rFonts w:hint="eastAsia" w:hAnsi="宋体" w:cs="宋体"/>
          <w:i/>
          <w:iCs/>
        </w:rPr>
        <w:t>M</w:t>
      </w:r>
      <w:r>
        <w:rPr>
          <w:rFonts w:hint="eastAsia" w:hAnsi="宋体" w:cs="宋体"/>
          <w:i/>
          <w:iCs/>
          <w:vertAlign w:val="subscript"/>
        </w:rPr>
        <w:t>R</w:t>
      </w:r>
      <w:r>
        <w:rPr>
          <w:rFonts w:hint="eastAsia" w:hAnsi="宋体" w:cs="宋体"/>
        </w:rPr>
        <w:t>——帷幕底端距含水层底板的距离，m；</w:t>
      </w:r>
    </w:p>
    <w:p w14:paraId="7EA03E01">
      <w:pPr>
        <w:pStyle w:val="64"/>
        <w:ind w:firstLine="420"/>
        <w:rPr>
          <w:rFonts w:hint="eastAsia" w:hAnsi="宋体" w:cs="宋体"/>
        </w:rPr>
      </w:pPr>
      <w:r>
        <w:rPr>
          <w:rFonts w:hint="eastAsia" w:hAnsi="宋体" w:cs="宋体"/>
          <w:i/>
          <w:iCs/>
        </w:rPr>
        <w:t>ω</w:t>
      </w:r>
      <w:r>
        <w:rPr>
          <w:rFonts w:hint="eastAsia" w:hAnsi="宋体" w:cs="宋体"/>
        </w:rPr>
        <w:t>——帷幕厚度，m；</w:t>
      </w:r>
    </w:p>
    <w:p w14:paraId="74CF6225">
      <w:pPr>
        <w:pStyle w:val="64"/>
        <w:ind w:firstLine="420"/>
        <w:rPr>
          <w:rFonts w:hint="eastAsia" w:hAnsi="宋体" w:cs="宋体"/>
        </w:rPr>
      </w:pPr>
      <w:r>
        <w:rPr>
          <w:rFonts w:hint="eastAsia" w:hAnsi="宋体" w:cs="宋体"/>
          <w:i/>
          <w:iCs/>
        </w:rPr>
        <w:t>S</w:t>
      </w:r>
      <w:r>
        <w:rPr>
          <w:rFonts w:hint="eastAsia" w:hAnsi="宋体" w:cs="宋体"/>
          <w:i/>
          <w:iCs/>
          <w:vertAlign w:val="subscript"/>
        </w:rPr>
        <w:t>d</w:t>
      </w:r>
      <w:r>
        <w:rPr>
          <w:rFonts w:hint="eastAsia" w:hAnsi="宋体" w:cs="宋体"/>
        </w:rPr>
        <w:t>——目标水位距含水层底板的距离，m；</w:t>
      </w:r>
    </w:p>
    <w:p w14:paraId="10D46C4E">
      <w:pPr>
        <w:pStyle w:val="64"/>
        <w:ind w:firstLine="420"/>
        <w:rPr>
          <w:rFonts w:hint="eastAsia" w:hAnsi="宋体" w:cs="宋体"/>
        </w:rPr>
      </w:pPr>
      <w:r>
        <w:rPr>
          <w:rFonts w:hint="eastAsia" w:hAnsi="宋体" w:cs="宋体"/>
          <w:i/>
          <w:iCs/>
        </w:rPr>
        <w:t>q</w:t>
      </w:r>
      <w:r>
        <w:rPr>
          <w:rFonts w:hint="eastAsia" w:hAnsi="宋体" w:cs="宋体"/>
          <w:vertAlign w:val="subscript"/>
        </w:rPr>
        <w:t>0</w:t>
      </w:r>
      <w:r>
        <w:rPr>
          <w:rFonts w:hint="eastAsia" w:hAnsi="宋体" w:cs="宋体"/>
        </w:rPr>
        <w:t>——单井出水能力，m</w:t>
      </w:r>
      <w:r>
        <w:rPr>
          <w:rFonts w:hint="eastAsia" w:hAnsi="宋体" w:cs="宋体"/>
          <w:vertAlign w:val="superscript"/>
        </w:rPr>
        <w:t>3</w:t>
      </w:r>
      <w:r>
        <w:rPr>
          <w:rFonts w:hint="eastAsia" w:hAnsi="宋体" w:cs="宋体"/>
        </w:rPr>
        <w:t>/d；</w:t>
      </w:r>
    </w:p>
    <w:p w14:paraId="60F5E56D">
      <w:pPr>
        <w:pStyle w:val="64"/>
        <w:ind w:firstLine="420"/>
        <w:rPr>
          <w:rFonts w:hint="eastAsia" w:hAnsi="宋体" w:cs="宋体"/>
        </w:rPr>
      </w:pPr>
      <w:r>
        <w:rPr>
          <w:rFonts w:hint="eastAsia" w:hAnsi="宋体" w:cs="宋体"/>
          <w:i/>
          <w:iCs/>
        </w:rPr>
        <w:t>q</w:t>
      </w:r>
      <w:r>
        <w:rPr>
          <w:rFonts w:hint="eastAsia" w:hAnsi="宋体" w:cs="宋体"/>
        </w:rPr>
        <w:t>——设计单井出水量，m</w:t>
      </w:r>
      <w:r>
        <w:rPr>
          <w:rFonts w:hint="eastAsia" w:hAnsi="宋体" w:cs="宋体"/>
          <w:vertAlign w:val="superscript"/>
        </w:rPr>
        <w:t>3</w:t>
      </w:r>
      <w:r>
        <w:rPr>
          <w:rFonts w:hint="eastAsia" w:hAnsi="宋体" w:cs="宋体"/>
        </w:rPr>
        <w:t>/d；</w:t>
      </w:r>
    </w:p>
    <w:p w14:paraId="248D3C58">
      <w:pPr>
        <w:pStyle w:val="64"/>
        <w:ind w:firstLine="420"/>
        <w:rPr>
          <w:rFonts w:hint="eastAsia" w:hAnsi="宋体" w:cs="宋体"/>
        </w:rPr>
      </w:pPr>
      <w:r>
        <w:rPr>
          <w:rFonts w:hint="eastAsia" w:hAnsi="宋体" w:cs="宋体"/>
        </w:rPr>
        <w:t>Δ</w:t>
      </w:r>
      <w:r>
        <w:rPr>
          <w:rFonts w:hint="eastAsia" w:hAnsi="宋体" w:cs="宋体"/>
          <w:i/>
          <w:iCs/>
        </w:rPr>
        <w:t>S</w:t>
      </w:r>
      <w:r>
        <w:rPr>
          <w:rFonts w:hint="eastAsia" w:hAnsi="宋体" w:cs="宋体"/>
          <w:i/>
          <w:iCs/>
          <w:vertAlign w:val="subscript"/>
        </w:rPr>
        <w:t>W</w:t>
      </w:r>
      <w:r>
        <w:rPr>
          <w:rFonts w:hint="eastAsia" w:hAnsi="宋体" w:cs="宋体"/>
        </w:rPr>
        <w:t>——水位下降引起的地面沉降量，cm；</w:t>
      </w:r>
    </w:p>
    <w:p w14:paraId="2B10BCB8">
      <w:pPr>
        <w:pStyle w:val="64"/>
        <w:ind w:firstLine="420"/>
        <w:rPr>
          <w:rFonts w:hint="eastAsia" w:hAnsi="宋体" w:cs="宋体"/>
        </w:rPr>
      </w:pPr>
      <w:r>
        <w:rPr>
          <w:rFonts w:hint="eastAsia" w:hAnsi="宋体" w:cs="宋体"/>
          <w:i/>
          <w:iCs/>
        </w:rPr>
        <w:t>бw</w:t>
      </w:r>
      <w:r>
        <w:rPr>
          <w:rFonts w:hint="eastAsia" w:hAnsi="宋体" w:cs="宋体"/>
          <w:i/>
          <w:iCs/>
          <w:vertAlign w:val="subscript"/>
        </w:rPr>
        <w:t>i</w:t>
      </w:r>
      <w:r>
        <w:rPr>
          <w:rFonts w:hint="eastAsia" w:hAnsi="宋体" w:cs="宋体"/>
        </w:rPr>
        <w:t>——水位下降引起的各计算分层有效应力增量，kPa；</w:t>
      </w:r>
    </w:p>
    <w:p w14:paraId="63DB5E44">
      <w:pPr>
        <w:pStyle w:val="64"/>
        <w:ind w:firstLine="420"/>
        <w:rPr>
          <w:rFonts w:hint="eastAsia" w:hAnsi="宋体" w:cs="宋体"/>
        </w:rPr>
      </w:pPr>
      <w:r>
        <w:rPr>
          <w:rFonts w:hint="eastAsia" w:hAnsi="宋体" w:cs="宋体"/>
        </w:rPr>
        <w:t>Δ</w:t>
      </w:r>
      <w:r>
        <w:rPr>
          <w:rFonts w:hint="eastAsia" w:hAnsi="宋体" w:cs="宋体"/>
          <w:i/>
          <w:iCs/>
        </w:rPr>
        <w:t>h</w:t>
      </w:r>
      <w:r>
        <w:rPr>
          <w:rFonts w:hint="eastAsia" w:hAnsi="宋体" w:cs="宋体"/>
          <w:i/>
          <w:iCs/>
          <w:vertAlign w:val="subscript"/>
        </w:rPr>
        <w:t>i</w:t>
      </w:r>
      <w:r>
        <w:rPr>
          <w:rFonts w:hint="eastAsia" w:hAnsi="宋体" w:cs="宋体"/>
        </w:rPr>
        <w:t>——受降水影响地层的各计算分层厚度，cm；</w:t>
      </w:r>
    </w:p>
    <w:p w14:paraId="7B85629D">
      <w:pPr>
        <w:pStyle w:val="64"/>
        <w:ind w:firstLine="420"/>
        <w:rPr>
          <w:rFonts w:hint="eastAsia" w:hAnsi="宋体" w:cs="宋体"/>
        </w:rPr>
      </w:pPr>
      <w:r>
        <w:rPr>
          <w:rFonts w:hint="eastAsia" w:hAnsi="宋体" w:cs="宋体"/>
          <w:i/>
          <w:iCs/>
        </w:rPr>
        <w:t>Es</w:t>
      </w:r>
      <w:r>
        <w:rPr>
          <w:rFonts w:hint="eastAsia" w:hAnsi="宋体" w:cs="宋体"/>
          <w:i/>
          <w:iCs/>
          <w:vertAlign w:val="subscript"/>
        </w:rPr>
        <w:t>i</w:t>
      </w:r>
      <w:r>
        <w:rPr>
          <w:rFonts w:hint="eastAsia" w:hAnsi="宋体" w:cs="宋体"/>
        </w:rPr>
        <w:t>——第i层土的压缩模量，kPa；</w:t>
      </w:r>
    </w:p>
    <w:p w14:paraId="3722779E">
      <w:pPr>
        <w:pStyle w:val="64"/>
        <w:ind w:firstLine="420"/>
        <w:rPr>
          <w:rFonts w:hint="eastAsia" w:hAnsi="宋体" w:cs="宋体"/>
        </w:rPr>
      </w:pPr>
      <w:r>
        <w:rPr>
          <w:rFonts w:hint="eastAsia" w:hAnsi="宋体" w:cs="宋体"/>
          <w:i/>
          <w:iCs/>
        </w:rPr>
        <w:t>Q</w:t>
      </w:r>
      <w:r>
        <w:rPr>
          <w:rFonts w:hint="eastAsia" w:hAnsi="宋体" w:cs="宋体"/>
          <w:i/>
          <w:iCs/>
          <w:vertAlign w:val="subscript"/>
        </w:rPr>
        <w:t>p</w:t>
      </w:r>
      <w:r>
        <w:rPr>
          <w:rFonts w:hint="eastAsia" w:hAnsi="宋体" w:cs="宋体"/>
        </w:rPr>
        <w:t>——排水沟的设计流量，m</w:t>
      </w:r>
      <w:r>
        <w:rPr>
          <w:rFonts w:hint="eastAsia" w:hAnsi="宋体" w:cs="宋体"/>
          <w:vertAlign w:val="superscript"/>
        </w:rPr>
        <w:t>3</w:t>
      </w:r>
      <w:r>
        <w:rPr>
          <w:rFonts w:hint="eastAsia" w:hAnsi="宋体" w:cs="宋体"/>
        </w:rPr>
        <w:t>/d；</w:t>
      </w:r>
    </w:p>
    <w:p w14:paraId="22FDA11E">
      <w:pPr>
        <w:pStyle w:val="64"/>
        <w:ind w:firstLine="420"/>
        <w:rPr>
          <w:rFonts w:hint="eastAsia" w:hAnsi="宋体" w:cs="宋体"/>
        </w:rPr>
      </w:pPr>
      <w:r>
        <w:rPr>
          <w:rFonts w:hint="eastAsia" w:hAnsi="宋体" w:cs="宋体"/>
          <w:i/>
          <w:iCs/>
        </w:rPr>
        <w:t>V</w:t>
      </w:r>
      <w:r>
        <w:rPr>
          <w:rFonts w:hint="eastAsia" w:hAnsi="宋体" w:cs="宋体"/>
          <w:i/>
          <w:iCs/>
          <w:vertAlign w:val="subscript"/>
        </w:rPr>
        <w:t>P</w:t>
      </w:r>
      <w:r>
        <w:rPr>
          <w:rFonts w:hint="eastAsia" w:hAnsi="宋体" w:cs="宋体"/>
        </w:rPr>
        <w:t>——排水沟的排水能力，m</w:t>
      </w:r>
      <w:r>
        <w:rPr>
          <w:rFonts w:hint="eastAsia" w:hAnsi="宋体" w:cs="宋体"/>
          <w:vertAlign w:val="superscript"/>
        </w:rPr>
        <w:t>3</w:t>
      </w:r>
      <w:r>
        <w:rPr>
          <w:rFonts w:hint="eastAsia" w:hAnsi="宋体" w:cs="宋体"/>
        </w:rPr>
        <w:t>/d；</w:t>
      </w:r>
    </w:p>
    <w:p w14:paraId="17A2E2B7">
      <w:pPr>
        <w:pStyle w:val="64"/>
        <w:ind w:firstLine="420"/>
        <w:rPr>
          <w:rFonts w:hint="eastAsia" w:hAnsi="宋体" w:cs="宋体"/>
        </w:rPr>
      </w:pPr>
      <w:r>
        <w:rPr>
          <w:rFonts w:hint="eastAsia" w:hAnsi="宋体" w:cs="宋体"/>
          <w:i/>
          <w:iCs/>
        </w:rPr>
        <w:t>Q</w:t>
      </w:r>
      <w:r>
        <w:rPr>
          <w:rFonts w:hint="eastAsia" w:hAnsi="宋体" w:cs="宋体"/>
          <w:i/>
          <w:iCs/>
          <w:vertAlign w:val="superscript"/>
        </w:rPr>
        <w:t>*</w:t>
      </w:r>
      <w:r>
        <w:rPr>
          <w:rFonts w:hint="eastAsia" w:hAnsi="宋体" w:cs="宋体"/>
        </w:rPr>
        <w:t>——允许回灌压力P对应的单井回灌量，m</w:t>
      </w:r>
      <w:r>
        <w:rPr>
          <w:rFonts w:hint="eastAsia" w:hAnsi="宋体" w:cs="宋体"/>
          <w:vertAlign w:val="superscript"/>
        </w:rPr>
        <w:t>3</w:t>
      </w:r>
      <w:r>
        <w:rPr>
          <w:rFonts w:hint="eastAsia" w:hAnsi="宋体" w:cs="宋体"/>
        </w:rPr>
        <w:t>/d；</w:t>
      </w:r>
    </w:p>
    <w:p w14:paraId="102F70EB">
      <w:pPr>
        <w:pStyle w:val="64"/>
        <w:ind w:firstLine="420"/>
        <w:rPr>
          <w:rFonts w:hint="eastAsia" w:hAnsi="宋体" w:cs="宋体"/>
        </w:rPr>
      </w:pPr>
      <w:r>
        <w:rPr>
          <w:rFonts w:hint="eastAsia" w:hAnsi="宋体" w:cs="宋体"/>
          <w:i/>
          <w:iCs/>
        </w:rPr>
        <w:t>S</w:t>
      </w:r>
      <w:r>
        <w:rPr>
          <w:rFonts w:hint="eastAsia" w:hAnsi="宋体" w:cs="宋体"/>
          <w:i/>
          <w:iCs/>
          <w:vertAlign w:val="superscript"/>
        </w:rPr>
        <w:t>*</w:t>
      </w:r>
      <w:r>
        <w:rPr>
          <w:rFonts w:hint="eastAsia" w:hAnsi="宋体" w:cs="宋体"/>
        </w:rPr>
        <w:t>——水位抬升值，m；</w:t>
      </w:r>
    </w:p>
    <w:p w14:paraId="62382853">
      <w:pPr>
        <w:pStyle w:val="64"/>
        <w:ind w:firstLine="420"/>
        <w:rPr>
          <w:rFonts w:hint="eastAsia" w:hAnsi="宋体" w:cs="宋体"/>
        </w:rPr>
      </w:pPr>
      <w:r>
        <w:rPr>
          <w:rFonts w:hint="eastAsia" w:hAnsi="宋体" w:cs="宋体"/>
          <w:i/>
          <w:iCs/>
        </w:rPr>
        <w:t>r</w:t>
      </w:r>
      <w:r>
        <w:rPr>
          <w:rFonts w:hint="eastAsia" w:hAnsi="宋体" w:cs="宋体"/>
          <w:i/>
          <w:iCs/>
          <w:vertAlign w:val="superscript"/>
        </w:rPr>
        <w:t>*</w:t>
      </w:r>
      <w:r>
        <w:rPr>
          <w:rFonts w:hint="eastAsia" w:hAnsi="宋体" w:cs="宋体"/>
        </w:rPr>
        <w:t>——回灌管井至计算点的距离，m；</w:t>
      </w:r>
    </w:p>
    <w:p w14:paraId="5223823F">
      <w:pPr>
        <w:pStyle w:val="64"/>
        <w:ind w:firstLine="420"/>
        <w:rPr>
          <w:rFonts w:hint="eastAsia" w:hAnsi="宋体" w:cs="宋体"/>
        </w:rPr>
      </w:pPr>
      <w:r>
        <w:rPr>
          <w:rFonts w:hint="eastAsia" w:hAnsi="宋体" w:cs="宋体"/>
          <w:i/>
          <w:iCs/>
        </w:rPr>
        <w:t>h</w:t>
      </w:r>
      <w:r>
        <w:rPr>
          <w:rFonts w:hint="eastAsia" w:hAnsi="宋体" w:cs="宋体"/>
          <w:vertAlign w:val="subscript"/>
        </w:rPr>
        <w:t>1</w:t>
      </w:r>
      <w:r>
        <w:rPr>
          <w:rFonts w:hint="eastAsia" w:hAnsi="宋体" w:cs="宋体"/>
        </w:rPr>
        <w:t>——井壁隔水封闭层厚度，m。</w:t>
      </w:r>
    </w:p>
    <w:p w14:paraId="1FCB4764">
      <w:pPr>
        <w:pStyle w:val="113"/>
        <w:keepNext/>
        <w:spacing w:before="156" w:after="156"/>
      </w:pPr>
      <w:bookmarkStart w:id="41" w:name="_Toc11284"/>
      <w:r>
        <w:rPr>
          <w:rFonts w:hint="eastAsia"/>
        </w:rPr>
        <w:t>性能参数</w:t>
      </w:r>
      <w:bookmarkEnd w:id="41"/>
    </w:p>
    <w:p w14:paraId="27BDDF05">
      <w:pPr>
        <w:pStyle w:val="64"/>
        <w:ind w:firstLine="420"/>
      </w:pPr>
      <w:r>
        <w:rPr>
          <w:i/>
          <w:iCs/>
        </w:rPr>
        <w:t>η</w:t>
      </w:r>
      <w:r>
        <w:t>——基坑等效半径系数</w:t>
      </w:r>
      <w:r>
        <w:rPr>
          <w:rFonts w:hint="eastAsia"/>
        </w:rPr>
        <w:t>；</w:t>
      </w:r>
    </w:p>
    <w:p w14:paraId="7B267ECA">
      <w:pPr>
        <w:pStyle w:val="64"/>
        <w:ind w:firstLine="420"/>
      </w:pPr>
      <w:r>
        <w:rPr>
          <w:i/>
          <w:iCs/>
        </w:rPr>
        <w:t>k</w:t>
      </w:r>
      <w:r>
        <w:rPr>
          <w:vertAlign w:val="subscript"/>
        </w:rPr>
        <w:t>ty</w:t>
      </w:r>
      <w:r>
        <w:t>——坑底抗突涌安全系数；</w:t>
      </w:r>
    </w:p>
    <w:p w14:paraId="0EF44B4D">
      <w:pPr>
        <w:pStyle w:val="64"/>
        <w:ind w:firstLine="420"/>
      </w:pPr>
      <w:r>
        <w:rPr>
          <w:i/>
          <w:iCs/>
        </w:rPr>
        <w:t>γ</w:t>
      </w:r>
      <w:r>
        <w:t>——D范围内土的平均天然重度，kN/m</w:t>
      </w:r>
      <w:r>
        <w:rPr>
          <w:vertAlign w:val="superscript"/>
        </w:rPr>
        <w:t>3</w:t>
      </w:r>
      <w:r>
        <w:t>；</w:t>
      </w:r>
    </w:p>
    <w:p w14:paraId="6CF70F3A">
      <w:pPr>
        <w:pStyle w:val="64"/>
        <w:ind w:firstLine="420"/>
      </w:pPr>
      <w:r>
        <w:rPr>
          <w:i/>
          <w:iCs/>
        </w:rPr>
        <w:t>γ</w:t>
      </w:r>
      <w:r>
        <w:rPr>
          <w:vertAlign w:val="subscript"/>
        </w:rPr>
        <w:t>w</w:t>
      </w:r>
      <w:r>
        <w:t>——水的重度，kN/m</w:t>
      </w:r>
      <w:r>
        <w:rPr>
          <w:vertAlign w:val="superscript"/>
        </w:rPr>
        <w:t>3</w:t>
      </w:r>
      <w:r>
        <w:rPr>
          <w:rFonts w:hint="eastAsia"/>
        </w:rPr>
        <w:t>；</w:t>
      </w:r>
    </w:p>
    <w:p w14:paraId="4197958A">
      <w:pPr>
        <w:pStyle w:val="64"/>
        <w:ind w:firstLine="420"/>
      </w:pPr>
      <m:oMath>
        <m:r>
          <m:rPr/>
          <w:rPr>
            <w:rFonts w:ascii="Cambria Math" w:hAnsi="Cambria Math"/>
          </w:rPr>
          <m:t>γ'</m:t>
        </m:r>
      </m:oMath>
      <w:r>
        <w:t>——土的浮重度，kN/m</w:t>
      </w:r>
      <w:r>
        <w:rPr>
          <w:vertAlign w:val="superscript"/>
        </w:rPr>
        <w:t>3</w:t>
      </w:r>
      <w:r>
        <w:t>；</w:t>
      </w:r>
    </w:p>
    <w:p w14:paraId="363C3764">
      <w:pPr>
        <w:pStyle w:val="64"/>
        <w:ind w:firstLine="420"/>
      </w:pPr>
      <w:r>
        <w:rPr>
          <w:i/>
          <w:iCs/>
        </w:rPr>
        <w:t>K</w:t>
      </w:r>
      <w:r>
        <w:rPr>
          <w:vertAlign w:val="subscript"/>
        </w:rPr>
        <w:t>se</w:t>
      </w:r>
      <w:r>
        <w:t>——流土稳定性安全系数；</w:t>
      </w:r>
    </w:p>
    <w:p w14:paraId="3BA8B140">
      <w:pPr>
        <w:pStyle w:val="64"/>
        <w:ind w:firstLine="420"/>
      </w:pPr>
      <m:oMath>
        <m:r>
          <m:rPr/>
          <w:rPr>
            <w:rFonts w:ascii="Cambria Math" w:hAnsi="Cambria Math"/>
          </w:rPr>
          <m:t>K</m:t>
        </m:r>
      </m:oMath>
      <w:r>
        <w:t>——渗透系数，m/d；</w:t>
      </w:r>
    </w:p>
    <w:p w14:paraId="11504CB6">
      <w:pPr>
        <w:pStyle w:val="64"/>
        <w:ind w:firstLine="420"/>
      </w:pPr>
      <m:oMath>
        <m:r>
          <m:rPr/>
          <w:rPr>
            <w:rFonts w:ascii="Cambria Math" w:hAnsi="Cambria Math"/>
          </w:rPr>
          <m:t>K'</m:t>
        </m:r>
      </m:oMath>
      <w:r>
        <w:t>——表观渗透系数，m/d；</w:t>
      </w:r>
    </w:p>
    <w:p w14:paraId="694AB4CC">
      <w:pPr>
        <w:pStyle w:val="64"/>
        <w:ind w:firstLine="420"/>
      </w:pPr>
      <w:r>
        <w:rPr>
          <w:i/>
          <w:iCs/>
        </w:rPr>
        <w:t>R</w:t>
      </w:r>
      <w:r>
        <w:t>——抽水影响半径，m；</w:t>
      </w:r>
    </w:p>
    <w:p w14:paraId="39D05AB7">
      <w:pPr>
        <w:pStyle w:val="64"/>
        <w:ind w:firstLine="420"/>
      </w:pPr>
      <m:oMath>
        <m:r>
          <m:rPr/>
          <w:rPr>
            <w:rFonts w:ascii="Cambria Math" w:hAnsi="Cambria Math"/>
          </w:rPr>
          <m:t>R'</m:t>
        </m:r>
      </m:oMath>
      <w:r>
        <w:t>——表观抽水影响半径，m；</w:t>
      </w:r>
    </w:p>
    <w:p w14:paraId="0FAFC4A7">
      <w:pPr>
        <w:pStyle w:val="64"/>
        <w:ind w:firstLine="420"/>
      </w:pPr>
      <w:r>
        <w:rPr>
          <w:i/>
          <w:iCs/>
        </w:rPr>
        <w:t>μ</w:t>
      </w:r>
      <w:r>
        <w:t>——含水层给水度</w:t>
      </w:r>
      <w:r>
        <w:rPr>
          <w:rFonts w:hint="eastAsia"/>
        </w:rPr>
        <w:t>，无量纲；</w:t>
      </w:r>
    </w:p>
    <w:p w14:paraId="2ADCFF9F">
      <w:pPr>
        <w:pStyle w:val="64"/>
        <w:ind w:firstLine="420"/>
      </w:pPr>
      <w:r>
        <w:rPr>
          <w:i/>
          <w:iCs/>
        </w:rPr>
        <w:t>λ</w:t>
      </w:r>
      <w:r>
        <w:t>——隔水系数，为反映帷幕隔水作用的系数，无量纲；</w:t>
      </w:r>
    </w:p>
    <w:p w14:paraId="75E087CA">
      <w:pPr>
        <w:pStyle w:val="64"/>
        <w:ind w:firstLine="420"/>
      </w:pPr>
      <w:r>
        <w:rPr>
          <w:i/>
          <w:iCs/>
        </w:rPr>
        <w:t>α</w:t>
      </w:r>
      <w:r>
        <w:t>——为</w:t>
      </w:r>
      <w:r>
        <w:rPr>
          <w:rFonts w:hint="eastAsia"/>
        </w:rPr>
        <w:t>帷幕影响</w:t>
      </w:r>
      <w:r>
        <w:t>系数；</w:t>
      </w:r>
    </w:p>
    <w:p w14:paraId="18F82030">
      <w:pPr>
        <w:pStyle w:val="64"/>
        <w:ind w:firstLine="420"/>
      </w:pPr>
      <w:r>
        <w:rPr>
          <w:i/>
          <w:iCs/>
        </w:rPr>
        <w:t>M</w:t>
      </w:r>
      <w:r>
        <w:rPr>
          <w:vertAlign w:val="subscript"/>
        </w:rPr>
        <w:t>t</w:t>
      </w:r>
      <w:r>
        <w:t>——降水时间影响系数</w:t>
      </w:r>
      <w:r>
        <w:rPr>
          <w:rFonts w:hint="eastAsia"/>
        </w:rPr>
        <w:t>；</w:t>
      </w:r>
    </w:p>
    <w:p w14:paraId="7D79E08A">
      <w:pPr>
        <w:pStyle w:val="64"/>
        <w:ind w:firstLine="420"/>
      </w:pPr>
      <w:r>
        <w:rPr>
          <w:rFonts w:hint="eastAsia" w:hAnsi="宋体" w:cs="宋体"/>
          <w:i/>
          <w:iCs/>
        </w:rPr>
        <w:t>φ</w:t>
      </w:r>
      <w:r>
        <w:rPr>
          <w:rFonts w:hint="eastAsia" w:hAnsi="宋体" w:cs="宋体"/>
          <w:vertAlign w:val="subscript"/>
        </w:rPr>
        <w:t>e</w:t>
      </w:r>
      <w:r>
        <w:t>——压缩模量修正系数</w:t>
      </w:r>
      <w:r>
        <w:rPr>
          <w:rFonts w:hint="eastAsia"/>
        </w:rPr>
        <w:t>；</w:t>
      </w:r>
    </w:p>
    <w:p w14:paraId="7AF8AEDC">
      <w:pPr>
        <w:pStyle w:val="64"/>
        <w:ind w:firstLine="420"/>
      </w:pPr>
      <m:oMath>
        <m:sSup>
          <m:sSupPr>
            <m:ctrlPr>
              <w:rPr>
                <w:rFonts w:ascii="Cambria Math" w:hAnsi="Cambria Math"/>
              </w:rPr>
            </m:ctrlPr>
          </m:sSupPr>
          <m:e>
            <m:r>
              <m:rPr/>
              <w:rPr>
                <w:rFonts w:ascii="Cambria Math" w:hAnsi="Cambria Math"/>
              </w:rPr>
              <m:t>K</m:t>
            </m:r>
            <m:ctrlPr>
              <w:rPr>
                <w:rFonts w:ascii="Cambria Math" w:hAnsi="Cambria Math"/>
              </w:rPr>
            </m:ctrlPr>
          </m:e>
          <m:sup>
            <m:r>
              <m:rPr>
                <m:sty m:val="p"/>
              </m:rPr>
              <w:rPr>
                <w:rFonts w:ascii="Cambria Math" w:hAnsi="Cambria Math"/>
              </w:rPr>
              <m:t>∗</m:t>
            </m:r>
            <m:ctrlPr>
              <w:rPr>
                <w:rFonts w:ascii="Cambria Math" w:hAnsi="Cambria Math"/>
              </w:rPr>
            </m:ctrlPr>
          </m:sup>
        </m:sSup>
      </m:oMath>
      <w:r>
        <w:t>——回灌渗透系数，m/d；</w:t>
      </w:r>
    </w:p>
    <w:p w14:paraId="1DBFB2A6">
      <w:pPr>
        <w:pStyle w:val="64"/>
        <w:ind w:firstLine="420"/>
      </w:pPr>
      <m:oMath>
        <m:sSup>
          <m:sSupPr>
            <m:ctrlPr>
              <w:rPr>
                <w:rFonts w:ascii="Cambria Math" w:hAnsi="Cambria Math"/>
              </w:rPr>
            </m:ctrlPr>
          </m:sSupPr>
          <m:e>
            <m:r>
              <m:rPr/>
              <w:rPr>
                <w:rFonts w:ascii="Cambria Math" w:hAnsi="Cambria Math"/>
              </w:rPr>
              <m:t>R</m:t>
            </m:r>
            <m:ctrlPr>
              <w:rPr>
                <w:rFonts w:ascii="Cambria Math" w:hAnsi="Cambria Math"/>
              </w:rPr>
            </m:ctrlPr>
          </m:e>
          <m:sup>
            <m:r>
              <m:rPr>
                <m:sty m:val="p"/>
              </m:rPr>
              <w:rPr>
                <w:rFonts w:ascii="Cambria Math" w:hAnsi="Cambria Math"/>
              </w:rPr>
              <m:t>∗</m:t>
            </m:r>
            <m:ctrlPr>
              <w:rPr>
                <w:rFonts w:ascii="Cambria Math" w:hAnsi="Cambria Math"/>
              </w:rPr>
            </m:ctrlPr>
          </m:sup>
        </m:sSup>
      </m:oMath>
      <w:r>
        <w:t>——回灌影响半径，m；</w:t>
      </w:r>
    </w:p>
    <w:p w14:paraId="328208FE">
      <w:pPr>
        <w:pStyle w:val="64"/>
        <w:ind w:firstLine="420"/>
      </w:pPr>
      <w:r>
        <w:rPr>
          <w:i/>
          <w:iCs/>
        </w:rPr>
        <w:t>P</w:t>
      </w:r>
      <w:r>
        <w:t>——允许回灌压力，kPa；</w:t>
      </w:r>
    </w:p>
    <w:p w14:paraId="5EDB837D">
      <w:pPr>
        <w:pStyle w:val="64"/>
        <w:ind w:firstLine="420"/>
      </w:pPr>
      <w:r>
        <w:rPr>
          <w:i/>
          <w:iCs/>
        </w:rPr>
        <w:t>K</w:t>
      </w:r>
      <w:r>
        <w:rPr>
          <w:vertAlign w:val="subscript"/>
        </w:rPr>
        <w:t>0</w:t>
      </w:r>
      <w:r>
        <w:t>——回灌含水层上覆隔水层静止侧压力系数；</w:t>
      </w:r>
    </w:p>
    <w:p w14:paraId="3BF0F559">
      <w:pPr>
        <w:pStyle w:val="64"/>
        <w:ind w:firstLine="420"/>
      </w:pPr>
      <w:r>
        <w:rPr>
          <w:i/>
          <w:iCs/>
        </w:rPr>
        <w:t>γ</w:t>
      </w:r>
      <w:r>
        <w:rPr>
          <w:vertAlign w:val="subscript"/>
        </w:rPr>
        <w:t>s</w:t>
      </w:r>
      <w:r>
        <w:rPr>
          <w:rFonts w:hint="eastAsia"/>
        </w:rPr>
        <w:t> </w:t>
      </w:r>
      <w:r>
        <w:t>——井壁黏性土封闭层底（或隔水层底板）至地面间各分隔层的平均加权重度，kN/m</w:t>
      </w:r>
      <w:r>
        <w:rPr>
          <w:vertAlign w:val="superscript"/>
        </w:rPr>
        <w:t>3</w:t>
      </w:r>
      <w:r>
        <w:t>；</w:t>
      </w:r>
    </w:p>
    <w:p w14:paraId="275BD38B">
      <w:pPr>
        <w:pStyle w:val="64"/>
        <w:ind w:firstLine="420"/>
      </w:pPr>
      <w:r>
        <w:rPr>
          <w:i/>
          <w:iCs/>
        </w:rPr>
        <w:t>F</w:t>
      </w:r>
      <w:r>
        <w:t>——井壁抗劈裂安全系数</w:t>
      </w:r>
      <w:r>
        <w:rPr>
          <w:rFonts w:hint="eastAsia"/>
        </w:rPr>
        <w:t>。</w:t>
      </w:r>
    </w:p>
    <w:p w14:paraId="3EC63DDA">
      <w:r>
        <w:rPr>
          <w:rFonts w:hint="eastAsia"/>
        </w:rPr>
        <w:br w:type="page"/>
      </w:r>
    </w:p>
    <w:bookmarkEnd w:id="39"/>
    <w:bookmarkEnd w:id="40"/>
    <w:p w14:paraId="141DF813">
      <w:pPr>
        <w:pStyle w:val="112"/>
        <w:spacing w:before="312" w:after="312"/>
      </w:pPr>
      <w:bookmarkStart w:id="42" w:name="_Toc21119"/>
      <w:bookmarkStart w:id="43" w:name="_Toc17674"/>
      <w:bookmarkStart w:id="44" w:name="_Toc20537"/>
      <w:bookmarkStart w:id="45" w:name="_Toc32180"/>
      <w:r>
        <w:rPr>
          <w:rFonts w:hint="eastAsia"/>
        </w:rPr>
        <w:t>总则</w:t>
      </w:r>
      <w:bookmarkEnd w:id="42"/>
      <w:bookmarkEnd w:id="43"/>
      <w:bookmarkEnd w:id="44"/>
      <w:bookmarkEnd w:id="45"/>
    </w:p>
    <w:p w14:paraId="5600E304">
      <w:pPr>
        <w:pStyle w:val="113"/>
        <w:spacing w:before="0" w:beforeLines="0" w:after="0" w:afterLines="0"/>
        <w:outlineLvl w:val="9"/>
        <w:rPr>
          <w:rFonts w:hint="eastAsia" w:ascii="宋体" w:hAnsi="宋体" w:eastAsia="宋体" w:cs="宋体"/>
        </w:rPr>
      </w:pPr>
      <w:bookmarkStart w:id="46" w:name="_Toc25169"/>
      <w:bookmarkStart w:id="47" w:name="_Toc13849"/>
      <w:bookmarkStart w:id="48" w:name="_Toc10006"/>
      <w:bookmarkStart w:id="49" w:name="_Toc31582"/>
      <w:bookmarkStart w:id="50" w:name="_Toc8700"/>
      <w:bookmarkStart w:id="51" w:name="_Toc26282"/>
      <w:bookmarkStart w:id="52" w:name="_Toc5128"/>
      <w:bookmarkStart w:id="53" w:name="_Toc9071"/>
      <w:bookmarkStart w:id="54" w:name="_Toc5677"/>
      <w:bookmarkStart w:id="55" w:name="_Toc4067"/>
      <w:bookmarkStart w:id="56" w:name="_Toc9233"/>
      <w:bookmarkStart w:id="57" w:name="_Toc15322"/>
      <w:bookmarkStart w:id="58" w:name="_Toc24179"/>
      <w:bookmarkStart w:id="59" w:name="_Toc26549"/>
      <w:bookmarkStart w:id="60" w:name="_Toc27422"/>
      <w:bookmarkStart w:id="61" w:name="_Toc18618"/>
      <w:bookmarkStart w:id="62" w:name="_Toc21260"/>
      <w:bookmarkStart w:id="63" w:name="_Toc19225"/>
      <w:bookmarkStart w:id="64" w:name="_Toc27549"/>
      <w:bookmarkStart w:id="65" w:name="_Toc31782"/>
      <w:bookmarkStart w:id="66" w:name="_Toc4375"/>
      <w:bookmarkStart w:id="67" w:name="_Toc2340"/>
      <w:bookmarkStart w:id="68" w:name="_Toc9930"/>
      <w:bookmarkStart w:id="69" w:name="_Toc13753"/>
      <w:bookmarkStart w:id="70" w:name="_Toc4987"/>
      <w:bookmarkStart w:id="71" w:name="_Toc10156"/>
      <w:bookmarkStart w:id="72" w:name="_Toc5853"/>
      <w:bookmarkStart w:id="73" w:name="_Toc11402"/>
      <w:bookmarkStart w:id="74" w:name="_Toc3876"/>
      <w:bookmarkStart w:id="75" w:name="_Toc18630"/>
      <w:r>
        <w:rPr>
          <w:rFonts w:hint="eastAsia" w:ascii="宋体" w:hAnsi="宋体" w:eastAsia="宋体" w:cs="宋体"/>
        </w:rPr>
        <w:t>为使基坑工程地下水控制做到安全可靠、技术先进、经济合理、节约资源、保护环境，制定本文件。</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CC15A00">
      <w:pPr>
        <w:pStyle w:val="113"/>
        <w:spacing w:before="0" w:beforeLines="0" w:after="0" w:afterLines="0"/>
        <w:outlineLvl w:val="9"/>
        <w:rPr>
          <w:rFonts w:hint="eastAsia" w:ascii="宋体" w:hAnsi="宋体" w:eastAsia="宋体" w:cs="宋体"/>
        </w:rPr>
      </w:pPr>
      <w:bookmarkStart w:id="76" w:name="_Toc8915"/>
      <w:bookmarkStart w:id="77" w:name="_Toc14976"/>
      <w:bookmarkStart w:id="78" w:name="_Toc3440"/>
      <w:bookmarkStart w:id="79" w:name="_Toc30195"/>
      <w:bookmarkStart w:id="80" w:name="_Toc17490"/>
      <w:bookmarkStart w:id="81" w:name="_Toc5546"/>
      <w:bookmarkStart w:id="82" w:name="_Toc4520"/>
      <w:bookmarkStart w:id="83" w:name="_Toc9035"/>
      <w:bookmarkStart w:id="84" w:name="_Toc28033"/>
      <w:bookmarkStart w:id="85" w:name="_Toc25321"/>
      <w:bookmarkStart w:id="86" w:name="_Toc30587"/>
      <w:bookmarkStart w:id="87" w:name="_Toc31816"/>
      <w:bookmarkStart w:id="88" w:name="_Toc25416"/>
      <w:bookmarkStart w:id="89" w:name="_Toc30493"/>
      <w:bookmarkStart w:id="90" w:name="_Toc28664"/>
      <w:bookmarkStart w:id="91" w:name="_Toc17069"/>
      <w:bookmarkStart w:id="92" w:name="_Toc3525"/>
      <w:bookmarkStart w:id="93" w:name="_Toc27133"/>
      <w:bookmarkStart w:id="94" w:name="_Toc12239"/>
      <w:bookmarkStart w:id="95" w:name="_Toc776"/>
      <w:bookmarkStart w:id="96" w:name="_Toc19627"/>
      <w:bookmarkStart w:id="97" w:name="_Toc9413"/>
      <w:bookmarkStart w:id="98" w:name="_Toc25674"/>
      <w:bookmarkStart w:id="99" w:name="_Toc19167"/>
      <w:bookmarkStart w:id="100" w:name="_Toc6805"/>
      <w:bookmarkStart w:id="101" w:name="_Toc15641"/>
      <w:bookmarkStart w:id="102" w:name="_Toc2242"/>
      <w:bookmarkStart w:id="103" w:name="_Toc31970"/>
      <w:bookmarkStart w:id="104" w:name="_Toc13129"/>
      <w:bookmarkStart w:id="105" w:name="_Toc22968"/>
      <w:r>
        <w:rPr>
          <w:rFonts w:hint="eastAsia" w:ascii="宋体" w:hAnsi="宋体" w:eastAsia="宋体" w:cs="宋体"/>
        </w:rPr>
        <w:t>本文件适用于湖北省建筑与市政工程的基坑工程地下水控制的勘察、设计、施工、检测、监测、验收、运维及封井。其他基坑工程地下水控制可参考使用。</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FB9FCCE">
      <w:pPr>
        <w:pStyle w:val="113"/>
        <w:spacing w:before="0" w:beforeLines="0" w:after="0" w:afterLines="0"/>
        <w:outlineLvl w:val="9"/>
        <w:rPr>
          <w:rFonts w:hint="eastAsia" w:ascii="宋体" w:hAnsi="宋体" w:eastAsia="宋体" w:cs="宋体"/>
        </w:rPr>
      </w:pPr>
      <w:bookmarkStart w:id="106" w:name="_Toc32476"/>
      <w:bookmarkStart w:id="107" w:name="_Toc25758"/>
      <w:bookmarkStart w:id="108" w:name="_Toc21695"/>
      <w:bookmarkStart w:id="109" w:name="_Toc1863"/>
      <w:bookmarkStart w:id="110" w:name="_Toc2706"/>
      <w:bookmarkStart w:id="111" w:name="_Toc694"/>
      <w:bookmarkStart w:id="112" w:name="_Toc10533"/>
      <w:bookmarkStart w:id="113" w:name="_Toc6296"/>
      <w:bookmarkStart w:id="114" w:name="_Toc17236"/>
      <w:bookmarkStart w:id="115" w:name="_Toc21892"/>
      <w:bookmarkStart w:id="116" w:name="_Toc826"/>
      <w:bookmarkStart w:id="117" w:name="_Toc20632"/>
      <w:bookmarkStart w:id="118" w:name="_Toc15365"/>
      <w:bookmarkStart w:id="119" w:name="_Toc12919"/>
      <w:bookmarkStart w:id="120" w:name="_Toc29943"/>
      <w:bookmarkStart w:id="121" w:name="_Toc8335"/>
      <w:bookmarkStart w:id="122" w:name="_Toc17270"/>
      <w:bookmarkStart w:id="123" w:name="_Toc18067"/>
      <w:bookmarkStart w:id="124" w:name="_Toc30946"/>
      <w:bookmarkStart w:id="125" w:name="_Toc19318"/>
      <w:bookmarkStart w:id="126" w:name="_Toc10428"/>
      <w:bookmarkStart w:id="127" w:name="_Toc23442"/>
      <w:bookmarkStart w:id="128" w:name="_Toc16686"/>
      <w:bookmarkStart w:id="129" w:name="_Toc15695"/>
      <w:bookmarkStart w:id="130" w:name="_Toc17271"/>
      <w:bookmarkStart w:id="131" w:name="_Toc10465"/>
      <w:bookmarkStart w:id="132" w:name="_Toc15422"/>
      <w:bookmarkStart w:id="133" w:name="_Toc16206"/>
      <w:bookmarkStart w:id="134" w:name="_Toc23756"/>
      <w:bookmarkStart w:id="135" w:name="_Toc11591"/>
      <w:r>
        <w:rPr>
          <w:rFonts w:hint="eastAsia" w:ascii="宋体" w:hAnsi="宋体" w:eastAsia="宋体" w:cs="宋体"/>
        </w:rPr>
        <w:t>基坑工程地下水控制应综合考虑基坑开挖深度、场地的工程地质、水文地质条件和周边环境条件，结合地区经验，合理选择地下水控制方案。</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B0DCC99">
      <w:pPr>
        <w:pStyle w:val="113"/>
        <w:spacing w:before="0" w:beforeLines="0" w:after="0" w:afterLines="0"/>
        <w:outlineLvl w:val="9"/>
        <w:rPr>
          <w:rFonts w:hint="eastAsia" w:ascii="宋体" w:hAnsi="宋体" w:eastAsia="宋体" w:cs="宋体"/>
        </w:rPr>
      </w:pPr>
      <w:bookmarkStart w:id="136" w:name="_Toc11749"/>
      <w:bookmarkStart w:id="137" w:name="_Toc9507"/>
      <w:bookmarkStart w:id="138" w:name="_Toc27547"/>
      <w:bookmarkStart w:id="139" w:name="_Toc6781"/>
      <w:bookmarkStart w:id="140" w:name="_Toc6807"/>
      <w:bookmarkStart w:id="141" w:name="_Toc21275"/>
      <w:bookmarkStart w:id="142" w:name="_Toc28044"/>
      <w:bookmarkStart w:id="143" w:name="_Toc29331"/>
      <w:bookmarkStart w:id="144" w:name="_Toc32738"/>
      <w:bookmarkStart w:id="145" w:name="_Toc29461"/>
      <w:bookmarkStart w:id="146" w:name="_Toc11020"/>
      <w:bookmarkStart w:id="147" w:name="_Toc10916"/>
      <w:bookmarkStart w:id="148" w:name="_Toc923"/>
      <w:bookmarkStart w:id="149" w:name="_Toc21727"/>
      <w:bookmarkStart w:id="150" w:name="_Toc23675"/>
      <w:bookmarkStart w:id="151" w:name="_Toc24089"/>
      <w:bookmarkStart w:id="152" w:name="_Toc24923"/>
      <w:bookmarkStart w:id="153" w:name="_Toc4701"/>
      <w:bookmarkStart w:id="154" w:name="_Toc13398"/>
      <w:bookmarkStart w:id="155" w:name="_Toc14162"/>
      <w:bookmarkStart w:id="156" w:name="_Toc23395"/>
      <w:bookmarkStart w:id="157" w:name="_Toc4587"/>
      <w:bookmarkStart w:id="158" w:name="_Toc27265"/>
      <w:bookmarkStart w:id="159" w:name="_Toc5641"/>
      <w:bookmarkStart w:id="160" w:name="_Toc924"/>
      <w:bookmarkStart w:id="161" w:name="_Toc14390"/>
      <w:bookmarkStart w:id="162" w:name="_Toc8941"/>
      <w:bookmarkStart w:id="163" w:name="_Toc14429"/>
      <w:bookmarkStart w:id="164" w:name="_Toc6621"/>
      <w:bookmarkStart w:id="165" w:name="_Toc32150"/>
      <w:r>
        <w:rPr>
          <w:rFonts w:hint="eastAsia" w:ascii="宋体" w:hAnsi="宋体" w:eastAsia="宋体" w:cs="宋体"/>
        </w:rPr>
        <w:t>基坑工程地下水控制应与基坑支护结构同步设计。</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Start w:id="166" w:name="_Toc17321"/>
      <w:bookmarkStart w:id="167" w:name="_Toc23521"/>
      <w:bookmarkStart w:id="168" w:name="_Toc26379"/>
      <w:bookmarkStart w:id="169" w:name="_Toc2098"/>
      <w:bookmarkStart w:id="170" w:name="_Toc20401"/>
      <w:bookmarkStart w:id="171" w:name="_Toc14558"/>
      <w:bookmarkStart w:id="172" w:name="_Toc2092"/>
      <w:bookmarkStart w:id="173" w:name="_Toc24147"/>
      <w:bookmarkStart w:id="174" w:name="_Toc30578"/>
      <w:bookmarkStart w:id="175" w:name="_Toc6553"/>
    </w:p>
    <w:p w14:paraId="42AA1A9D">
      <w:pPr>
        <w:pStyle w:val="113"/>
        <w:spacing w:before="0" w:beforeLines="0" w:after="0" w:afterLines="0"/>
        <w:outlineLvl w:val="9"/>
        <w:rPr>
          <w:rFonts w:hint="eastAsia" w:ascii="宋体" w:hAnsi="宋体" w:eastAsia="宋体" w:cs="宋体"/>
        </w:rPr>
      </w:pPr>
      <w:bookmarkStart w:id="176" w:name="_Toc5319"/>
      <w:bookmarkStart w:id="177" w:name="_Toc21707"/>
      <w:bookmarkStart w:id="178" w:name="_Toc16367"/>
      <w:bookmarkStart w:id="179" w:name="_Toc3599"/>
      <w:bookmarkStart w:id="180" w:name="_Toc15906"/>
      <w:bookmarkStart w:id="181" w:name="_Toc9109"/>
      <w:bookmarkStart w:id="182" w:name="_Toc3345"/>
      <w:bookmarkStart w:id="183" w:name="_Toc32217"/>
      <w:bookmarkStart w:id="184" w:name="_Toc12935"/>
      <w:bookmarkStart w:id="185" w:name="_Toc18327"/>
      <w:bookmarkStart w:id="186" w:name="_Toc4126"/>
      <w:bookmarkStart w:id="187" w:name="_Toc27576"/>
      <w:bookmarkStart w:id="188" w:name="_Toc2591"/>
      <w:bookmarkStart w:id="189" w:name="_Toc747"/>
      <w:bookmarkStart w:id="190" w:name="_Toc11219"/>
      <w:bookmarkStart w:id="191" w:name="_Toc14550"/>
      <w:bookmarkStart w:id="192" w:name="_Toc8034"/>
      <w:bookmarkStart w:id="193" w:name="_Toc22569"/>
      <w:bookmarkStart w:id="194" w:name="_Toc5962"/>
      <w:bookmarkStart w:id="195" w:name="_Toc9845"/>
      <w:r>
        <w:rPr>
          <w:rFonts w:hint="eastAsia" w:ascii="宋体" w:hAnsi="宋体" w:eastAsia="宋体" w:cs="宋体"/>
        </w:rPr>
        <w:t>基坑工程地下水控制除应符合本文件外，尚应符合国家、行业及地方现行有关规范、标准的规定。</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5EF2EC41">
      <w:pPr>
        <w:pStyle w:val="112"/>
        <w:spacing w:before="312" w:after="312"/>
      </w:pPr>
      <w:bookmarkStart w:id="196" w:name="_Toc142730166"/>
      <w:bookmarkStart w:id="197" w:name="_Toc17242"/>
      <w:r>
        <w:rPr>
          <w:rFonts w:hint="eastAsia"/>
        </w:rPr>
        <w:t>基本规定</w:t>
      </w:r>
      <w:bookmarkEnd w:id="196"/>
      <w:bookmarkEnd w:id="197"/>
    </w:p>
    <w:p w14:paraId="66A96B03">
      <w:pPr>
        <w:pStyle w:val="113"/>
        <w:spacing w:before="0" w:beforeLines="0" w:after="0" w:afterLines="0"/>
        <w:outlineLvl w:val="9"/>
        <w:rPr>
          <w:rFonts w:hint="eastAsia" w:ascii="宋体" w:hAnsi="宋体" w:eastAsia="宋体" w:cs="宋体"/>
        </w:rPr>
      </w:pPr>
      <w:bookmarkStart w:id="198" w:name="_Toc21399"/>
      <w:bookmarkStart w:id="199" w:name="_Toc16741"/>
      <w:bookmarkStart w:id="200" w:name="_Toc11890"/>
      <w:bookmarkStart w:id="201" w:name="_Toc27058"/>
      <w:bookmarkStart w:id="202" w:name="_Toc21543"/>
      <w:bookmarkStart w:id="203" w:name="_Toc29621"/>
      <w:bookmarkStart w:id="204" w:name="_Toc26364"/>
      <w:bookmarkStart w:id="205" w:name="_Toc27436"/>
      <w:bookmarkStart w:id="206" w:name="_Toc18480"/>
      <w:bookmarkStart w:id="207" w:name="_Toc202"/>
      <w:bookmarkStart w:id="208" w:name="_Toc13309"/>
      <w:bookmarkStart w:id="209" w:name="_Toc31878"/>
      <w:bookmarkStart w:id="210" w:name="_Toc8221"/>
      <w:bookmarkStart w:id="211" w:name="_Toc26230"/>
      <w:bookmarkStart w:id="212" w:name="_Toc26515"/>
      <w:bookmarkStart w:id="213" w:name="_Toc26081"/>
      <w:bookmarkStart w:id="214" w:name="_Toc14760"/>
      <w:bookmarkStart w:id="215" w:name="_Toc15750"/>
      <w:bookmarkStart w:id="216" w:name="_Toc30523"/>
      <w:bookmarkStart w:id="217" w:name="_Toc12439"/>
      <w:bookmarkStart w:id="218" w:name="_Toc20104"/>
      <w:bookmarkStart w:id="219" w:name="_Toc10377"/>
      <w:bookmarkStart w:id="220" w:name="_Toc361"/>
      <w:bookmarkStart w:id="221" w:name="_Toc23869"/>
      <w:bookmarkStart w:id="222" w:name="_Toc10120"/>
      <w:bookmarkStart w:id="223" w:name="_Toc31004"/>
      <w:bookmarkStart w:id="224" w:name="_Toc25083"/>
      <w:bookmarkStart w:id="225" w:name="_Toc7783"/>
      <w:bookmarkStart w:id="226" w:name="_Toc18296"/>
      <w:bookmarkStart w:id="227" w:name="_Toc19183"/>
      <w:r>
        <w:rPr>
          <w:rFonts w:hint="eastAsia" w:ascii="宋体" w:hAnsi="宋体" w:eastAsia="宋体" w:cs="宋体"/>
        </w:rPr>
        <w:t>基坑工程地下水控制主要包括对孔隙水、岩溶水、基岩裂隙水的控制。</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86F456C">
      <w:pPr>
        <w:pStyle w:val="113"/>
        <w:spacing w:before="0" w:beforeLines="0" w:after="0" w:afterLines="0"/>
        <w:outlineLvl w:val="9"/>
        <w:rPr>
          <w:rFonts w:hint="eastAsia" w:ascii="宋体" w:hAnsi="宋体" w:eastAsia="宋体" w:cs="宋体"/>
        </w:rPr>
      </w:pPr>
      <w:bookmarkStart w:id="228" w:name="_Toc29011"/>
      <w:bookmarkStart w:id="229" w:name="_Toc18114"/>
      <w:bookmarkStart w:id="230" w:name="_Toc4370"/>
      <w:bookmarkStart w:id="231" w:name="_Toc31105"/>
      <w:bookmarkStart w:id="232" w:name="_Toc14267"/>
      <w:bookmarkStart w:id="233" w:name="_Toc27990"/>
      <w:bookmarkStart w:id="234" w:name="_Toc29495"/>
      <w:bookmarkStart w:id="235" w:name="_Toc11299"/>
      <w:bookmarkStart w:id="236" w:name="_Toc27630"/>
      <w:bookmarkStart w:id="237" w:name="_Toc31617"/>
      <w:bookmarkStart w:id="238" w:name="_Toc29872"/>
      <w:bookmarkStart w:id="239" w:name="_Toc12133"/>
      <w:bookmarkStart w:id="240" w:name="_Toc3460"/>
      <w:bookmarkStart w:id="241" w:name="_Toc6378"/>
      <w:bookmarkStart w:id="242" w:name="_Toc21191"/>
      <w:bookmarkStart w:id="243" w:name="_Toc31200"/>
      <w:bookmarkStart w:id="244" w:name="_Toc9163"/>
      <w:bookmarkStart w:id="245" w:name="_Toc25255"/>
      <w:bookmarkStart w:id="246" w:name="_Toc22074"/>
      <w:bookmarkStart w:id="247" w:name="_Toc3317"/>
      <w:bookmarkStart w:id="248" w:name="_Toc32420"/>
      <w:bookmarkStart w:id="249" w:name="_Toc2"/>
      <w:bookmarkStart w:id="250" w:name="_Toc8047"/>
      <w:bookmarkStart w:id="251" w:name="_Toc4807"/>
      <w:bookmarkStart w:id="252" w:name="_Toc23736"/>
      <w:bookmarkStart w:id="253" w:name="_Toc4038"/>
      <w:bookmarkStart w:id="254" w:name="_Toc23658"/>
      <w:bookmarkStart w:id="255" w:name="_Toc31330"/>
      <w:bookmarkStart w:id="256" w:name="_Toc29763"/>
      <w:bookmarkStart w:id="257" w:name="_Toc28088"/>
      <w:r>
        <w:rPr>
          <w:rFonts w:hint="eastAsia" w:ascii="宋体" w:hAnsi="宋体" w:eastAsia="宋体" w:cs="宋体"/>
        </w:rPr>
        <w:t>基坑工程地下水控制应满足下列要求：</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93016B4">
      <w:pPr>
        <w:pStyle w:val="182"/>
        <w:numPr>
          <w:ilvl w:val="0"/>
          <w:numId w:val="32"/>
        </w:numPr>
        <w:ind w:left="845" w:hanging="425"/>
        <w:rPr>
          <w:rFonts w:hint="eastAsia" w:hAnsi="宋体" w:cs="宋体"/>
        </w:rPr>
      </w:pPr>
      <w:r>
        <w:rPr>
          <w:rFonts w:hint="eastAsia" w:hAnsi="宋体" w:cs="宋体"/>
        </w:rPr>
        <w:t>满足基坑坑底抗突涌、坑底及侧壁抗渗流稳定性要求，保证基坑工程稳定和安全；</w:t>
      </w:r>
    </w:p>
    <w:p w14:paraId="684BD8BE">
      <w:pPr>
        <w:pStyle w:val="182"/>
        <w:numPr>
          <w:ilvl w:val="0"/>
          <w:numId w:val="32"/>
        </w:numPr>
        <w:ind w:left="845" w:hanging="425"/>
        <w:rPr>
          <w:rFonts w:hint="eastAsia" w:hAnsi="宋体" w:cs="宋体"/>
        </w:rPr>
      </w:pPr>
      <w:r>
        <w:rPr>
          <w:rFonts w:hint="eastAsia" w:hAnsi="宋体" w:cs="宋体"/>
        </w:rPr>
        <w:t>保证基坑周边环境的安全和正常使用；</w:t>
      </w:r>
    </w:p>
    <w:p w14:paraId="522A5AEF">
      <w:pPr>
        <w:pStyle w:val="182"/>
        <w:numPr>
          <w:ilvl w:val="0"/>
          <w:numId w:val="32"/>
        </w:numPr>
        <w:ind w:left="845" w:hanging="425"/>
        <w:rPr>
          <w:rFonts w:hint="eastAsia" w:hAnsi="宋体" w:cs="宋体"/>
        </w:rPr>
      </w:pPr>
      <w:r>
        <w:rPr>
          <w:rFonts w:hint="eastAsia" w:hAnsi="宋体" w:cs="宋体"/>
        </w:rPr>
        <w:t>满足基坑内的工程施工条件。</w:t>
      </w:r>
    </w:p>
    <w:p w14:paraId="0E13BDA2">
      <w:pPr>
        <w:pStyle w:val="113"/>
        <w:spacing w:before="0" w:beforeLines="0" w:after="0" w:afterLines="0"/>
        <w:outlineLvl w:val="9"/>
        <w:rPr>
          <w:rFonts w:hint="eastAsia" w:ascii="宋体" w:hAnsi="宋体" w:eastAsia="宋体" w:cs="宋体"/>
        </w:rPr>
      </w:pPr>
      <w:bookmarkStart w:id="258" w:name="_Toc17542"/>
      <w:bookmarkStart w:id="259" w:name="_Toc24821"/>
      <w:bookmarkStart w:id="260" w:name="_Toc9885"/>
      <w:bookmarkStart w:id="261" w:name="_Toc32320"/>
      <w:bookmarkStart w:id="262" w:name="_Toc31046"/>
      <w:bookmarkStart w:id="263" w:name="_Toc6824"/>
      <w:bookmarkStart w:id="264" w:name="_Toc3703"/>
      <w:bookmarkStart w:id="265" w:name="_Toc2040"/>
      <w:bookmarkStart w:id="266" w:name="_Toc14555"/>
      <w:bookmarkStart w:id="267" w:name="_Toc15346"/>
      <w:bookmarkStart w:id="268" w:name="_Toc15684"/>
      <w:bookmarkStart w:id="269" w:name="_Toc31417"/>
      <w:bookmarkStart w:id="270" w:name="_Toc11633"/>
      <w:bookmarkStart w:id="271" w:name="_Toc15485"/>
      <w:bookmarkStart w:id="272" w:name="_Toc8949"/>
      <w:bookmarkStart w:id="273" w:name="_Toc1709"/>
      <w:bookmarkStart w:id="274" w:name="_Toc3713"/>
      <w:bookmarkStart w:id="275" w:name="_Toc26694"/>
      <w:bookmarkStart w:id="276" w:name="_Toc1183"/>
      <w:bookmarkStart w:id="277" w:name="_Toc6059"/>
      <w:bookmarkStart w:id="278" w:name="_Toc16533"/>
      <w:bookmarkStart w:id="279" w:name="_Toc29888"/>
      <w:bookmarkStart w:id="280" w:name="_Toc7175"/>
      <w:bookmarkStart w:id="281" w:name="_Toc23464"/>
      <w:bookmarkStart w:id="282" w:name="_Toc13223"/>
      <w:bookmarkStart w:id="283" w:name="_Toc23903"/>
      <w:bookmarkStart w:id="284" w:name="_Toc1624"/>
      <w:bookmarkStart w:id="285" w:name="_Toc18995"/>
      <w:bookmarkStart w:id="286" w:name="_Toc14563"/>
      <w:bookmarkStart w:id="287" w:name="_Toc404"/>
      <w:r>
        <w:rPr>
          <w:rFonts w:hint="eastAsia" w:ascii="宋体" w:hAnsi="宋体" w:eastAsia="宋体" w:cs="宋体"/>
        </w:rPr>
        <w:t>基坑工程地下水控制方法可分为隔渗、降水、集水明排和回灌四大类。</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Pr>
          <w:rFonts w:hint="eastAsia" w:ascii="宋体" w:hAnsi="宋体" w:eastAsia="宋体" w:cs="宋体"/>
        </w:rPr>
        <w:t>隔渗、降水、集水明排可单独或组合使用；回灌宜与降水、隔渗组合使用。</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96FD0D1">
      <w:pPr>
        <w:pStyle w:val="113"/>
        <w:spacing w:before="0" w:beforeLines="0" w:after="0" w:afterLines="0"/>
        <w:outlineLvl w:val="9"/>
        <w:rPr>
          <w:rFonts w:hint="eastAsia" w:ascii="宋体" w:hAnsi="宋体" w:eastAsia="宋体" w:cs="宋体"/>
        </w:rPr>
      </w:pPr>
      <w:bookmarkStart w:id="288" w:name="_Toc4423"/>
      <w:bookmarkStart w:id="289" w:name="_Toc3628"/>
      <w:bookmarkStart w:id="290" w:name="_Toc29473"/>
      <w:bookmarkStart w:id="291" w:name="_Toc10530"/>
      <w:bookmarkStart w:id="292" w:name="_Toc5667"/>
      <w:bookmarkStart w:id="293" w:name="_Toc24512"/>
      <w:bookmarkStart w:id="294" w:name="_Toc17375"/>
      <w:bookmarkStart w:id="295" w:name="_Toc23296"/>
      <w:bookmarkStart w:id="296" w:name="_Toc23488"/>
      <w:bookmarkStart w:id="297" w:name="_Toc31518"/>
      <w:bookmarkStart w:id="298" w:name="_Toc24787"/>
      <w:bookmarkStart w:id="299" w:name="_Toc4146"/>
      <w:bookmarkStart w:id="300" w:name="_Toc29174"/>
      <w:bookmarkStart w:id="301" w:name="_Toc4269"/>
      <w:bookmarkStart w:id="302" w:name="_Toc744"/>
      <w:bookmarkStart w:id="303" w:name="_Toc2275"/>
      <w:bookmarkStart w:id="304" w:name="_Toc2907"/>
      <w:bookmarkStart w:id="305" w:name="_Toc3629"/>
      <w:bookmarkStart w:id="306" w:name="_Toc4194"/>
      <w:bookmarkStart w:id="307" w:name="_Toc12361"/>
      <w:bookmarkStart w:id="308" w:name="_Toc28498"/>
      <w:bookmarkStart w:id="309" w:name="_Toc12609"/>
      <w:bookmarkStart w:id="310" w:name="_Toc13526"/>
      <w:bookmarkStart w:id="311" w:name="_Toc16723"/>
      <w:bookmarkStart w:id="312" w:name="_Toc4778"/>
      <w:bookmarkStart w:id="313" w:name="_Toc21889"/>
      <w:bookmarkStart w:id="314" w:name="_Toc12162"/>
      <w:bookmarkStart w:id="315" w:name="_Toc15248"/>
      <w:bookmarkStart w:id="316" w:name="_Toc16716"/>
      <w:bookmarkStart w:id="317" w:name="_Toc31339"/>
      <w:r>
        <w:rPr>
          <w:rFonts w:hint="eastAsia" w:ascii="宋体" w:hAnsi="宋体" w:eastAsia="宋体" w:cs="宋体"/>
        </w:rPr>
        <w:t>基坑工程地下水控制工作应做到节约地下水资源、保护环境，不得污染地下水。</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6260C7A">
      <w:pPr>
        <w:pStyle w:val="113"/>
        <w:spacing w:before="0" w:beforeLines="0" w:after="0" w:afterLines="0"/>
        <w:outlineLvl w:val="9"/>
        <w:rPr>
          <w:rFonts w:hint="eastAsia" w:ascii="宋体" w:hAnsi="宋体" w:eastAsia="宋体" w:cs="宋体"/>
        </w:rPr>
      </w:pPr>
      <w:bookmarkStart w:id="318" w:name="_Toc18815"/>
      <w:bookmarkStart w:id="319" w:name="_Toc17791"/>
      <w:bookmarkStart w:id="320" w:name="_Toc13874"/>
      <w:bookmarkStart w:id="321" w:name="_Toc2450"/>
      <w:bookmarkStart w:id="322" w:name="_Toc5471"/>
      <w:bookmarkStart w:id="323" w:name="_Toc22623"/>
      <w:bookmarkStart w:id="324" w:name="_Toc27641"/>
      <w:bookmarkStart w:id="325" w:name="_Toc30634"/>
      <w:bookmarkStart w:id="326" w:name="_Toc21526"/>
      <w:bookmarkStart w:id="327" w:name="_Toc22053"/>
      <w:bookmarkStart w:id="328" w:name="_Toc283"/>
      <w:bookmarkStart w:id="329" w:name="_Toc21582"/>
      <w:bookmarkStart w:id="330" w:name="_Toc31194"/>
      <w:bookmarkStart w:id="331" w:name="_Toc24697"/>
      <w:bookmarkStart w:id="332" w:name="_Toc5051"/>
      <w:bookmarkStart w:id="333" w:name="_Toc8528"/>
      <w:bookmarkStart w:id="334" w:name="_Toc11809"/>
      <w:bookmarkStart w:id="335" w:name="_Toc5168"/>
      <w:bookmarkStart w:id="336" w:name="_Toc8545"/>
      <w:bookmarkStart w:id="337" w:name="_Toc14922"/>
      <w:bookmarkStart w:id="338" w:name="_Toc11223"/>
      <w:bookmarkStart w:id="339" w:name="_Toc2949"/>
      <w:bookmarkStart w:id="340" w:name="_Toc1034"/>
      <w:bookmarkStart w:id="341" w:name="_Toc30373"/>
      <w:bookmarkStart w:id="342" w:name="_Toc22687"/>
      <w:bookmarkStart w:id="343" w:name="_Toc10307"/>
      <w:bookmarkStart w:id="344" w:name="_Toc23862"/>
      <w:bookmarkStart w:id="345" w:name="_Toc23872"/>
      <w:bookmarkStart w:id="346" w:name="_Toc25842"/>
      <w:bookmarkStart w:id="347" w:name="_Toc24450"/>
      <w:r>
        <w:rPr>
          <w:rFonts w:hint="eastAsia" w:ascii="宋体" w:hAnsi="宋体" w:eastAsia="宋体" w:cs="宋体"/>
        </w:rPr>
        <w:t>地下水控制实施过程中，应对地下水及周边环境进行监测。</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6141DBA6">
      <w:pPr>
        <w:pStyle w:val="113"/>
        <w:spacing w:before="0" w:beforeLines="0" w:after="0" w:afterLines="0"/>
        <w:outlineLvl w:val="9"/>
        <w:rPr>
          <w:rFonts w:hint="eastAsia" w:ascii="宋体" w:hAnsi="宋体" w:eastAsia="宋体" w:cs="宋体"/>
        </w:rPr>
      </w:pPr>
      <w:bookmarkStart w:id="348" w:name="_Toc18055"/>
      <w:bookmarkStart w:id="349" w:name="_Toc26310"/>
      <w:bookmarkStart w:id="350" w:name="_Toc32042"/>
      <w:bookmarkStart w:id="351" w:name="_Toc21145"/>
      <w:bookmarkStart w:id="352" w:name="_Toc24202"/>
      <w:bookmarkStart w:id="353" w:name="_Toc26727"/>
      <w:bookmarkStart w:id="354" w:name="_Toc21166"/>
      <w:bookmarkStart w:id="355" w:name="_Toc17668"/>
      <w:bookmarkStart w:id="356" w:name="_Toc15091"/>
      <w:bookmarkStart w:id="357" w:name="_Toc18463"/>
      <w:bookmarkStart w:id="358" w:name="_Toc26827"/>
      <w:bookmarkStart w:id="359" w:name="_Toc840"/>
      <w:bookmarkStart w:id="360" w:name="_Toc6416"/>
      <w:bookmarkStart w:id="361" w:name="_Toc18238"/>
      <w:bookmarkStart w:id="362" w:name="_Toc5030"/>
      <w:bookmarkStart w:id="363" w:name="_Toc19861"/>
      <w:bookmarkStart w:id="364" w:name="_Toc1361"/>
      <w:bookmarkStart w:id="365" w:name="_Toc14142"/>
      <w:bookmarkStart w:id="366" w:name="_Toc24777"/>
      <w:bookmarkStart w:id="367" w:name="_Toc28640"/>
      <w:bookmarkStart w:id="368" w:name="_Toc8068"/>
      <w:bookmarkStart w:id="369" w:name="_Toc7594"/>
      <w:bookmarkStart w:id="370" w:name="_Toc31388"/>
      <w:bookmarkStart w:id="371" w:name="_Toc555"/>
      <w:bookmarkStart w:id="372" w:name="_Toc14664"/>
      <w:bookmarkStart w:id="373" w:name="_Toc23057"/>
      <w:bookmarkStart w:id="374" w:name="_Toc8522"/>
      <w:bookmarkStart w:id="375" w:name="_Toc27200"/>
      <w:bookmarkStart w:id="376" w:name="_Toc9495"/>
      <w:bookmarkStart w:id="377" w:name="_Toc2765"/>
      <w:r>
        <w:rPr>
          <w:rFonts w:hint="eastAsia" w:ascii="宋体" w:hAnsi="宋体" w:eastAsia="宋体" w:cs="宋体"/>
        </w:rPr>
        <w:t>地下水控制应采用动态设计，信息化施工，及时采取防治措施，适时启动应急预案。</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3F22B97">
      <w:pPr>
        <w:pStyle w:val="113"/>
        <w:spacing w:before="0" w:beforeLines="0" w:after="0" w:afterLines="0"/>
        <w:outlineLvl w:val="9"/>
        <w:rPr>
          <w:rFonts w:hint="eastAsia" w:ascii="宋体" w:hAnsi="宋体" w:eastAsia="宋体" w:cs="宋体"/>
        </w:rPr>
      </w:pPr>
      <w:bookmarkStart w:id="378" w:name="_Toc19360"/>
      <w:bookmarkStart w:id="379" w:name="_Toc31526"/>
      <w:bookmarkStart w:id="380" w:name="_Toc30683"/>
      <w:bookmarkStart w:id="381" w:name="_Toc31410"/>
      <w:bookmarkStart w:id="382" w:name="_Toc6344"/>
      <w:bookmarkStart w:id="383" w:name="_Toc18002"/>
      <w:bookmarkStart w:id="384" w:name="_Toc2925"/>
      <w:bookmarkStart w:id="385" w:name="_Toc27347"/>
      <w:bookmarkStart w:id="386" w:name="_Toc12845"/>
      <w:bookmarkStart w:id="387" w:name="_Toc16196"/>
      <w:bookmarkStart w:id="388" w:name="_Toc22058"/>
      <w:bookmarkStart w:id="389" w:name="_Toc28163"/>
      <w:bookmarkStart w:id="390" w:name="_Toc24789"/>
      <w:bookmarkStart w:id="391" w:name="_Toc6102"/>
      <w:bookmarkStart w:id="392" w:name="_Toc16821"/>
      <w:bookmarkStart w:id="393" w:name="_Toc23210"/>
      <w:bookmarkStart w:id="394" w:name="_Toc9016"/>
      <w:bookmarkStart w:id="395" w:name="_Toc12467"/>
      <w:bookmarkStart w:id="396" w:name="_Toc9924"/>
      <w:bookmarkStart w:id="397" w:name="_Toc18731"/>
      <w:bookmarkStart w:id="398" w:name="_Toc25860"/>
      <w:bookmarkStart w:id="399" w:name="_Toc6589"/>
      <w:bookmarkStart w:id="400" w:name="_Toc24989"/>
      <w:bookmarkStart w:id="401" w:name="_Toc9004"/>
      <w:bookmarkStart w:id="402" w:name="_Toc4639"/>
      <w:bookmarkStart w:id="403" w:name="_Toc32255"/>
      <w:bookmarkStart w:id="404" w:name="_Toc31363"/>
      <w:bookmarkStart w:id="405" w:name="_Toc24109"/>
      <w:bookmarkStart w:id="406" w:name="_Toc13249"/>
      <w:bookmarkStart w:id="407" w:name="_Toc4717"/>
      <w:r>
        <w:rPr>
          <w:rFonts w:hint="eastAsia" w:ascii="宋体" w:hAnsi="宋体" w:eastAsia="宋体" w:cs="宋体"/>
        </w:rPr>
        <w:t>地下水控制安全等级应根据工程环境条件、水文地质条件及其特征、基坑开挖深度等按表1划分为三个等级。</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73E28006">
      <w:pPr>
        <w:spacing w:after="156" w:afterLines="50"/>
        <w:jc w:val="center"/>
        <w:rPr>
          <w:rFonts w:hint="eastAsia" w:ascii="黑体" w:hAnsi="黑体" w:eastAsia="黑体" w:cs="宋体"/>
          <w:color w:val="000000"/>
        </w:rPr>
      </w:pPr>
      <w:r>
        <w:rPr>
          <w:rFonts w:hint="eastAsia" w:ascii="黑体" w:hAnsi="黑体" w:eastAsia="黑体" w:cs="宋体"/>
          <w:color w:val="000000"/>
        </w:rPr>
        <w:t>表1  基坑工程地下水控制安全等级</w:t>
      </w:r>
    </w:p>
    <w:tbl>
      <w:tblPr>
        <w:tblStyle w:val="34"/>
        <w:tblW w:w="87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7"/>
        <w:gridCol w:w="666"/>
        <w:gridCol w:w="765"/>
        <w:gridCol w:w="824"/>
        <w:gridCol w:w="902"/>
        <w:gridCol w:w="850"/>
        <w:gridCol w:w="851"/>
        <w:gridCol w:w="850"/>
        <w:gridCol w:w="851"/>
        <w:gridCol w:w="850"/>
      </w:tblGrid>
      <w:tr w14:paraId="3887F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vMerge w:val="restart"/>
            <w:tcBorders>
              <w:top w:val="single" w:color="auto" w:sz="12" w:space="0"/>
              <w:bottom w:val="single" w:color="auto" w:sz="12" w:space="0"/>
            </w:tcBorders>
            <w:vAlign w:val="center"/>
          </w:tcPr>
          <w:p w14:paraId="2810ADFA">
            <w:pPr>
              <w:spacing w:line="240" w:lineRule="auto"/>
              <w:jc w:val="center"/>
              <w:rPr>
                <w:rFonts w:hint="eastAsia" w:ascii="宋体" w:hAnsi="宋体" w:cs="宋体"/>
                <w:sz w:val="18"/>
                <w:szCs w:val="18"/>
              </w:rPr>
            </w:pPr>
            <w:r>
              <w:rPr>
                <w:rFonts w:hint="eastAsia" w:ascii="宋体" w:hAnsi="宋体" w:cs="宋体"/>
                <w:sz w:val="18"/>
                <w:szCs w:val="18"/>
              </w:rPr>
              <w:t>基坑开挖深度</w:t>
            </w:r>
          </w:p>
          <w:p w14:paraId="7D331A82">
            <w:pPr>
              <w:spacing w:line="240" w:lineRule="auto"/>
              <w:jc w:val="center"/>
              <w:rPr>
                <w:rFonts w:hint="eastAsia" w:ascii="宋体" w:hAnsi="宋体" w:cs="宋体"/>
                <w:sz w:val="18"/>
                <w:szCs w:val="18"/>
              </w:rPr>
            </w:pPr>
            <w:r>
              <w:rPr>
                <w:rFonts w:hint="eastAsia" w:ascii="宋体" w:hAnsi="宋体" w:cs="宋体"/>
                <w:i/>
                <w:iCs/>
                <w:sz w:val="18"/>
                <w:szCs w:val="18"/>
              </w:rPr>
              <w:t>H</w:t>
            </w:r>
            <w:r>
              <w:rPr>
                <w:rFonts w:hint="eastAsia" w:ascii="宋体" w:hAnsi="宋体" w:cs="宋体"/>
                <w:sz w:val="18"/>
                <w:szCs w:val="18"/>
              </w:rPr>
              <w:t>（m）</w:t>
            </w:r>
          </w:p>
        </w:tc>
        <w:tc>
          <w:tcPr>
            <w:tcW w:w="7409" w:type="dxa"/>
            <w:gridSpan w:val="9"/>
          </w:tcPr>
          <w:p w14:paraId="105CAE0C">
            <w:pPr>
              <w:spacing w:line="240" w:lineRule="auto"/>
              <w:jc w:val="center"/>
              <w:rPr>
                <w:rFonts w:hint="eastAsia" w:ascii="宋体" w:hAnsi="宋体" w:cs="宋体"/>
                <w:sz w:val="18"/>
                <w:szCs w:val="18"/>
              </w:rPr>
            </w:pPr>
            <w:r>
              <w:rPr>
                <w:rFonts w:hint="eastAsia" w:ascii="宋体" w:hAnsi="宋体" w:cs="宋体"/>
                <w:sz w:val="18"/>
                <w:szCs w:val="18"/>
              </w:rPr>
              <w:t>工程环境条件、水文地质条件及其特征</w:t>
            </w:r>
          </w:p>
        </w:tc>
      </w:tr>
      <w:tr w14:paraId="54A8C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vMerge w:val="continue"/>
            <w:tcBorders>
              <w:top w:val="single" w:color="auto" w:sz="6" w:space="0"/>
              <w:bottom w:val="single" w:color="auto" w:sz="12" w:space="0"/>
            </w:tcBorders>
          </w:tcPr>
          <w:p w14:paraId="56EE2AFD">
            <w:pPr>
              <w:spacing w:line="240" w:lineRule="auto"/>
              <w:jc w:val="center"/>
              <w:rPr>
                <w:rFonts w:hint="eastAsia" w:ascii="宋体" w:hAnsi="宋体" w:cs="宋体"/>
                <w:sz w:val="18"/>
                <w:szCs w:val="18"/>
              </w:rPr>
            </w:pPr>
          </w:p>
        </w:tc>
        <w:tc>
          <w:tcPr>
            <w:tcW w:w="2255" w:type="dxa"/>
            <w:gridSpan w:val="3"/>
            <w:tcBorders>
              <w:bottom w:val="single" w:color="auto" w:sz="6" w:space="0"/>
            </w:tcBorders>
          </w:tcPr>
          <w:p w14:paraId="2FCE6B9C">
            <w:pPr>
              <w:spacing w:line="240" w:lineRule="auto"/>
              <w:jc w:val="center"/>
              <w:rPr>
                <w:rFonts w:hint="eastAsia" w:ascii="宋体" w:hAnsi="宋体" w:cs="宋体"/>
                <w:sz w:val="18"/>
                <w:szCs w:val="18"/>
              </w:rPr>
            </w:pPr>
            <w:r>
              <w:rPr>
                <w:rFonts w:hint="eastAsia" w:ascii="宋体" w:hAnsi="宋体" w:cs="宋体"/>
                <w:i/>
                <w:iCs/>
                <w:sz w:val="18"/>
                <w:szCs w:val="18"/>
              </w:rPr>
              <w:t>a</w:t>
            </w:r>
            <w:r>
              <w:rPr>
                <w:rFonts w:hint="eastAsia" w:ascii="宋体" w:hAnsi="宋体" w:cs="宋体"/>
                <w:sz w:val="18"/>
                <w:szCs w:val="18"/>
              </w:rPr>
              <w:t>＜</w:t>
            </w:r>
            <w:r>
              <w:rPr>
                <w:rFonts w:hint="eastAsia" w:ascii="宋体" w:hAnsi="宋体" w:cs="宋体"/>
                <w:i/>
                <w:iCs/>
                <w:sz w:val="18"/>
                <w:szCs w:val="18"/>
              </w:rPr>
              <w:t>H</w:t>
            </w:r>
          </w:p>
        </w:tc>
        <w:tc>
          <w:tcPr>
            <w:tcW w:w="2603" w:type="dxa"/>
            <w:gridSpan w:val="3"/>
            <w:tcBorders>
              <w:bottom w:val="single" w:color="auto" w:sz="6" w:space="0"/>
            </w:tcBorders>
          </w:tcPr>
          <w:p w14:paraId="2F10670D">
            <w:pPr>
              <w:spacing w:line="240" w:lineRule="auto"/>
              <w:jc w:val="center"/>
              <w:rPr>
                <w:rFonts w:hint="eastAsia" w:ascii="宋体" w:hAnsi="宋体" w:cs="宋体"/>
                <w:sz w:val="18"/>
                <w:szCs w:val="18"/>
              </w:rPr>
            </w:pPr>
            <w:r>
              <w:rPr>
                <w:rFonts w:hint="eastAsia" w:ascii="宋体" w:hAnsi="宋体" w:cs="宋体"/>
                <w:i/>
                <w:iCs/>
                <w:sz w:val="18"/>
                <w:szCs w:val="18"/>
              </w:rPr>
              <w:t>H</w:t>
            </w:r>
            <w:r>
              <w:rPr>
                <w:rFonts w:hint="eastAsia" w:ascii="宋体" w:hAnsi="宋体" w:cs="宋体"/>
                <w:sz w:val="18"/>
                <w:szCs w:val="18"/>
              </w:rPr>
              <w:t>≤</w:t>
            </w:r>
            <w:r>
              <w:rPr>
                <w:rFonts w:hint="eastAsia" w:ascii="宋体" w:hAnsi="宋体" w:cs="宋体"/>
                <w:i/>
                <w:iCs/>
                <w:sz w:val="18"/>
                <w:szCs w:val="18"/>
              </w:rPr>
              <w:t>a</w:t>
            </w:r>
            <w:r>
              <w:rPr>
                <w:rFonts w:hint="eastAsia" w:ascii="宋体" w:hAnsi="宋体" w:cs="宋体"/>
                <w:sz w:val="18"/>
                <w:szCs w:val="18"/>
              </w:rPr>
              <w:t>≤2</w:t>
            </w:r>
            <w:r>
              <w:rPr>
                <w:rFonts w:hint="eastAsia" w:ascii="宋体" w:hAnsi="宋体" w:cs="宋体"/>
                <w:i/>
                <w:iCs/>
                <w:sz w:val="18"/>
                <w:szCs w:val="18"/>
              </w:rPr>
              <w:t>H</w:t>
            </w:r>
          </w:p>
        </w:tc>
        <w:tc>
          <w:tcPr>
            <w:tcW w:w="2551" w:type="dxa"/>
            <w:gridSpan w:val="3"/>
            <w:tcBorders>
              <w:bottom w:val="single" w:color="auto" w:sz="6" w:space="0"/>
            </w:tcBorders>
          </w:tcPr>
          <w:p w14:paraId="22775936">
            <w:pPr>
              <w:spacing w:line="240" w:lineRule="auto"/>
              <w:jc w:val="center"/>
              <w:rPr>
                <w:rFonts w:hint="eastAsia" w:ascii="宋体" w:hAnsi="宋体" w:cs="宋体"/>
                <w:sz w:val="18"/>
                <w:szCs w:val="18"/>
              </w:rPr>
            </w:pPr>
            <w:r>
              <w:rPr>
                <w:rFonts w:hint="eastAsia" w:ascii="宋体" w:hAnsi="宋体" w:cs="宋体"/>
                <w:i/>
                <w:iCs/>
                <w:sz w:val="18"/>
                <w:szCs w:val="18"/>
              </w:rPr>
              <w:t>a</w:t>
            </w:r>
            <w:r>
              <w:rPr>
                <w:rFonts w:hint="eastAsia" w:ascii="宋体" w:hAnsi="宋体" w:cs="宋体"/>
                <w:sz w:val="18"/>
                <w:szCs w:val="18"/>
              </w:rPr>
              <w:t>＞2</w:t>
            </w:r>
            <w:r>
              <w:rPr>
                <w:rFonts w:hint="eastAsia" w:ascii="宋体" w:hAnsi="宋体" w:cs="宋体"/>
                <w:i/>
                <w:iCs/>
                <w:sz w:val="18"/>
                <w:szCs w:val="18"/>
              </w:rPr>
              <w:t>H</w:t>
            </w:r>
          </w:p>
        </w:tc>
      </w:tr>
      <w:tr w14:paraId="1EFA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vMerge w:val="continue"/>
            <w:tcBorders>
              <w:top w:val="single" w:color="auto" w:sz="6" w:space="0"/>
              <w:bottom w:val="single" w:color="auto" w:sz="12" w:space="0"/>
            </w:tcBorders>
          </w:tcPr>
          <w:p w14:paraId="11993E54">
            <w:pPr>
              <w:spacing w:line="240" w:lineRule="auto"/>
              <w:jc w:val="center"/>
              <w:rPr>
                <w:rFonts w:hint="eastAsia" w:ascii="宋体" w:hAnsi="宋体" w:cs="宋体"/>
                <w:sz w:val="18"/>
                <w:szCs w:val="18"/>
              </w:rPr>
            </w:pPr>
          </w:p>
        </w:tc>
        <w:tc>
          <w:tcPr>
            <w:tcW w:w="666" w:type="dxa"/>
            <w:tcBorders>
              <w:top w:val="single" w:color="auto" w:sz="6" w:space="0"/>
              <w:bottom w:val="single" w:color="auto" w:sz="12" w:space="0"/>
            </w:tcBorders>
          </w:tcPr>
          <w:p w14:paraId="4B4F0ECB">
            <w:pPr>
              <w:spacing w:line="240" w:lineRule="auto"/>
              <w:jc w:val="center"/>
              <w:rPr>
                <w:rFonts w:hint="eastAsia" w:ascii="宋体" w:hAnsi="宋体" w:cs="宋体"/>
                <w:sz w:val="18"/>
                <w:szCs w:val="18"/>
              </w:rPr>
            </w:pPr>
            <w:r>
              <w:rPr>
                <w:rFonts w:hint="eastAsia" w:ascii="宋体" w:hAnsi="宋体" w:cs="宋体"/>
                <w:sz w:val="18"/>
                <w:szCs w:val="18"/>
              </w:rPr>
              <w:t>Ⅰ</w:t>
            </w:r>
          </w:p>
        </w:tc>
        <w:tc>
          <w:tcPr>
            <w:tcW w:w="765" w:type="dxa"/>
            <w:tcBorders>
              <w:top w:val="single" w:color="auto" w:sz="6" w:space="0"/>
              <w:bottom w:val="single" w:color="auto" w:sz="12" w:space="0"/>
            </w:tcBorders>
          </w:tcPr>
          <w:p w14:paraId="483B5D8A">
            <w:pPr>
              <w:spacing w:line="240" w:lineRule="auto"/>
              <w:jc w:val="center"/>
              <w:rPr>
                <w:rFonts w:hint="eastAsia" w:ascii="宋体" w:hAnsi="宋体" w:cs="宋体"/>
                <w:sz w:val="18"/>
                <w:szCs w:val="18"/>
              </w:rPr>
            </w:pPr>
            <w:r>
              <w:rPr>
                <w:rFonts w:hint="eastAsia" w:ascii="宋体" w:hAnsi="宋体" w:cs="宋体"/>
                <w:sz w:val="18"/>
                <w:szCs w:val="18"/>
              </w:rPr>
              <w:t>Ⅱ</w:t>
            </w:r>
          </w:p>
        </w:tc>
        <w:tc>
          <w:tcPr>
            <w:tcW w:w="824" w:type="dxa"/>
            <w:tcBorders>
              <w:top w:val="single" w:color="auto" w:sz="6" w:space="0"/>
              <w:bottom w:val="single" w:color="auto" w:sz="12" w:space="0"/>
            </w:tcBorders>
          </w:tcPr>
          <w:p w14:paraId="6C30D19F">
            <w:pPr>
              <w:spacing w:line="240" w:lineRule="auto"/>
              <w:jc w:val="center"/>
              <w:rPr>
                <w:rFonts w:hint="eastAsia" w:ascii="宋体" w:hAnsi="宋体" w:cs="宋体"/>
                <w:sz w:val="18"/>
                <w:szCs w:val="18"/>
              </w:rPr>
            </w:pPr>
            <w:r>
              <w:rPr>
                <w:rFonts w:hint="eastAsia" w:ascii="宋体" w:hAnsi="宋体" w:cs="宋体"/>
                <w:sz w:val="18"/>
                <w:szCs w:val="18"/>
              </w:rPr>
              <w:t>Ⅲ</w:t>
            </w:r>
          </w:p>
        </w:tc>
        <w:tc>
          <w:tcPr>
            <w:tcW w:w="902" w:type="dxa"/>
            <w:tcBorders>
              <w:top w:val="single" w:color="auto" w:sz="6" w:space="0"/>
              <w:bottom w:val="single" w:color="auto" w:sz="12" w:space="0"/>
            </w:tcBorders>
          </w:tcPr>
          <w:p w14:paraId="5B68A221">
            <w:pPr>
              <w:spacing w:line="240" w:lineRule="auto"/>
              <w:jc w:val="center"/>
              <w:rPr>
                <w:rFonts w:hint="eastAsia" w:ascii="宋体" w:hAnsi="宋体" w:cs="宋体"/>
                <w:sz w:val="18"/>
                <w:szCs w:val="18"/>
              </w:rPr>
            </w:pPr>
            <w:r>
              <w:rPr>
                <w:rFonts w:hint="eastAsia" w:ascii="宋体" w:hAnsi="宋体" w:cs="宋体"/>
                <w:sz w:val="18"/>
                <w:szCs w:val="18"/>
              </w:rPr>
              <w:t>Ⅰ</w:t>
            </w:r>
          </w:p>
        </w:tc>
        <w:tc>
          <w:tcPr>
            <w:tcW w:w="850" w:type="dxa"/>
            <w:tcBorders>
              <w:top w:val="single" w:color="auto" w:sz="6" w:space="0"/>
              <w:bottom w:val="single" w:color="auto" w:sz="12" w:space="0"/>
            </w:tcBorders>
          </w:tcPr>
          <w:p w14:paraId="6BB76A6C">
            <w:pPr>
              <w:spacing w:line="240" w:lineRule="auto"/>
              <w:jc w:val="center"/>
              <w:rPr>
                <w:rFonts w:hint="eastAsia" w:ascii="宋体" w:hAnsi="宋体" w:cs="宋体"/>
                <w:sz w:val="18"/>
                <w:szCs w:val="18"/>
              </w:rPr>
            </w:pPr>
            <w:r>
              <w:rPr>
                <w:rFonts w:hint="eastAsia" w:ascii="宋体" w:hAnsi="宋体" w:cs="宋体"/>
                <w:sz w:val="18"/>
                <w:szCs w:val="18"/>
              </w:rPr>
              <w:t>Ⅱ</w:t>
            </w:r>
          </w:p>
        </w:tc>
        <w:tc>
          <w:tcPr>
            <w:tcW w:w="851" w:type="dxa"/>
            <w:tcBorders>
              <w:top w:val="single" w:color="auto" w:sz="6" w:space="0"/>
              <w:bottom w:val="single" w:color="auto" w:sz="12" w:space="0"/>
            </w:tcBorders>
          </w:tcPr>
          <w:p w14:paraId="1BCAA228">
            <w:pPr>
              <w:spacing w:line="240" w:lineRule="auto"/>
              <w:jc w:val="center"/>
              <w:rPr>
                <w:rFonts w:hint="eastAsia" w:ascii="宋体" w:hAnsi="宋体" w:cs="宋体"/>
                <w:sz w:val="18"/>
                <w:szCs w:val="18"/>
              </w:rPr>
            </w:pPr>
            <w:r>
              <w:rPr>
                <w:rFonts w:hint="eastAsia" w:ascii="宋体" w:hAnsi="宋体" w:cs="宋体"/>
                <w:sz w:val="18"/>
                <w:szCs w:val="18"/>
              </w:rPr>
              <w:t>Ⅲ</w:t>
            </w:r>
          </w:p>
        </w:tc>
        <w:tc>
          <w:tcPr>
            <w:tcW w:w="850" w:type="dxa"/>
            <w:tcBorders>
              <w:top w:val="single" w:color="auto" w:sz="6" w:space="0"/>
              <w:bottom w:val="single" w:color="auto" w:sz="12" w:space="0"/>
            </w:tcBorders>
          </w:tcPr>
          <w:p w14:paraId="78674CF4">
            <w:pPr>
              <w:spacing w:line="240" w:lineRule="auto"/>
              <w:jc w:val="center"/>
              <w:rPr>
                <w:rFonts w:hint="eastAsia" w:ascii="宋体" w:hAnsi="宋体" w:cs="宋体"/>
                <w:sz w:val="18"/>
                <w:szCs w:val="18"/>
              </w:rPr>
            </w:pPr>
            <w:r>
              <w:rPr>
                <w:rFonts w:hint="eastAsia" w:ascii="宋体" w:hAnsi="宋体" w:cs="宋体"/>
                <w:sz w:val="18"/>
                <w:szCs w:val="18"/>
              </w:rPr>
              <w:t>Ⅰ</w:t>
            </w:r>
          </w:p>
        </w:tc>
        <w:tc>
          <w:tcPr>
            <w:tcW w:w="851" w:type="dxa"/>
            <w:tcBorders>
              <w:top w:val="single" w:color="auto" w:sz="6" w:space="0"/>
              <w:bottom w:val="single" w:color="auto" w:sz="12" w:space="0"/>
            </w:tcBorders>
          </w:tcPr>
          <w:p w14:paraId="38711C54">
            <w:pPr>
              <w:spacing w:line="240" w:lineRule="auto"/>
              <w:jc w:val="center"/>
              <w:rPr>
                <w:rFonts w:hint="eastAsia" w:ascii="宋体" w:hAnsi="宋体" w:cs="宋体"/>
                <w:sz w:val="18"/>
                <w:szCs w:val="18"/>
              </w:rPr>
            </w:pPr>
            <w:r>
              <w:rPr>
                <w:rFonts w:hint="eastAsia" w:ascii="宋体" w:hAnsi="宋体" w:cs="宋体"/>
                <w:sz w:val="18"/>
                <w:szCs w:val="18"/>
              </w:rPr>
              <w:t>Ⅱ</w:t>
            </w:r>
          </w:p>
        </w:tc>
        <w:tc>
          <w:tcPr>
            <w:tcW w:w="850" w:type="dxa"/>
            <w:tcBorders>
              <w:top w:val="single" w:color="auto" w:sz="6" w:space="0"/>
              <w:bottom w:val="single" w:color="auto" w:sz="12" w:space="0"/>
            </w:tcBorders>
          </w:tcPr>
          <w:p w14:paraId="3CF04743">
            <w:pPr>
              <w:spacing w:line="240" w:lineRule="auto"/>
              <w:jc w:val="center"/>
              <w:rPr>
                <w:rFonts w:hint="eastAsia" w:ascii="宋体" w:hAnsi="宋体" w:cs="宋体"/>
                <w:sz w:val="18"/>
                <w:szCs w:val="18"/>
              </w:rPr>
            </w:pPr>
            <w:r>
              <w:rPr>
                <w:rFonts w:hint="eastAsia" w:ascii="宋体" w:hAnsi="宋体" w:cs="宋体"/>
                <w:sz w:val="18"/>
                <w:szCs w:val="18"/>
              </w:rPr>
              <w:t>Ⅲ</w:t>
            </w:r>
          </w:p>
        </w:tc>
      </w:tr>
      <w:tr w14:paraId="48421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tcBorders>
              <w:top w:val="single" w:color="auto" w:sz="12" w:space="0"/>
            </w:tcBorders>
          </w:tcPr>
          <w:p w14:paraId="1E1398CD">
            <w:pPr>
              <w:spacing w:line="240" w:lineRule="auto"/>
              <w:jc w:val="center"/>
              <w:rPr>
                <w:rFonts w:hint="eastAsia" w:ascii="宋体" w:hAnsi="宋体" w:cs="宋体"/>
                <w:sz w:val="18"/>
                <w:szCs w:val="18"/>
              </w:rPr>
            </w:pPr>
            <w:r>
              <w:rPr>
                <w:rFonts w:hint="eastAsia" w:ascii="宋体" w:hAnsi="宋体" w:cs="宋体"/>
                <w:i/>
                <w:iCs/>
                <w:sz w:val="18"/>
                <w:szCs w:val="18"/>
              </w:rPr>
              <w:t>H</w:t>
            </w:r>
            <w:r>
              <w:rPr>
                <w:rFonts w:hint="eastAsia" w:ascii="宋体" w:hAnsi="宋体" w:cs="宋体"/>
                <w:sz w:val="18"/>
                <w:szCs w:val="18"/>
              </w:rPr>
              <w:t>&gt;15</w:t>
            </w:r>
          </w:p>
        </w:tc>
        <w:tc>
          <w:tcPr>
            <w:tcW w:w="666" w:type="dxa"/>
            <w:tcBorders>
              <w:top w:val="single" w:color="auto" w:sz="12" w:space="0"/>
            </w:tcBorders>
          </w:tcPr>
          <w:p w14:paraId="5013DFFB">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765" w:type="dxa"/>
            <w:tcBorders>
              <w:top w:val="single" w:color="auto" w:sz="12" w:space="0"/>
            </w:tcBorders>
          </w:tcPr>
          <w:p w14:paraId="2095555D">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24" w:type="dxa"/>
            <w:tcBorders>
              <w:top w:val="single" w:color="auto" w:sz="12" w:space="0"/>
            </w:tcBorders>
          </w:tcPr>
          <w:p w14:paraId="440F2A34">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902" w:type="dxa"/>
            <w:tcBorders>
              <w:top w:val="single" w:color="auto" w:sz="12" w:space="0"/>
            </w:tcBorders>
          </w:tcPr>
          <w:p w14:paraId="17154785">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0" w:type="dxa"/>
            <w:tcBorders>
              <w:top w:val="single" w:color="auto" w:sz="12" w:space="0"/>
            </w:tcBorders>
          </w:tcPr>
          <w:p w14:paraId="1DE58E3C">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1" w:type="dxa"/>
            <w:tcBorders>
              <w:top w:val="single" w:color="auto" w:sz="12" w:space="0"/>
            </w:tcBorders>
          </w:tcPr>
          <w:p w14:paraId="4D36FE64">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50" w:type="dxa"/>
            <w:tcBorders>
              <w:top w:val="single" w:color="auto" w:sz="12" w:space="0"/>
            </w:tcBorders>
          </w:tcPr>
          <w:p w14:paraId="56CCC99A">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1" w:type="dxa"/>
            <w:tcBorders>
              <w:top w:val="single" w:color="auto" w:sz="12" w:space="0"/>
            </w:tcBorders>
          </w:tcPr>
          <w:p w14:paraId="2BDCC15A">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50" w:type="dxa"/>
            <w:tcBorders>
              <w:top w:val="single" w:color="auto" w:sz="12" w:space="0"/>
            </w:tcBorders>
          </w:tcPr>
          <w:p w14:paraId="304460C2">
            <w:pPr>
              <w:spacing w:line="240" w:lineRule="auto"/>
              <w:jc w:val="center"/>
              <w:rPr>
                <w:rFonts w:hint="eastAsia" w:ascii="宋体" w:hAnsi="宋体" w:cs="宋体"/>
                <w:sz w:val="18"/>
                <w:szCs w:val="18"/>
              </w:rPr>
            </w:pPr>
            <w:r>
              <w:rPr>
                <w:rFonts w:hint="eastAsia" w:ascii="宋体" w:hAnsi="宋体" w:cs="宋体"/>
                <w:sz w:val="18"/>
                <w:szCs w:val="18"/>
              </w:rPr>
              <w:t>二</w:t>
            </w:r>
          </w:p>
        </w:tc>
      </w:tr>
      <w:tr w14:paraId="04468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tcPr>
          <w:p w14:paraId="29961825">
            <w:pPr>
              <w:spacing w:line="240" w:lineRule="auto"/>
              <w:jc w:val="center"/>
              <w:rPr>
                <w:rFonts w:hint="eastAsia" w:ascii="宋体" w:hAnsi="宋体" w:cs="宋体"/>
                <w:sz w:val="18"/>
                <w:szCs w:val="18"/>
              </w:rPr>
            </w:pPr>
            <w:r>
              <w:rPr>
                <w:rFonts w:hint="eastAsia" w:ascii="宋体" w:hAnsi="宋体" w:cs="宋体"/>
                <w:sz w:val="18"/>
                <w:szCs w:val="18"/>
              </w:rPr>
              <w:t>10&lt;</w:t>
            </w:r>
            <w:r>
              <w:rPr>
                <w:rFonts w:hint="eastAsia" w:ascii="宋体" w:hAnsi="宋体" w:cs="宋体"/>
                <w:i/>
                <w:iCs/>
                <w:sz w:val="18"/>
                <w:szCs w:val="18"/>
              </w:rPr>
              <w:t>H</w:t>
            </w:r>
            <w:r>
              <w:rPr>
                <w:rFonts w:hint="eastAsia" w:ascii="宋体" w:hAnsi="宋体" w:cs="宋体"/>
                <w:sz w:val="18"/>
                <w:szCs w:val="18"/>
              </w:rPr>
              <w:t>≤15</w:t>
            </w:r>
          </w:p>
        </w:tc>
        <w:tc>
          <w:tcPr>
            <w:tcW w:w="666" w:type="dxa"/>
          </w:tcPr>
          <w:p w14:paraId="313350FC">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765" w:type="dxa"/>
          </w:tcPr>
          <w:p w14:paraId="73D745F9">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24" w:type="dxa"/>
          </w:tcPr>
          <w:p w14:paraId="7A89E737">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902" w:type="dxa"/>
          </w:tcPr>
          <w:p w14:paraId="2FBE446C">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0" w:type="dxa"/>
          </w:tcPr>
          <w:p w14:paraId="22854D7A">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51" w:type="dxa"/>
          </w:tcPr>
          <w:p w14:paraId="70183DEE">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0" w:type="dxa"/>
          </w:tcPr>
          <w:p w14:paraId="755E9887">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1" w:type="dxa"/>
          </w:tcPr>
          <w:p w14:paraId="7DDA81E2">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50" w:type="dxa"/>
          </w:tcPr>
          <w:p w14:paraId="06212A62">
            <w:pPr>
              <w:spacing w:line="240" w:lineRule="auto"/>
              <w:jc w:val="center"/>
              <w:rPr>
                <w:rFonts w:hint="eastAsia" w:ascii="宋体" w:hAnsi="宋体" w:cs="宋体"/>
                <w:sz w:val="18"/>
                <w:szCs w:val="18"/>
              </w:rPr>
            </w:pPr>
            <w:r>
              <w:rPr>
                <w:rFonts w:hint="eastAsia" w:ascii="宋体" w:hAnsi="宋体" w:cs="宋体"/>
                <w:sz w:val="18"/>
                <w:szCs w:val="18"/>
              </w:rPr>
              <w:t>三</w:t>
            </w:r>
          </w:p>
        </w:tc>
      </w:tr>
      <w:tr w14:paraId="3024A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07" w:type="dxa"/>
          </w:tcPr>
          <w:p w14:paraId="63780133">
            <w:pPr>
              <w:spacing w:line="240" w:lineRule="auto"/>
              <w:jc w:val="center"/>
              <w:rPr>
                <w:rFonts w:hint="eastAsia" w:ascii="宋体" w:hAnsi="宋体" w:cs="宋体"/>
                <w:sz w:val="18"/>
                <w:szCs w:val="18"/>
              </w:rPr>
            </w:pPr>
            <w:r>
              <w:rPr>
                <w:rFonts w:hint="eastAsia" w:ascii="宋体" w:hAnsi="宋体" w:cs="宋体"/>
                <w:sz w:val="18"/>
                <w:szCs w:val="18"/>
              </w:rPr>
              <w:t>6&lt;</w:t>
            </w:r>
            <w:r>
              <w:rPr>
                <w:rFonts w:hint="eastAsia" w:ascii="宋体" w:hAnsi="宋体" w:cs="宋体"/>
                <w:i/>
                <w:iCs/>
                <w:sz w:val="18"/>
                <w:szCs w:val="18"/>
              </w:rPr>
              <w:t>H</w:t>
            </w:r>
            <w:r>
              <w:rPr>
                <w:rFonts w:hint="eastAsia" w:ascii="宋体" w:hAnsi="宋体" w:cs="宋体"/>
                <w:sz w:val="18"/>
                <w:szCs w:val="18"/>
              </w:rPr>
              <w:t>≤10</w:t>
            </w:r>
          </w:p>
        </w:tc>
        <w:tc>
          <w:tcPr>
            <w:tcW w:w="666" w:type="dxa"/>
          </w:tcPr>
          <w:p w14:paraId="67FD4BF2">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765" w:type="dxa"/>
          </w:tcPr>
          <w:p w14:paraId="0651054A">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24" w:type="dxa"/>
          </w:tcPr>
          <w:p w14:paraId="14804E88">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902" w:type="dxa"/>
          </w:tcPr>
          <w:p w14:paraId="7D79BBAF">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0" w:type="dxa"/>
          </w:tcPr>
          <w:p w14:paraId="0591AC82">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1" w:type="dxa"/>
          </w:tcPr>
          <w:p w14:paraId="4C357ED6">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0" w:type="dxa"/>
          </w:tcPr>
          <w:p w14:paraId="2752CBFF">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1" w:type="dxa"/>
          </w:tcPr>
          <w:p w14:paraId="3EACF37A">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0" w:type="dxa"/>
          </w:tcPr>
          <w:p w14:paraId="2F8981FA">
            <w:pPr>
              <w:spacing w:line="240" w:lineRule="auto"/>
              <w:jc w:val="center"/>
              <w:rPr>
                <w:rFonts w:hint="eastAsia" w:ascii="宋体" w:hAnsi="宋体" w:cs="宋体"/>
                <w:sz w:val="18"/>
                <w:szCs w:val="18"/>
              </w:rPr>
            </w:pPr>
            <w:r>
              <w:rPr>
                <w:rFonts w:hint="eastAsia" w:ascii="宋体" w:hAnsi="宋体" w:cs="宋体"/>
                <w:sz w:val="18"/>
                <w:szCs w:val="18"/>
              </w:rPr>
              <w:t>三</w:t>
            </w:r>
          </w:p>
        </w:tc>
      </w:tr>
      <w:tr w14:paraId="72141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07" w:type="dxa"/>
          </w:tcPr>
          <w:p w14:paraId="5E5AD945">
            <w:pPr>
              <w:spacing w:line="240" w:lineRule="auto"/>
              <w:jc w:val="center"/>
              <w:rPr>
                <w:rFonts w:hint="eastAsia" w:ascii="宋体" w:hAnsi="宋体" w:cs="宋体"/>
                <w:sz w:val="18"/>
                <w:szCs w:val="18"/>
              </w:rPr>
            </w:pPr>
            <w:r>
              <w:rPr>
                <w:rFonts w:hint="eastAsia" w:ascii="宋体" w:hAnsi="宋体" w:cs="宋体"/>
                <w:i/>
                <w:iCs/>
                <w:sz w:val="18"/>
                <w:szCs w:val="18"/>
              </w:rPr>
              <w:t>H</w:t>
            </w:r>
            <w:r>
              <w:rPr>
                <w:rFonts w:hint="eastAsia" w:ascii="宋体" w:hAnsi="宋体" w:cs="宋体"/>
                <w:sz w:val="18"/>
                <w:szCs w:val="18"/>
              </w:rPr>
              <w:t>≤6</w:t>
            </w:r>
          </w:p>
        </w:tc>
        <w:tc>
          <w:tcPr>
            <w:tcW w:w="666" w:type="dxa"/>
          </w:tcPr>
          <w:p w14:paraId="4ECB7F3D">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765" w:type="dxa"/>
          </w:tcPr>
          <w:p w14:paraId="1B912E8B">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24" w:type="dxa"/>
          </w:tcPr>
          <w:p w14:paraId="3591F82B">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902" w:type="dxa"/>
          </w:tcPr>
          <w:p w14:paraId="32EF4F9F">
            <w:pPr>
              <w:spacing w:line="240" w:lineRule="auto"/>
              <w:jc w:val="center"/>
              <w:rPr>
                <w:rFonts w:hint="eastAsia" w:ascii="宋体" w:hAnsi="宋体" w:cs="宋体"/>
                <w:sz w:val="18"/>
                <w:szCs w:val="18"/>
              </w:rPr>
            </w:pPr>
            <w:r>
              <w:rPr>
                <w:rFonts w:hint="eastAsia" w:ascii="宋体" w:hAnsi="宋体" w:cs="宋体"/>
                <w:sz w:val="18"/>
                <w:szCs w:val="18"/>
              </w:rPr>
              <w:t>一</w:t>
            </w:r>
          </w:p>
        </w:tc>
        <w:tc>
          <w:tcPr>
            <w:tcW w:w="850" w:type="dxa"/>
          </w:tcPr>
          <w:p w14:paraId="7848F2DC">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1" w:type="dxa"/>
          </w:tcPr>
          <w:p w14:paraId="5E7A89DF">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0" w:type="dxa"/>
          </w:tcPr>
          <w:p w14:paraId="1F0B472A">
            <w:pPr>
              <w:spacing w:line="240" w:lineRule="auto"/>
              <w:jc w:val="center"/>
              <w:rPr>
                <w:rFonts w:hint="eastAsia" w:ascii="宋体" w:hAnsi="宋体" w:cs="宋体"/>
                <w:sz w:val="18"/>
                <w:szCs w:val="18"/>
              </w:rPr>
            </w:pPr>
            <w:r>
              <w:rPr>
                <w:rFonts w:hint="eastAsia" w:ascii="宋体" w:hAnsi="宋体" w:cs="宋体"/>
                <w:sz w:val="18"/>
                <w:szCs w:val="18"/>
              </w:rPr>
              <w:t>二</w:t>
            </w:r>
          </w:p>
        </w:tc>
        <w:tc>
          <w:tcPr>
            <w:tcW w:w="851" w:type="dxa"/>
          </w:tcPr>
          <w:p w14:paraId="48BBF5EB">
            <w:pPr>
              <w:spacing w:line="240" w:lineRule="auto"/>
              <w:jc w:val="center"/>
              <w:rPr>
                <w:rFonts w:hint="eastAsia" w:ascii="宋体" w:hAnsi="宋体" w:cs="宋体"/>
                <w:sz w:val="18"/>
                <w:szCs w:val="18"/>
              </w:rPr>
            </w:pPr>
            <w:r>
              <w:rPr>
                <w:rFonts w:hint="eastAsia" w:ascii="宋体" w:hAnsi="宋体" w:cs="宋体"/>
                <w:sz w:val="18"/>
                <w:szCs w:val="18"/>
              </w:rPr>
              <w:t>三</w:t>
            </w:r>
          </w:p>
        </w:tc>
        <w:tc>
          <w:tcPr>
            <w:tcW w:w="850" w:type="dxa"/>
          </w:tcPr>
          <w:p w14:paraId="4A884A3F">
            <w:pPr>
              <w:spacing w:line="240" w:lineRule="auto"/>
              <w:jc w:val="center"/>
              <w:rPr>
                <w:rFonts w:hint="eastAsia" w:ascii="宋体" w:hAnsi="宋体" w:cs="宋体"/>
                <w:sz w:val="18"/>
                <w:szCs w:val="18"/>
              </w:rPr>
            </w:pPr>
            <w:r>
              <w:rPr>
                <w:rFonts w:hint="eastAsia" w:ascii="宋体" w:hAnsi="宋体" w:cs="宋体"/>
                <w:sz w:val="18"/>
                <w:szCs w:val="18"/>
              </w:rPr>
              <w:t>三</w:t>
            </w:r>
          </w:p>
        </w:tc>
      </w:tr>
      <w:tr w14:paraId="755B9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8716" w:type="dxa"/>
            <w:gridSpan w:val="10"/>
          </w:tcPr>
          <w:p w14:paraId="59490F9B">
            <w:pPr>
              <w:spacing w:line="240" w:lineRule="auto"/>
              <w:jc w:val="left"/>
              <w:rPr>
                <w:rFonts w:hint="eastAsia" w:ascii="宋体" w:hAnsi="宋体" w:cs="宋体"/>
                <w:sz w:val="18"/>
                <w:szCs w:val="18"/>
              </w:rPr>
            </w:pPr>
            <w:r>
              <w:rPr>
                <w:rFonts w:hint="eastAsia" w:ascii="黑体" w:hAnsi="黑体" w:eastAsia="黑体" w:cs="黑体"/>
                <w:sz w:val="18"/>
                <w:szCs w:val="18"/>
              </w:rPr>
              <w:t>注：</w:t>
            </w:r>
            <w:r>
              <w:rPr>
                <w:rFonts w:hint="eastAsia" w:ascii="宋体" w:hAnsi="宋体" w:cs="宋体"/>
                <w:sz w:val="18"/>
                <w:szCs w:val="18"/>
              </w:rPr>
              <w:t xml:space="preserve">1. </w:t>
            </w:r>
            <w:r>
              <w:rPr>
                <w:rFonts w:hint="eastAsia" w:ascii="宋体" w:hAnsi="宋体" w:cs="宋体"/>
                <w:i/>
                <w:iCs/>
                <w:sz w:val="18"/>
                <w:szCs w:val="18"/>
              </w:rPr>
              <w:t>H</w:t>
            </w:r>
            <w:r>
              <w:rPr>
                <w:rFonts w:hint="eastAsia" w:ascii="宋体" w:hAnsi="宋体" w:cs="宋体"/>
                <w:sz w:val="18"/>
                <w:szCs w:val="18"/>
              </w:rPr>
              <w:t>——基坑计算开挖深度，m。</w:t>
            </w:r>
          </w:p>
          <w:p w14:paraId="171121AD">
            <w:p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 xml:space="preserve">2. </w:t>
            </w:r>
            <w:r>
              <w:rPr>
                <w:rFonts w:hint="eastAsia" w:ascii="宋体" w:hAnsi="宋体" w:cs="宋体"/>
                <w:i/>
                <w:iCs/>
                <w:sz w:val="18"/>
                <w:szCs w:val="18"/>
              </w:rPr>
              <w:t>a</w:t>
            </w:r>
            <w:r>
              <w:rPr>
                <w:rFonts w:hint="eastAsia" w:ascii="宋体" w:hAnsi="宋体" w:cs="宋体"/>
                <w:sz w:val="18"/>
                <w:szCs w:val="18"/>
              </w:rPr>
              <w:t>——道路、管线及邻近建（构）筑物基础边缘离坑口内壁的距离，m。邻近建（构）筑物指采用天然地基、浅基础的永久性建（构）筑物。管线指重要干线、生命线工程或一旦破坏危及公共安全的管线。</w:t>
            </w:r>
          </w:p>
          <w:p w14:paraId="28EF3ACA">
            <w:p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3. 水文地质条件及其特征分类：</w:t>
            </w:r>
          </w:p>
          <w:p w14:paraId="567B7645">
            <w:pPr>
              <w:spacing w:line="240" w:lineRule="auto"/>
              <w:ind w:firstLine="540" w:firstLineChars="300"/>
              <w:jc w:val="left"/>
              <w:rPr>
                <w:rFonts w:hint="eastAsia" w:ascii="宋体" w:hAnsi="宋体" w:cs="宋体"/>
                <w:sz w:val="18"/>
                <w:szCs w:val="18"/>
              </w:rPr>
            </w:pPr>
            <w:r>
              <w:rPr>
                <w:rFonts w:hint="eastAsia" w:ascii="宋体" w:hAnsi="宋体" w:cs="宋体"/>
                <w:sz w:val="18"/>
                <w:szCs w:val="18"/>
              </w:rPr>
              <w:t>Ⅰ——一级阶地、河漫滩、局部富水古河道的地下水。</w:t>
            </w:r>
          </w:p>
          <w:p w14:paraId="76C29683">
            <w:pPr>
              <w:spacing w:line="240" w:lineRule="auto"/>
              <w:ind w:firstLine="540" w:firstLineChars="300"/>
              <w:jc w:val="left"/>
              <w:rPr>
                <w:rFonts w:hint="eastAsia" w:ascii="宋体" w:hAnsi="宋体" w:cs="宋体"/>
                <w:sz w:val="18"/>
                <w:szCs w:val="18"/>
              </w:rPr>
            </w:pPr>
            <w:r>
              <w:rPr>
                <w:rFonts w:hint="eastAsia" w:ascii="宋体" w:hAnsi="宋体" w:cs="宋体"/>
                <w:sz w:val="18"/>
                <w:szCs w:val="18"/>
              </w:rPr>
              <w:t>Ⅱ——二级阶地、古河道、富水的剥蚀堆积平原区碎石层及富含岩溶水的强发育岩溶区的地下水。</w:t>
            </w:r>
          </w:p>
          <w:p w14:paraId="60EDB72F">
            <w:pPr>
              <w:spacing w:line="240" w:lineRule="auto"/>
              <w:ind w:firstLine="540" w:firstLineChars="300"/>
              <w:jc w:val="left"/>
              <w:rPr>
                <w:rFonts w:hint="eastAsia" w:ascii="宋体" w:hAnsi="宋体" w:cs="宋体"/>
                <w:sz w:val="18"/>
                <w:szCs w:val="18"/>
              </w:rPr>
            </w:pPr>
            <w:r>
              <w:rPr>
                <w:rFonts w:hint="eastAsia" w:ascii="宋体" w:hAnsi="宋体" w:cs="宋体"/>
                <w:sz w:val="18"/>
                <w:szCs w:val="18"/>
              </w:rPr>
              <w:t>Ⅲ——剥蚀堆积平原及低山丘陵区碎石层</w:t>
            </w:r>
            <w:r>
              <w:rPr>
                <w:rStyle w:val="40"/>
                <w:rFonts w:hint="eastAsia" w:ascii="宋体" w:hAnsi="宋体" w:cs="宋体"/>
                <w:sz w:val="18"/>
                <w:szCs w:val="18"/>
              </w:rPr>
              <w:t>中</w:t>
            </w:r>
            <w:r>
              <w:rPr>
                <w:rFonts w:hint="eastAsia" w:ascii="宋体" w:hAnsi="宋体" w:cs="宋体"/>
                <w:sz w:val="18"/>
                <w:szCs w:val="18"/>
              </w:rPr>
              <w:t>的地下水、基岩裂隙水及中～弱发育岩溶区的地下水。</w:t>
            </w:r>
          </w:p>
          <w:p w14:paraId="1F59D2CB">
            <w:pPr>
              <w:numPr>
                <w:ilvl w:val="0"/>
                <w:numId w:val="33"/>
              </w:num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邻近建（构）筑物为文物建筑或优秀历史建筑，或邻近堤防、铁路、地铁的基坑工程，其安全等级按提高一级考虑。</w:t>
            </w:r>
          </w:p>
        </w:tc>
      </w:tr>
    </w:tbl>
    <w:p w14:paraId="6799456E">
      <w:pPr>
        <w:pStyle w:val="113"/>
        <w:spacing w:before="156" w:after="0" w:afterLines="0"/>
        <w:outlineLvl w:val="9"/>
        <w:rPr>
          <w:rFonts w:hint="eastAsia" w:ascii="宋体" w:hAnsi="宋体" w:eastAsia="宋体" w:cs="宋体"/>
        </w:rPr>
      </w:pPr>
      <w:bookmarkStart w:id="408" w:name="_Toc21412"/>
      <w:bookmarkStart w:id="409" w:name="_Toc31236"/>
      <w:bookmarkStart w:id="410" w:name="_Toc1983"/>
      <w:bookmarkStart w:id="411" w:name="_Toc856"/>
      <w:bookmarkStart w:id="412" w:name="_Toc2508"/>
      <w:bookmarkStart w:id="413" w:name="_Toc27989"/>
      <w:bookmarkStart w:id="414" w:name="_Toc19309"/>
      <w:bookmarkStart w:id="415" w:name="_Toc16011"/>
      <w:bookmarkStart w:id="416" w:name="_Toc19443"/>
      <w:bookmarkStart w:id="417" w:name="_Toc29212"/>
      <w:bookmarkStart w:id="418" w:name="_Toc26353"/>
      <w:bookmarkStart w:id="419" w:name="_Toc9192"/>
      <w:bookmarkStart w:id="420" w:name="_Toc18963"/>
      <w:bookmarkStart w:id="421" w:name="_Toc26861"/>
      <w:bookmarkStart w:id="422" w:name="_Toc2876"/>
      <w:bookmarkStart w:id="423" w:name="_Toc6711"/>
      <w:bookmarkStart w:id="424" w:name="_Toc6837"/>
      <w:bookmarkStart w:id="425" w:name="_Toc18315"/>
      <w:bookmarkStart w:id="426" w:name="_Toc16039"/>
      <w:bookmarkStart w:id="427" w:name="_Toc2926"/>
      <w:bookmarkStart w:id="428" w:name="_Toc15323"/>
      <w:bookmarkStart w:id="429" w:name="_Toc28823"/>
      <w:bookmarkStart w:id="430" w:name="_Toc31148"/>
      <w:bookmarkStart w:id="431" w:name="_Toc24701"/>
      <w:bookmarkStart w:id="432" w:name="_Toc4715"/>
      <w:bookmarkStart w:id="433" w:name="_Toc26913"/>
      <w:bookmarkStart w:id="434" w:name="_Toc1426"/>
      <w:bookmarkStart w:id="435" w:name="_Toc31484"/>
      <w:bookmarkStart w:id="436" w:name="_Toc16921"/>
      <w:bookmarkStart w:id="437" w:name="_Toc16504"/>
      <w:r>
        <w:rPr>
          <w:rFonts w:hint="eastAsia" w:ascii="宋体" w:hAnsi="宋体" w:eastAsia="宋体" w:cs="宋体"/>
        </w:rPr>
        <w:t>存在下列情况之一的地下水控制工程应进行专项研究，地下水控制设计及施工方案应进行专项论证：</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1DD3614">
      <w:pPr>
        <w:pStyle w:val="182"/>
        <w:numPr>
          <w:ilvl w:val="0"/>
          <w:numId w:val="34"/>
        </w:numPr>
        <w:ind w:left="845" w:hanging="425"/>
      </w:pPr>
      <w:r>
        <w:rPr>
          <w:rFonts w:hint="eastAsia"/>
        </w:rPr>
        <w:t>富含岩溶水且需要对岩溶水进行控制的基坑工程；</w:t>
      </w:r>
    </w:p>
    <w:p w14:paraId="4DF4D6BD">
      <w:pPr>
        <w:pStyle w:val="182"/>
        <w:numPr>
          <w:ilvl w:val="0"/>
          <w:numId w:val="34"/>
        </w:numPr>
        <w:ind w:left="845" w:hanging="425"/>
      </w:pPr>
      <w:r>
        <w:rPr>
          <w:rFonts w:hint="eastAsia"/>
        </w:rPr>
        <w:t>基坑降水深度≥20 m；</w:t>
      </w:r>
    </w:p>
    <w:p w14:paraId="01AD4378">
      <w:pPr>
        <w:pStyle w:val="182"/>
        <w:numPr>
          <w:ilvl w:val="0"/>
          <w:numId w:val="34"/>
        </w:numPr>
        <w:ind w:left="845" w:hanging="425"/>
      </w:pPr>
      <w:r>
        <w:rPr>
          <w:rFonts w:hint="eastAsia"/>
        </w:rPr>
        <w:t>对水资源及环境保护有特殊要求。</w:t>
      </w:r>
    </w:p>
    <w:p w14:paraId="0471A611">
      <w:pPr>
        <w:pStyle w:val="112"/>
        <w:spacing w:before="312" w:after="312"/>
      </w:pPr>
      <w:bookmarkStart w:id="438" w:name="_Toc15964"/>
      <w:bookmarkStart w:id="439" w:name="_Toc15840"/>
      <w:r>
        <w:rPr>
          <w:rFonts w:hint="eastAsia"/>
        </w:rPr>
        <w:t>水文地质勘察</w:t>
      </w:r>
      <w:bookmarkEnd w:id="438"/>
      <w:bookmarkEnd w:id="439"/>
    </w:p>
    <w:p w14:paraId="11B8B10B">
      <w:pPr>
        <w:pStyle w:val="113"/>
        <w:spacing w:before="156" w:after="156"/>
      </w:pPr>
      <w:bookmarkStart w:id="440" w:name="_Toc27759"/>
      <w:bookmarkStart w:id="441" w:name="_Toc142730168"/>
      <w:bookmarkStart w:id="442" w:name="_Toc8889"/>
      <w:r>
        <w:rPr>
          <w:rFonts w:hint="eastAsia"/>
        </w:rPr>
        <w:t>一般规定</w:t>
      </w:r>
      <w:bookmarkEnd w:id="440"/>
      <w:bookmarkEnd w:id="441"/>
      <w:bookmarkEnd w:id="442"/>
    </w:p>
    <w:p w14:paraId="2E5FE481">
      <w:pPr>
        <w:pStyle w:val="173"/>
      </w:pPr>
      <w:r>
        <w:rPr>
          <w:rFonts w:hint="eastAsia"/>
        </w:rPr>
        <w:t>水文地质勘察宜与岩土工程勘察同步进行，工程需要时应进行专项水文地质勘察。</w:t>
      </w:r>
    </w:p>
    <w:p w14:paraId="0F28C3A9">
      <w:pPr>
        <w:pStyle w:val="173"/>
      </w:pPr>
      <w:r>
        <w:rPr>
          <w:rFonts w:hint="eastAsia"/>
        </w:rPr>
        <w:t>水文地质勘察应结合工程特点和场地水文地质条件，综合采取水文地质测绘、水文地质钻探、水文地质试验等多种勘察手段和方法进行。</w:t>
      </w:r>
    </w:p>
    <w:p w14:paraId="0AC55288">
      <w:pPr>
        <w:pStyle w:val="173"/>
        <w:rPr>
          <w:rFonts w:ascii="Times New Roman"/>
        </w:rPr>
      </w:pPr>
      <w:r>
        <w:rPr>
          <w:rFonts w:hint="eastAsia"/>
        </w:rPr>
        <w:t>水文地质勘察工作应包括下列主要内容：</w:t>
      </w:r>
      <w:r>
        <w:rPr>
          <w:rFonts w:hint="eastAsia" w:ascii="Times New Roman"/>
        </w:rPr>
        <w:t> </w:t>
      </w:r>
    </w:p>
    <w:p w14:paraId="05E5705E">
      <w:pPr>
        <w:pStyle w:val="182"/>
        <w:numPr>
          <w:ilvl w:val="0"/>
          <w:numId w:val="35"/>
        </w:numPr>
        <w:ind w:left="845" w:hanging="425"/>
      </w:pPr>
      <w:r>
        <w:rPr>
          <w:rFonts w:hint="eastAsia"/>
        </w:rPr>
        <w:t>收集场地及周边工程地质、水文地质基础资料、对工程有影响的邻近地表水体的水位变化情况、地下水位的季节变化和年变化幅度，收集场地及其周边既有给排水管道的渗漏情况、已有的地下水控制工程等资料；</w:t>
      </w:r>
    </w:p>
    <w:p w14:paraId="5A010549">
      <w:pPr>
        <w:pStyle w:val="182"/>
        <w:numPr>
          <w:ilvl w:val="0"/>
          <w:numId w:val="35"/>
        </w:numPr>
        <w:ind w:left="845" w:hanging="425"/>
      </w:pPr>
      <w:r>
        <w:rPr>
          <w:rFonts w:hint="eastAsia"/>
        </w:rPr>
        <w:t>查明地下水的类型和赋存状态，查明主要含水层和隔水层的埋藏条件，主要含水层的分布规律；</w:t>
      </w:r>
    </w:p>
    <w:p w14:paraId="66EA5595">
      <w:pPr>
        <w:pStyle w:val="182"/>
        <w:numPr>
          <w:ilvl w:val="0"/>
          <w:numId w:val="35"/>
        </w:numPr>
        <w:ind w:left="845" w:hanging="425"/>
      </w:pPr>
      <w:r>
        <w:rPr>
          <w:rFonts w:hint="eastAsia"/>
        </w:rPr>
        <w:t>查明地下水的补给、径流、排泄条件，当临近地表水体可能对工程有影响时，应重点查明两者的水力联系；</w:t>
      </w:r>
    </w:p>
    <w:p w14:paraId="3E7ADB0A">
      <w:pPr>
        <w:pStyle w:val="182"/>
        <w:numPr>
          <w:ilvl w:val="0"/>
          <w:numId w:val="35"/>
        </w:numPr>
        <w:ind w:left="845" w:hanging="425"/>
      </w:pPr>
      <w:r>
        <w:rPr>
          <w:rFonts w:hint="eastAsia"/>
        </w:rPr>
        <w:t>查明地下水控制工程影响范围内各含水层的地下水水位及其动态变化特征，提出合理的抗浮设防水位建议；</w:t>
      </w:r>
    </w:p>
    <w:p w14:paraId="6F582545">
      <w:pPr>
        <w:pStyle w:val="182"/>
        <w:numPr>
          <w:ilvl w:val="0"/>
          <w:numId w:val="35"/>
        </w:numPr>
        <w:ind w:left="845" w:hanging="425"/>
      </w:pPr>
      <w:r>
        <w:rPr>
          <w:rFonts w:hint="eastAsia"/>
        </w:rPr>
        <w:t>提出地下水控制设计所需的水文地质参数，提出地下水控制方法的建议。</w:t>
      </w:r>
    </w:p>
    <w:p w14:paraId="746B81D1">
      <w:pPr>
        <w:pStyle w:val="173"/>
      </w:pPr>
      <w:r>
        <w:rPr>
          <w:rFonts w:hint="eastAsia"/>
        </w:rPr>
        <w:t>在膨胀岩土、红黏土、软土、填土、风化岩等特殊性岩土场地，应根据工程需要和工程地质条件，查明地下水对特殊岩土的影响。</w:t>
      </w:r>
    </w:p>
    <w:p w14:paraId="29FF1843">
      <w:pPr>
        <w:pStyle w:val="173"/>
      </w:pPr>
      <w:r>
        <w:rPr>
          <w:rFonts w:hint="eastAsia"/>
        </w:rPr>
        <w:t>污染场地的水文地质勘察应按</w:t>
      </w:r>
      <w:r>
        <w:t>《</w:t>
      </w:r>
      <w:r>
        <w:rPr>
          <w:rFonts w:hint="eastAsia"/>
        </w:rPr>
        <w:t>污染场地工程勘察技术规程</w:t>
      </w:r>
      <w:r>
        <w:t>》（DB42/T 2155）</w:t>
      </w:r>
      <w:r>
        <w:rPr>
          <w:rFonts w:hint="eastAsia"/>
        </w:rPr>
        <w:t>相关规定执行。</w:t>
      </w:r>
    </w:p>
    <w:p w14:paraId="3E3845ED">
      <w:pPr>
        <w:pStyle w:val="113"/>
        <w:spacing w:before="156" w:after="156"/>
      </w:pPr>
      <w:bookmarkStart w:id="443" w:name="_Toc14671"/>
      <w:bookmarkStart w:id="444" w:name="_Toc32440"/>
      <w:r>
        <w:rPr>
          <w:rFonts w:hint="eastAsia"/>
        </w:rPr>
        <w:t>水文地质测绘</w:t>
      </w:r>
      <w:bookmarkEnd w:id="443"/>
      <w:bookmarkEnd w:id="444"/>
      <w:r>
        <w:rPr>
          <w:rFonts w:hint="eastAsia"/>
        </w:rPr>
        <w:t xml:space="preserve"> </w:t>
      </w:r>
    </w:p>
    <w:p w14:paraId="7C93A431">
      <w:pPr>
        <w:pStyle w:val="173"/>
      </w:pPr>
      <w:r>
        <w:rPr>
          <w:rFonts w:hint="eastAsia"/>
        </w:rPr>
        <w:t>水文地质测绘应覆盖场地及周边影响范围，重点调查地表水体分布、泉眼出露、植被异常、土壤盐渍化等水文地质标志。</w:t>
      </w:r>
    </w:p>
    <w:p w14:paraId="028D408D">
      <w:pPr>
        <w:pStyle w:val="173"/>
      </w:pPr>
      <w:r>
        <w:rPr>
          <w:rFonts w:hint="eastAsia"/>
        </w:rPr>
        <w:t>水文地质测绘应在搜集和研究已有工程地质、水文地质资料基础上与工程地质测绘一并或单独进行。</w:t>
      </w:r>
    </w:p>
    <w:p w14:paraId="1F60A0FA">
      <w:pPr>
        <w:pStyle w:val="173"/>
      </w:pPr>
      <w:r>
        <w:rPr>
          <w:rFonts w:hint="eastAsia"/>
        </w:rPr>
        <w:t>水文地质测绘宜涵盖与工程有关的一个或多个完整的水文地质单元。</w:t>
      </w:r>
    </w:p>
    <w:p w14:paraId="61D511E5">
      <w:pPr>
        <w:pStyle w:val="173"/>
      </w:pPr>
      <w:r>
        <w:rPr>
          <w:rFonts w:hint="eastAsia"/>
        </w:rPr>
        <w:t>测绘内容应包括地表水体分布、地下水露头位置、泉群出露特征、岩溶发育程度、断层破碎带及含水层富水性等关键要素，并结合遥感解译与野外实地验证，确保资料的系统性与可靠性。</w:t>
      </w:r>
    </w:p>
    <w:p w14:paraId="5529494F">
      <w:pPr>
        <w:pStyle w:val="173"/>
      </w:pPr>
      <w:r>
        <w:rPr>
          <w:rFonts w:hint="eastAsia"/>
        </w:rPr>
        <w:t>水文地质测绘比例尺不小于1:5000。</w:t>
      </w:r>
    </w:p>
    <w:p w14:paraId="08093CD6">
      <w:pPr>
        <w:pStyle w:val="173"/>
      </w:pPr>
      <w:r>
        <w:rPr>
          <w:rFonts w:hint="eastAsia"/>
        </w:rPr>
        <w:t>水文地质测绘的观测线路宜按下列要求布置：</w:t>
      </w:r>
    </w:p>
    <w:p w14:paraId="48E792A6">
      <w:pPr>
        <w:pStyle w:val="182"/>
        <w:numPr>
          <w:ilvl w:val="0"/>
          <w:numId w:val="36"/>
        </w:numPr>
        <w:ind w:left="845" w:hanging="425"/>
      </w:pPr>
      <w:r>
        <w:rPr>
          <w:rFonts w:hint="eastAsia"/>
        </w:rPr>
        <w:t>沿地貌变化显著的方向，垂直和平行河谷的方向；</w:t>
      </w:r>
    </w:p>
    <w:p w14:paraId="063934FB">
      <w:pPr>
        <w:pStyle w:val="182"/>
        <w:numPr>
          <w:ilvl w:val="0"/>
          <w:numId w:val="36"/>
        </w:numPr>
        <w:ind w:left="845" w:hanging="425"/>
      </w:pPr>
      <w:r>
        <w:rPr>
          <w:rFonts w:hint="eastAsia"/>
        </w:rPr>
        <w:t>垂直地层、主要构造线的走向，沿埋藏条件复杂的含水层、含水带的走向；</w:t>
      </w:r>
    </w:p>
    <w:p w14:paraId="758EB05F">
      <w:pPr>
        <w:pStyle w:val="182"/>
        <w:numPr>
          <w:ilvl w:val="0"/>
          <w:numId w:val="36"/>
        </w:numPr>
        <w:ind w:left="845" w:hanging="425"/>
      </w:pPr>
      <w:r>
        <w:rPr>
          <w:rFonts w:hint="eastAsia"/>
        </w:rPr>
        <w:t>穿越地下水露头较多的地带；</w:t>
      </w:r>
    </w:p>
    <w:p w14:paraId="10B45926">
      <w:pPr>
        <w:pStyle w:val="182"/>
        <w:numPr>
          <w:ilvl w:val="0"/>
          <w:numId w:val="36"/>
        </w:numPr>
        <w:ind w:left="845" w:hanging="425"/>
      </w:pPr>
      <w:r>
        <w:rPr>
          <w:rFonts w:hint="eastAsia"/>
        </w:rPr>
        <w:t>地表水系、破碎带、含水层与隔水层或不同地貌单元分界部位等。</w:t>
      </w:r>
    </w:p>
    <w:p w14:paraId="3B414DFE">
      <w:pPr>
        <w:pStyle w:val="173"/>
      </w:pPr>
      <w:r>
        <w:rPr>
          <w:rFonts w:hint="eastAsia"/>
        </w:rPr>
        <w:t>观测点宜布置在下列地点：</w:t>
      </w:r>
    </w:p>
    <w:p w14:paraId="17B3BA33">
      <w:pPr>
        <w:pStyle w:val="182"/>
        <w:numPr>
          <w:ilvl w:val="0"/>
          <w:numId w:val="37"/>
        </w:numPr>
        <w:ind w:left="845" w:hanging="425"/>
      </w:pPr>
      <w:r>
        <w:rPr>
          <w:rFonts w:hint="eastAsia"/>
        </w:rPr>
        <w:t>地层界线、断层线、褶皱轴线、岩浆岩与围岩接触带、标志层、典型露头和岩性、岩相变化带等；</w:t>
      </w:r>
    </w:p>
    <w:p w14:paraId="583E03A3">
      <w:pPr>
        <w:pStyle w:val="182"/>
        <w:numPr>
          <w:ilvl w:val="0"/>
          <w:numId w:val="37"/>
        </w:numPr>
        <w:ind w:left="845" w:hanging="425"/>
      </w:pPr>
      <w:r>
        <w:rPr>
          <w:rFonts w:hint="eastAsia"/>
        </w:rPr>
        <w:t>地貌分界线和自然地质现象发育处；</w:t>
      </w:r>
    </w:p>
    <w:p w14:paraId="53478118">
      <w:pPr>
        <w:pStyle w:val="182"/>
        <w:numPr>
          <w:ilvl w:val="0"/>
          <w:numId w:val="37"/>
        </w:numPr>
        <w:ind w:left="845" w:hanging="425"/>
      </w:pPr>
      <w:r>
        <w:rPr>
          <w:rFonts w:hint="eastAsia"/>
        </w:rPr>
        <w:t>井、泉、钻孔、矿井、地表坍陷、岩溶水点(如暗河出人口、落水洞、地下湖)和地表水体等。</w:t>
      </w:r>
    </w:p>
    <w:p w14:paraId="1C69F53D">
      <w:pPr>
        <w:pStyle w:val="113"/>
        <w:spacing w:before="156" w:after="156"/>
      </w:pPr>
      <w:bookmarkStart w:id="445" w:name="_Toc142730169"/>
      <w:bookmarkStart w:id="446" w:name="_Toc27699"/>
      <w:bookmarkStart w:id="447" w:name="_Toc13476"/>
      <w:r>
        <w:rPr>
          <w:rFonts w:hint="eastAsia"/>
        </w:rPr>
        <w:t>水文地质</w:t>
      </w:r>
      <w:bookmarkEnd w:id="445"/>
      <w:bookmarkEnd w:id="446"/>
      <w:r>
        <w:rPr>
          <w:rFonts w:hint="eastAsia"/>
        </w:rPr>
        <w:t>钻探</w:t>
      </w:r>
      <w:bookmarkEnd w:id="447"/>
    </w:p>
    <w:p w14:paraId="6F18D3E7">
      <w:pPr>
        <w:pStyle w:val="173"/>
      </w:pPr>
      <w:r>
        <w:rPr>
          <w:rFonts w:hint="eastAsia"/>
        </w:rPr>
        <w:t>水文地质钻探应在水文地质测绘的基础上进行，钻孔布置应符合下列要求：</w:t>
      </w:r>
    </w:p>
    <w:p w14:paraId="05DE6D03">
      <w:pPr>
        <w:pStyle w:val="182"/>
        <w:numPr>
          <w:ilvl w:val="0"/>
          <w:numId w:val="38"/>
        </w:numPr>
        <w:ind w:left="845" w:hanging="425"/>
      </w:pPr>
      <w:r>
        <w:rPr>
          <w:rFonts w:hint="eastAsia"/>
        </w:rPr>
        <w:t>水文地质钻探孔布置应能控制对工程有影响的所有含水层，并满足地下水控制工程设计的要求；</w:t>
      </w:r>
    </w:p>
    <w:p w14:paraId="028A2915">
      <w:pPr>
        <w:pStyle w:val="182"/>
        <w:numPr>
          <w:ilvl w:val="0"/>
          <w:numId w:val="38"/>
        </w:numPr>
        <w:ind w:left="845" w:hanging="425"/>
      </w:pPr>
      <w:r>
        <w:rPr>
          <w:rFonts w:hint="eastAsia"/>
        </w:rPr>
        <w:t>当水文地质勘察与岩土工程勘察同步进行时，水文地质钻孔宜与岩土工程钻孔合并布置；当进行专项水文地质勘察时，水文地质钻孔的数量宜根据地下水控制工程等级按表2确定；</w:t>
      </w:r>
    </w:p>
    <w:p w14:paraId="3053BD40">
      <w:pPr>
        <w:pStyle w:val="173"/>
      </w:pPr>
      <w:r>
        <w:rPr>
          <w:rFonts w:hint="eastAsia"/>
        </w:rPr>
        <w:t>抽水试验井、观测井的布置应符合下列要求：</w:t>
      </w:r>
    </w:p>
    <w:p w14:paraId="3577CC78">
      <w:pPr>
        <w:pStyle w:val="182"/>
        <w:numPr>
          <w:ilvl w:val="0"/>
          <w:numId w:val="39"/>
        </w:numPr>
        <w:ind w:left="845" w:hanging="425"/>
      </w:pPr>
      <w:r>
        <w:rPr>
          <w:rFonts w:hint="eastAsia"/>
        </w:rPr>
        <w:t>地下水控制等级为一、二级的基坑工程，应进行现场抽水试验，抽水试验孔和观测孔的数量根据地下水控制工程等级按表2确定；</w:t>
      </w:r>
    </w:p>
    <w:p w14:paraId="47AC1ABC">
      <w:pPr>
        <w:pStyle w:val="182"/>
        <w:numPr>
          <w:ilvl w:val="0"/>
          <w:numId w:val="39"/>
        </w:numPr>
        <w:ind w:left="845" w:hanging="425"/>
      </w:pPr>
      <w:r>
        <w:rPr>
          <w:rFonts w:hint="eastAsia"/>
        </w:rPr>
        <w:t>对地下水控制设计与施工有影响的多层含水层，应分层进行抽水试验，提供各含水层的有关水文地质参数，对于互层土，尚宜结合室内渗透试验，综合判断其水平向和竖直向渗透系数；</w:t>
      </w:r>
    </w:p>
    <w:p w14:paraId="68AC84DC">
      <w:pPr>
        <w:pStyle w:val="182"/>
        <w:numPr>
          <w:ilvl w:val="0"/>
          <w:numId w:val="39"/>
        </w:numPr>
        <w:ind w:left="845" w:hanging="425"/>
      </w:pPr>
      <w:r>
        <w:rPr>
          <w:rFonts w:hint="eastAsia"/>
        </w:rPr>
        <w:t>距离抽水试验井最近的第一口观测井应避开三维流和紊流的影响，两者距离不宜小于5.0 m，第二口观测井与抽水试验井之间的距离不宜小于10.0 m。</w:t>
      </w:r>
    </w:p>
    <w:p w14:paraId="3F832EC5">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表2  水文地质勘探孔及抽水试验孔、观测孔数量表</w:t>
      </w:r>
    </w:p>
    <w:tbl>
      <w:tblPr>
        <w:tblStyle w:val="33"/>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735"/>
        <w:gridCol w:w="1000"/>
        <w:gridCol w:w="735"/>
        <w:gridCol w:w="780"/>
        <w:gridCol w:w="936"/>
        <w:gridCol w:w="717"/>
        <w:gridCol w:w="626"/>
        <w:gridCol w:w="941"/>
        <w:gridCol w:w="690"/>
      </w:tblGrid>
      <w:tr w14:paraId="1F4F0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458" w:type="dxa"/>
            <w:tcBorders>
              <w:bottom w:val="single" w:color="auto" w:sz="12" w:space="0"/>
            </w:tcBorders>
            <w:vAlign w:val="center"/>
          </w:tcPr>
          <w:p w14:paraId="4C594A09">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地下水控制等级</w:t>
            </w:r>
          </w:p>
        </w:tc>
        <w:tc>
          <w:tcPr>
            <w:tcW w:w="2470" w:type="dxa"/>
            <w:gridSpan w:val="3"/>
            <w:tcBorders>
              <w:bottom w:val="single" w:color="auto" w:sz="12" w:space="0"/>
            </w:tcBorders>
            <w:vAlign w:val="center"/>
          </w:tcPr>
          <w:p w14:paraId="41B63955">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一级</w:t>
            </w:r>
          </w:p>
        </w:tc>
        <w:tc>
          <w:tcPr>
            <w:tcW w:w="2433" w:type="dxa"/>
            <w:gridSpan w:val="3"/>
            <w:tcBorders>
              <w:bottom w:val="single" w:color="auto" w:sz="12" w:space="0"/>
            </w:tcBorders>
            <w:vAlign w:val="center"/>
          </w:tcPr>
          <w:p w14:paraId="1453E9F6">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二级</w:t>
            </w:r>
          </w:p>
        </w:tc>
        <w:tc>
          <w:tcPr>
            <w:tcW w:w="2257" w:type="dxa"/>
            <w:gridSpan w:val="3"/>
            <w:tcBorders>
              <w:bottom w:val="single" w:color="auto" w:sz="12" w:space="0"/>
            </w:tcBorders>
            <w:vAlign w:val="center"/>
          </w:tcPr>
          <w:p w14:paraId="67A226DD">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三级</w:t>
            </w:r>
          </w:p>
        </w:tc>
      </w:tr>
      <w:tr w14:paraId="482E1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58" w:type="dxa"/>
            <w:tcBorders>
              <w:top w:val="single" w:color="auto" w:sz="12" w:space="0"/>
              <w:tl2br w:val="nil"/>
              <w:tr2bl w:val="nil"/>
            </w:tcBorders>
            <w:vAlign w:val="center"/>
          </w:tcPr>
          <w:p w14:paraId="15F4296E">
            <w:pPr>
              <w:snapToGrid w:val="0"/>
              <w:spacing w:line="240" w:lineRule="auto"/>
              <w:jc w:val="center"/>
              <w:rPr>
                <w:rFonts w:hint="eastAsia" w:ascii="宋体" w:hAnsi="宋体" w:cs="宋体"/>
                <w:sz w:val="18"/>
                <w:szCs w:val="18"/>
              </w:rPr>
            </w:pPr>
            <w:r>
              <w:rPr>
                <w:rFonts w:hint="eastAsia" w:ascii="宋体" w:hAnsi="宋体" w:cs="宋体"/>
                <w:sz w:val="18"/>
                <w:szCs w:val="18"/>
              </w:rPr>
              <w:t>类型</w:t>
            </w:r>
          </w:p>
        </w:tc>
        <w:tc>
          <w:tcPr>
            <w:tcW w:w="735" w:type="dxa"/>
            <w:tcBorders>
              <w:top w:val="single" w:color="auto" w:sz="12" w:space="0"/>
              <w:tl2br w:val="nil"/>
              <w:tr2bl w:val="nil"/>
            </w:tcBorders>
            <w:vAlign w:val="center"/>
          </w:tcPr>
          <w:p w14:paraId="36A708A1">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勘探孔</w:t>
            </w:r>
          </w:p>
        </w:tc>
        <w:tc>
          <w:tcPr>
            <w:tcW w:w="1000" w:type="dxa"/>
            <w:tcBorders>
              <w:top w:val="single" w:color="auto" w:sz="12" w:space="0"/>
              <w:tl2br w:val="nil"/>
              <w:tr2bl w:val="nil"/>
            </w:tcBorders>
            <w:vAlign w:val="center"/>
          </w:tcPr>
          <w:p w14:paraId="4FA0D20B">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抽水试验孔</w:t>
            </w:r>
          </w:p>
        </w:tc>
        <w:tc>
          <w:tcPr>
            <w:tcW w:w="735" w:type="dxa"/>
            <w:tcBorders>
              <w:top w:val="single" w:color="auto" w:sz="12" w:space="0"/>
              <w:tl2br w:val="nil"/>
              <w:tr2bl w:val="nil"/>
            </w:tcBorders>
            <w:vAlign w:val="center"/>
          </w:tcPr>
          <w:p w14:paraId="77C6B22E">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观测井</w:t>
            </w:r>
          </w:p>
        </w:tc>
        <w:tc>
          <w:tcPr>
            <w:tcW w:w="780" w:type="dxa"/>
            <w:tcBorders>
              <w:top w:val="single" w:color="auto" w:sz="12" w:space="0"/>
              <w:tl2br w:val="nil"/>
              <w:tr2bl w:val="nil"/>
            </w:tcBorders>
            <w:vAlign w:val="center"/>
          </w:tcPr>
          <w:p w14:paraId="75E7798A">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勘探孔</w:t>
            </w:r>
          </w:p>
        </w:tc>
        <w:tc>
          <w:tcPr>
            <w:tcW w:w="936" w:type="dxa"/>
            <w:tcBorders>
              <w:top w:val="single" w:color="auto" w:sz="12" w:space="0"/>
              <w:tl2br w:val="nil"/>
              <w:tr2bl w:val="nil"/>
            </w:tcBorders>
            <w:vAlign w:val="center"/>
          </w:tcPr>
          <w:p w14:paraId="00D6FF25">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抽水试验孔</w:t>
            </w:r>
          </w:p>
        </w:tc>
        <w:tc>
          <w:tcPr>
            <w:tcW w:w="717" w:type="dxa"/>
            <w:tcBorders>
              <w:top w:val="single" w:color="auto" w:sz="12" w:space="0"/>
              <w:tl2br w:val="nil"/>
              <w:tr2bl w:val="nil"/>
            </w:tcBorders>
            <w:vAlign w:val="center"/>
          </w:tcPr>
          <w:p w14:paraId="4724BFA6">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观测孔</w:t>
            </w:r>
          </w:p>
        </w:tc>
        <w:tc>
          <w:tcPr>
            <w:tcW w:w="626" w:type="dxa"/>
            <w:tcBorders>
              <w:top w:val="single" w:color="auto" w:sz="12" w:space="0"/>
              <w:tl2br w:val="nil"/>
              <w:tr2bl w:val="nil"/>
            </w:tcBorders>
            <w:vAlign w:val="center"/>
          </w:tcPr>
          <w:p w14:paraId="169E2BD5">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勘探孔</w:t>
            </w:r>
          </w:p>
        </w:tc>
        <w:tc>
          <w:tcPr>
            <w:tcW w:w="941" w:type="dxa"/>
            <w:tcBorders>
              <w:top w:val="single" w:color="auto" w:sz="12" w:space="0"/>
              <w:tl2br w:val="nil"/>
              <w:tr2bl w:val="nil"/>
            </w:tcBorders>
            <w:vAlign w:val="center"/>
          </w:tcPr>
          <w:p w14:paraId="0351B26A">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抽水试验孔</w:t>
            </w:r>
          </w:p>
        </w:tc>
        <w:tc>
          <w:tcPr>
            <w:tcW w:w="690" w:type="dxa"/>
            <w:tcBorders>
              <w:top w:val="single" w:color="auto" w:sz="12" w:space="0"/>
              <w:tl2br w:val="nil"/>
              <w:tr2bl w:val="nil"/>
            </w:tcBorders>
            <w:vAlign w:val="center"/>
          </w:tcPr>
          <w:p w14:paraId="360CE9E5">
            <w:pPr>
              <w:spacing w:line="240" w:lineRule="auto"/>
              <w:ind w:left="-99" w:leftChars="-47" w:right="-109" w:rightChars="-52"/>
              <w:jc w:val="center"/>
              <w:rPr>
                <w:rFonts w:hint="eastAsia" w:ascii="宋体" w:hAnsi="宋体" w:cs="宋体"/>
                <w:sz w:val="18"/>
                <w:szCs w:val="18"/>
              </w:rPr>
            </w:pPr>
            <w:r>
              <w:rPr>
                <w:rFonts w:hint="eastAsia" w:ascii="宋体" w:hAnsi="宋体" w:cs="宋体"/>
                <w:sz w:val="18"/>
                <w:szCs w:val="18"/>
              </w:rPr>
              <w:t>观测孔</w:t>
            </w:r>
          </w:p>
        </w:tc>
      </w:tr>
      <w:tr w14:paraId="3E938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458" w:type="dxa"/>
            <w:tcBorders>
              <w:tl2br w:val="nil"/>
              <w:tr2bl w:val="nil"/>
            </w:tcBorders>
            <w:vAlign w:val="center"/>
          </w:tcPr>
          <w:p w14:paraId="2F718645">
            <w:pPr>
              <w:spacing w:line="240" w:lineRule="auto"/>
              <w:jc w:val="center"/>
              <w:rPr>
                <w:rFonts w:hint="eastAsia" w:ascii="宋体" w:hAnsi="宋体" w:cs="宋体"/>
                <w:sz w:val="18"/>
                <w:szCs w:val="18"/>
              </w:rPr>
            </w:pPr>
            <w:r>
              <w:rPr>
                <w:rFonts w:hint="eastAsia" w:ascii="宋体" w:hAnsi="宋体" w:cs="宋体"/>
                <w:sz w:val="18"/>
                <w:szCs w:val="18"/>
              </w:rPr>
              <w:t>数量</w:t>
            </w:r>
          </w:p>
        </w:tc>
        <w:tc>
          <w:tcPr>
            <w:tcW w:w="735" w:type="dxa"/>
            <w:tcBorders>
              <w:tl2br w:val="nil"/>
              <w:tr2bl w:val="nil"/>
            </w:tcBorders>
            <w:vAlign w:val="center"/>
          </w:tcPr>
          <w:p w14:paraId="00F5B738">
            <w:pPr>
              <w:spacing w:line="240" w:lineRule="auto"/>
              <w:jc w:val="center"/>
              <w:rPr>
                <w:rFonts w:hint="eastAsia" w:ascii="宋体" w:hAnsi="宋体" w:cs="宋体"/>
                <w:sz w:val="18"/>
                <w:szCs w:val="18"/>
              </w:rPr>
            </w:pPr>
            <w:r>
              <w:rPr>
                <w:rFonts w:hint="eastAsia" w:ascii="宋体" w:hAnsi="宋体" w:cs="宋体"/>
                <w:sz w:val="18"/>
                <w:szCs w:val="18"/>
              </w:rPr>
              <w:t>8</w:t>
            </w:r>
          </w:p>
        </w:tc>
        <w:tc>
          <w:tcPr>
            <w:tcW w:w="1000" w:type="dxa"/>
            <w:tcBorders>
              <w:tl2br w:val="nil"/>
              <w:tr2bl w:val="nil"/>
            </w:tcBorders>
            <w:vAlign w:val="center"/>
          </w:tcPr>
          <w:p w14:paraId="1D4AFE7B">
            <w:pPr>
              <w:spacing w:line="240" w:lineRule="auto"/>
              <w:jc w:val="center"/>
              <w:rPr>
                <w:rFonts w:hint="eastAsia" w:ascii="宋体" w:hAnsi="宋体" w:cs="宋体"/>
                <w:sz w:val="18"/>
                <w:szCs w:val="18"/>
              </w:rPr>
            </w:pPr>
            <w:r>
              <w:rPr>
                <w:rFonts w:hint="eastAsia" w:ascii="宋体" w:hAnsi="宋体" w:cs="宋体"/>
                <w:sz w:val="18"/>
                <w:szCs w:val="18"/>
              </w:rPr>
              <w:t>2</w:t>
            </w:r>
          </w:p>
        </w:tc>
        <w:tc>
          <w:tcPr>
            <w:tcW w:w="735" w:type="dxa"/>
            <w:tcBorders>
              <w:tl2br w:val="nil"/>
              <w:tr2bl w:val="nil"/>
            </w:tcBorders>
            <w:vAlign w:val="center"/>
          </w:tcPr>
          <w:p w14:paraId="6FD85AF6">
            <w:pPr>
              <w:spacing w:line="240" w:lineRule="auto"/>
              <w:jc w:val="center"/>
              <w:rPr>
                <w:rFonts w:hint="eastAsia" w:ascii="宋体" w:hAnsi="宋体" w:cs="宋体"/>
                <w:sz w:val="18"/>
                <w:szCs w:val="18"/>
              </w:rPr>
            </w:pPr>
            <w:r>
              <w:rPr>
                <w:rFonts w:hint="eastAsia" w:ascii="宋体" w:hAnsi="宋体" w:cs="宋体"/>
                <w:sz w:val="18"/>
                <w:szCs w:val="18"/>
              </w:rPr>
              <w:t>4</w:t>
            </w:r>
          </w:p>
        </w:tc>
        <w:tc>
          <w:tcPr>
            <w:tcW w:w="780" w:type="dxa"/>
            <w:tcBorders>
              <w:tl2br w:val="nil"/>
              <w:tr2bl w:val="nil"/>
            </w:tcBorders>
            <w:vAlign w:val="center"/>
          </w:tcPr>
          <w:p w14:paraId="052D41E7">
            <w:pPr>
              <w:spacing w:line="240" w:lineRule="auto"/>
              <w:jc w:val="center"/>
              <w:rPr>
                <w:rFonts w:hint="eastAsia" w:ascii="宋体" w:hAnsi="宋体" w:cs="宋体"/>
                <w:strike/>
                <w:sz w:val="18"/>
                <w:szCs w:val="18"/>
              </w:rPr>
            </w:pPr>
            <w:r>
              <w:rPr>
                <w:rFonts w:hint="eastAsia" w:ascii="宋体" w:hAnsi="宋体" w:cs="宋体"/>
                <w:sz w:val="18"/>
                <w:szCs w:val="18"/>
              </w:rPr>
              <w:t>4</w:t>
            </w:r>
          </w:p>
        </w:tc>
        <w:tc>
          <w:tcPr>
            <w:tcW w:w="936" w:type="dxa"/>
            <w:tcBorders>
              <w:tl2br w:val="nil"/>
              <w:tr2bl w:val="nil"/>
            </w:tcBorders>
            <w:vAlign w:val="center"/>
          </w:tcPr>
          <w:p w14:paraId="2D189CD4">
            <w:pPr>
              <w:spacing w:line="240" w:lineRule="auto"/>
              <w:jc w:val="center"/>
              <w:rPr>
                <w:rFonts w:hint="eastAsia" w:ascii="宋体" w:hAnsi="宋体" w:cs="宋体"/>
                <w:sz w:val="18"/>
                <w:szCs w:val="18"/>
              </w:rPr>
            </w:pPr>
            <w:r>
              <w:rPr>
                <w:rFonts w:hint="eastAsia" w:ascii="宋体" w:hAnsi="宋体" w:cs="宋体"/>
                <w:sz w:val="18"/>
                <w:szCs w:val="18"/>
              </w:rPr>
              <w:t>1</w:t>
            </w:r>
          </w:p>
        </w:tc>
        <w:tc>
          <w:tcPr>
            <w:tcW w:w="717" w:type="dxa"/>
            <w:tcBorders>
              <w:tl2br w:val="nil"/>
              <w:tr2bl w:val="nil"/>
            </w:tcBorders>
            <w:vAlign w:val="center"/>
          </w:tcPr>
          <w:p w14:paraId="3549255C">
            <w:pPr>
              <w:spacing w:line="240" w:lineRule="auto"/>
              <w:jc w:val="center"/>
              <w:rPr>
                <w:rFonts w:hint="eastAsia" w:ascii="宋体" w:hAnsi="宋体" w:cs="宋体"/>
                <w:sz w:val="18"/>
                <w:szCs w:val="18"/>
              </w:rPr>
            </w:pPr>
            <w:r>
              <w:rPr>
                <w:rFonts w:hint="eastAsia" w:ascii="宋体" w:hAnsi="宋体" w:cs="宋体"/>
                <w:sz w:val="18"/>
                <w:szCs w:val="18"/>
              </w:rPr>
              <w:t>2</w:t>
            </w:r>
          </w:p>
        </w:tc>
        <w:tc>
          <w:tcPr>
            <w:tcW w:w="626" w:type="dxa"/>
            <w:tcBorders>
              <w:tl2br w:val="nil"/>
              <w:tr2bl w:val="nil"/>
            </w:tcBorders>
            <w:vAlign w:val="center"/>
          </w:tcPr>
          <w:p w14:paraId="2531BB85">
            <w:pPr>
              <w:spacing w:line="240" w:lineRule="auto"/>
              <w:jc w:val="center"/>
              <w:rPr>
                <w:rFonts w:hint="eastAsia" w:ascii="宋体" w:hAnsi="宋体" w:cs="宋体"/>
                <w:sz w:val="18"/>
                <w:szCs w:val="18"/>
              </w:rPr>
            </w:pPr>
            <w:r>
              <w:rPr>
                <w:rFonts w:hint="eastAsia" w:ascii="宋体" w:hAnsi="宋体" w:cs="宋体"/>
                <w:sz w:val="18"/>
                <w:szCs w:val="18"/>
              </w:rPr>
              <w:t>3</w:t>
            </w:r>
          </w:p>
        </w:tc>
        <w:tc>
          <w:tcPr>
            <w:tcW w:w="941" w:type="dxa"/>
            <w:tcBorders>
              <w:tl2br w:val="nil"/>
              <w:tr2bl w:val="nil"/>
            </w:tcBorders>
            <w:vAlign w:val="center"/>
          </w:tcPr>
          <w:p w14:paraId="26B46D5D">
            <w:pPr>
              <w:spacing w:line="240" w:lineRule="auto"/>
              <w:jc w:val="center"/>
              <w:rPr>
                <w:rFonts w:hint="eastAsia" w:ascii="宋体" w:hAnsi="宋体" w:cs="宋体"/>
                <w:sz w:val="18"/>
                <w:szCs w:val="18"/>
              </w:rPr>
            </w:pPr>
            <w:r>
              <w:rPr>
                <w:rFonts w:hint="eastAsia" w:ascii="宋体" w:hAnsi="宋体" w:cs="宋体"/>
                <w:sz w:val="18"/>
                <w:szCs w:val="18"/>
              </w:rPr>
              <w:t>—</w:t>
            </w:r>
          </w:p>
        </w:tc>
        <w:tc>
          <w:tcPr>
            <w:tcW w:w="690" w:type="dxa"/>
            <w:tcBorders>
              <w:tl2br w:val="nil"/>
              <w:tr2bl w:val="nil"/>
            </w:tcBorders>
            <w:vAlign w:val="center"/>
          </w:tcPr>
          <w:p w14:paraId="34D64A90">
            <w:pPr>
              <w:spacing w:line="240" w:lineRule="auto"/>
              <w:jc w:val="center"/>
              <w:rPr>
                <w:rFonts w:hint="eastAsia" w:ascii="宋体" w:hAnsi="宋体" w:cs="宋体"/>
                <w:sz w:val="18"/>
                <w:szCs w:val="18"/>
              </w:rPr>
            </w:pPr>
            <w:r>
              <w:rPr>
                <w:rFonts w:hint="eastAsia" w:ascii="宋体" w:hAnsi="宋体" w:cs="宋体"/>
                <w:sz w:val="18"/>
                <w:szCs w:val="18"/>
              </w:rPr>
              <w:t>—</w:t>
            </w:r>
          </w:p>
        </w:tc>
      </w:tr>
    </w:tbl>
    <w:p w14:paraId="39213955">
      <w:pPr>
        <w:pStyle w:val="216"/>
      </w:pPr>
      <w:bookmarkStart w:id="448" w:name="_Toc20407"/>
      <w:bookmarkStart w:id="449" w:name="_Toc15271"/>
      <w:bookmarkStart w:id="450" w:name="_Toc15593"/>
      <w:bookmarkStart w:id="451" w:name="_Toc21361"/>
      <w:bookmarkStart w:id="452" w:name="_Toc27293"/>
      <w:bookmarkStart w:id="453" w:name="_Toc31998"/>
      <w:r>
        <w:rPr>
          <w:rFonts w:hint="eastAsia" w:hAnsi="黑体" w:cs="黑体"/>
        </w:rPr>
        <w:t>注：</w:t>
      </w:r>
      <w:r>
        <w:rPr>
          <w:rFonts w:hint="eastAsia"/>
        </w:rPr>
        <w:t>水文地质勘探孔及抽水试验孔、观测孔数量不宜少于表中数量。</w:t>
      </w:r>
      <w:bookmarkEnd w:id="448"/>
      <w:bookmarkEnd w:id="449"/>
      <w:bookmarkEnd w:id="450"/>
      <w:bookmarkEnd w:id="451"/>
      <w:bookmarkEnd w:id="452"/>
      <w:bookmarkEnd w:id="453"/>
    </w:p>
    <w:p w14:paraId="4C3966E0">
      <w:pPr>
        <w:pStyle w:val="173"/>
        <w:numPr>
          <w:ilvl w:val="3"/>
          <w:numId w:val="0"/>
        </w:numPr>
      </w:pPr>
    </w:p>
    <w:p w14:paraId="49D383EC">
      <w:pPr>
        <w:pStyle w:val="173"/>
      </w:pPr>
      <w:r>
        <w:rPr>
          <w:rFonts w:hint="eastAsia"/>
        </w:rPr>
        <w:t>当场地存在互层土层时，应布置静力触探孔，数量不宜少于岩土工程勘探孔总数量的1/3。</w:t>
      </w:r>
    </w:p>
    <w:p w14:paraId="06B12028">
      <w:pPr>
        <w:pStyle w:val="173"/>
      </w:pPr>
      <w:r>
        <w:rPr>
          <w:rFonts w:hint="eastAsia"/>
        </w:rPr>
        <w:t>水文地质钻孔的深度应能控制对工程有影响的含水层及隔水层，并满足地下水控制工程设计要求。</w:t>
      </w:r>
    </w:p>
    <w:p w14:paraId="478AC2B6">
      <w:pPr>
        <w:pStyle w:val="173"/>
      </w:pPr>
      <w:r>
        <w:rPr>
          <w:rFonts w:hint="eastAsia"/>
        </w:rPr>
        <w:t>钻探</w:t>
      </w:r>
      <w:r>
        <w:t xml:space="preserve">孔的钻进和成孔工艺，宜符合下列要求： </w:t>
      </w:r>
    </w:p>
    <w:p w14:paraId="7076886B">
      <w:pPr>
        <w:pStyle w:val="182"/>
        <w:numPr>
          <w:ilvl w:val="0"/>
          <w:numId w:val="40"/>
        </w:numPr>
        <w:ind w:left="845" w:hanging="425"/>
      </w:pPr>
      <w:r>
        <w:rPr>
          <w:rFonts w:hint="eastAsia"/>
        </w:rPr>
        <w:t>钻探终孔孔径不宜小于91mm；</w:t>
      </w:r>
    </w:p>
    <w:p w14:paraId="17781531">
      <w:pPr>
        <w:pStyle w:val="182"/>
        <w:numPr>
          <w:ilvl w:val="0"/>
          <w:numId w:val="40"/>
        </w:numPr>
        <w:ind w:left="845" w:hanging="425"/>
      </w:pPr>
      <w:r>
        <w:rPr>
          <w:rFonts w:hint="eastAsia"/>
        </w:rPr>
        <w:t>在地下水位以上松散填土及其他易坍塌的岩土层钻进时，可采用套管护壁；</w:t>
      </w:r>
    </w:p>
    <w:p w14:paraId="031FF9FA">
      <w:pPr>
        <w:pStyle w:val="182"/>
        <w:numPr>
          <w:ilvl w:val="0"/>
          <w:numId w:val="40"/>
        </w:numPr>
        <w:ind w:left="845" w:hanging="425"/>
      </w:pPr>
      <w:r>
        <w:rPr>
          <w:rFonts w:hint="eastAsia"/>
        </w:rPr>
        <w:t>在地下水位以下的饱和软黏性土层、粉土层、砂土层钻进时，宜采用泥浆护壁；在碎石土、破碎岩层钻进取芯困难时，可采取植物胶浆液护壁结合单动双管钻具钻进；当冲洗液漏失严重时，应采取充填、封闭等堵漏措施；</w:t>
      </w:r>
    </w:p>
    <w:p w14:paraId="357AA55E">
      <w:pPr>
        <w:pStyle w:val="182"/>
        <w:numPr>
          <w:ilvl w:val="0"/>
          <w:numId w:val="40"/>
        </w:numPr>
        <w:ind w:left="845" w:hanging="425"/>
      </w:pPr>
      <w:r>
        <w:rPr>
          <w:rFonts w:hint="eastAsia"/>
        </w:rPr>
        <w:t>钻进回次进尺应根据岩土地层情况、钻进方法及工艺要求等确定，钻进回次及岩芯采取率应满足《建筑工程地质勘探与取样技术规程》JGJ/T 87的有关规定。</w:t>
      </w:r>
    </w:p>
    <w:p w14:paraId="27A598C7">
      <w:pPr>
        <w:pStyle w:val="173"/>
      </w:pPr>
      <w:r>
        <w:t>抽水试验</w:t>
      </w:r>
      <w:r>
        <w:rPr>
          <w:rFonts w:hint="eastAsia"/>
        </w:rPr>
        <w:t>孔</w:t>
      </w:r>
      <w:r>
        <w:t>、观测</w:t>
      </w:r>
      <w:r>
        <w:rPr>
          <w:rFonts w:hint="eastAsia"/>
        </w:rPr>
        <w:t>孔</w:t>
      </w:r>
      <w:r>
        <w:t>的钻进和成孔工艺，</w:t>
      </w:r>
      <w:r>
        <w:rPr>
          <w:rFonts w:hint="eastAsia"/>
        </w:rPr>
        <w:t>应</w:t>
      </w:r>
      <w:r>
        <w:t xml:space="preserve">符合下列要求： </w:t>
      </w:r>
    </w:p>
    <w:p w14:paraId="1DB6B8FD">
      <w:pPr>
        <w:pStyle w:val="182"/>
        <w:numPr>
          <w:ilvl w:val="0"/>
          <w:numId w:val="41"/>
        </w:numPr>
        <w:ind w:left="845" w:hanging="425"/>
      </w:pPr>
      <w:r>
        <w:rPr>
          <w:rFonts w:hint="eastAsia"/>
        </w:rPr>
        <w:t>抽水试验孔、观测孔的钻进方法和钻具应根据地层特性、场地条件、井身结构和钻进设备等因素确定，可按附录B选择；</w:t>
      </w:r>
    </w:p>
    <w:p w14:paraId="0CC7A148">
      <w:pPr>
        <w:pStyle w:val="182"/>
        <w:numPr>
          <w:ilvl w:val="0"/>
          <w:numId w:val="41"/>
        </w:numPr>
        <w:ind w:left="845" w:hanging="425"/>
      </w:pPr>
      <w:r>
        <w:rPr>
          <w:rFonts w:hint="eastAsia"/>
        </w:rPr>
        <w:t>钻进的护壁方法应根据地层岩性、钻进方法确定；在基岩中宜采用清水钻进；在钻进主要含水层时，严禁采用向井身内投放黏土代替泥浆护壁；当采用水压护壁冲击钻进时，应保持井身内水位高于地下水静水位；</w:t>
      </w:r>
    </w:p>
    <w:p w14:paraId="0278B4E5">
      <w:pPr>
        <w:pStyle w:val="182"/>
        <w:numPr>
          <w:ilvl w:val="0"/>
          <w:numId w:val="41"/>
        </w:numPr>
        <w:ind w:left="845" w:hanging="425"/>
      </w:pPr>
      <w:r>
        <w:rPr>
          <w:rFonts w:hint="eastAsia"/>
        </w:rPr>
        <w:t>成孔完成后</w:t>
      </w:r>
      <w:r>
        <w:rPr>
          <w:rFonts w:hint="eastAsia"/>
          <w:szCs w:val="21"/>
        </w:rPr>
        <w:t>，应按成井工艺要求完成验孔、置换泥浆、安装井管、围填滤料、实施止水、洗井清理等工序</w:t>
      </w:r>
      <w:r>
        <w:rPr>
          <w:rFonts w:hint="eastAsia"/>
        </w:rPr>
        <w:t>；</w:t>
      </w:r>
    </w:p>
    <w:p w14:paraId="0C1E6630">
      <w:pPr>
        <w:pStyle w:val="182"/>
        <w:numPr>
          <w:ilvl w:val="0"/>
          <w:numId w:val="41"/>
        </w:numPr>
        <w:ind w:left="845" w:hanging="425"/>
      </w:pPr>
      <w:r>
        <w:rPr>
          <w:rFonts w:hint="eastAsia"/>
        </w:rPr>
        <w:t>洗井方法有水泵洗井、活塞洗井、空压机洗井及联合洗井等，可根据成井施工工艺、井管直径按附录B选用；</w:t>
      </w:r>
    </w:p>
    <w:p w14:paraId="1C6C119C">
      <w:pPr>
        <w:pStyle w:val="182"/>
        <w:numPr>
          <w:ilvl w:val="0"/>
          <w:numId w:val="41"/>
        </w:numPr>
        <w:ind w:left="845" w:hanging="425"/>
      </w:pPr>
      <w:r>
        <w:rPr>
          <w:rFonts w:hint="eastAsia"/>
        </w:rPr>
        <w:t>抽水试验孔应满足成井和抽水设备安装的要求，在松散层中井管内径不宜小于250 mm，成孔孔径不应小于450 mm；在基岩中抽水试验井成孔孔径不宜小于150 mm；观测井应满足目标含水层水位观测的要求，观测井井管内径不宜小于70 mm；</w:t>
      </w:r>
    </w:p>
    <w:p w14:paraId="164E5E9C">
      <w:pPr>
        <w:pStyle w:val="182"/>
        <w:numPr>
          <w:ilvl w:val="0"/>
          <w:numId w:val="41"/>
        </w:numPr>
        <w:ind w:left="845" w:hanging="425"/>
      </w:pPr>
      <w:r>
        <w:rPr>
          <w:rFonts w:hint="eastAsia"/>
        </w:rPr>
        <w:t>抽水试验孔的钻进和成孔工艺除满足上述规定外，尚应满足DB42/T 830的有关规定。</w:t>
      </w:r>
    </w:p>
    <w:p w14:paraId="5AAB9A6C">
      <w:pPr>
        <w:pStyle w:val="173"/>
      </w:pPr>
      <w:r>
        <w:rPr>
          <w:rFonts w:hint="eastAsia"/>
        </w:rPr>
        <w:t>用作渗透试验的土样应取Ⅰ或Ⅱ级样，用作颗粒分析试验的土样可取扰动样；采取颗粒分析试验的土样，每件土样质量应不小于表3的数值</w:t>
      </w:r>
      <w:r>
        <w:t>。</w:t>
      </w:r>
    </w:p>
    <w:p w14:paraId="2641B819">
      <w:pPr>
        <w:spacing w:before="156" w:beforeLines="50" w:after="156" w:afterLines="50"/>
        <w:jc w:val="center"/>
        <w:rPr>
          <w:rFonts w:hint="eastAsia" w:ascii="黑体" w:hAnsi="黑体" w:eastAsia="黑体" w:cs="宋体"/>
          <w:color w:val="000000"/>
        </w:rPr>
      </w:pPr>
      <w:r>
        <w:rPr>
          <w:rFonts w:ascii="黑体" w:hAnsi="黑体" w:eastAsia="黑体" w:cs="宋体"/>
          <w:color w:val="000000"/>
        </w:rPr>
        <w:t>表</w:t>
      </w:r>
      <w:r>
        <w:rPr>
          <w:rFonts w:hint="eastAsia" w:ascii="黑体" w:hAnsi="黑体" w:eastAsia="黑体" w:cs="宋体"/>
          <w:color w:val="000000"/>
        </w:rPr>
        <w:t>3  每件土样的取样质量表</w:t>
      </w:r>
    </w:p>
    <w:tbl>
      <w:tblPr>
        <w:tblStyle w:val="34"/>
        <w:tblW w:w="85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192"/>
        <w:gridCol w:w="2379"/>
        <w:gridCol w:w="2238"/>
      </w:tblGrid>
      <w:tr w14:paraId="0D30F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35" w:type="dxa"/>
            <w:tcBorders>
              <w:bottom w:val="single" w:color="auto" w:sz="12" w:space="0"/>
            </w:tcBorders>
            <w:vAlign w:val="center"/>
          </w:tcPr>
          <w:p w14:paraId="08B5717B">
            <w:pPr>
              <w:widowControl/>
              <w:jc w:val="center"/>
              <w:rPr>
                <w:kern w:val="0"/>
                <w:sz w:val="18"/>
                <w:szCs w:val="18"/>
              </w:rPr>
            </w:pPr>
            <w:r>
              <w:rPr>
                <w:rFonts w:hint="eastAsia" w:ascii="宋体" w:hAnsi="宋体" w:cs="宋体"/>
                <w:kern w:val="0"/>
                <w:sz w:val="18"/>
                <w:szCs w:val="18"/>
              </w:rPr>
              <w:t>土层</w:t>
            </w:r>
          </w:p>
        </w:tc>
        <w:tc>
          <w:tcPr>
            <w:tcW w:w="2192" w:type="dxa"/>
            <w:tcBorders>
              <w:bottom w:val="single" w:color="auto" w:sz="12" w:space="0"/>
            </w:tcBorders>
            <w:vAlign w:val="center"/>
          </w:tcPr>
          <w:p w14:paraId="78DDD8CC">
            <w:pPr>
              <w:widowControl/>
              <w:jc w:val="center"/>
              <w:rPr>
                <w:kern w:val="0"/>
                <w:sz w:val="18"/>
                <w:szCs w:val="18"/>
              </w:rPr>
            </w:pPr>
            <w:r>
              <w:rPr>
                <w:rFonts w:hint="eastAsia" w:ascii="宋体" w:hAnsi="宋体" w:cs="宋体"/>
                <w:kern w:val="0"/>
                <w:sz w:val="18"/>
                <w:szCs w:val="18"/>
              </w:rPr>
              <w:t>粉土</w:t>
            </w:r>
          </w:p>
        </w:tc>
        <w:tc>
          <w:tcPr>
            <w:tcW w:w="2379" w:type="dxa"/>
            <w:tcBorders>
              <w:bottom w:val="single" w:color="auto" w:sz="12" w:space="0"/>
            </w:tcBorders>
            <w:vAlign w:val="center"/>
          </w:tcPr>
          <w:p w14:paraId="37A99F4F">
            <w:pPr>
              <w:widowControl/>
              <w:jc w:val="center"/>
              <w:rPr>
                <w:kern w:val="0"/>
                <w:sz w:val="18"/>
                <w:szCs w:val="18"/>
              </w:rPr>
            </w:pPr>
            <w:r>
              <w:rPr>
                <w:rFonts w:hint="eastAsia" w:ascii="宋体" w:hAnsi="宋体" w:cs="宋体"/>
                <w:kern w:val="0"/>
                <w:sz w:val="18"/>
                <w:szCs w:val="18"/>
              </w:rPr>
              <w:t>砂</w:t>
            </w:r>
          </w:p>
        </w:tc>
        <w:tc>
          <w:tcPr>
            <w:tcW w:w="2238" w:type="dxa"/>
            <w:tcBorders>
              <w:bottom w:val="single" w:color="auto" w:sz="12" w:space="0"/>
            </w:tcBorders>
            <w:vAlign w:val="center"/>
          </w:tcPr>
          <w:p w14:paraId="69E6FA3C">
            <w:pPr>
              <w:widowControl/>
              <w:jc w:val="center"/>
              <w:rPr>
                <w:kern w:val="0"/>
                <w:sz w:val="18"/>
                <w:szCs w:val="18"/>
              </w:rPr>
            </w:pPr>
            <w:r>
              <w:rPr>
                <w:rFonts w:hint="eastAsia" w:ascii="宋体" w:hAnsi="宋体" w:cs="宋体"/>
                <w:kern w:val="0"/>
                <w:sz w:val="18"/>
                <w:szCs w:val="18"/>
              </w:rPr>
              <w:t>圆砾（角砾）</w:t>
            </w:r>
          </w:p>
        </w:tc>
      </w:tr>
      <w:tr w14:paraId="74151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35" w:type="dxa"/>
            <w:tcBorders>
              <w:top w:val="single" w:color="auto" w:sz="12" w:space="0"/>
              <w:tl2br w:val="nil"/>
              <w:tr2bl w:val="nil"/>
            </w:tcBorders>
            <w:vAlign w:val="center"/>
          </w:tcPr>
          <w:p w14:paraId="1BAE3601">
            <w:pPr>
              <w:widowControl/>
              <w:jc w:val="center"/>
              <w:rPr>
                <w:kern w:val="0"/>
                <w:sz w:val="18"/>
                <w:szCs w:val="18"/>
              </w:rPr>
            </w:pPr>
            <w:r>
              <w:rPr>
                <w:rFonts w:hint="eastAsia" w:ascii="宋体" w:hAnsi="宋体" w:cs="宋体"/>
                <w:kern w:val="0"/>
                <w:sz w:val="18"/>
                <w:szCs w:val="18"/>
              </w:rPr>
              <w:t>质量</w:t>
            </w:r>
          </w:p>
        </w:tc>
        <w:tc>
          <w:tcPr>
            <w:tcW w:w="2192" w:type="dxa"/>
            <w:tcBorders>
              <w:top w:val="single" w:color="auto" w:sz="12" w:space="0"/>
              <w:tl2br w:val="nil"/>
              <w:tr2bl w:val="nil"/>
            </w:tcBorders>
            <w:vAlign w:val="center"/>
          </w:tcPr>
          <w:p w14:paraId="01EA2430">
            <w:pPr>
              <w:widowControl/>
              <w:jc w:val="center"/>
              <w:rPr>
                <w:kern w:val="0"/>
                <w:sz w:val="18"/>
                <w:szCs w:val="18"/>
              </w:rPr>
            </w:pPr>
            <w:r>
              <w:rPr>
                <w:rFonts w:hint="eastAsia" w:ascii="宋体" w:hAnsi="宋体" w:cs="宋体"/>
                <w:kern w:val="0"/>
                <w:sz w:val="18"/>
                <w:szCs w:val="18"/>
              </w:rPr>
              <w:t>0.5 kg</w:t>
            </w:r>
          </w:p>
        </w:tc>
        <w:tc>
          <w:tcPr>
            <w:tcW w:w="2379" w:type="dxa"/>
            <w:tcBorders>
              <w:top w:val="single" w:color="auto" w:sz="12" w:space="0"/>
              <w:tl2br w:val="nil"/>
              <w:tr2bl w:val="nil"/>
            </w:tcBorders>
            <w:vAlign w:val="center"/>
          </w:tcPr>
          <w:p w14:paraId="5E46A944">
            <w:pPr>
              <w:widowControl/>
              <w:jc w:val="center"/>
              <w:rPr>
                <w:kern w:val="0"/>
                <w:sz w:val="18"/>
                <w:szCs w:val="18"/>
              </w:rPr>
            </w:pPr>
            <w:r>
              <w:rPr>
                <w:rFonts w:hint="eastAsia" w:ascii="宋体" w:hAnsi="宋体" w:cs="宋体"/>
                <w:kern w:val="0"/>
                <w:sz w:val="18"/>
                <w:szCs w:val="18"/>
              </w:rPr>
              <w:t>1 kg</w:t>
            </w:r>
          </w:p>
        </w:tc>
        <w:tc>
          <w:tcPr>
            <w:tcW w:w="2238" w:type="dxa"/>
            <w:tcBorders>
              <w:top w:val="single" w:color="auto" w:sz="12" w:space="0"/>
              <w:tl2br w:val="nil"/>
              <w:tr2bl w:val="nil"/>
            </w:tcBorders>
            <w:vAlign w:val="center"/>
          </w:tcPr>
          <w:p w14:paraId="752BA366">
            <w:pPr>
              <w:widowControl/>
              <w:jc w:val="center"/>
              <w:rPr>
                <w:kern w:val="0"/>
                <w:sz w:val="18"/>
                <w:szCs w:val="18"/>
              </w:rPr>
            </w:pPr>
            <w:r>
              <w:rPr>
                <w:rFonts w:hint="eastAsia" w:ascii="宋体" w:hAnsi="宋体" w:cs="宋体"/>
                <w:kern w:val="0"/>
                <w:sz w:val="18"/>
                <w:szCs w:val="18"/>
              </w:rPr>
              <w:t>3 kg</w:t>
            </w:r>
          </w:p>
        </w:tc>
      </w:tr>
    </w:tbl>
    <w:p w14:paraId="5CE3E942">
      <w:pPr>
        <w:widowControl/>
        <w:spacing w:line="350" w:lineRule="exact"/>
        <w:jc w:val="left"/>
        <w:rPr>
          <w:rFonts w:hint="eastAsia" w:ascii="黑体" w:hAnsi="黑体" w:eastAsia="黑体"/>
          <w:kern w:val="0"/>
        </w:rPr>
      </w:pPr>
    </w:p>
    <w:p w14:paraId="3C8B9A6C">
      <w:pPr>
        <w:pStyle w:val="173"/>
      </w:pPr>
      <w:r>
        <w:rPr>
          <w:rFonts w:hint="eastAsia"/>
        </w:rPr>
        <w:t>水样应分层采取，在样品采集之前，应充分抽取地下水，同一含水层采取的水样不少于2组；当场地存在污染时，应按</w:t>
      </w:r>
      <w:r>
        <w:t>《</w:t>
      </w:r>
      <w:r>
        <w:rPr>
          <w:rFonts w:hint="eastAsia"/>
        </w:rPr>
        <w:t>污染场地工程勘察技术规程</w:t>
      </w:r>
      <w:r>
        <w:t>》（DB42/T 2155）</w:t>
      </w:r>
      <w:r>
        <w:rPr>
          <w:rFonts w:hint="eastAsia"/>
        </w:rPr>
        <w:t>有关规定执行。</w:t>
      </w:r>
    </w:p>
    <w:p w14:paraId="5B4036B3">
      <w:pPr>
        <w:pStyle w:val="173"/>
      </w:pPr>
      <w:r>
        <w:rPr>
          <w:rFonts w:hint="eastAsia"/>
        </w:rPr>
        <w:t>在钻探过程中，应对孔内水位动态、涌水或漏水位置及现象、孔壁坍塌位置与范围、气体逸出的情况、地层界面变化的深度、钻机掉落深度等进行观测和记录。</w:t>
      </w:r>
    </w:p>
    <w:p w14:paraId="1360119A">
      <w:pPr>
        <w:pStyle w:val="173"/>
      </w:pPr>
      <w:r>
        <w:rPr>
          <w:rFonts w:hint="eastAsia"/>
        </w:rPr>
        <w:t>水文地质钻探孔在完成勘探目的后应及时封孔，封堵应满足《工程勘察钻探封孔技术规程》DB42/T 1710的相关要求；在河道影响范围内，尚应满足《河道管理范围钻孔封孔技术规程》DB42/T 1833的相关要求。</w:t>
      </w:r>
    </w:p>
    <w:p w14:paraId="3CAF96AC">
      <w:pPr>
        <w:pStyle w:val="113"/>
        <w:spacing w:before="156" w:after="156"/>
        <w:rPr>
          <w:rFonts w:hint="eastAsia" w:ascii="MS Gothic" w:hAnsi="MS Gothic" w:cs="MS Gothic" w:eastAsiaTheme="minorEastAsia"/>
        </w:rPr>
      </w:pPr>
      <w:bookmarkStart w:id="454" w:name="_Toc142730171"/>
      <w:bookmarkStart w:id="455" w:name="_Toc10426"/>
      <w:bookmarkStart w:id="456" w:name="_Toc17814"/>
      <w:r>
        <w:rPr>
          <w:rFonts w:hint="eastAsia"/>
        </w:rPr>
        <w:t>水文地质试验</w:t>
      </w:r>
      <w:bookmarkEnd w:id="454"/>
      <w:r>
        <w:rPr>
          <w:rFonts w:hint="eastAsia" w:ascii="MS Gothic" w:hAnsi="MS Gothic" w:eastAsia="MS Gothic" w:cs="MS Gothic"/>
        </w:rPr>
        <w:t>  </w:t>
      </w:r>
      <w:bookmarkEnd w:id="455"/>
      <w:bookmarkEnd w:id="456"/>
    </w:p>
    <w:p w14:paraId="2821232C">
      <w:pPr>
        <w:pStyle w:val="173"/>
      </w:pPr>
      <w:r>
        <w:rPr>
          <w:rFonts w:hint="eastAsia"/>
        </w:rPr>
        <w:t>水文地质试验的方法应依据含水层分布特征、岩土体渗透性、工程建设需求及设计目的综合选定；对工程影响范围内的多层含水层应分层进行水文地质试验。</w:t>
      </w:r>
    </w:p>
    <w:p w14:paraId="5C0F74F4">
      <w:pPr>
        <w:pStyle w:val="173"/>
      </w:pPr>
      <w:r>
        <w:rPr>
          <w:rFonts w:hint="eastAsia"/>
        </w:rPr>
        <w:t>抽水试验应符合下列规定：</w:t>
      </w:r>
      <w:r>
        <w:rPr>
          <w:rFonts w:ascii="Times New Roman"/>
        </w:rPr>
        <w:t> </w:t>
      </w:r>
    </w:p>
    <w:p w14:paraId="735BC915">
      <w:pPr>
        <w:pStyle w:val="182"/>
        <w:numPr>
          <w:ilvl w:val="0"/>
          <w:numId w:val="42"/>
        </w:numPr>
        <w:ind w:left="845" w:hanging="425"/>
      </w:pPr>
      <w:r>
        <w:rPr>
          <w:rFonts w:hint="eastAsia"/>
        </w:rPr>
        <w:t>抽水试验宜进行3次水位降深；第一个降深对应的出水量根据含水层的厚度及渗透性、降水管井的类型、地区降水的经验选取；第二个降深对应的出水量增加30%~40%，同时不能掉泵；第三个降深对应的出水量减小30%~40%，同时要有明显的水位降深；</w:t>
      </w:r>
    </w:p>
    <w:p w14:paraId="3381FE3A">
      <w:pPr>
        <w:pStyle w:val="182"/>
        <w:numPr>
          <w:ilvl w:val="0"/>
          <w:numId w:val="42"/>
        </w:numPr>
        <w:ind w:left="845" w:hanging="425"/>
      </w:pPr>
      <w:r>
        <w:rPr>
          <w:rFonts w:hint="eastAsia"/>
        </w:rPr>
        <w:t>抽水试验的稳定延续时间不得小于8 h，基岩含水层（带）稳定延续时间不得少于24 h；</w:t>
      </w:r>
    </w:p>
    <w:p w14:paraId="727751C0">
      <w:pPr>
        <w:pStyle w:val="182"/>
        <w:numPr>
          <w:ilvl w:val="0"/>
          <w:numId w:val="42"/>
        </w:numPr>
        <w:ind w:left="845" w:hanging="425"/>
      </w:pPr>
      <w:r>
        <w:rPr>
          <w:rFonts w:hint="eastAsia"/>
        </w:rPr>
        <w:t>稳定流抽水试验动水位和出水量观测，宜在抽水开始后的5 、10、15、20、25、30 min各测一次，其后宜每隔30min测一次，水温、气温宜每隔8 h同步量测一次；</w:t>
      </w:r>
    </w:p>
    <w:p w14:paraId="51D0BAFF">
      <w:pPr>
        <w:pStyle w:val="182"/>
        <w:numPr>
          <w:ilvl w:val="0"/>
          <w:numId w:val="42"/>
        </w:numPr>
        <w:ind w:left="845" w:hanging="425"/>
      </w:pPr>
      <w:r>
        <w:rPr>
          <w:rFonts w:hint="eastAsia"/>
        </w:rPr>
        <w:t>抽水停止后应进行水位恢复观测，观测时间间隔同抽水试验动水位观测时间间隔；</w:t>
      </w:r>
    </w:p>
    <w:p w14:paraId="549DEF97">
      <w:pPr>
        <w:pStyle w:val="182"/>
        <w:numPr>
          <w:ilvl w:val="0"/>
          <w:numId w:val="42"/>
        </w:numPr>
        <w:ind w:left="845" w:hanging="425"/>
      </w:pPr>
      <w:r>
        <w:rPr>
          <w:rFonts w:hint="eastAsia"/>
        </w:rPr>
        <w:t>非稳定流抽水试验的具体要求，可参考《供水水文地质勘察标准》GB 50027执行。</w:t>
      </w:r>
    </w:p>
    <w:p w14:paraId="17142D72">
      <w:pPr>
        <w:pStyle w:val="173"/>
      </w:pPr>
      <w:r>
        <w:rPr>
          <w:rFonts w:hint="eastAsia"/>
        </w:rPr>
        <w:t>抽水试验水文地质参数的确定应符合下列规定： </w:t>
      </w:r>
    </w:p>
    <w:p w14:paraId="54BC1FFC">
      <w:pPr>
        <w:pStyle w:val="182"/>
        <w:numPr>
          <w:ilvl w:val="0"/>
          <w:numId w:val="43"/>
        </w:numPr>
        <w:ind w:left="845" w:hanging="425"/>
      </w:pPr>
      <w:r>
        <w:rPr>
          <w:rFonts w:hint="eastAsia"/>
        </w:rPr>
        <w:t>稳定流抽水试验时水文地质参数计算可按照表4、表5进行，非稳定流水文地质参数计算可参考《供水水文地质勘察标准》GB 50027执行；</w:t>
      </w:r>
    </w:p>
    <w:p w14:paraId="41C8C513">
      <w:pPr>
        <w:pStyle w:val="182"/>
        <w:numPr>
          <w:ilvl w:val="0"/>
          <w:numId w:val="43"/>
        </w:numPr>
        <w:ind w:left="845" w:hanging="425"/>
      </w:pPr>
      <w:r>
        <w:rPr>
          <w:rFonts w:hint="eastAsia"/>
        </w:rPr>
        <w:t>应采用与场地水文地质条件相适应的计算公式；</w:t>
      </w:r>
    </w:p>
    <w:p w14:paraId="4BA1E99C">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表4  抽水试验渗透系数计算方法</w:t>
      </w:r>
    </w:p>
    <w:tbl>
      <w:tblPr>
        <w:tblStyle w:val="34"/>
        <w:tblW w:w="83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417"/>
        <w:gridCol w:w="2835"/>
        <w:gridCol w:w="3067"/>
      </w:tblGrid>
      <w:tr w14:paraId="0E186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93" w:type="dxa"/>
            <w:tcBorders>
              <w:top w:val="single" w:color="auto" w:sz="12" w:space="0"/>
              <w:bottom w:val="single" w:color="auto" w:sz="12" w:space="0"/>
            </w:tcBorders>
            <w:vAlign w:val="center"/>
          </w:tcPr>
          <w:p w14:paraId="3AA1159A">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试验方法</w:t>
            </w:r>
          </w:p>
        </w:tc>
        <w:tc>
          <w:tcPr>
            <w:tcW w:w="1417" w:type="dxa"/>
            <w:tcBorders>
              <w:top w:val="single" w:color="auto" w:sz="12" w:space="0"/>
              <w:bottom w:val="single" w:color="auto" w:sz="12" w:space="0"/>
            </w:tcBorders>
            <w:vAlign w:val="center"/>
          </w:tcPr>
          <w:p w14:paraId="61E3398B">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适用条件</w:t>
            </w:r>
          </w:p>
        </w:tc>
        <w:tc>
          <w:tcPr>
            <w:tcW w:w="2835" w:type="dxa"/>
            <w:tcBorders>
              <w:top w:val="single" w:color="auto" w:sz="12" w:space="0"/>
              <w:bottom w:val="single" w:color="auto" w:sz="12" w:space="0"/>
            </w:tcBorders>
            <w:vAlign w:val="center"/>
          </w:tcPr>
          <w:p w14:paraId="6844EF67">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示意图</w:t>
            </w:r>
          </w:p>
        </w:tc>
        <w:tc>
          <w:tcPr>
            <w:tcW w:w="3067" w:type="dxa"/>
            <w:tcBorders>
              <w:top w:val="single" w:color="auto" w:sz="12" w:space="0"/>
              <w:bottom w:val="single" w:color="auto" w:sz="12" w:space="0"/>
            </w:tcBorders>
            <w:vAlign w:val="center"/>
          </w:tcPr>
          <w:p w14:paraId="61B8B57C">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渗透系数计算公式</w:t>
            </w:r>
          </w:p>
        </w:tc>
      </w:tr>
      <w:tr w14:paraId="6FA4A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5" w:hRule="atLeast"/>
          <w:jc w:val="center"/>
        </w:trPr>
        <w:tc>
          <w:tcPr>
            <w:tcW w:w="993" w:type="dxa"/>
            <w:vMerge w:val="restart"/>
            <w:tcBorders>
              <w:top w:val="single" w:color="auto" w:sz="12" w:space="0"/>
            </w:tcBorders>
            <w:vAlign w:val="center"/>
          </w:tcPr>
          <w:p w14:paraId="4122F158">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单井抽水、单井观测试验</w:t>
            </w:r>
          </w:p>
        </w:tc>
        <w:tc>
          <w:tcPr>
            <w:tcW w:w="1417" w:type="dxa"/>
            <w:tcBorders>
              <w:top w:val="single" w:color="auto" w:sz="12" w:space="0"/>
            </w:tcBorders>
            <w:vAlign w:val="center"/>
          </w:tcPr>
          <w:p w14:paraId="0BB433CC">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承压水</w:t>
            </w:r>
          </w:p>
        </w:tc>
        <w:tc>
          <w:tcPr>
            <w:tcW w:w="2835" w:type="dxa"/>
            <w:tcBorders>
              <w:top w:val="single" w:color="auto" w:sz="12" w:space="0"/>
            </w:tcBorders>
            <w:vAlign w:val="center"/>
          </w:tcPr>
          <w:p w14:paraId="4A3ADA01">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1160" cy="1123950"/>
                  <wp:effectExtent l="0" t="0" r="15240" b="0"/>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pic:cNvPicPr>
                            <a:picLocks noChangeAspect="1"/>
                          </pic:cNvPicPr>
                        </pic:nvPicPr>
                        <pic:blipFill>
                          <a:blip r:embed="rId28" cstate="print"/>
                          <a:stretch>
                            <a:fillRect/>
                          </a:stretch>
                        </pic:blipFill>
                        <pic:spPr>
                          <a:xfrm>
                            <a:off x="0" y="0"/>
                            <a:ext cx="1661160" cy="1123950"/>
                          </a:xfrm>
                          <a:prstGeom prst="rect">
                            <a:avLst/>
                          </a:prstGeom>
                          <a:noFill/>
                          <a:ln>
                            <a:noFill/>
                          </a:ln>
                        </pic:spPr>
                      </pic:pic>
                    </a:graphicData>
                  </a:graphic>
                </wp:inline>
              </w:drawing>
            </w:r>
          </w:p>
        </w:tc>
        <w:tc>
          <w:tcPr>
            <w:tcW w:w="3067" w:type="dxa"/>
            <w:tcBorders>
              <w:top w:val="single" w:color="auto" w:sz="12" w:space="0"/>
            </w:tcBorders>
            <w:vAlign w:val="center"/>
          </w:tcPr>
          <w:p w14:paraId="56885128">
            <w:pPr>
              <w:pStyle w:val="15"/>
              <w:snapToGrid w:val="0"/>
              <w:spacing w:after="0" w:line="240" w:lineRule="auto"/>
              <w:jc w:val="left"/>
              <w:rPr>
                <w:rFonts w:hint="eastAsia" w:ascii="宋体" w:hAnsi="宋体" w:cs="宋体"/>
                <w:iCs/>
                <w:kern w:val="0"/>
                <w:sz w:val="18"/>
                <w:szCs w:val="18"/>
              </w:rPr>
            </w:pPr>
            <w:r>
              <w:rPr>
                <w:rFonts w:hint="eastAsia" w:ascii="宋体" w:hAnsi="宋体" w:cs="宋体"/>
                <w:kern w:val="0"/>
                <w:sz w:val="18"/>
                <w:szCs w:val="18"/>
              </w:rPr>
              <w:t>承压完整井：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Q</m:t>
                  </m:r>
                  <m:ctrlPr>
                    <w:rPr>
                      <w:rFonts w:hint="eastAsia" w:ascii="Cambria Math" w:hAnsi="Cambria Math" w:cs="宋体"/>
                      <w:i/>
                      <w:iCs/>
                      <w:kern w:val="0"/>
                      <w:sz w:val="18"/>
                      <w:szCs w:val="18"/>
                    </w:rPr>
                  </m:ctrlPr>
                </m:num>
                <m:den>
                  <m:r>
                    <m:rPr/>
                    <w:rPr>
                      <w:rFonts w:hint="eastAsia" w:ascii="Cambria Math" w:hAnsi="Cambria Math" w:cs="宋体"/>
                      <w:kern w:val="0"/>
                      <w:sz w:val="18"/>
                      <w:szCs w:val="18"/>
                    </w:rPr>
                    <m:t>2</m:t>
                  </m:r>
                  <m:r>
                    <m:rPr>
                      <m:sty m:val="p"/>
                    </m:rPr>
                    <w:rPr>
                      <w:rFonts w:hint="eastAsia" w:ascii="Cambria Math" w:hAnsi="Cambria Math" w:cs="宋体"/>
                      <w:kern w:val="0"/>
                      <w:sz w:val="18"/>
                      <w:szCs w:val="18"/>
                    </w:rPr>
                    <m:t>π</m:t>
                  </m:r>
                  <m:r>
                    <m:rPr/>
                    <w:rPr>
                      <w:rFonts w:hint="eastAsia" w:ascii="Cambria Math" w:hAnsi="Cambria Math" w:cs="宋体"/>
                      <w:kern w:val="0"/>
                      <w:sz w:val="18"/>
                      <w:szCs w:val="18"/>
                    </w:rPr>
                    <m:t>M</m:t>
                  </m:r>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func>
                <m:funcPr>
                  <m:ctrlPr>
                    <w:rPr>
                      <w:rFonts w:hint="eastAsia" w:ascii="Cambria Math" w:hAnsi="Cambria Math" w:cs="宋体"/>
                      <w:i/>
                      <w:iCs/>
                      <w:kern w:val="0"/>
                      <w:sz w:val="18"/>
                      <w:szCs w:val="18"/>
                    </w:rPr>
                  </m:ctrlPr>
                </m:funcPr>
                <m:fName>
                  <m:r>
                    <m:rPr>
                      <m:sty m:val="p"/>
                    </m:rPr>
                    <w:rPr>
                      <w:rFonts w:hint="eastAsia" w:ascii="Cambria Math" w:hAnsi="Cambria Math" w:cs="宋体"/>
                      <w:kern w:val="0"/>
                      <w:sz w:val="18"/>
                      <w:szCs w:val="18"/>
                    </w:rPr>
                    <m:t>ln</m:t>
                  </m:r>
                  <m:ctrlPr>
                    <w:rPr>
                      <w:rFonts w:hint="eastAsia" w:ascii="Cambria Math" w:hAnsi="Cambria Math" w:cs="宋体"/>
                      <w:i/>
                      <w:iCs/>
                      <w:kern w:val="0"/>
                      <w:sz w:val="18"/>
                      <w:szCs w:val="18"/>
                    </w:rPr>
                  </m:ctrlPr>
                </m:fName>
                <m:e>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func>
            </m:oMath>
          </w:p>
        </w:tc>
      </w:tr>
      <w:tr w14:paraId="1261C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5" w:hRule="atLeast"/>
          <w:jc w:val="center"/>
        </w:trPr>
        <w:tc>
          <w:tcPr>
            <w:tcW w:w="993" w:type="dxa"/>
            <w:vMerge w:val="continue"/>
            <w:vAlign w:val="center"/>
          </w:tcPr>
          <w:p w14:paraId="367E0EA3">
            <w:pPr>
              <w:pStyle w:val="15"/>
              <w:snapToGrid w:val="0"/>
              <w:spacing w:after="0" w:line="240" w:lineRule="auto"/>
              <w:jc w:val="center"/>
              <w:rPr>
                <w:rFonts w:hint="eastAsia" w:ascii="宋体" w:hAnsi="宋体" w:cs="宋体"/>
                <w:kern w:val="0"/>
                <w:sz w:val="18"/>
                <w:szCs w:val="18"/>
              </w:rPr>
            </w:pPr>
          </w:p>
        </w:tc>
        <w:tc>
          <w:tcPr>
            <w:tcW w:w="1417" w:type="dxa"/>
            <w:vAlign w:val="center"/>
          </w:tcPr>
          <w:p w14:paraId="349300C6">
            <w:pPr>
              <w:pStyle w:val="15"/>
              <w:numPr>
                <w:ilvl w:val="0"/>
                <w:numId w:val="44"/>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承压水；</w:t>
            </w:r>
          </w:p>
          <w:p w14:paraId="35984DEE">
            <w:pPr>
              <w:pStyle w:val="15"/>
              <w:numPr>
                <w:ilvl w:val="0"/>
                <w:numId w:val="44"/>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 过滤器在含水层顶板；</w:t>
            </w:r>
          </w:p>
          <w:p w14:paraId="2673133B">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3. </w:t>
            </w:r>
            <w:r>
              <w:rPr>
                <w:rFonts w:hint="eastAsia" w:ascii="宋体" w:hAnsi="宋体" w:cs="宋体"/>
                <w:i/>
                <w:iCs/>
                <w:kern w:val="0"/>
                <w:sz w:val="18"/>
                <w:szCs w:val="18"/>
              </w:rPr>
              <w:t>l</w:t>
            </w:r>
            <w:r>
              <w:rPr>
                <w:rFonts w:hint="eastAsia" w:ascii="宋体" w:hAnsi="宋体" w:cs="宋体"/>
                <w:kern w:val="0"/>
                <w:sz w:val="18"/>
                <w:szCs w:val="18"/>
              </w:rPr>
              <w:t>&lt;0.3</w:t>
            </w:r>
            <w:r>
              <w:rPr>
                <w:rFonts w:hint="eastAsia" w:ascii="宋体" w:hAnsi="宋体" w:cs="宋体"/>
                <w:i/>
                <w:iCs/>
                <w:kern w:val="0"/>
                <w:sz w:val="18"/>
                <w:szCs w:val="18"/>
              </w:rPr>
              <w:t>M</w:t>
            </w:r>
            <w:r>
              <w:rPr>
                <w:rFonts w:hint="eastAsia" w:ascii="宋体" w:hAnsi="宋体" w:cs="宋体"/>
                <w:kern w:val="0"/>
                <w:sz w:val="18"/>
                <w:szCs w:val="18"/>
              </w:rPr>
              <w:t>；</w:t>
            </w:r>
          </w:p>
          <w:p w14:paraId="54BF8907">
            <w:pPr>
              <w:pStyle w:val="15"/>
              <w:snapToGrid w:val="0"/>
              <w:spacing w:after="0" w:line="240" w:lineRule="auto"/>
              <w:jc w:val="left"/>
              <w:rPr>
                <w:rFonts w:hint="eastAsia" w:ascii="宋体" w:hAnsi="宋体" w:cs="宋体"/>
                <w:i/>
                <w:iCs/>
                <w:kern w:val="0"/>
                <w:sz w:val="18"/>
                <w:szCs w:val="18"/>
                <w:vertAlign w:val="subscript"/>
              </w:rPr>
            </w:pPr>
            <w:r>
              <w:rPr>
                <w:rFonts w:hint="eastAsia" w:ascii="宋体" w:hAnsi="宋体" w:cs="宋体"/>
                <w:kern w:val="0"/>
                <w:sz w:val="18"/>
                <w:szCs w:val="18"/>
              </w:rPr>
              <w:t>4.</w:t>
            </w:r>
            <w:r>
              <w:rPr>
                <w:rFonts w:hint="eastAsia" w:ascii="宋体" w:hAnsi="宋体" w:cs="宋体"/>
                <w:i/>
                <w:iCs/>
                <w:kern w:val="0"/>
                <w:sz w:val="18"/>
                <w:szCs w:val="18"/>
              </w:rPr>
              <w:t> r</w:t>
            </w:r>
            <w:r>
              <w:rPr>
                <w:rFonts w:hint="eastAsia" w:ascii="宋体" w:hAnsi="宋体" w:cs="宋体"/>
                <w:kern w:val="0"/>
                <w:sz w:val="18"/>
                <w:szCs w:val="18"/>
                <w:vertAlign w:val="subscript"/>
              </w:rPr>
              <w:t>1</w:t>
            </w:r>
            <w:r>
              <w:rPr>
                <w:rFonts w:hint="eastAsia" w:ascii="宋体" w:hAnsi="宋体" w:cs="宋体"/>
                <w:kern w:val="0"/>
                <w:sz w:val="18"/>
                <w:szCs w:val="18"/>
              </w:rPr>
              <w:t>&lt;0.3</w:t>
            </w:r>
            <w:r>
              <w:rPr>
                <w:rFonts w:hint="eastAsia" w:ascii="宋体" w:hAnsi="宋体" w:cs="宋体"/>
                <w:i/>
                <w:iCs/>
                <w:kern w:val="0"/>
                <w:sz w:val="18"/>
                <w:szCs w:val="18"/>
              </w:rPr>
              <w:t>M</w:t>
            </w:r>
          </w:p>
        </w:tc>
        <w:tc>
          <w:tcPr>
            <w:tcW w:w="2835" w:type="dxa"/>
            <w:vAlign w:val="center"/>
          </w:tcPr>
          <w:p w14:paraId="1D812358">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57350" cy="1132840"/>
                  <wp:effectExtent l="0" t="0" r="0" b="10160"/>
                  <wp:docPr id="9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pic:cNvPicPr>
                            <a:picLocks noChangeAspect="1"/>
                          </pic:cNvPicPr>
                        </pic:nvPicPr>
                        <pic:blipFill>
                          <a:blip r:embed="rId29" cstate="print"/>
                          <a:stretch>
                            <a:fillRect/>
                          </a:stretch>
                        </pic:blipFill>
                        <pic:spPr>
                          <a:xfrm>
                            <a:off x="0" y="0"/>
                            <a:ext cx="1657350" cy="1132840"/>
                          </a:xfrm>
                          <a:prstGeom prst="rect">
                            <a:avLst/>
                          </a:prstGeom>
                          <a:noFill/>
                          <a:ln>
                            <a:noFill/>
                          </a:ln>
                        </pic:spPr>
                      </pic:pic>
                    </a:graphicData>
                  </a:graphic>
                </wp:inline>
              </w:drawing>
            </w:r>
          </w:p>
        </w:tc>
        <w:tc>
          <w:tcPr>
            <w:tcW w:w="3067" w:type="dxa"/>
            <w:vAlign w:val="center"/>
          </w:tcPr>
          <w:p w14:paraId="61AC0F99">
            <w:pPr>
              <w:pStyle w:val="15"/>
              <w:snapToGrid w:val="0"/>
              <w:spacing w:after="0" w:line="240" w:lineRule="auto"/>
              <w:jc w:val="left"/>
              <w:rPr>
                <w:rFonts w:hint="eastAsia" w:ascii="宋体" w:hAnsi="宋体" w:cs="宋体"/>
                <w:i/>
                <w:kern w:val="0"/>
                <w:sz w:val="18"/>
                <w:szCs w:val="18"/>
              </w:rPr>
            </w:pPr>
            <w:r>
              <w:rPr>
                <w:rFonts w:hint="eastAsia" w:ascii="宋体" w:hAnsi="宋体" w:cs="宋体"/>
                <w:kern w:val="0"/>
                <w:sz w:val="18"/>
                <w:szCs w:val="18"/>
              </w:rPr>
              <w:t>承压非完整井：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0.16Q</m:t>
                  </m:r>
                  <m:ctrlPr>
                    <w:rPr>
                      <w:rFonts w:hint="eastAsia" w:ascii="Cambria Math" w:hAnsi="Cambria Math" w:cs="宋体"/>
                      <w:i/>
                      <w:kern w:val="0"/>
                      <w:sz w:val="18"/>
                      <w:szCs w:val="18"/>
                    </w:rPr>
                  </m:ctrlPr>
                </m:num>
                <m:den>
                  <m:r>
                    <m:rPr/>
                    <w:rPr>
                      <w:rFonts w:hint="eastAsia" w:ascii="Cambria Math" w:hAnsi="Cambria Math" w:cs="宋体"/>
                      <w:kern w:val="0"/>
                      <w:sz w:val="18"/>
                      <w:szCs w:val="18"/>
                    </w:rPr>
                    <m:t>l</m:t>
                  </m:r>
                  <m:d>
                    <m:dPr>
                      <m:ctrlPr>
                        <w:rPr>
                          <w:rFonts w:hint="eastAsia" w:ascii="Cambria Math" w:hAnsi="Cambria Math" w:cs="宋体"/>
                          <w:i/>
                          <w:kern w:val="0"/>
                          <w:sz w:val="18"/>
                          <w:szCs w:val="18"/>
                        </w:rPr>
                      </m:ctrlPr>
                    </m:dPr>
                    <m:e>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d>
                  <m:ctrlPr>
                    <w:rPr>
                      <w:rFonts w:hint="eastAsia" w:ascii="Cambria Math" w:hAnsi="Cambria Math" w:cs="宋体"/>
                      <w:i/>
                      <w:kern w:val="0"/>
                      <w:sz w:val="18"/>
                      <w:szCs w:val="18"/>
                    </w:rPr>
                  </m:ctrlPr>
                </m:den>
              </m:f>
              <m:d>
                <m:dPr>
                  <m:ctrlPr>
                    <w:rPr>
                      <w:rFonts w:hint="eastAsia" w:ascii="Cambria Math" w:hAnsi="Cambria Math" w:cs="宋体"/>
                      <w:i/>
                      <w:kern w:val="0"/>
                      <w:sz w:val="18"/>
                      <w:szCs w:val="18"/>
                    </w:rPr>
                  </m:ctrlPr>
                </m:dPr>
                <m:e>
                  <m:r>
                    <m:rPr/>
                    <w:rPr>
                      <w:rFonts w:hint="eastAsia" w:ascii="Cambria Math" w:hAnsi="Cambria Math" w:cs="宋体"/>
                      <w:kern w:val="0"/>
                      <w:sz w:val="18"/>
                      <w:szCs w:val="18"/>
                    </w:rPr>
                    <m:t>2.3</m:t>
                  </m:r>
                  <m:r>
                    <m:rPr>
                      <m:sty m:val="p"/>
                    </m:rPr>
                    <w:rPr>
                      <w:rFonts w:hint="eastAsia" w:ascii="Cambria Math" w:hAnsi="Cambria Math" w:cs="宋体"/>
                      <w:kern w:val="0"/>
                      <w:sz w:val="18"/>
                      <w:szCs w:val="18"/>
                    </w:rPr>
                    <m:t>lg</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1.6l</m:t>
                      </m:r>
                      <m:ctrlPr>
                        <w:rPr>
                          <w:rFonts w:hint="eastAsia" w:ascii="Cambria Math" w:hAnsi="Cambria Math" w:cs="宋体"/>
                          <w:i/>
                          <w:kern w:val="0"/>
                          <w:sz w:val="18"/>
                          <w:szCs w:val="18"/>
                        </w:rPr>
                      </m:ctrlPr>
                    </m:num>
                    <m:den>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arsh</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kern w:val="0"/>
                          <w:sz w:val="18"/>
                          <w:szCs w:val="18"/>
                        </w:rPr>
                      </m:ctrlPr>
                    </m:num>
                    <m:den>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den>
                  </m:f>
                  <m:ctrlPr>
                    <w:rPr>
                      <w:rFonts w:hint="eastAsia" w:ascii="Cambria Math" w:hAnsi="Cambria Math" w:cs="宋体"/>
                      <w:i/>
                      <w:kern w:val="0"/>
                      <w:sz w:val="18"/>
                      <w:szCs w:val="18"/>
                    </w:rPr>
                  </m:ctrlPr>
                </m:e>
              </m:d>
            </m:oMath>
          </w:p>
        </w:tc>
      </w:tr>
      <w:tr w14:paraId="43EC5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1" w:hRule="atLeast"/>
          <w:jc w:val="center"/>
        </w:trPr>
        <w:tc>
          <w:tcPr>
            <w:tcW w:w="993" w:type="dxa"/>
            <w:vMerge w:val="continue"/>
            <w:vAlign w:val="center"/>
          </w:tcPr>
          <w:p w14:paraId="59D5639C">
            <w:pPr>
              <w:pStyle w:val="15"/>
              <w:snapToGrid w:val="0"/>
              <w:spacing w:after="0" w:line="240" w:lineRule="auto"/>
              <w:jc w:val="center"/>
              <w:rPr>
                <w:rFonts w:hint="eastAsia" w:ascii="宋体" w:hAnsi="宋体" w:cs="宋体"/>
                <w:kern w:val="0"/>
                <w:sz w:val="18"/>
                <w:szCs w:val="18"/>
              </w:rPr>
            </w:pPr>
          </w:p>
        </w:tc>
        <w:tc>
          <w:tcPr>
            <w:tcW w:w="1417" w:type="dxa"/>
            <w:vAlign w:val="center"/>
          </w:tcPr>
          <w:p w14:paraId="5527F737">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w:t>
            </w:r>
          </w:p>
        </w:tc>
        <w:tc>
          <w:tcPr>
            <w:tcW w:w="2835" w:type="dxa"/>
            <w:vAlign w:val="center"/>
          </w:tcPr>
          <w:p w14:paraId="69D3DCD3">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3065" cy="1131570"/>
                  <wp:effectExtent l="0" t="0" r="13335" b="11430"/>
                  <wp:docPr id="8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8"/>
                          <pic:cNvPicPr>
                            <a:picLocks noChangeAspect="1"/>
                          </pic:cNvPicPr>
                        </pic:nvPicPr>
                        <pic:blipFill>
                          <a:blip r:embed="rId30" cstate="print"/>
                          <a:stretch>
                            <a:fillRect/>
                          </a:stretch>
                        </pic:blipFill>
                        <pic:spPr>
                          <a:xfrm>
                            <a:off x="0" y="0"/>
                            <a:ext cx="1663065" cy="1131570"/>
                          </a:xfrm>
                          <a:prstGeom prst="rect">
                            <a:avLst/>
                          </a:prstGeom>
                          <a:noFill/>
                          <a:ln>
                            <a:noFill/>
                          </a:ln>
                        </pic:spPr>
                      </pic:pic>
                    </a:graphicData>
                  </a:graphic>
                </wp:inline>
              </w:drawing>
            </w:r>
          </w:p>
          <w:p w14:paraId="309B0739">
            <w:pPr>
              <w:pStyle w:val="15"/>
              <w:snapToGrid w:val="0"/>
              <w:spacing w:after="0" w:line="240" w:lineRule="auto"/>
              <w:jc w:val="center"/>
              <w:rPr>
                <w:rFonts w:hint="eastAsia" w:ascii="宋体" w:hAnsi="宋体" w:cs="宋体"/>
                <w:kern w:val="0"/>
                <w:sz w:val="18"/>
                <w:szCs w:val="18"/>
              </w:rPr>
            </w:pPr>
          </w:p>
        </w:tc>
        <w:tc>
          <w:tcPr>
            <w:tcW w:w="3067" w:type="dxa"/>
            <w:vAlign w:val="center"/>
          </w:tcPr>
          <w:p w14:paraId="5451FBE4">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iCs/>
                      <w:kern w:val="0"/>
                      <w:sz w:val="18"/>
                      <w:szCs w:val="18"/>
                    </w:rPr>
                  </m:ctrlPr>
                </m:num>
                <m:den>
                  <m:d>
                    <m:dPr>
                      <m:ctrlPr>
                        <w:rPr>
                          <w:rFonts w:hint="eastAsia" w:ascii="Cambria Math" w:hAnsi="Cambria Math" w:cs="宋体"/>
                          <w:i/>
                          <w:iCs/>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r>
                <m:rPr>
                  <m:sty m:val="p"/>
                </m:rPr>
                <w:rPr>
                  <w:rFonts w:hint="eastAsia" w:ascii="Cambria Math" w:hAnsi="Cambria Math" w:cs="宋体"/>
                  <w:kern w:val="0"/>
                  <w:sz w:val="18"/>
                  <w:szCs w:val="18"/>
                </w:rPr>
                <m:t>lg</m:t>
              </m:r>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oMath>
          </w:p>
        </w:tc>
      </w:tr>
      <w:tr w14:paraId="0F8FA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1" w:hRule="atLeast"/>
          <w:jc w:val="center"/>
        </w:trPr>
        <w:tc>
          <w:tcPr>
            <w:tcW w:w="993" w:type="dxa"/>
            <w:vMerge w:val="continue"/>
            <w:vAlign w:val="center"/>
          </w:tcPr>
          <w:p w14:paraId="027BA093">
            <w:pPr>
              <w:pStyle w:val="15"/>
              <w:snapToGrid w:val="0"/>
              <w:spacing w:after="0" w:line="240" w:lineRule="auto"/>
              <w:jc w:val="center"/>
              <w:rPr>
                <w:rFonts w:hint="eastAsia" w:ascii="宋体" w:hAnsi="宋体" w:cs="宋体"/>
                <w:kern w:val="0"/>
                <w:sz w:val="18"/>
                <w:szCs w:val="18"/>
              </w:rPr>
            </w:pPr>
          </w:p>
        </w:tc>
        <w:tc>
          <w:tcPr>
            <w:tcW w:w="1417" w:type="dxa"/>
            <w:vAlign w:val="center"/>
          </w:tcPr>
          <w:p w14:paraId="64E49F43">
            <w:pPr>
              <w:pStyle w:val="15"/>
              <w:numPr>
                <w:ilvl w:val="0"/>
                <w:numId w:val="45"/>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w:t>
            </w:r>
          </w:p>
          <w:p w14:paraId="489A47E3">
            <w:pPr>
              <w:pStyle w:val="15"/>
              <w:numPr>
                <w:ilvl w:val="0"/>
                <w:numId w:val="45"/>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靠近河流；</w:t>
            </w:r>
          </w:p>
          <w:p w14:paraId="1E98F5F0">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3. 观测孔平行岸边</w:t>
            </w:r>
          </w:p>
        </w:tc>
        <w:tc>
          <w:tcPr>
            <w:tcW w:w="2835" w:type="dxa"/>
            <w:vAlign w:val="center"/>
          </w:tcPr>
          <w:p w14:paraId="3D694277">
            <w:pPr>
              <w:spacing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3065" cy="1131570"/>
                  <wp:effectExtent l="0" t="0" r="13335" b="11430"/>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
                          <pic:cNvPicPr>
                            <a:picLocks noChangeAspect="1"/>
                          </pic:cNvPicPr>
                        </pic:nvPicPr>
                        <pic:blipFill>
                          <a:blip r:embed="rId30" cstate="print"/>
                          <a:stretch>
                            <a:fillRect/>
                          </a:stretch>
                        </pic:blipFill>
                        <pic:spPr>
                          <a:xfrm>
                            <a:off x="0" y="0"/>
                            <a:ext cx="1663065" cy="1131570"/>
                          </a:xfrm>
                          <a:prstGeom prst="rect">
                            <a:avLst/>
                          </a:prstGeom>
                          <a:noFill/>
                          <a:ln>
                            <a:noFill/>
                          </a:ln>
                        </pic:spPr>
                      </pic:pic>
                    </a:graphicData>
                  </a:graphic>
                </wp:inline>
              </w:drawing>
            </w:r>
          </w:p>
        </w:tc>
        <w:tc>
          <w:tcPr>
            <w:tcW w:w="3067" w:type="dxa"/>
            <w:vAlign w:val="center"/>
          </w:tcPr>
          <w:p w14:paraId="6BB8AFF6">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kern w:val="0"/>
                      <w:sz w:val="18"/>
                      <w:szCs w:val="18"/>
                    </w:rPr>
                  </m:ctrlPr>
                </m:num>
                <m:den>
                  <m:d>
                    <m:dPr>
                      <m:ctrlPr>
                        <w:rPr>
                          <w:rFonts w:hint="eastAsia" w:ascii="Cambria Math" w:hAnsi="Cambria Math" w:cs="宋体"/>
                          <w:i/>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kern w:val="0"/>
                          <w:sz w:val="18"/>
                          <w:szCs w:val="18"/>
                        </w:rPr>
                      </m:ctrlPr>
                    </m:e>
                  </m:d>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kern w:val="0"/>
                      <w:sz w:val="18"/>
                      <w:szCs w:val="18"/>
                    </w:rPr>
                  </m:ctrlPr>
                </m:den>
              </m:f>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rad>
                    <m:radPr>
                      <m:degHide m:val="1"/>
                      <m:ctrlPr>
                        <w:rPr>
                          <w:rFonts w:hint="eastAsia" w:ascii="Cambria Math" w:hAnsi="Cambria Math" w:cs="宋体"/>
                          <w:i/>
                          <w:kern w:val="0"/>
                          <w:sz w:val="18"/>
                          <w:szCs w:val="18"/>
                        </w:rPr>
                      </m:ctrlPr>
                    </m:radPr>
                    <m:deg>
                      <m:ctrlPr>
                        <w:rPr>
                          <w:rFonts w:hint="eastAsia" w:ascii="Cambria Math" w:hAnsi="Cambria Math" w:cs="宋体"/>
                          <w:i/>
                          <w:kern w:val="0"/>
                          <w:sz w:val="18"/>
                          <w:szCs w:val="18"/>
                        </w:rPr>
                      </m:ctrlPr>
                    </m:deg>
                    <m:e>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4</m:t>
                          </m:r>
                          <m:sSup>
                            <m:sSupPr>
                              <m:ctrlPr>
                                <w:rPr>
                                  <w:rFonts w:hint="eastAsia" w:ascii="Cambria Math" w:hAnsi="Cambria Math" w:cs="宋体"/>
                                  <w:i/>
                                  <w:kern w:val="0"/>
                                  <w:sz w:val="18"/>
                                  <w:szCs w:val="18"/>
                                </w:rPr>
                              </m:ctrlPr>
                            </m:sSupPr>
                            <m:e>
                              <m:r>
                                <m:rPr/>
                                <w:rPr>
                                  <w:rFonts w:hint="eastAsia" w:ascii="Cambria Math" w:hAnsi="Cambria Math" w:cs="宋体"/>
                                  <w:kern w:val="0"/>
                                  <w:sz w:val="18"/>
                                  <w:szCs w:val="18"/>
                                </w:rPr>
                                <m:t>b</m:t>
                              </m:r>
                              <m:ctrlPr>
                                <w:rPr>
                                  <w:rFonts w:hint="eastAsia" w:ascii="Cambria Math" w:hAnsi="Cambria Math" w:cs="宋体"/>
                                  <w:i/>
                                  <w:kern w:val="0"/>
                                  <w:sz w:val="18"/>
                                  <w:szCs w:val="18"/>
                                </w:rPr>
                              </m:ctrlPr>
                            </m:e>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p>
                          <m:r>
                            <m:rPr/>
                            <w:rPr>
                              <w:rFonts w:hint="eastAsia" w:ascii="Cambria Math" w:hAnsi="Cambria Math" w:cs="宋体"/>
                              <w:kern w:val="0"/>
                              <w:sz w:val="18"/>
                              <w:szCs w:val="18"/>
                            </w:rPr>
                            <m:t>+</m:t>
                          </m:r>
                          <m:sSubSup>
                            <m:sSubSupPr>
                              <m:ctrlPr>
                                <w:rPr>
                                  <w:rFonts w:hint="eastAsia" w:ascii="Cambria Math" w:hAnsi="Cambria Math" w:cs="宋体"/>
                                  <w:i/>
                                  <w:kern w:val="0"/>
                                  <w:sz w:val="18"/>
                                  <w:szCs w:val="18"/>
                                </w:rPr>
                              </m:ctrlPr>
                            </m:sSubSup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bSup>
                          <m:ctrlPr>
                            <w:rPr>
                              <w:rFonts w:hint="eastAsia" w:ascii="Cambria Math" w:hAnsi="Cambria Math" w:cs="宋体"/>
                              <w:i/>
                              <w:kern w:val="0"/>
                              <w:sz w:val="18"/>
                              <w:szCs w:val="18"/>
                            </w:rPr>
                          </m:ctrlPr>
                        </m:num>
                        <m:den>
                          <m:sSubSup>
                            <m:sSubSupPr>
                              <m:ctrlPr>
                                <w:rPr>
                                  <w:rFonts w:hint="eastAsia" w:ascii="Cambria Math" w:hAnsi="Cambria Math" w:cs="宋体"/>
                                  <w:i/>
                                  <w:kern w:val="0"/>
                                  <w:sz w:val="18"/>
                                  <w:szCs w:val="18"/>
                                </w:rPr>
                              </m:ctrlPr>
                            </m:sSubSup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bSup>
                          <m:ctrlPr>
                            <w:rPr>
                              <w:rFonts w:hint="eastAsia" w:ascii="Cambria Math" w:hAnsi="Cambria Math" w:cs="宋体"/>
                              <w:i/>
                              <w:kern w:val="0"/>
                              <w:sz w:val="18"/>
                              <w:szCs w:val="18"/>
                            </w:rPr>
                          </m:ctrlPr>
                        </m:den>
                      </m:f>
                      <m:ctrlPr>
                        <w:rPr>
                          <w:rFonts w:hint="eastAsia" w:ascii="Cambria Math" w:hAnsi="Cambria Math" w:cs="宋体"/>
                          <w:i/>
                          <w:kern w:val="0"/>
                          <w:sz w:val="18"/>
                          <w:szCs w:val="18"/>
                        </w:rPr>
                      </m:ctrlPr>
                    </m:e>
                  </m:rad>
                  <m:ctrlPr>
                    <w:rPr>
                      <w:rFonts w:hint="eastAsia" w:ascii="Cambria Math" w:hAnsi="Cambria Math" w:cs="宋体"/>
                      <w:i/>
                      <w:kern w:val="0"/>
                      <w:sz w:val="18"/>
                      <w:szCs w:val="18"/>
                    </w:rPr>
                  </m:ctrlPr>
                </m:e>
              </m:func>
            </m:oMath>
          </w:p>
          <w:p w14:paraId="5C289516">
            <w:pPr>
              <w:pStyle w:val="15"/>
              <w:snapToGrid w:val="0"/>
              <w:spacing w:after="0" w:line="240" w:lineRule="auto"/>
              <w:jc w:val="left"/>
              <w:rPr>
                <w:rFonts w:hint="eastAsia" w:ascii="宋体" w:hAnsi="宋体" w:cs="宋体"/>
                <w:kern w:val="0"/>
                <w:sz w:val="18"/>
                <w:szCs w:val="18"/>
              </w:rPr>
            </w:pPr>
          </w:p>
          <w:p w14:paraId="5ED80299">
            <w:pPr>
              <w:pStyle w:val="15"/>
              <w:snapToGrid w:val="0"/>
              <w:spacing w:after="0" w:line="240" w:lineRule="auto"/>
              <w:jc w:val="left"/>
              <w:rPr>
                <w:rFonts w:hint="eastAsia" w:ascii="宋体" w:hAnsi="宋体" w:cs="宋体"/>
                <w:kern w:val="0"/>
                <w:sz w:val="18"/>
                <w:szCs w:val="18"/>
              </w:rPr>
            </w:pPr>
            <w:r>
              <w:rPr>
                <w:rFonts w:hint="eastAsia" w:ascii="宋体" w:hAnsi="宋体" w:cs="宋体"/>
                <w:i/>
                <w:iCs/>
                <w:kern w:val="0"/>
                <w:sz w:val="18"/>
                <w:szCs w:val="18"/>
              </w:rPr>
              <w:t>b</w:t>
            </w:r>
            <w:r>
              <w:rPr>
                <w:rFonts w:hint="eastAsia" w:ascii="宋体" w:hAnsi="宋体" w:cs="宋体"/>
                <w:kern w:val="0"/>
                <w:sz w:val="18"/>
                <w:szCs w:val="18"/>
              </w:rPr>
              <w:t>—井中心与河岸的距离，m；</w:t>
            </w:r>
          </w:p>
        </w:tc>
      </w:tr>
      <w:tr w14:paraId="39190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1" w:hRule="atLeast"/>
          <w:jc w:val="center"/>
        </w:trPr>
        <w:tc>
          <w:tcPr>
            <w:tcW w:w="993" w:type="dxa"/>
            <w:vMerge w:val="continue"/>
            <w:vAlign w:val="center"/>
          </w:tcPr>
          <w:p w14:paraId="714CA9A3">
            <w:pPr>
              <w:pStyle w:val="15"/>
              <w:snapToGrid w:val="0"/>
              <w:spacing w:after="0" w:line="240" w:lineRule="auto"/>
              <w:jc w:val="center"/>
              <w:rPr>
                <w:rFonts w:hint="eastAsia" w:ascii="宋体" w:hAnsi="宋体" w:cs="宋体"/>
                <w:kern w:val="0"/>
                <w:sz w:val="18"/>
                <w:szCs w:val="18"/>
              </w:rPr>
            </w:pPr>
          </w:p>
        </w:tc>
        <w:tc>
          <w:tcPr>
            <w:tcW w:w="1417" w:type="dxa"/>
            <w:vAlign w:val="center"/>
          </w:tcPr>
          <w:p w14:paraId="4DAB3BAF">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1. 潜水；</w:t>
            </w:r>
          </w:p>
          <w:p w14:paraId="0F61A9CE">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2. 靠近河流；</w:t>
            </w:r>
          </w:p>
          <w:p w14:paraId="453261B6">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3. 观测孔垂直岸边</w:t>
            </w:r>
          </w:p>
        </w:tc>
        <w:tc>
          <w:tcPr>
            <w:tcW w:w="2835" w:type="dxa"/>
            <w:vAlign w:val="center"/>
          </w:tcPr>
          <w:p w14:paraId="1486190F">
            <w:pPr>
              <w:spacing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59890" cy="1200785"/>
                  <wp:effectExtent l="0" t="0" r="16510" b="1841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pic:cNvPicPr>
                        </pic:nvPicPr>
                        <pic:blipFill>
                          <a:blip r:embed="rId31" cstate="print"/>
                          <a:stretch>
                            <a:fillRect/>
                          </a:stretch>
                        </pic:blipFill>
                        <pic:spPr>
                          <a:xfrm>
                            <a:off x="0" y="0"/>
                            <a:ext cx="1659890" cy="1200785"/>
                          </a:xfrm>
                          <a:prstGeom prst="rect">
                            <a:avLst/>
                          </a:prstGeom>
                          <a:noFill/>
                          <a:ln>
                            <a:noFill/>
                          </a:ln>
                        </pic:spPr>
                      </pic:pic>
                    </a:graphicData>
                  </a:graphic>
                </wp:inline>
              </w:drawing>
            </w:r>
          </w:p>
        </w:tc>
        <w:tc>
          <w:tcPr>
            <w:tcW w:w="3067" w:type="dxa"/>
            <w:vAlign w:val="center"/>
          </w:tcPr>
          <w:p w14:paraId="46FB0A73">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kern w:val="0"/>
                      <w:sz w:val="18"/>
                      <w:szCs w:val="18"/>
                    </w:rPr>
                  </m:ctrlPr>
                </m:num>
                <m:den>
                  <m:d>
                    <m:dPr>
                      <m:ctrlPr>
                        <w:rPr>
                          <w:rFonts w:hint="eastAsia" w:ascii="Cambria Math" w:hAnsi="Cambria Math" w:cs="宋体"/>
                          <w:i/>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d>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den>
              </m:f>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2b−</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num>
                    <m:den>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den>
                  </m:f>
                  <m:ctrlPr>
                    <w:rPr>
                      <w:rFonts w:hint="eastAsia" w:ascii="Cambria Math" w:hAnsi="Cambria Math" w:cs="宋体"/>
                      <w:i/>
                      <w:kern w:val="0"/>
                      <w:sz w:val="18"/>
                      <w:szCs w:val="18"/>
                    </w:rPr>
                  </m:ctrlPr>
                </m:e>
              </m:func>
            </m:oMath>
          </w:p>
        </w:tc>
      </w:tr>
    </w:tbl>
    <w:p w14:paraId="352C8E5C">
      <w:pPr>
        <w:rPr>
          <w:rFonts w:hint="eastAsia" w:ascii="黑体" w:hAnsi="黑体" w:eastAsia="黑体" w:cs="宋体"/>
        </w:rPr>
      </w:pPr>
      <w:r>
        <w:rPr>
          <w:rFonts w:hint="eastAsia" w:ascii="黑体" w:hAnsi="黑体" w:eastAsia="黑体" w:cs="宋体"/>
        </w:rPr>
        <w:t xml:space="preserve">                                                              </w:t>
      </w:r>
    </w:p>
    <w:p w14:paraId="4909D282">
      <w:pPr>
        <w:jc w:val="center"/>
      </w:pPr>
      <w:r>
        <w:rPr>
          <w:rFonts w:hint="eastAsia" w:ascii="黑体" w:hAnsi="黑体" w:eastAsia="黑体" w:cs="宋体"/>
        </w:rPr>
        <w:t>续表</w:t>
      </w:r>
    </w:p>
    <w:tbl>
      <w:tblPr>
        <w:tblStyle w:val="34"/>
        <w:tblW w:w="83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417"/>
        <w:gridCol w:w="2835"/>
        <w:gridCol w:w="3067"/>
      </w:tblGrid>
      <w:tr w14:paraId="6D21A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93" w:type="dxa"/>
            <w:tcBorders>
              <w:bottom w:val="single" w:color="auto" w:sz="12" w:space="0"/>
            </w:tcBorders>
            <w:vAlign w:val="center"/>
          </w:tcPr>
          <w:p w14:paraId="4DED7A79">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试验方法</w:t>
            </w:r>
          </w:p>
        </w:tc>
        <w:tc>
          <w:tcPr>
            <w:tcW w:w="1417" w:type="dxa"/>
            <w:tcBorders>
              <w:bottom w:val="single" w:color="auto" w:sz="12" w:space="0"/>
            </w:tcBorders>
            <w:vAlign w:val="center"/>
          </w:tcPr>
          <w:p w14:paraId="7AE32AD7">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适用条件</w:t>
            </w:r>
          </w:p>
        </w:tc>
        <w:tc>
          <w:tcPr>
            <w:tcW w:w="2835" w:type="dxa"/>
            <w:tcBorders>
              <w:bottom w:val="single" w:color="auto" w:sz="12" w:space="0"/>
            </w:tcBorders>
            <w:vAlign w:val="center"/>
          </w:tcPr>
          <w:p w14:paraId="4E296F44">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示意图</w:t>
            </w:r>
          </w:p>
        </w:tc>
        <w:tc>
          <w:tcPr>
            <w:tcW w:w="3067" w:type="dxa"/>
            <w:tcBorders>
              <w:bottom w:val="single" w:color="auto" w:sz="12" w:space="0"/>
            </w:tcBorders>
            <w:vAlign w:val="center"/>
          </w:tcPr>
          <w:p w14:paraId="5CBE5098">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渗透系数计算公式</w:t>
            </w:r>
          </w:p>
        </w:tc>
      </w:tr>
      <w:tr w14:paraId="57AF7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8" w:hRule="atLeast"/>
          <w:jc w:val="center"/>
        </w:trPr>
        <w:tc>
          <w:tcPr>
            <w:tcW w:w="993" w:type="dxa"/>
            <w:vMerge w:val="restart"/>
            <w:vAlign w:val="center"/>
          </w:tcPr>
          <w:p w14:paraId="292444B5">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单井抽水、双井观测试验</w:t>
            </w:r>
          </w:p>
        </w:tc>
        <w:tc>
          <w:tcPr>
            <w:tcW w:w="1417" w:type="dxa"/>
            <w:vAlign w:val="center"/>
          </w:tcPr>
          <w:p w14:paraId="406C74AD">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承压水</w:t>
            </w:r>
          </w:p>
        </w:tc>
        <w:tc>
          <w:tcPr>
            <w:tcW w:w="2835" w:type="dxa"/>
            <w:vAlign w:val="center"/>
          </w:tcPr>
          <w:p w14:paraId="669FDFFA">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1160" cy="1236980"/>
                  <wp:effectExtent l="0" t="0" r="15240" b="1270"/>
                  <wp:docPr id="8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0"/>
                          <pic:cNvPicPr>
                            <a:picLocks noChangeAspect="1"/>
                          </pic:cNvPicPr>
                        </pic:nvPicPr>
                        <pic:blipFill>
                          <a:blip r:embed="rId32" cstate="print"/>
                          <a:stretch>
                            <a:fillRect/>
                          </a:stretch>
                        </pic:blipFill>
                        <pic:spPr>
                          <a:xfrm>
                            <a:off x="0" y="0"/>
                            <a:ext cx="1661160" cy="1236980"/>
                          </a:xfrm>
                          <a:prstGeom prst="rect">
                            <a:avLst/>
                          </a:prstGeom>
                          <a:noFill/>
                          <a:ln>
                            <a:noFill/>
                          </a:ln>
                        </pic:spPr>
                      </pic:pic>
                    </a:graphicData>
                  </a:graphic>
                </wp:inline>
              </w:drawing>
            </w:r>
          </w:p>
        </w:tc>
        <w:tc>
          <w:tcPr>
            <w:tcW w:w="3067" w:type="dxa"/>
            <w:vAlign w:val="center"/>
          </w:tcPr>
          <w:p w14:paraId="6B360C2B">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Q</m:t>
                  </m:r>
                  <m:ctrlPr>
                    <w:rPr>
                      <w:rFonts w:hint="eastAsia" w:ascii="Cambria Math" w:hAnsi="Cambria Math" w:cs="宋体"/>
                      <w:i/>
                      <w:iCs/>
                      <w:kern w:val="0"/>
                      <w:sz w:val="18"/>
                      <w:szCs w:val="18"/>
                    </w:rPr>
                  </m:ctrlPr>
                </m:num>
                <m:den>
                  <m:r>
                    <m:rPr/>
                    <w:rPr>
                      <w:rFonts w:hint="eastAsia" w:ascii="Cambria Math" w:hAnsi="Cambria Math" w:cs="宋体"/>
                      <w:kern w:val="0"/>
                      <w:sz w:val="18"/>
                      <w:szCs w:val="18"/>
                    </w:rPr>
                    <m:t>2</m:t>
                  </m:r>
                  <m:r>
                    <m:rPr>
                      <m:sty m:val="p"/>
                    </m:rPr>
                    <w:rPr>
                      <w:rFonts w:hint="eastAsia" w:ascii="Cambria Math" w:hAnsi="Cambria Math" w:cs="宋体"/>
                      <w:kern w:val="0"/>
                      <w:sz w:val="18"/>
                      <w:szCs w:val="18"/>
                    </w:rPr>
                    <m:t>π</m:t>
                  </m:r>
                  <m:r>
                    <m:rPr/>
                    <w:rPr>
                      <w:rFonts w:hint="eastAsia" w:ascii="Cambria Math" w:hAnsi="Cambria Math" w:cs="宋体"/>
                      <w:kern w:val="0"/>
                      <w:sz w:val="18"/>
                      <w:szCs w:val="18"/>
                    </w:rPr>
                    <m:t>M</m:t>
                  </m:r>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func>
                <m:funcPr>
                  <m:ctrlPr>
                    <w:rPr>
                      <w:rFonts w:hint="eastAsia" w:ascii="Cambria Math" w:hAnsi="Cambria Math" w:cs="宋体"/>
                      <w:i/>
                      <w:iCs/>
                      <w:kern w:val="0"/>
                      <w:sz w:val="18"/>
                      <w:szCs w:val="18"/>
                    </w:rPr>
                  </m:ctrlPr>
                </m:funcPr>
                <m:fName>
                  <m:r>
                    <m:rPr>
                      <m:sty m:val="p"/>
                    </m:rPr>
                    <w:rPr>
                      <w:rFonts w:hint="eastAsia" w:ascii="Cambria Math" w:hAnsi="Cambria Math" w:cs="宋体"/>
                      <w:kern w:val="0"/>
                      <w:sz w:val="18"/>
                      <w:szCs w:val="18"/>
                    </w:rPr>
                    <m:t>ln</m:t>
                  </m:r>
                  <m:ctrlPr>
                    <w:rPr>
                      <w:rFonts w:hint="eastAsia" w:ascii="Cambria Math" w:hAnsi="Cambria Math" w:cs="宋体"/>
                      <w:i/>
                      <w:iCs/>
                      <w:kern w:val="0"/>
                      <w:sz w:val="18"/>
                      <w:szCs w:val="18"/>
                    </w:rPr>
                  </m:ctrlPr>
                </m:fName>
                <m:e>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func>
            </m:oMath>
          </w:p>
        </w:tc>
      </w:tr>
      <w:tr w14:paraId="68814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3" w:hRule="atLeast"/>
          <w:jc w:val="center"/>
        </w:trPr>
        <w:tc>
          <w:tcPr>
            <w:tcW w:w="993" w:type="dxa"/>
            <w:vMerge w:val="continue"/>
            <w:vAlign w:val="center"/>
          </w:tcPr>
          <w:p w14:paraId="5E1587D3">
            <w:pPr>
              <w:pStyle w:val="15"/>
              <w:snapToGrid w:val="0"/>
              <w:spacing w:after="0" w:line="240" w:lineRule="auto"/>
              <w:jc w:val="center"/>
              <w:rPr>
                <w:rFonts w:hint="eastAsia" w:ascii="宋体" w:hAnsi="宋体" w:cs="宋体"/>
                <w:kern w:val="0"/>
                <w:sz w:val="18"/>
                <w:szCs w:val="18"/>
              </w:rPr>
            </w:pPr>
          </w:p>
        </w:tc>
        <w:tc>
          <w:tcPr>
            <w:tcW w:w="1417" w:type="dxa"/>
            <w:vAlign w:val="center"/>
          </w:tcPr>
          <w:p w14:paraId="0BAFDA89">
            <w:pPr>
              <w:pStyle w:val="15"/>
              <w:numPr>
                <w:ilvl w:val="0"/>
                <w:numId w:val="46"/>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承压水；</w:t>
            </w:r>
          </w:p>
          <w:p w14:paraId="3BB141B1">
            <w:pPr>
              <w:pStyle w:val="15"/>
              <w:numPr>
                <w:ilvl w:val="0"/>
                <w:numId w:val="46"/>
              </w:numPr>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过滤器在含水层顶板；</w:t>
            </w:r>
          </w:p>
          <w:p w14:paraId="4EE45DC5">
            <w:pPr>
              <w:pStyle w:val="15"/>
              <w:numPr>
                <w:ilvl w:val="0"/>
                <w:numId w:val="46"/>
              </w:numPr>
              <w:snapToGrid w:val="0"/>
              <w:spacing w:after="0" w:line="240" w:lineRule="auto"/>
              <w:jc w:val="left"/>
              <w:rPr>
                <w:rFonts w:hint="eastAsia" w:ascii="宋体" w:hAnsi="宋体" w:cs="宋体"/>
                <w:kern w:val="0"/>
                <w:sz w:val="18"/>
                <w:szCs w:val="18"/>
              </w:rPr>
            </w:pPr>
            <w:r>
              <w:rPr>
                <w:rFonts w:hint="eastAsia" w:ascii="宋体" w:hAnsi="宋体" w:cs="宋体"/>
                <w:i/>
                <w:iCs/>
                <w:kern w:val="0"/>
                <w:sz w:val="18"/>
                <w:szCs w:val="18"/>
              </w:rPr>
              <w:t>l</w:t>
            </w:r>
            <w:r>
              <w:rPr>
                <w:rFonts w:hint="eastAsia" w:ascii="宋体" w:hAnsi="宋体" w:cs="宋体"/>
                <w:kern w:val="0"/>
                <w:sz w:val="18"/>
                <w:szCs w:val="18"/>
              </w:rPr>
              <w:t>&lt;0.3</w:t>
            </w:r>
            <w:r>
              <w:rPr>
                <w:rFonts w:hint="eastAsia" w:ascii="宋体" w:hAnsi="宋体" w:cs="宋体"/>
                <w:i/>
                <w:iCs/>
                <w:kern w:val="0"/>
                <w:sz w:val="18"/>
                <w:szCs w:val="18"/>
              </w:rPr>
              <w:t>M</w:t>
            </w:r>
            <w:r>
              <w:rPr>
                <w:rFonts w:hint="eastAsia" w:ascii="宋体" w:hAnsi="宋体" w:cs="宋体"/>
                <w:kern w:val="0"/>
                <w:sz w:val="18"/>
                <w:szCs w:val="18"/>
              </w:rPr>
              <w:t>；</w:t>
            </w:r>
          </w:p>
          <w:p w14:paraId="306081A9">
            <w:pPr>
              <w:pStyle w:val="15"/>
              <w:numPr>
                <w:ilvl w:val="0"/>
                <w:numId w:val="46"/>
              </w:numPr>
              <w:snapToGrid w:val="0"/>
              <w:spacing w:after="0" w:line="240" w:lineRule="auto"/>
              <w:jc w:val="left"/>
              <w:rPr>
                <w:rFonts w:hint="eastAsia" w:ascii="宋体" w:hAnsi="宋体" w:cs="宋体"/>
                <w:kern w:val="0"/>
                <w:sz w:val="18"/>
                <w:szCs w:val="18"/>
              </w:rPr>
            </w:pPr>
            <w:r>
              <w:rPr>
                <w:rFonts w:hint="eastAsia" w:ascii="宋体" w:hAnsi="宋体" w:cs="宋体"/>
                <w:i/>
                <w:iCs/>
                <w:kern w:val="0"/>
                <w:sz w:val="18"/>
                <w:szCs w:val="18"/>
              </w:rPr>
              <w:t>r</w:t>
            </w:r>
            <w:r>
              <w:rPr>
                <w:rFonts w:hint="eastAsia" w:ascii="宋体" w:hAnsi="宋体" w:cs="宋体"/>
                <w:kern w:val="0"/>
                <w:sz w:val="18"/>
                <w:szCs w:val="18"/>
                <w:vertAlign w:val="subscript"/>
              </w:rPr>
              <w:t>2</w:t>
            </w:r>
            <w:r>
              <w:rPr>
                <w:rFonts w:hint="eastAsia" w:ascii="宋体" w:hAnsi="宋体" w:cs="宋体"/>
                <w:kern w:val="0"/>
                <w:sz w:val="18"/>
                <w:szCs w:val="18"/>
              </w:rPr>
              <w:t>≤0.3</w:t>
            </w:r>
            <w:r>
              <w:rPr>
                <w:rFonts w:hint="eastAsia" w:ascii="宋体" w:hAnsi="宋体" w:cs="宋体"/>
                <w:i/>
                <w:iCs/>
                <w:kern w:val="0"/>
                <w:sz w:val="18"/>
                <w:szCs w:val="18"/>
              </w:rPr>
              <w:t>M</w:t>
            </w:r>
            <w:r>
              <w:rPr>
                <w:rFonts w:hint="eastAsia" w:ascii="宋体" w:hAnsi="宋体" w:cs="宋体"/>
                <w:kern w:val="0"/>
                <w:sz w:val="18"/>
                <w:szCs w:val="18"/>
              </w:rPr>
              <w:t>；</w:t>
            </w:r>
          </w:p>
          <w:p w14:paraId="7136CED7">
            <w:pPr>
              <w:pStyle w:val="15"/>
              <w:snapToGrid w:val="0"/>
              <w:spacing w:after="0" w:line="240" w:lineRule="auto"/>
              <w:jc w:val="left"/>
              <w:rPr>
                <w:rFonts w:hint="eastAsia" w:ascii="宋体" w:hAnsi="宋体" w:cs="宋体"/>
                <w:i/>
                <w:iCs/>
                <w:kern w:val="0"/>
                <w:sz w:val="18"/>
                <w:szCs w:val="18"/>
              </w:rPr>
            </w:pPr>
            <w:r>
              <w:rPr>
                <w:rFonts w:hint="eastAsia" w:ascii="宋体" w:hAnsi="宋体" w:cs="宋体"/>
                <w:kern w:val="0"/>
                <w:sz w:val="18"/>
                <w:szCs w:val="18"/>
              </w:rPr>
              <w:t>5. </w:t>
            </w:r>
            <w:r>
              <w:rPr>
                <w:rFonts w:hint="eastAsia" w:ascii="宋体" w:hAnsi="宋体" w:cs="宋体"/>
                <w:i/>
                <w:iCs/>
                <w:kern w:val="0"/>
                <w:sz w:val="18"/>
                <w:szCs w:val="18"/>
              </w:rPr>
              <w:t>r</w:t>
            </w:r>
            <w:r>
              <w:rPr>
                <w:rFonts w:hint="eastAsia" w:ascii="宋体" w:hAnsi="宋体" w:cs="宋体"/>
                <w:kern w:val="0"/>
                <w:sz w:val="18"/>
                <w:szCs w:val="18"/>
                <w:vertAlign w:val="subscript"/>
              </w:rPr>
              <w:t>1</w:t>
            </w:r>
            <w:r>
              <w:rPr>
                <w:rFonts w:hint="eastAsia" w:ascii="宋体" w:hAnsi="宋体" w:cs="宋体"/>
                <w:kern w:val="0"/>
                <w:sz w:val="18"/>
                <w:szCs w:val="18"/>
              </w:rPr>
              <w:t>=0.3</w:t>
            </w:r>
            <w:r>
              <w:rPr>
                <w:rFonts w:hint="eastAsia" w:ascii="宋体" w:hAnsi="宋体" w:cs="宋体"/>
                <w:i/>
                <w:iCs/>
                <w:kern w:val="0"/>
                <w:sz w:val="18"/>
                <w:szCs w:val="18"/>
              </w:rPr>
              <w:t>r</w:t>
            </w:r>
            <w:r>
              <w:rPr>
                <w:rFonts w:hint="eastAsia" w:ascii="宋体" w:hAnsi="宋体" w:cs="宋体"/>
                <w:kern w:val="0"/>
                <w:sz w:val="18"/>
                <w:szCs w:val="18"/>
                <w:vertAlign w:val="subscript"/>
              </w:rPr>
              <w:t>2</w:t>
            </w:r>
          </w:p>
        </w:tc>
        <w:tc>
          <w:tcPr>
            <w:tcW w:w="2835" w:type="dxa"/>
            <w:vAlign w:val="center"/>
          </w:tcPr>
          <w:p w14:paraId="63F6433B">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1160" cy="1218565"/>
                  <wp:effectExtent l="0" t="0" r="15240" b="635"/>
                  <wp:docPr id="8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1"/>
                          <pic:cNvPicPr>
                            <a:picLocks noChangeAspect="1"/>
                          </pic:cNvPicPr>
                        </pic:nvPicPr>
                        <pic:blipFill>
                          <a:blip r:embed="rId33" cstate="print"/>
                          <a:stretch>
                            <a:fillRect/>
                          </a:stretch>
                        </pic:blipFill>
                        <pic:spPr>
                          <a:xfrm>
                            <a:off x="0" y="0"/>
                            <a:ext cx="1661160" cy="1218565"/>
                          </a:xfrm>
                          <a:prstGeom prst="rect">
                            <a:avLst/>
                          </a:prstGeom>
                          <a:noFill/>
                          <a:ln>
                            <a:noFill/>
                          </a:ln>
                        </pic:spPr>
                      </pic:pic>
                    </a:graphicData>
                  </a:graphic>
                </wp:inline>
              </w:drawing>
            </w:r>
          </w:p>
        </w:tc>
        <w:tc>
          <w:tcPr>
            <w:tcW w:w="3067" w:type="dxa"/>
            <w:vAlign w:val="center"/>
          </w:tcPr>
          <w:p w14:paraId="3E7FDAF8">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承压非完整井：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0.16Q</m:t>
                  </m:r>
                  <m:ctrlPr>
                    <w:rPr>
                      <w:rFonts w:hint="eastAsia" w:ascii="Cambria Math" w:hAnsi="Cambria Math" w:cs="宋体"/>
                      <w:i/>
                      <w:iCs/>
                      <w:kern w:val="0"/>
                      <w:sz w:val="18"/>
                      <w:szCs w:val="18"/>
                    </w:rPr>
                  </m:ctrlPr>
                </m:num>
                <m:den>
                  <m:r>
                    <m:rPr/>
                    <w:rPr>
                      <w:rFonts w:hint="eastAsia" w:ascii="Cambria Math" w:hAnsi="Cambria Math" w:cs="宋体"/>
                      <w:kern w:val="0"/>
                      <w:sz w:val="18"/>
                      <w:szCs w:val="18"/>
                    </w:rPr>
                    <m:t>l</m:t>
                  </m:r>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d>
                <m:dPr>
                  <m:ctrlPr>
                    <w:rPr>
                      <w:rFonts w:hint="eastAsia" w:ascii="Cambria Math" w:hAnsi="Cambria Math" w:cs="宋体"/>
                      <w:i/>
                      <w:iCs/>
                      <w:kern w:val="0"/>
                      <w:sz w:val="18"/>
                      <w:szCs w:val="18"/>
                    </w:rPr>
                  </m:ctrlPr>
                </m:dPr>
                <m:e>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d>
            </m:oMath>
          </w:p>
        </w:tc>
      </w:tr>
      <w:tr w14:paraId="2BD33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2" w:hRule="atLeast"/>
          <w:jc w:val="center"/>
        </w:trPr>
        <w:tc>
          <w:tcPr>
            <w:tcW w:w="993" w:type="dxa"/>
            <w:vMerge w:val="continue"/>
            <w:vAlign w:val="center"/>
          </w:tcPr>
          <w:p w14:paraId="753D667D">
            <w:pPr>
              <w:pStyle w:val="15"/>
              <w:snapToGrid w:val="0"/>
              <w:spacing w:after="0" w:line="240" w:lineRule="auto"/>
              <w:jc w:val="center"/>
              <w:rPr>
                <w:rFonts w:hint="eastAsia" w:ascii="宋体" w:hAnsi="宋体" w:cs="宋体"/>
                <w:kern w:val="0"/>
                <w:sz w:val="18"/>
                <w:szCs w:val="18"/>
              </w:rPr>
            </w:pPr>
          </w:p>
        </w:tc>
        <w:tc>
          <w:tcPr>
            <w:tcW w:w="1417" w:type="dxa"/>
            <w:vAlign w:val="center"/>
          </w:tcPr>
          <w:p w14:paraId="4D4B6F11">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1. 承压水；</w:t>
            </w:r>
          </w:p>
          <w:p w14:paraId="3DA52549">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2.</w:t>
            </w:r>
            <w:r>
              <w:rPr>
                <w:rFonts w:hint="eastAsia" w:ascii="宋体" w:hAnsi="宋体" w:cs="宋体"/>
                <w:i/>
                <w:iCs/>
                <w:kern w:val="0"/>
                <w:sz w:val="18"/>
                <w:szCs w:val="18"/>
              </w:rPr>
              <w:t> l&gt; </w:t>
            </w:r>
            <w:r>
              <w:rPr>
                <w:rFonts w:hint="eastAsia" w:ascii="宋体" w:hAnsi="宋体" w:cs="宋体"/>
                <w:kern w:val="0"/>
                <w:sz w:val="18"/>
                <w:szCs w:val="18"/>
              </w:rPr>
              <w:t>0.3</w:t>
            </w:r>
            <w:r>
              <w:rPr>
                <w:rFonts w:hint="eastAsia" w:ascii="宋体" w:hAnsi="宋体" w:cs="宋体"/>
                <w:i/>
                <w:iCs/>
                <w:kern w:val="0"/>
                <w:sz w:val="18"/>
                <w:szCs w:val="18"/>
              </w:rPr>
              <w:t>M</w:t>
            </w:r>
          </w:p>
        </w:tc>
        <w:tc>
          <w:tcPr>
            <w:tcW w:w="2835" w:type="dxa"/>
            <w:vAlign w:val="center"/>
          </w:tcPr>
          <w:p w14:paraId="69A0A797">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3065" cy="1208405"/>
                  <wp:effectExtent l="0" t="0" r="13335" b="10795"/>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pic:cNvPicPr>
                            <a:picLocks noChangeAspect="1"/>
                          </pic:cNvPicPr>
                        </pic:nvPicPr>
                        <pic:blipFill>
                          <a:blip r:embed="rId34" cstate="print"/>
                          <a:stretch>
                            <a:fillRect/>
                          </a:stretch>
                        </pic:blipFill>
                        <pic:spPr>
                          <a:xfrm>
                            <a:off x="0" y="0"/>
                            <a:ext cx="1663065" cy="1208405"/>
                          </a:xfrm>
                          <a:prstGeom prst="rect">
                            <a:avLst/>
                          </a:prstGeom>
                          <a:noFill/>
                          <a:ln>
                            <a:noFill/>
                          </a:ln>
                        </pic:spPr>
                      </pic:pic>
                    </a:graphicData>
                  </a:graphic>
                </wp:inline>
              </w:drawing>
            </w:r>
          </w:p>
        </w:tc>
        <w:tc>
          <w:tcPr>
            <w:tcW w:w="3067" w:type="dxa"/>
            <w:vAlign w:val="center"/>
          </w:tcPr>
          <w:p w14:paraId="7810B940">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承压非完整井：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0.16Q</m:t>
                  </m:r>
                  <m:ctrlPr>
                    <w:rPr>
                      <w:rFonts w:hint="eastAsia" w:ascii="Cambria Math" w:hAnsi="Cambria Math" w:cs="宋体"/>
                      <w:i/>
                      <w:iCs/>
                      <w:kern w:val="0"/>
                      <w:sz w:val="18"/>
                      <w:szCs w:val="18"/>
                    </w:rPr>
                  </m:ctrlPr>
                </m:num>
                <m:den>
                  <m:r>
                    <m:rPr/>
                    <w:rPr>
                      <w:rFonts w:hint="eastAsia" w:ascii="Cambria Math" w:hAnsi="Cambria Math" w:cs="宋体"/>
                      <w:kern w:val="0"/>
                      <w:sz w:val="18"/>
                      <w:szCs w:val="18"/>
                    </w:rPr>
                    <m:t>l</m:t>
                  </m:r>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d>
                <m:dPr>
                  <m:begChr m:val="["/>
                  <m:endChr m:val="]"/>
                  <m:ctrlPr>
                    <w:rPr>
                      <w:rFonts w:hint="eastAsia" w:ascii="Cambria Math" w:hAnsi="Cambria Math" w:cs="宋体"/>
                      <w:i/>
                      <w:iCs/>
                      <w:kern w:val="0"/>
                      <w:sz w:val="18"/>
                      <w:szCs w:val="18"/>
                    </w:rPr>
                  </m:ctrlPr>
                </m:dPr>
                <m:e>
                  <m:d>
                    <m:dPr>
                      <m:ctrlPr>
                        <w:rPr>
                          <w:rFonts w:hint="eastAsia" w:ascii="Cambria Math" w:hAnsi="Cambria Math" w:cs="宋体"/>
                          <w:i/>
                          <w:iCs/>
                          <w:kern w:val="0"/>
                          <w:sz w:val="18"/>
                          <w:szCs w:val="18"/>
                        </w:rPr>
                      </m:ctrlPr>
                    </m:dPr>
                    <m:e>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d>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l</m:t>
                      </m:r>
                      <m:ctrlPr>
                        <w:rPr>
                          <w:rFonts w:hint="eastAsia" w:ascii="Cambria Math" w:hAnsi="Cambria Math" w:cs="宋体"/>
                          <w:i/>
                          <w:iCs/>
                          <w:kern w:val="0"/>
                          <w:sz w:val="18"/>
                          <w:szCs w:val="18"/>
                        </w:rPr>
                      </m:ctrlPr>
                    </m:num>
                    <m:den>
                      <m:r>
                        <m:rPr/>
                        <w:rPr>
                          <w:rFonts w:hint="eastAsia" w:ascii="Cambria Math" w:hAnsi="Cambria Math" w:cs="宋体"/>
                          <w:kern w:val="0"/>
                          <w:sz w:val="18"/>
                          <w:szCs w:val="18"/>
                        </w:rPr>
                        <m:t>M</m:t>
                      </m:r>
                      <m:ctrlPr>
                        <w:rPr>
                          <w:rFonts w:hint="eastAsia" w:ascii="Cambria Math" w:hAnsi="Cambria Math" w:cs="宋体"/>
                          <w:i/>
                          <w:iCs/>
                          <w:kern w:val="0"/>
                          <w:sz w:val="18"/>
                          <w:szCs w:val="18"/>
                        </w:rPr>
                      </m:ctrlPr>
                    </m:den>
                  </m:f>
                  <m:d>
                    <m:dPr>
                      <m:ctrlPr>
                        <w:rPr>
                          <w:rFonts w:hint="eastAsia" w:ascii="Cambria Math" w:hAnsi="Cambria Math" w:cs="宋体"/>
                          <w:i/>
                          <w:iCs/>
                          <w:kern w:val="0"/>
                          <w:sz w:val="18"/>
                          <w:szCs w:val="18"/>
                        </w:rPr>
                      </m:ctrlPr>
                    </m:dPr>
                    <m:e>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M</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M</m:t>
                          </m:r>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ln</m:t>
                      </m:r>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e>
              </m:d>
            </m:oMath>
          </w:p>
        </w:tc>
      </w:tr>
      <w:tr w14:paraId="331FC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2" w:hRule="atLeast"/>
          <w:jc w:val="center"/>
        </w:trPr>
        <w:tc>
          <w:tcPr>
            <w:tcW w:w="993" w:type="dxa"/>
            <w:vMerge w:val="continue"/>
            <w:vAlign w:val="center"/>
          </w:tcPr>
          <w:p w14:paraId="245C937A">
            <w:pPr>
              <w:pStyle w:val="15"/>
              <w:snapToGrid w:val="0"/>
              <w:spacing w:after="0" w:line="240" w:lineRule="auto"/>
              <w:jc w:val="center"/>
              <w:rPr>
                <w:rFonts w:hint="eastAsia" w:ascii="宋体" w:hAnsi="宋体" w:cs="宋体"/>
                <w:kern w:val="0"/>
                <w:sz w:val="18"/>
                <w:szCs w:val="18"/>
              </w:rPr>
            </w:pPr>
          </w:p>
        </w:tc>
        <w:tc>
          <w:tcPr>
            <w:tcW w:w="1417" w:type="dxa"/>
            <w:vAlign w:val="center"/>
          </w:tcPr>
          <w:p w14:paraId="26594DD5">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w:t>
            </w:r>
          </w:p>
        </w:tc>
        <w:tc>
          <w:tcPr>
            <w:tcW w:w="2835" w:type="dxa"/>
            <w:vAlign w:val="center"/>
          </w:tcPr>
          <w:p w14:paraId="792054AB">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58620" cy="1212215"/>
                  <wp:effectExtent l="0" t="0" r="17780" b="698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35" cstate="print"/>
                          <a:stretch>
                            <a:fillRect/>
                          </a:stretch>
                        </pic:blipFill>
                        <pic:spPr>
                          <a:xfrm>
                            <a:off x="0" y="0"/>
                            <a:ext cx="1658620" cy="1212215"/>
                          </a:xfrm>
                          <a:prstGeom prst="rect">
                            <a:avLst/>
                          </a:prstGeom>
                          <a:noFill/>
                          <a:ln>
                            <a:noFill/>
                          </a:ln>
                        </pic:spPr>
                      </pic:pic>
                    </a:graphicData>
                  </a:graphic>
                </wp:inline>
              </w:drawing>
            </w:r>
          </w:p>
        </w:tc>
        <w:tc>
          <w:tcPr>
            <w:tcW w:w="3067" w:type="dxa"/>
            <w:vAlign w:val="center"/>
          </w:tcPr>
          <w:p w14:paraId="253BD340">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iCs/>
                      <w:kern w:val="0"/>
                      <w:sz w:val="18"/>
                      <w:szCs w:val="18"/>
                    </w:rPr>
                  </m:ctrlPr>
                </m:num>
                <m:den>
                  <m:d>
                    <m:dPr>
                      <m:ctrlPr>
                        <w:rPr>
                          <w:rFonts w:hint="eastAsia" w:ascii="Cambria Math" w:hAnsi="Cambria Math" w:cs="宋体"/>
                          <w:i/>
                          <w:iCs/>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r>
                <m:rPr>
                  <m:sty m:val="p"/>
                </m:rPr>
                <w:rPr>
                  <w:rFonts w:hint="eastAsia" w:ascii="Cambria Math" w:hAnsi="Cambria Math" w:cs="宋体"/>
                  <w:kern w:val="0"/>
                  <w:sz w:val="18"/>
                  <w:szCs w:val="18"/>
                </w:rPr>
                <m:t>lg</m:t>
              </m:r>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oMath>
          </w:p>
        </w:tc>
      </w:tr>
      <w:tr w14:paraId="2FE1E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2" w:hRule="atLeast"/>
          <w:jc w:val="center"/>
        </w:trPr>
        <w:tc>
          <w:tcPr>
            <w:tcW w:w="993" w:type="dxa"/>
            <w:vMerge w:val="continue"/>
            <w:vAlign w:val="center"/>
          </w:tcPr>
          <w:p w14:paraId="2D17625B">
            <w:pPr>
              <w:pStyle w:val="15"/>
              <w:snapToGrid w:val="0"/>
              <w:spacing w:after="0" w:line="240" w:lineRule="auto"/>
              <w:jc w:val="center"/>
              <w:rPr>
                <w:rFonts w:hint="eastAsia" w:ascii="宋体" w:hAnsi="宋体" w:cs="宋体"/>
                <w:kern w:val="0"/>
                <w:sz w:val="18"/>
                <w:szCs w:val="18"/>
              </w:rPr>
            </w:pPr>
          </w:p>
        </w:tc>
        <w:tc>
          <w:tcPr>
            <w:tcW w:w="1417" w:type="dxa"/>
            <w:vAlign w:val="center"/>
          </w:tcPr>
          <w:p w14:paraId="17CF36FF">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1. 潜水；</w:t>
            </w:r>
          </w:p>
          <w:p w14:paraId="282220FD">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2. 抽水孔为非淹没式过滤器；</w:t>
            </w:r>
          </w:p>
          <w:p w14:paraId="0B7F8A77">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3. </w:t>
            </w:r>
            <w:r>
              <w:rPr>
                <w:rFonts w:hint="eastAsia" w:ascii="宋体" w:hAnsi="宋体" w:cs="宋体"/>
                <w:i/>
                <w:iCs/>
                <w:kern w:val="0"/>
                <w:sz w:val="18"/>
                <w:szCs w:val="18"/>
              </w:rPr>
              <w:t>l</w:t>
            </w:r>
            <w:r>
              <w:rPr>
                <w:rFonts w:hint="eastAsia" w:ascii="宋体" w:hAnsi="宋体" w:cs="宋体"/>
                <w:kern w:val="0"/>
                <w:sz w:val="18"/>
                <w:szCs w:val="18"/>
              </w:rPr>
              <w:t>&lt;0.3</w:t>
            </w:r>
            <w:r>
              <w:rPr>
                <w:rFonts w:hint="eastAsia" w:ascii="宋体" w:hAnsi="宋体" w:cs="宋体"/>
                <w:i/>
                <w:iCs/>
                <w:kern w:val="0"/>
                <w:sz w:val="18"/>
                <w:szCs w:val="18"/>
              </w:rPr>
              <w:t>M</w:t>
            </w:r>
            <w:r>
              <w:rPr>
                <w:rFonts w:hint="eastAsia" w:ascii="宋体" w:hAnsi="宋体" w:cs="宋体"/>
                <w:kern w:val="0"/>
                <w:sz w:val="18"/>
                <w:szCs w:val="18"/>
              </w:rPr>
              <w:t>；</w:t>
            </w:r>
          </w:p>
          <w:p w14:paraId="0FE24DF3">
            <w:pPr>
              <w:pStyle w:val="15"/>
              <w:snapToGrid w:val="0"/>
              <w:spacing w:after="0" w:line="240" w:lineRule="auto"/>
              <w:jc w:val="left"/>
              <w:rPr>
                <w:rFonts w:hint="eastAsia" w:ascii="宋体" w:hAnsi="宋体" w:cs="宋体"/>
                <w:i/>
                <w:iCs/>
                <w:kern w:val="0"/>
                <w:sz w:val="18"/>
                <w:szCs w:val="18"/>
                <w:vertAlign w:val="subscript"/>
              </w:rPr>
            </w:pPr>
            <w:r>
              <w:rPr>
                <w:rFonts w:hint="eastAsia" w:ascii="宋体" w:hAnsi="宋体" w:cs="宋体"/>
                <w:kern w:val="0"/>
                <w:sz w:val="18"/>
                <w:szCs w:val="18"/>
              </w:rPr>
              <w:t>4. </w:t>
            </w:r>
            <w:r>
              <w:rPr>
                <w:rFonts w:hint="eastAsia" w:ascii="宋体" w:hAnsi="宋体" w:cs="宋体"/>
                <w:i/>
                <w:iCs/>
                <w:kern w:val="0"/>
                <w:sz w:val="18"/>
                <w:szCs w:val="18"/>
              </w:rPr>
              <w:t>s</w:t>
            </w:r>
            <w:r>
              <w:rPr>
                <w:rFonts w:hint="eastAsia" w:ascii="宋体" w:hAnsi="宋体" w:cs="宋体"/>
                <w:i/>
                <w:iCs/>
                <w:kern w:val="0"/>
                <w:sz w:val="18"/>
                <w:szCs w:val="18"/>
                <w:vertAlign w:val="subscript"/>
              </w:rPr>
              <w:t>w</w:t>
            </w:r>
            <w:r>
              <w:rPr>
                <w:rFonts w:hint="eastAsia" w:ascii="宋体" w:hAnsi="宋体" w:cs="宋体"/>
                <w:i/>
                <w:iCs/>
                <w:kern w:val="0"/>
                <w:sz w:val="18"/>
                <w:szCs w:val="18"/>
              </w:rPr>
              <w:t>&lt;</w:t>
            </w:r>
            <w:r>
              <w:rPr>
                <w:rFonts w:hint="eastAsia" w:ascii="宋体" w:hAnsi="宋体" w:cs="宋体"/>
                <w:kern w:val="0"/>
                <w:sz w:val="18"/>
                <w:szCs w:val="18"/>
              </w:rPr>
              <w:t>0.3</w:t>
            </w:r>
            <w:r>
              <w:rPr>
                <w:rFonts w:hint="eastAsia" w:ascii="宋体" w:hAnsi="宋体" w:cs="宋体"/>
                <w:i/>
                <w:iCs/>
                <w:kern w:val="0"/>
                <w:sz w:val="18"/>
                <w:szCs w:val="18"/>
              </w:rPr>
              <w:t>l</w:t>
            </w:r>
            <w:r>
              <w:rPr>
                <w:rFonts w:hint="eastAsia" w:ascii="宋体" w:hAnsi="宋体" w:cs="宋体"/>
                <w:kern w:val="0"/>
                <w:sz w:val="18"/>
                <w:szCs w:val="18"/>
                <w:vertAlign w:val="subscript"/>
              </w:rPr>
              <w:t>1</w:t>
            </w:r>
            <w:r>
              <w:rPr>
                <w:rFonts w:hint="eastAsia" w:ascii="宋体" w:hAnsi="宋体" w:cs="宋体"/>
                <w:kern w:val="0"/>
                <w:sz w:val="18"/>
                <w:szCs w:val="18"/>
              </w:rPr>
              <w:t>；</w:t>
            </w:r>
          </w:p>
          <w:p w14:paraId="59D57033">
            <w:pPr>
              <w:pStyle w:val="15"/>
              <w:snapToGrid w:val="0"/>
              <w:spacing w:after="0" w:line="240" w:lineRule="auto"/>
              <w:ind w:left="90" w:hanging="90" w:hangingChars="50"/>
              <w:jc w:val="left"/>
              <w:rPr>
                <w:rFonts w:hint="eastAsia" w:ascii="宋体" w:hAnsi="宋体" w:cs="宋体"/>
                <w:kern w:val="0"/>
                <w:sz w:val="18"/>
                <w:szCs w:val="18"/>
              </w:rPr>
            </w:pPr>
            <w:r>
              <w:rPr>
                <w:rFonts w:hint="eastAsia" w:ascii="宋体" w:hAnsi="宋体" w:cs="宋体"/>
                <w:kern w:val="0"/>
                <w:sz w:val="18"/>
                <w:szCs w:val="18"/>
              </w:rPr>
              <w:t>5. </w:t>
            </w:r>
            <w:r>
              <w:rPr>
                <w:rFonts w:hint="eastAsia" w:ascii="宋体" w:hAnsi="宋体" w:cs="宋体"/>
                <w:i/>
                <w:iCs/>
                <w:kern w:val="0"/>
                <w:sz w:val="18"/>
                <w:szCs w:val="18"/>
              </w:rPr>
              <w:t>r</w:t>
            </w:r>
            <w:r>
              <w:rPr>
                <w:rFonts w:hint="eastAsia" w:ascii="宋体" w:hAnsi="宋体" w:cs="宋体"/>
                <w:kern w:val="0"/>
                <w:sz w:val="18"/>
                <w:szCs w:val="18"/>
                <w:vertAlign w:val="subscript"/>
              </w:rPr>
              <w:t>1</w:t>
            </w:r>
            <w:r>
              <w:rPr>
                <w:rFonts w:hint="eastAsia" w:ascii="宋体" w:hAnsi="宋体" w:cs="宋体"/>
                <w:kern w:val="0"/>
                <w:sz w:val="18"/>
                <w:szCs w:val="18"/>
              </w:rPr>
              <w:t>=0.3</w:t>
            </w:r>
            <w:r>
              <w:rPr>
                <w:rFonts w:hint="eastAsia" w:ascii="宋体" w:hAnsi="宋体" w:cs="宋体"/>
                <w:i/>
                <w:iCs/>
                <w:kern w:val="0"/>
                <w:sz w:val="18"/>
                <w:szCs w:val="18"/>
              </w:rPr>
              <w:t>r</w:t>
            </w:r>
            <w:r>
              <w:rPr>
                <w:rFonts w:hint="eastAsia" w:ascii="宋体" w:hAnsi="宋体" w:cs="宋体"/>
                <w:kern w:val="0"/>
                <w:sz w:val="18"/>
                <w:szCs w:val="18"/>
                <w:vertAlign w:val="subscript"/>
              </w:rPr>
              <w:t>2</w:t>
            </w:r>
            <w:r>
              <w:rPr>
                <w:rFonts w:hint="eastAsia" w:ascii="宋体" w:hAnsi="宋体" w:cs="宋体"/>
                <w:kern w:val="0"/>
                <w:sz w:val="18"/>
                <w:szCs w:val="18"/>
              </w:rPr>
              <w:t>；</w:t>
            </w:r>
          </w:p>
          <w:p w14:paraId="0D0E9698">
            <w:pPr>
              <w:pStyle w:val="15"/>
              <w:snapToGrid w:val="0"/>
              <w:spacing w:after="0" w:line="240" w:lineRule="auto"/>
              <w:ind w:left="90" w:hanging="90" w:hangingChars="50"/>
              <w:jc w:val="left"/>
              <w:rPr>
                <w:rFonts w:hint="eastAsia" w:ascii="宋体" w:hAnsi="宋体" w:cs="宋体"/>
                <w:kern w:val="0"/>
                <w:sz w:val="18"/>
                <w:szCs w:val="18"/>
              </w:rPr>
            </w:pPr>
            <w:r>
              <w:rPr>
                <w:rFonts w:hint="eastAsia" w:ascii="宋体" w:hAnsi="宋体" w:cs="宋体"/>
                <w:kern w:val="0"/>
                <w:sz w:val="18"/>
                <w:szCs w:val="18"/>
              </w:rPr>
              <w:t>6. </w:t>
            </w:r>
            <w:r>
              <w:rPr>
                <w:rFonts w:hint="eastAsia" w:ascii="宋体" w:hAnsi="宋体" w:cs="宋体"/>
                <w:i/>
                <w:iCs/>
                <w:kern w:val="0"/>
                <w:sz w:val="18"/>
                <w:szCs w:val="18"/>
              </w:rPr>
              <w:t>r</w:t>
            </w:r>
            <w:r>
              <w:rPr>
                <w:rFonts w:hint="eastAsia" w:ascii="宋体" w:hAnsi="宋体" w:cs="宋体"/>
                <w:kern w:val="0"/>
                <w:sz w:val="18"/>
                <w:szCs w:val="18"/>
                <w:vertAlign w:val="subscript"/>
              </w:rPr>
              <w:t>2</w:t>
            </w:r>
            <w:r>
              <w:rPr>
                <w:rFonts w:hint="eastAsia" w:ascii="宋体" w:hAnsi="宋体" w:cs="宋体"/>
                <w:kern w:val="0"/>
                <w:sz w:val="18"/>
                <w:szCs w:val="18"/>
              </w:rPr>
              <w:t>≤0.3</w:t>
            </w:r>
            <w:r>
              <w:rPr>
                <w:rFonts w:hint="eastAsia" w:ascii="宋体" w:hAnsi="宋体" w:cs="宋体"/>
                <w:i/>
                <w:iCs/>
                <w:kern w:val="0"/>
                <w:sz w:val="18"/>
                <w:szCs w:val="18"/>
              </w:rPr>
              <w:t>H</w:t>
            </w:r>
          </w:p>
        </w:tc>
        <w:tc>
          <w:tcPr>
            <w:tcW w:w="2835" w:type="dxa"/>
            <w:vAlign w:val="center"/>
          </w:tcPr>
          <w:p w14:paraId="3B54865B">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2430" cy="1226820"/>
                  <wp:effectExtent l="0" t="0" r="13970" b="11430"/>
                  <wp:docPr id="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2"/>
                          <pic:cNvPicPr>
                            <a:picLocks noChangeAspect="1"/>
                          </pic:cNvPicPr>
                        </pic:nvPicPr>
                        <pic:blipFill>
                          <a:blip r:embed="rId36" cstate="print"/>
                          <a:stretch>
                            <a:fillRect/>
                          </a:stretch>
                        </pic:blipFill>
                        <pic:spPr>
                          <a:xfrm>
                            <a:off x="0" y="0"/>
                            <a:ext cx="1662430" cy="1226820"/>
                          </a:xfrm>
                          <a:prstGeom prst="rect">
                            <a:avLst/>
                          </a:prstGeom>
                          <a:noFill/>
                          <a:ln>
                            <a:noFill/>
                          </a:ln>
                        </pic:spPr>
                      </pic:pic>
                    </a:graphicData>
                  </a:graphic>
                </wp:inline>
              </w:drawing>
            </w:r>
          </w:p>
        </w:tc>
        <w:tc>
          <w:tcPr>
            <w:tcW w:w="3067" w:type="dxa"/>
            <w:vAlign w:val="center"/>
          </w:tcPr>
          <w:p w14:paraId="04AE3E53">
            <w:pPr>
              <w:pStyle w:val="15"/>
              <w:snapToGrid w:val="0"/>
              <w:spacing w:after="0" w:line="240" w:lineRule="auto"/>
              <w:jc w:val="left"/>
              <w:rPr>
                <w:rFonts w:hint="eastAsia" w:ascii="宋体" w:hAnsi="宋体" w:cs="宋体"/>
                <w:iCs/>
                <w:kern w:val="0"/>
                <w:sz w:val="18"/>
                <w:szCs w:val="18"/>
              </w:rPr>
            </w:pPr>
            <w:r>
              <w:rPr>
                <w:rFonts w:hint="eastAsia" w:ascii="宋体" w:hAnsi="宋体" w:cs="宋体"/>
                <w:kern w:val="0"/>
                <w:sz w:val="18"/>
                <w:szCs w:val="18"/>
              </w:rPr>
              <w:t>潜水非完整井：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0.16Q</m:t>
                  </m:r>
                  <m:ctrlPr>
                    <w:rPr>
                      <w:rFonts w:hint="eastAsia" w:ascii="Cambria Math" w:hAnsi="Cambria Math" w:cs="宋体"/>
                      <w:i/>
                      <w:iCs/>
                      <w:kern w:val="0"/>
                      <w:sz w:val="18"/>
                      <w:szCs w:val="18"/>
                    </w:rPr>
                  </m:ctrlPr>
                </m:num>
                <m:den>
                  <m:sSup>
                    <m:sSupPr>
                      <m:ctrlPr>
                        <w:rPr>
                          <w:rFonts w:ascii="Cambria Math" w:hAnsi="Cambria Math" w:cs="宋体"/>
                          <w:i/>
                          <w:kern w:val="0"/>
                          <w:sz w:val="18"/>
                          <w:szCs w:val="18"/>
                        </w:rPr>
                      </m:ctrlPr>
                    </m:sSupPr>
                    <m:e>
                      <m:r>
                        <m:rPr/>
                        <w:rPr>
                          <w:rFonts w:hint="eastAsia" w:ascii="Cambria Math" w:hAnsi="Cambria Math" w:cs="宋体"/>
                          <w:kern w:val="0"/>
                          <w:sz w:val="18"/>
                          <w:szCs w:val="18"/>
                        </w:rPr>
                        <m:t>l</m:t>
                      </m:r>
                      <m:ctrlPr>
                        <w:rPr>
                          <w:rFonts w:hint="eastAsia" w:ascii="Cambria Math" w:hAnsi="Cambria Math" w:cs="宋体"/>
                          <w:i/>
                          <w:kern w:val="0"/>
                          <w:sz w:val="18"/>
                          <w:szCs w:val="18"/>
                        </w:rPr>
                      </m:ctrlPr>
                    </m:e>
                    <m:sup>
                      <m:r>
                        <m:rPr/>
                        <w:rPr>
                          <w:rFonts w:ascii="Cambria Math" w:hAnsi="Cambria Math" w:cs="宋体"/>
                          <w:kern w:val="0"/>
                          <w:sz w:val="18"/>
                          <w:szCs w:val="18"/>
                        </w:rPr>
                        <m:t>'</m:t>
                      </m:r>
                      <m:ctrlPr>
                        <w:rPr>
                          <w:rFonts w:ascii="Cambria Math" w:hAnsi="Cambria Math" w:cs="宋体"/>
                          <w:i/>
                          <w:kern w:val="0"/>
                          <w:sz w:val="18"/>
                          <w:szCs w:val="18"/>
                        </w:rPr>
                      </m:ctrlPr>
                    </m:sup>
                  </m:sSup>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d>
                <m:dPr>
                  <m:ctrlPr>
                    <w:rPr>
                      <w:rFonts w:hint="eastAsia" w:ascii="Cambria Math" w:hAnsi="Cambria Math" w:cs="宋体"/>
                      <w:i/>
                      <w:iCs/>
                      <w:kern w:val="0"/>
                      <w:sz w:val="18"/>
                      <w:szCs w:val="18"/>
                    </w:rPr>
                  </m:ctrlPr>
                </m:dPr>
                <m:e>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sSup>
                        <m:sSupPr>
                          <m:ctrlPr>
                            <w:rPr>
                              <w:rFonts w:ascii="Cambria Math" w:hAnsi="Cambria Math" w:cs="宋体"/>
                              <w:i/>
                              <w:kern w:val="0"/>
                              <w:sz w:val="18"/>
                              <w:szCs w:val="18"/>
                            </w:rPr>
                          </m:ctrlPr>
                        </m:sSupPr>
                        <m:e>
                          <m:r>
                            <m:rPr/>
                            <w:rPr>
                              <w:rFonts w:hint="eastAsia" w:ascii="Cambria Math" w:hAnsi="Cambria Math" w:cs="宋体"/>
                              <w:kern w:val="0"/>
                              <w:sz w:val="18"/>
                              <w:szCs w:val="18"/>
                            </w:rPr>
                            <m:t>l</m:t>
                          </m:r>
                          <m:ctrlPr>
                            <w:rPr>
                              <w:rFonts w:hint="eastAsia" w:ascii="Cambria Math" w:hAnsi="Cambria Math" w:cs="宋体"/>
                              <w:i/>
                              <w:kern w:val="0"/>
                              <w:sz w:val="18"/>
                              <w:szCs w:val="18"/>
                            </w:rPr>
                          </m:ctrlPr>
                        </m:e>
                        <m:sup>
                          <m:r>
                            <m:rPr/>
                            <w:rPr>
                              <w:rFonts w:ascii="Cambria Math" w:hAnsi="Cambria Math" w:cs="宋体"/>
                              <w:kern w:val="0"/>
                              <w:sz w:val="18"/>
                              <w:szCs w:val="18"/>
                            </w:rPr>
                            <m:t>'</m:t>
                          </m:r>
                          <m:ctrlPr>
                            <w:rPr>
                              <w:rFonts w:ascii="Cambria Math" w:hAnsi="Cambria Math" w:cs="宋体"/>
                              <w:i/>
                              <w:kern w:val="0"/>
                              <w:sz w:val="18"/>
                              <w:szCs w:val="18"/>
                            </w:rPr>
                          </m:ctrlPr>
                        </m:sup>
                      </m:sSup>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r>
                    <m:rPr/>
                    <w:rPr>
                      <w:rFonts w:hint="eastAsia" w:ascii="Cambria Math" w:hAnsi="Cambria Math" w:cs="宋体"/>
                      <w:kern w:val="0"/>
                      <w:sz w:val="18"/>
                      <w:szCs w:val="18"/>
                    </w:rPr>
                    <m:t>−</m:t>
                  </m:r>
                  <m:r>
                    <m:rPr>
                      <m:sty m:val="p"/>
                    </m:rPr>
                    <w:rPr>
                      <w:rFonts w:hint="eastAsia" w:ascii="Cambria Math" w:hAnsi="Cambria Math" w:cs="宋体"/>
                      <w:kern w:val="0"/>
                      <w:sz w:val="18"/>
                      <w:szCs w:val="18"/>
                    </w:rPr>
                    <m:t>arsh</m:t>
                  </m:r>
                  <m:f>
                    <m:fPr>
                      <m:ctrlPr>
                        <w:rPr>
                          <w:rFonts w:hint="eastAsia" w:ascii="Cambria Math" w:hAnsi="Cambria Math" w:cs="宋体"/>
                          <w:i/>
                          <w:iCs/>
                          <w:kern w:val="0"/>
                          <w:sz w:val="18"/>
                          <w:szCs w:val="18"/>
                        </w:rPr>
                      </m:ctrlPr>
                    </m:fPr>
                    <m:num>
                      <m:sSup>
                        <m:sSupPr>
                          <m:ctrlPr>
                            <w:rPr>
                              <w:rFonts w:ascii="Cambria Math" w:hAnsi="Cambria Math" w:cs="宋体"/>
                              <w:i/>
                              <w:kern w:val="0"/>
                              <w:sz w:val="18"/>
                              <w:szCs w:val="18"/>
                            </w:rPr>
                          </m:ctrlPr>
                        </m:sSupPr>
                        <m:e>
                          <m:r>
                            <m:rPr/>
                            <w:rPr>
                              <w:rFonts w:hint="eastAsia" w:ascii="Cambria Math" w:hAnsi="Cambria Math" w:cs="宋体"/>
                              <w:kern w:val="0"/>
                              <w:sz w:val="18"/>
                              <w:szCs w:val="18"/>
                            </w:rPr>
                            <m:t>l</m:t>
                          </m:r>
                          <m:ctrlPr>
                            <w:rPr>
                              <w:rFonts w:hint="eastAsia" w:ascii="Cambria Math" w:hAnsi="Cambria Math" w:cs="宋体"/>
                              <w:i/>
                              <w:kern w:val="0"/>
                              <w:sz w:val="18"/>
                              <w:szCs w:val="18"/>
                            </w:rPr>
                          </m:ctrlPr>
                        </m:e>
                        <m:sup>
                          <m:r>
                            <m:rPr/>
                            <w:rPr>
                              <w:rFonts w:ascii="Cambria Math" w:hAnsi="Cambria Math" w:cs="宋体"/>
                              <w:kern w:val="0"/>
                              <w:sz w:val="18"/>
                              <w:szCs w:val="18"/>
                            </w:rPr>
                            <m:t>'</m:t>
                          </m:r>
                          <m:ctrlPr>
                            <w:rPr>
                              <w:rFonts w:ascii="Cambria Math" w:hAnsi="Cambria Math" w:cs="宋体"/>
                              <w:i/>
                              <w:kern w:val="0"/>
                              <w:sz w:val="18"/>
                              <w:szCs w:val="18"/>
                            </w:rPr>
                          </m:ctrlPr>
                        </m:sup>
                      </m:sSup>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d>
            </m:oMath>
          </w:p>
          <w:p w14:paraId="2C0F73B5">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式中：</w:t>
            </w:r>
            <m:oMath>
              <m:sSup>
                <m:sSupPr>
                  <m:ctrlPr>
                    <w:rPr>
                      <w:rFonts w:ascii="Cambria Math" w:hAnsi="Cambria Math" w:cs="宋体"/>
                      <w:i/>
                      <w:kern w:val="0"/>
                      <w:sz w:val="18"/>
                      <w:szCs w:val="18"/>
                    </w:rPr>
                  </m:ctrlPr>
                </m:sSupPr>
                <m:e>
                  <m:r>
                    <m:rPr/>
                    <w:rPr>
                      <w:rFonts w:hint="eastAsia" w:ascii="Cambria Math" w:hAnsi="Cambria Math" w:cs="宋体"/>
                      <w:kern w:val="0"/>
                      <w:sz w:val="18"/>
                      <w:szCs w:val="18"/>
                    </w:rPr>
                    <m:t>l</m:t>
                  </m:r>
                  <m:ctrlPr>
                    <w:rPr>
                      <w:rFonts w:hint="eastAsia" w:ascii="Cambria Math" w:hAnsi="Cambria Math" w:cs="宋体"/>
                      <w:i/>
                      <w:kern w:val="0"/>
                      <w:sz w:val="18"/>
                      <w:szCs w:val="18"/>
                    </w:rPr>
                  </m:ctrlPr>
                </m:e>
                <m:sup>
                  <m:r>
                    <m:rPr/>
                    <w:rPr>
                      <w:rFonts w:ascii="Cambria Math" w:hAnsi="Cambria Math" w:cs="宋体"/>
                      <w:kern w:val="0"/>
                      <w:sz w:val="18"/>
                      <w:szCs w:val="18"/>
                    </w:rPr>
                    <m:t>'</m:t>
                  </m:r>
                  <m:ctrlPr>
                    <w:rPr>
                      <w:rFonts w:ascii="Cambria Math" w:hAnsi="Cambria Math" w:cs="宋体"/>
                      <w:i/>
                      <w:kern w:val="0"/>
                      <w:sz w:val="18"/>
                      <w:szCs w:val="18"/>
                    </w:rPr>
                  </m:ctrlPr>
                </m:sup>
              </m:sSup>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l</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−0.5</m:t>
              </m:r>
              <m:d>
                <m:dPr>
                  <m:ctrlPr>
                    <w:rPr>
                      <w:rFonts w:hint="eastAsia" w:ascii="Cambria Math" w:hAnsi="Cambria Math" w:cs="宋体"/>
                      <w:i/>
                      <w:kern w:val="0"/>
                      <w:sz w:val="18"/>
                      <w:szCs w:val="18"/>
                    </w:rPr>
                  </m:ctrlPr>
                </m:dPr>
                <m:e>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2</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d>
            </m:oMath>
          </w:p>
        </w:tc>
      </w:tr>
    </w:tbl>
    <w:p w14:paraId="6DF20D31">
      <w:pPr>
        <w:rPr>
          <w:rFonts w:hint="eastAsia" w:ascii="黑体" w:hAnsi="黑体" w:eastAsia="黑体" w:cs="宋体"/>
        </w:rPr>
      </w:pPr>
      <w:r>
        <w:rPr>
          <w:rFonts w:hint="eastAsia" w:ascii="黑体" w:hAnsi="黑体" w:eastAsia="黑体" w:cs="宋体"/>
        </w:rPr>
        <w:br w:type="page"/>
      </w:r>
    </w:p>
    <w:p w14:paraId="2487DC6D">
      <w:pPr>
        <w:keepNext/>
        <w:spacing w:before="156" w:beforeLines="50" w:after="156" w:afterLines="50" w:line="240" w:lineRule="auto"/>
        <w:jc w:val="center"/>
      </w:pPr>
      <w:r>
        <w:rPr>
          <w:rFonts w:hint="eastAsia" w:ascii="黑体" w:hAnsi="黑体" w:eastAsia="黑体" w:cs="宋体"/>
        </w:rPr>
        <w:t>续表</w:t>
      </w:r>
    </w:p>
    <w:tbl>
      <w:tblPr>
        <w:tblStyle w:val="34"/>
        <w:tblW w:w="83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417"/>
        <w:gridCol w:w="2835"/>
        <w:gridCol w:w="3067"/>
      </w:tblGrid>
      <w:tr w14:paraId="728A0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93" w:type="dxa"/>
            <w:tcBorders>
              <w:bottom w:val="single" w:color="auto" w:sz="12" w:space="0"/>
            </w:tcBorders>
            <w:vAlign w:val="center"/>
          </w:tcPr>
          <w:p w14:paraId="35675198">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试验方法</w:t>
            </w:r>
          </w:p>
        </w:tc>
        <w:tc>
          <w:tcPr>
            <w:tcW w:w="1417" w:type="dxa"/>
            <w:tcBorders>
              <w:bottom w:val="single" w:color="auto" w:sz="12" w:space="0"/>
            </w:tcBorders>
            <w:vAlign w:val="center"/>
          </w:tcPr>
          <w:p w14:paraId="15F84B36">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适用条件</w:t>
            </w:r>
          </w:p>
        </w:tc>
        <w:tc>
          <w:tcPr>
            <w:tcW w:w="2835" w:type="dxa"/>
            <w:tcBorders>
              <w:bottom w:val="single" w:color="auto" w:sz="12" w:space="0"/>
            </w:tcBorders>
            <w:vAlign w:val="center"/>
          </w:tcPr>
          <w:p w14:paraId="4A47361B">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示意图</w:t>
            </w:r>
          </w:p>
        </w:tc>
        <w:tc>
          <w:tcPr>
            <w:tcW w:w="3067" w:type="dxa"/>
            <w:tcBorders>
              <w:bottom w:val="single" w:color="auto" w:sz="12" w:space="0"/>
            </w:tcBorders>
            <w:vAlign w:val="center"/>
          </w:tcPr>
          <w:p w14:paraId="528DFCCE">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t>渗透系数计算公式</w:t>
            </w:r>
          </w:p>
        </w:tc>
      </w:tr>
      <w:tr w14:paraId="18DA12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0" w:hRule="atLeast"/>
          <w:jc w:val="center"/>
        </w:trPr>
        <w:tc>
          <w:tcPr>
            <w:tcW w:w="993" w:type="dxa"/>
            <w:vMerge w:val="restart"/>
            <w:vAlign w:val="center"/>
          </w:tcPr>
          <w:p w14:paraId="559A92D4">
            <w:pPr>
              <w:pStyle w:val="15"/>
              <w:snapToGrid w:val="0"/>
              <w:spacing w:after="0" w:line="240" w:lineRule="auto"/>
              <w:ind w:firstLine="360"/>
              <w:jc w:val="center"/>
              <w:rPr>
                <w:rFonts w:hint="eastAsia" w:ascii="宋体" w:hAnsi="宋体" w:cs="宋体"/>
                <w:kern w:val="0"/>
                <w:sz w:val="18"/>
                <w:szCs w:val="18"/>
              </w:rPr>
            </w:pPr>
            <w:r>
              <w:rPr>
                <w:rFonts w:hint="eastAsia" w:ascii="宋体" w:hAnsi="宋体" w:cs="宋体"/>
                <w:kern w:val="0"/>
                <w:sz w:val="18"/>
                <w:szCs w:val="18"/>
              </w:rPr>
              <w:t>单井抽水、双井观测试验</w:t>
            </w:r>
          </w:p>
        </w:tc>
        <w:tc>
          <w:tcPr>
            <w:tcW w:w="1417" w:type="dxa"/>
            <w:vAlign w:val="center"/>
          </w:tcPr>
          <w:p w14:paraId="797E99AA">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1. 潜水；</w:t>
            </w:r>
          </w:p>
          <w:p w14:paraId="7DF3171F">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2. 靠近河流；</w:t>
            </w:r>
          </w:p>
          <w:p w14:paraId="41BC15C1">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3. 观测孔平行岸边</w:t>
            </w:r>
          </w:p>
        </w:tc>
        <w:tc>
          <w:tcPr>
            <w:tcW w:w="2835" w:type="dxa"/>
            <w:vAlign w:val="center"/>
          </w:tcPr>
          <w:p w14:paraId="0D905486">
            <w:pPr>
              <w:pStyle w:val="15"/>
              <w:snapToGrid w:val="0"/>
              <w:spacing w:after="0" w:line="240" w:lineRule="auto"/>
              <w:jc w:val="center"/>
              <w:rPr>
                <w:rFonts w:hint="eastAsia" w:ascii="宋体" w:hAnsi="宋体" w:cs="宋体"/>
                <w:kern w:val="0"/>
                <w:sz w:val="18"/>
                <w:szCs w:val="18"/>
              </w:rPr>
            </w:pPr>
            <w:r>
              <w:rPr>
                <w:rFonts w:hint="eastAsia" w:ascii="宋体" w:hAnsi="宋体" w:cs="宋体"/>
                <w:kern w:val="0"/>
                <w:sz w:val="18"/>
                <w:szCs w:val="18"/>
              </w:rPr>
              <w:drawing>
                <wp:inline distT="0" distB="0" distL="114300" distR="114300">
                  <wp:extent cx="1661795" cy="1209675"/>
                  <wp:effectExtent l="0" t="0" r="14605" b="9525"/>
                  <wp:docPr id="8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5"/>
                          <pic:cNvPicPr>
                            <a:picLocks noChangeAspect="1"/>
                          </pic:cNvPicPr>
                        </pic:nvPicPr>
                        <pic:blipFill>
                          <a:blip r:embed="rId37" cstate="print"/>
                          <a:stretch>
                            <a:fillRect/>
                          </a:stretch>
                        </pic:blipFill>
                        <pic:spPr>
                          <a:xfrm>
                            <a:off x="0" y="0"/>
                            <a:ext cx="1661795" cy="1209675"/>
                          </a:xfrm>
                          <a:prstGeom prst="rect">
                            <a:avLst/>
                          </a:prstGeom>
                          <a:noFill/>
                          <a:ln>
                            <a:noFill/>
                          </a:ln>
                        </pic:spPr>
                      </pic:pic>
                    </a:graphicData>
                  </a:graphic>
                </wp:inline>
              </w:drawing>
            </w:r>
          </w:p>
        </w:tc>
        <w:tc>
          <w:tcPr>
            <w:tcW w:w="3067" w:type="dxa"/>
            <w:vAlign w:val="center"/>
          </w:tcPr>
          <w:p w14:paraId="15E97D8E">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kern w:val="0"/>
                      <w:sz w:val="18"/>
                      <w:szCs w:val="18"/>
                    </w:rPr>
                  </m:ctrlPr>
                </m:num>
                <m:den>
                  <m:d>
                    <m:dPr>
                      <m:ctrlPr>
                        <w:rPr>
                          <w:rFonts w:hint="eastAsia" w:ascii="Cambria Math" w:hAnsi="Cambria Math" w:cs="宋体"/>
                          <w:i/>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2</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d>
                  <m:d>
                    <m:dPr>
                      <m:ctrlPr>
                        <w:rPr>
                          <w:rFonts w:hint="eastAsia" w:ascii="Cambria Math" w:hAnsi="Cambria Math" w:cs="宋体"/>
                          <w:i/>
                          <w:kern w:val="0"/>
                          <w:sz w:val="18"/>
                          <w:szCs w:val="18"/>
                        </w:rPr>
                      </m:ctrlPr>
                    </m:dPr>
                    <m:e>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2</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d>
                  <m:ctrlPr>
                    <w:rPr>
                      <w:rFonts w:hint="eastAsia" w:ascii="Cambria Math" w:hAnsi="Cambria Math" w:cs="宋体"/>
                      <w:i/>
                      <w:kern w:val="0"/>
                      <w:sz w:val="18"/>
                      <w:szCs w:val="18"/>
                    </w:rPr>
                  </m:ctrlPr>
                </m:den>
              </m:f>
              <m:d>
                <m:dPr>
                  <m:begChr m:val="["/>
                  <m:endChr m:val="]"/>
                  <m:ctrlPr>
                    <w:rPr>
                      <w:rFonts w:hint="eastAsia" w:ascii="Cambria Math" w:hAnsi="Cambria Math" w:cs="宋体"/>
                      <w:i/>
                      <w:kern w:val="0"/>
                      <w:sz w:val="18"/>
                      <w:szCs w:val="18"/>
                    </w:rPr>
                  </m:ctrlPr>
                </m:dPr>
                <m:e>
                  <m:func>
                    <m:funcPr>
                      <m:ctrlPr>
                        <w:rPr>
                          <w:rFonts w:hint="eastAsia" w:ascii="Cambria Math" w:hAnsi="Cambria Math" w:cs="宋体"/>
                          <w:i/>
                          <w:kern w:val="0"/>
                          <w:sz w:val="18"/>
                          <w:szCs w:val="18"/>
                        </w:rPr>
                      </m:ctrlPr>
                    </m:funcPr>
                    <m:fName>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1</m:t>
                          </m:r>
                          <m:ctrlPr>
                            <w:rPr>
                              <w:rFonts w:hint="eastAsia" w:ascii="Cambria Math" w:hAnsi="Cambria Math" w:cs="宋体"/>
                              <w:i/>
                              <w:kern w:val="0"/>
                              <w:sz w:val="18"/>
                              <w:szCs w:val="18"/>
                            </w:rPr>
                          </m:ctrlPr>
                        </m:num>
                        <m:den>
                          <m:r>
                            <m:rPr/>
                            <w:rPr>
                              <w:rFonts w:hint="eastAsia" w:ascii="Cambria Math" w:hAnsi="Cambria Math" w:cs="宋体"/>
                              <w:kern w:val="0"/>
                              <w:sz w:val="18"/>
                              <w:szCs w:val="18"/>
                            </w:rPr>
                            <m:t>2</m:t>
                          </m:r>
                          <m:ctrlPr>
                            <w:rPr>
                              <w:rFonts w:hint="eastAsia" w:ascii="Cambria Math" w:hAnsi="Cambria Math" w:cs="宋体"/>
                              <w:i/>
                              <w:kern w:val="0"/>
                              <w:sz w:val="18"/>
                              <w:szCs w:val="18"/>
                            </w:rPr>
                          </m:ctrlPr>
                        </m:den>
                      </m:f>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f>
                        <m:fPr>
                          <m:ctrlPr>
                            <w:rPr>
                              <w:rFonts w:hint="eastAsia" w:ascii="Cambria Math" w:hAnsi="Cambria Math" w:cs="宋体"/>
                              <w:i/>
                              <w:kern w:val="0"/>
                              <w:sz w:val="18"/>
                              <w:szCs w:val="18"/>
                            </w:rPr>
                          </m:ctrlPr>
                        </m:fPr>
                        <m:num>
                          <m:r>
                            <m:rPr/>
                            <w:rPr>
                              <w:rFonts w:hint="eastAsia" w:ascii="Cambria Math" w:hAnsi="Cambria Math" w:cs="宋体"/>
                              <w:kern w:val="0"/>
                              <w:sz w:val="18"/>
                              <w:szCs w:val="18"/>
                            </w:rPr>
                            <m:t>4</m:t>
                          </m:r>
                          <m:sSup>
                            <m:sSupPr>
                              <m:ctrlPr>
                                <w:rPr>
                                  <w:rFonts w:hint="eastAsia" w:ascii="Cambria Math" w:hAnsi="Cambria Math" w:cs="宋体"/>
                                  <w:i/>
                                  <w:kern w:val="0"/>
                                  <w:sz w:val="18"/>
                                  <w:szCs w:val="18"/>
                                </w:rPr>
                              </m:ctrlPr>
                            </m:sSupPr>
                            <m:e>
                              <m:r>
                                <m:rPr/>
                                <w:rPr>
                                  <w:rFonts w:hint="eastAsia" w:ascii="Cambria Math" w:hAnsi="Cambria Math" w:cs="宋体"/>
                                  <w:kern w:val="0"/>
                                  <w:sz w:val="18"/>
                                  <w:szCs w:val="18"/>
                                </w:rPr>
                                <m:t>b</m:t>
                              </m:r>
                              <m:ctrlPr>
                                <w:rPr>
                                  <w:rFonts w:hint="eastAsia" w:ascii="Cambria Math" w:hAnsi="Cambria Math" w:cs="宋体"/>
                                  <w:i/>
                                  <w:kern w:val="0"/>
                                  <w:sz w:val="18"/>
                                  <w:szCs w:val="18"/>
                                </w:rPr>
                              </m:ctrlPr>
                            </m:e>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p>
                          <m:r>
                            <m:rPr/>
                            <w:rPr>
                              <w:rFonts w:hint="eastAsia" w:ascii="Cambria Math" w:hAnsi="Cambria Math" w:cs="宋体"/>
                              <w:kern w:val="0"/>
                              <w:sz w:val="18"/>
                              <w:szCs w:val="18"/>
                            </w:rPr>
                            <m:t>+</m:t>
                          </m:r>
                          <m:sSubSup>
                            <m:sSubSupPr>
                              <m:ctrlPr>
                                <w:rPr>
                                  <w:rFonts w:hint="eastAsia" w:ascii="Cambria Math" w:hAnsi="Cambria Math" w:cs="宋体"/>
                                  <w:i/>
                                  <w:kern w:val="0"/>
                                  <w:sz w:val="18"/>
                                  <w:szCs w:val="18"/>
                                </w:rPr>
                              </m:ctrlPr>
                            </m:sSubSup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bSup>
                          <m:ctrlPr>
                            <w:rPr>
                              <w:rFonts w:hint="eastAsia" w:ascii="Cambria Math" w:hAnsi="Cambria Math" w:cs="宋体"/>
                              <w:i/>
                              <w:kern w:val="0"/>
                              <w:sz w:val="18"/>
                              <w:szCs w:val="18"/>
                            </w:rPr>
                          </m:ctrlPr>
                        </m:num>
                        <m:den>
                          <m:r>
                            <m:rPr/>
                            <w:rPr>
                              <w:rFonts w:hint="eastAsia" w:ascii="Cambria Math" w:hAnsi="Cambria Math" w:cs="宋体"/>
                              <w:kern w:val="0"/>
                              <w:sz w:val="18"/>
                              <w:szCs w:val="18"/>
                            </w:rPr>
                            <m:t>4</m:t>
                          </m:r>
                          <m:sSup>
                            <m:sSupPr>
                              <m:ctrlPr>
                                <w:rPr>
                                  <w:rFonts w:hint="eastAsia" w:ascii="Cambria Math" w:hAnsi="Cambria Math" w:cs="宋体"/>
                                  <w:i/>
                                  <w:kern w:val="0"/>
                                  <w:sz w:val="18"/>
                                  <w:szCs w:val="18"/>
                                </w:rPr>
                              </m:ctrlPr>
                            </m:sSupPr>
                            <m:e>
                              <m:r>
                                <m:rPr/>
                                <w:rPr>
                                  <w:rFonts w:hint="eastAsia" w:ascii="Cambria Math" w:hAnsi="Cambria Math" w:cs="宋体"/>
                                  <w:kern w:val="0"/>
                                  <w:sz w:val="18"/>
                                  <w:szCs w:val="18"/>
                                </w:rPr>
                                <m:t>b</m:t>
                              </m:r>
                              <m:ctrlPr>
                                <w:rPr>
                                  <w:rFonts w:hint="eastAsia" w:ascii="Cambria Math" w:hAnsi="Cambria Math" w:cs="宋体"/>
                                  <w:i/>
                                  <w:kern w:val="0"/>
                                  <w:sz w:val="18"/>
                                  <w:szCs w:val="18"/>
                                </w:rPr>
                              </m:ctrlPr>
                            </m:e>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p>
                          <m:r>
                            <m:rPr/>
                            <w:rPr>
                              <w:rFonts w:hint="eastAsia" w:ascii="Cambria Math" w:hAnsi="Cambria Math" w:cs="宋体"/>
                              <w:kern w:val="0"/>
                              <w:sz w:val="18"/>
                              <w:szCs w:val="18"/>
                            </w:rPr>
                            <m:t>+</m:t>
                          </m:r>
                          <m:sSubSup>
                            <m:sSubSupPr>
                              <m:ctrlPr>
                                <w:rPr>
                                  <w:rFonts w:hint="eastAsia" w:ascii="Cambria Math" w:hAnsi="Cambria Math" w:cs="宋体"/>
                                  <w:i/>
                                  <w:kern w:val="0"/>
                                  <w:sz w:val="18"/>
                                  <w:szCs w:val="18"/>
                                </w:rPr>
                              </m:ctrlPr>
                            </m:sSubSup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2</m:t>
                              </m:r>
                              <m:ctrlPr>
                                <w:rPr>
                                  <w:rFonts w:hint="eastAsia" w:ascii="Cambria Math" w:hAnsi="Cambria Math" w:cs="宋体"/>
                                  <w:i/>
                                  <w:kern w:val="0"/>
                                  <w:sz w:val="18"/>
                                  <w:szCs w:val="18"/>
                                </w:rPr>
                              </m:ctrlPr>
                            </m:sub>
                            <m:sup>
                              <m:r>
                                <m:rPr/>
                                <w:rPr>
                                  <w:rFonts w:hint="eastAsia" w:ascii="Cambria Math" w:hAnsi="Cambria Math" w:cs="宋体"/>
                                  <w:kern w:val="0"/>
                                  <w:sz w:val="18"/>
                                  <w:szCs w:val="18"/>
                                </w:rPr>
                                <m:t>2</m:t>
                              </m:r>
                              <m:ctrlPr>
                                <w:rPr>
                                  <w:rFonts w:hint="eastAsia" w:ascii="Cambria Math" w:hAnsi="Cambria Math" w:cs="宋体"/>
                                  <w:i/>
                                  <w:kern w:val="0"/>
                                  <w:sz w:val="18"/>
                                  <w:szCs w:val="18"/>
                                </w:rPr>
                              </m:ctrlPr>
                            </m:sup>
                          </m:sSubSup>
                          <m:ctrlPr>
                            <w:rPr>
                              <w:rFonts w:hint="eastAsia" w:ascii="Cambria Math" w:hAnsi="Cambria Math" w:cs="宋体"/>
                              <w:i/>
                              <w:kern w:val="0"/>
                              <w:sz w:val="18"/>
                              <w:szCs w:val="18"/>
                            </w:rPr>
                          </m:ctrlPr>
                        </m:den>
                      </m:f>
                      <m:r>
                        <m:rPr/>
                        <w:rPr>
                          <w:rFonts w:hint="eastAsia" w:ascii="Cambria Math" w:hAnsi="Cambria Math" w:cs="宋体"/>
                          <w:kern w:val="0"/>
                          <w:sz w:val="18"/>
                          <w:szCs w:val="18"/>
                        </w:rPr>
                        <m:t>+</m:t>
                      </m:r>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f>
                            <m:fPr>
                              <m:ctrlPr>
                                <w:rPr>
                                  <w:rFonts w:hint="eastAsia" w:ascii="Cambria Math" w:hAnsi="Cambria Math" w:cs="宋体"/>
                                  <w:i/>
                                  <w:kern w:val="0"/>
                                  <w:sz w:val="18"/>
                                  <w:szCs w:val="18"/>
                                </w:rPr>
                              </m:ctrlPr>
                            </m:fPr>
                            <m:num>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2</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num>
                            <m:den>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den>
                          </m:f>
                          <m:ctrlPr>
                            <w:rPr>
                              <w:rFonts w:hint="eastAsia" w:ascii="Cambria Math" w:hAnsi="Cambria Math" w:cs="宋体"/>
                              <w:i/>
                              <w:kern w:val="0"/>
                              <w:sz w:val="18"/>
                              <w:szCs w:val="18"/>
                            </w:rPr>
                          </m:ctrlPr>
                        </m:e>
                      </m:func>
                      <m:ctrlPr>
                        <w:rPr>
                          <w:rFonts w:hint="eastAsia" w:ascii="Cambria Math" w:hAnsi="Cambria Math" w:cs="宋体"/>
                          <w:i/>
                          <w:kern w:val="0"/>
                          <w:sz w:val="18"/>
                          <w:szCs w:val="18"/>
                        </w:rPr>
                      </m:ctrlPr>
                    </m:e>
                  </m:func>
                  <m:ctrlPr>
                    <w:rPr>
                      <w:rFonts w:hint="eastAsia" w:ascii="Cambria Math" w:hAnsi="Cambria Math" w:cs="宋体"/>
                      <w:i/>
                      <w:kern w:val="0"/>
                      <w:sz w:val="18"/>
                      <w:szCs w:val="18"/>
                    </w:rPr>
                  </m:ctrlPr>
                </m:e>
              </m:d>
            </m:oMath>
          </w:p>
          <w:p w14:paraId="1505B87B">
            <w:pPr>
              <w:pStyle w:val="15"/>
              <w:snapToGrid w:val="0"/>
              <w:spacing w:after="0" w:line="240" w:lineRule="auto"/>
              <w:jc w:val="left"/>
              <w:rPr>
                <w:rFonts w:hint="eastAsia" w:ascii="宋体" w:hAnsi="宋体" w:cs="宋体"/>
                <w:kern w:val="0"/>
                <w:sz w:val="18"/>
                <w:szCs w:val="18"/>
              </w:rPr>
            </w:pPr>
          </w:p>
          <w:p w14:paraId="72D3E0E7">
            <w:pPr>
              <w:pStyle w:val="15"/>
              <w:snapToGrid w:val="0"/>
              <w:spacing w:after="0" w:line="240" w:lineRule="auto"/>
              <w:jc w:val="left"/>
              <w:rPr>
                <w:rFonts w:hint="eastAsia" w:ascii="宋体" w:hAnsi="宋体" w:cs="宋体"/>
                <w:kern w:val="0"/>
                <w:sz w:val="18"/>
                <w:szCs w:val="18"/>
              </w:rPr>
            </w:pPr>
            <w:r>
              <w:rPr>
                <w:rFonts w:hint="eastAsia" w:ascii="宋体" w:hAnsi="宋体" w:cs="宋体"/>
                <w:kern w:val="0"/>
                <w:sz w:val="18"/>
                <w:szCs w:val="18"/>
              </w:rPr>
              <w:t>b—井中心与河岸的距离，m；</w:t>
            </w:r>
          </w:p>
        </w:tc>
      </w:tr>
      <w:tr w14:paraId="132D4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0" w:hRule="atLeast"/>
          <w:jc w:val="center"/>
        </w:trPr>
        <w:tc>
          <w:tcPr>
            <w:tcW w:w="993" w:type="dxa"/>
            <w:vMerge w:val="continue"/>
            <w:vAlign w:val="center"/>
          </w:tcPr>
          <w:p w14:paraId="58DAFF7F">
            <w:pPr>
              <w:pStyle w:val="15"/>
              <w:snapToGrid w:val="0"/>
              <w:spacing w:after="0" w:line="240" w:lineRule="auto"/>
              <w:ind w:firstLine="360"/>
              <w:jc w:val="center"/>
              <w:rPr>
                <w:rFonts w:hint="eastAsia" w:ascii="宋体" w:hAnsi="宋体" w:cs="宋体"/>
                <w:iCs/>
                <w:kern w:val="0"/>
                <w:sz w:val="18"/>
                <w:szCs w:val="18"/>
              </w:rPr>
            </w:pPr>
          </w:p>
        </w:tc>
        <w:tc>
          <w:tcPr>
            <w:tcW w:w="1417" w:type="dxa"/>
            <w:vAlign w:val="center"/>
          </w:tcPr>
          <w:p w14:paraId="3757A838">
            <w:pPr>
              <w:pStyle w:val="15"/>
              <w:snapToGrid w:val="0"/>
              <w:spacing w:after="0" w:line="240" w:lineRule="auto"/>
              <w:jc w:val="left"/>
              <w:rPr>
                <w:rFonts w:hint="eastAsia" w:ascii="宋体" w:hAnsi="宋体" w:cs="宋体"/>
                <w:iCs/>
                <w:kern w:val="0"/>
                <w:sz w:val="18"/>
                <w:szCs w:val="18"/>
              </w:rPr>
            </w:pPr>
            <w:r>
              <w:rPr>
                <w:rFonts w:hint="eastAsia" w:ascii="宋体" w:hAnsi="宋体" w:cs="宋体"/>
                <w:iCs/>
                <w:kern w:val="0"/>
                <w:sz w:val="18"/>
                <w:szCs w:val="18"/>
              </w:rPr>
              <w:t>1. 潜水；</w:t>
            </w:r>
          </w:p>
          <w:p w14:paraId="1AFAE3CA">
            <w:pPr>
              <w:pStyle w:val="15"/>
              <w:snapToGrid w:val="0"/>
              <w:spacing w:after="0" w:line="240" w:lineRule="auto"/>
              <w:jc w:val="left"/>
              <w:rPr>
                <w:rFonts w:hint="eastAsia" w:ascii="宋体" w:hAnsi="宋体" w:cs="宋体"/>
                <w:iCs/>
                <w:kern w:val="0"/>
                <w:sz w:val="18"/>
                <w:szCs w:val="18"/>
              </w:rPr>
            </w:pPr>
            <w:r>
              <w:rPr>
                <w:rFonts w:hint="eastAsia" w:ascii="宋体" w:hAnsi="宋体" w:cs="宋体"/>
                <w:iCs/>
                <w:kern w:val="0"/>
                <w:sz w:val="18"/>
                <w:szCs w:val="18"/>
              </w:rPr>
              <w:t>2. 靠近河流；</w:t>
            </w:r>
          </w:p>
          <w:p w14:paraId="319E7008">
            <w:pPr>
              <w:pStyle w:val="15"/>
              <w:snapToGrid w:val="0"/>
              <w:spacing w:after="0" w:line="240" w:lineRule="auto"/>
              <w:jc w:val="left"/>
              <w:rPr>
                <w:rFonts w:hint="eastAsia" w:ascii="宋体" w:hAnsi="宋体" w:cs="宋体"/>
                <w:iCs/>
                <w:kern w:val="0"/>
                <w:sz w:val="18"/>
                <w:szCs w:val="18"/>
              </w:rPr>
            </w:pPr>
            <w:r>
              <w:rPr>
                <w:rFonts w:hint="eastAsia" w:ascii="宋体" w:hAnsi="宋体" w:cs="宋体"/>
                <w:iCs/>
                <w:kern w:val="0"/>
                <w:sz w:val="18"/>
                <w:szCs w:val="18"/>
              </w:rPr>
              <w:t>3. 观测孔垂直岸边</w:t>
            </w:r>
          </w:p>
        </w:tc>
        <w:tc>
          <w:tcPr>
            <w:tcW w:w="2835" w:type="dxa"/>
            <w:vAlign w:val="center"/>
          </w:tcPr>
          <w:p w14:paraId="31722FAC">
            <w:pPr>
              <w:pStyle w:val="15"/>
              <w:snapToGrid w:val="0"/>
              <w:spacing w:after="0" w:line="240" w:lineRule="auto"/>
              <w:jc w:val="center"/>
              <w:rPr>
                <w:rFonts w:hint="eastAsia" w:ascii="宋体" w:hAnsi="宋体" w:cs="宋体"/>
                <w:iCs/>
                <w:kern w:val="0"/>
                <w:sz w:val="18"/>
                <w:szCs w:val="18"/>
              </w:rPr>
            </w:pPr>
            <w:r>
              <w:rPr>
                <w:rFonts w:hint="eastAsia" w:ascii="宋体" w:hAnsi="宋体" w:cs="宋体"/>
                <w:iCs/>
                <w:kern w:val="0"/>
                <w:sz w:val="18"/>
                <w:szCs w:val="18"/>
              </w:rPr>
              <w:drawing>
                <wp:inline distT="0" distB="0" distL="114300" distR="114300">
                  <wp:extent cx="1658620" cy="1306830"/>
                  <wp:effectExtent l="0" t="0" r="17780" b="7620"/>
                  <wp:docPr id="6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pic:cNvPicPr>
                            <a:picLocks noChangeAspect="1"/>
                          </pic:cNvPicPr>
                        </pic:nvPicPr>
                        <pic:blipFill>
                          <a:blip r:embed="rId38" cstate="print"/>
                          <a:stretch>
                            <a:fillRect/>
                          </a:stretch>
                        </pic:blipFill>
                        <pic:spPr>
                          <a:xfrm>
                            <a:off x="0" y="0"/>
                            <a:ext cx="1658620" cy="1306830"/>
                          </a:xfrm>
                          <a:prstGeom prst="rect">
                            <a:avLst/>
                          </a:prstGeom>
                          <a:noFill/>
                          <a:ln>
                            <a:noFill/>
                          </a:ln>
                        </pic:spPr>
                      </pic:pic>
                    </a:graphicData>
                  </a:graphic>
                </wp:inline>
              </w:drawing>
            </w:r>
          </w:p>
        </w:tc>
        <w:tc>
          <w:tcPr>
            <w:tcW w:w="3067" w:type="dxa"/>
            <w:vAlign w:val="center"/>
          </w:tcPr>
          <w:p w14:paraId="331A27F9">
            <w:pPr>
              <w:pStyle w:val="15"/>
              <w:snapToGrid w:val="0"/>
              <w:spacing w:after="0" w:line="240" w:lineRule="auto"/>
              <w:jc w:val="left"/>
              <w:rPr>
                <w:rFonts w:hint="eastAsia" w:ascii="宋体" w:hAnsi="宋体" w:cs="宋体"/>
                <w:iCs/>
                <w:kern w:val="0"/>
                <w:sz w:val="18"/>
                <w:szCs w:val="18"/>
              </w:rPr>
            </w:pPr>
            <w:r>
              <w:rPr>
                <w:rFonts w:hint="eastAsia" w:ascii="宋体" w:hAnsi="宋体" w:cs="宋体"/>
                <w:iCs/>
                <w:kern w:val="0"/>
                <w:sz w:val="18"/>
                <w:szCs w:val="18"/>
              </w:rPr>
              <w:t>潜水完整井：</w:t>
            </w:r>
            <m:oMath>
              <m:r>
                <m:rPr/>
                <w:rPr>
                  <w:rFonts w:ascii="Cambria Math" w:hAnsi="Cambria Math" w:cs="宋体"/>
                  <w:kern w:val="0"/>
                  <w:sz w:val="18"/>
                  <w:szCs w:val="18"/>
                </w:rPr>
                <m:t>K</m:t>
              </m:r>
              <m:r>
                <m:rPr/>
                <w:rPr>
                  <w:rFonts w:hint="eastAsia" w:ascii="Cambria Math" w:hAnsi="Cambria Math" w:cs="宋体"/>
                  <w:kern w:val="0"/>
                  <w:sz w:val="18"/>
                  <w:szCs w:val="18"/>
                </w:rPr>
                <m:t>=</m:t>
              </m:r>
              <m:f>
                <m:fPr>
                  <m:ctrlPr>
                    <w:rPr>
                      <w:rFonts w:hint="eastAsia" w:ascii="Cambria Math" w:hAnsi="Cambria Math" w:cs="宋体"/>
                      <w:i/>
                      <w:iCs/>
                      <w:kern w:val="0"/>
                      <w:sz w:val="18"/>
                      <w:szCs w:val="18"/>
                    </w:rPr>
                  </m:ctrlPr>
                </m:fPr>
                <m:num>
                  <m:r>
                    <m:rPr/>
                    <w:rPr>
                      <w:rFonts w:hint="eastAsia" w:ascii="Cambria Math" w:hAnsi="Cambria Math" w:cs="宋体"/>
                      <w:kern w:val="0"/>
                      <w:sz w:val="18"/>
                      <w:szCs w:val="18"/>
                    </w:rPr>
                    <m:t>0.732Q</m:t>
                  </m:r>
                  <m:ctrlPr>
                    <w:rPr>
                      <w:rFonts w:hint="eastAsia" w:ascii="Cambria Math" w:hAnsi="Cambria Math" w:cs="宋体"/>
                      <w:i/>
                      <w:iCs/>
                      <w:kern w:val="0"/>
                      <w:sz w:val="18"/>
                      <w:szCs w:val="18"/>
                    </w:rPr>
                  </m:ctrlPr>
                </m:num>
                <m:den>
                  <m:d>
                    <m:dPr>
                      <m:ctrlPr>
                        <w:rPr>
                          <w:rFonts w:hint="eastAsia" w:ascii="Cambria Math" w:hAnsi="Cambria Math" w:cs="宋体"/>
                          <w:i/>
                          <w:iCs/>
                          <w:kern w:val="0"/>
                          <w:sz w:val="18"/>
                          <w:szCs w:val="18"/>
                        </w:rPr>
                      </m:ctrlPr>
                    </m:dPr>
                    <m:e>
                      <m:r>
                        <m:rPr/>
                        <w:rPr>
                          <w:rFonts w:hint="eastAsia" w:ascii="Cambria Math" w:hAnsi="Cambria Math" w:cs="宋体"/>
                          <w:kern w:val="0"/>
                          <w:sz w:val="18"/>
                          <w:szCs w:val="18"/>
                        </w:rPr>
                        <m:t>2H−</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d>
                    <m:dPr>
                      <m:ctrlPr>
                        <w:rPr>
                          <w:rFonts w:hint="eastAsia" w:ascii="Cambria Math" w:hAnsi="Cambria Math" w:cs="宋体"/>
                          <w:i/>
                          <w:iCs/>
                          <w:kern w:val="0"/>
                          <w:sz w:val="18"/>
                          <w:szCs w:val="18"/>
                        </w:rPr>
                      </m:ctrlPr>
                    </m:dPr>
                    <m:e>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func>
                <m:funcPr>
                  <m:ctrlPr>
                    <w:rPr>
                      <w:rFonts w:hint="eastAsia" w:ascii="Cambria Math" w:hAnsi="Cambria Math" w:cs="宋体"/>
                      <w:i/>
                      <w:iCs/>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iCs/>
                      <w:kern w:val="0"/>
                      <w:sz w:val="18"/>
                      <w:szCs w:val="18"/>
                    </w:rPr>
                  </m:ctrlPr>
                </m:fName>
                <m:e>
                  <m:f>
                    <m:fPr>
                      <m:ctrlPr>
                        <w:rPr>
                          <w:rFonts w:hint="eastAsia" w:ascii="Cambria Math" w:hAnsi="Cambria Math" w:cs="宋体"/>
                          <w:i/>
                          <w:iCs/>
                          <w:kern w:val="0"/>
                          <w:sz w:val="18"/>
                          <w:szCs w:val="18"/>
                        </w:rPr>
                      </m:ctrlPr>
                    </m:fPr>
                    <m:num>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d>
                        <m:dPr>
                          <m:ctrlPr>
                            <w:rPr>
                              <w:rFonts w:hint="eastAsia" w:ascii="Cambria Math" w:hAnsi="Cambria Math" w:cs="宋体"/>
                              <w:i/>
                              <w:iCs/>
                              <w:kern w:val="0"/>
                              <w:sz w:val="18"/>
                              <w:szCs w:val="18"/>
                            </w:rPr>
                          </m:ctrlPr>
                        </m:dPr>
                        <m:e>
                          <m:r>
                            <m:rPr/>
                            <w:rPr>
                              <w:rFonts w:hint="eastAsia" w:ascii="Cambria Math" w:hAnsi="Cambria Math" w:cs="宋体"/>
                              <w:kern w:val="0"/>
                              <w:sz w:val="18"/>
                              <w:szCs w:val="18"/>
                            </w:rPr>
                            <m:t>2b−</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num>
                    <m:den>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1</m:t>
                          </m:r>
                          <m:ctrlPr>
                            <w:rPr>
                              <w:rFonts w:hint="eastAsia" w:ascii="Cambria Math" w:hAnsi="Cambria Math" w:cs="宋体"/>
                              <w:i/>
                              <w:iCs/>
                              <w:kern w:val="0"/>
                              <w:sz w:val="18"/>
                              <w:szCs w:val="18"/>
                            </w:rPr>
                          </m:ctrlPr>
                        </m:sub>
                      </m:sSub>
                      <m:d>
                        <m:dPr>
                          <m:ctrlPr>
                            <w:rPr>
                              <w:rFonts w:hint="eastAsia" w:ascii="Cambria Math" w:hAnsi="Cambria Math" w:cs="宋体"/>
                              <w:i/>
                              <w:iCs/>
                              <w:kern w:val="0"/>
                              <w:sz w:val="18"/>
                              <w:szCs w:val="18"/>
                            </w:rPr>
                          </m:ctrlPr>
                        </m:dPr>
                        <m:e>
                          <m:r>
                            <m:rPr/>
                            <w:rPr>
                              <w:rFonts w:hint="eastAsia" w:ascii="Cambria Math" w:hAnsi="Cambria Math" w:cs="宋体"/>
                              <w:kern w:val="0"/>
                              <w:sz w:val="18"/>
                              <w:szCs w:val="18"/>
                            </w:rPr>
                            <m:t>2b−</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2</m:t>
                              </m:r>
                              <m:ctrlPr>
                                <w:rPr>
                                  <w:rFonts w:hint="eastAsia" w:ascii="Cambria Math" w:hAnsi="Cambria Math" w:cs="宋体"/>
                                  <w:i/>
                                  <w:iCs/>
                                  <w:kern w:val="0"/>
                                  <w:sz w:val="18"/>
                                  <w:szCs w:val="18"/>
                                </w:rPr>
                              </m:ctrlPr>
                            </m:sub>
                          </m:sSub>
                          <m:ctrlPr>
                            <w:rPr>
                              <w:rFonts w:hint="eastAsia" w:ascii="Cambria Math" w:hAnsi="Cambria Math" w:cs="宋体"/>
                              <w:i/>
                              <w:iCs/>
                              <w:kern w:val="0"/>
                              <w:sz w:val="18"/>
                              <w:szCs w:val="18"/>
                            </w:rPr>
                          </m:ctrlPr>
                        </m:e>
                      </m:d>
                      <m:ctrlPr>
                        <w:rPr>
                          <w:rFonts w:hint="eastAsia" w:ascii="Cambria Math" w:hAnsi="Cambria Math" w:cs="宋体"/>
                          <w:i/>
                          <w:iCs/>
                          <w:kern w:val="0"/>
                          <w:sz w:val="18"/>
                          <w:szCs w:val="18"/>
                        </w:rPr>
                      </m:ctrlPr>
                    </m:den>
                  </m:f>
                  <m:ctrlPr>
                    <w:rPr>
                      <w:rFonts w:hint="eastAsia" w:ascii="Cambria Math" w:hAnsi="Cambria Math" w:cs="宋体"/>
                      <w:i/>
                      <w:iCs/>
                      <w:kern w:val="0"/>
                      <w:sz w:val="18"/>
                      <w:szCs w:val="18"/>
                    </w:rPr>
                  </m:ctrlPr>
                </m:e>
              </m:func>
            </m:oMath>
          </w:p>
        </w:tc>
      </w:tr>
      <w:tr w14:paraId="39068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8312" w:type="dxa"/>
            <w:gridSpan w:val="4"/>
            <w:vAlign w:val="center"/>
          </w:tcPr>
          <w:p w14:paraId="573CB5D8">
            <w:pPr>
              <w:pStyle w:val="15"/>
              <w:snapToGrid w:val="0"/>
              <w:spacing w:after="0" w:line="240" w:lineRule="auto"/>
              <w:rPr>
                <w:rFonts w:hint="eastAsia" w:ascii="宋体" w:hAnsi="宋体" w:cs="宋体"/>
                <w:kern w:val="0"/>
                <w:sz w:val="18"/>
                <w:szCs w:val="18"/>
              </w:rPr>
            </w:pPr>
            <w:r>
              <w:rPr>
                <w:rFonts w:hint="eastAsia" w:ascii="宋体" w:hAnsi="宋体" w:cs="宋体"/>
                <w:kern w:val="0"/>
                <w:sz w:val="18"/>
                <w:szCs w:val="18"/>
              </w:rPr>
              <w:t>式中：</w:t>
            </w:r>
            <w:r>
              <w:rPr>
                <w:rFonts w:hint="eastAsia" w:ascii="宋体" w:hAnsi="宋体" w:cs="宋体"/>
                <w:i/>
                <w:iCs/>
                <w:kern w:val="0"/>
                <w:sz w:val="18"/>
                <w:szCs w:val="18"/>
              </w:rPr>
              <w:t>Q</w:t>
            </w:r>
            <w:r>
              <w:rPr>
                <w:rFonts w:hint="eastAsia" w:ascii="宋体" w:hAnsi="宋体" w:cs="宋体"/>
                <w:kern w:val="0"/>
                <w:sz w:val="18"/>
                <w:szCs w:val="18"/>
              </w:rPr>
              <w:t>——出水量，m</w:t>
            </w:r>
            <w:r>
              <w:rPr>
                <w:rFonts w:hint="eastAsia" w:ascii="宋体" w:hAnsi="宋体" w:cs="宋体"/>
                <w:kern w:val="0"/>
                <w:sz w:val="18"/>
                <w:szCs w:val="18"/>
                <w:vertAlign w:val="superscript"/>
              </w:rPr>
              <w:t>3</w:t>
            </w:r>
            <w:r>
              <w:rPr>
                <w:rFonts w:hint="eastAsia" w:ascii="宋体" w:hAnsi="宋体" w:cs="宋体"/>
                <w:kern w:val="0"/>
                <w:sz w:val="18"/>
                <w:szCs w:val="18"/>
              </w:rPr>
              <w:t>/d；</w:t>
            </w:r>
            <w:r>
              <w:rPr>
                <w:rFonts w:hint="eastAsia" w:ascii="宋体" w:hAnsi="宋体" w:cs="宋体"/>
                <w:i/>
                <w:iCs/>
                <w:kern w:val="0"/>
                <w:sz w:val="18"/>
                <w:szCs w:val="18"/>
              </w:rPr>
              <w:t>r</w:t>
            </w:r>
            <w:r>
              <w:rPr>
                <w:rFonts w:hint="eastAsia" w:ascii="宋体" w:hAnsi="宋体" w:cs="宋体"/>
                <w:i/>
                <w:iCs/>
                <w:kern w:val="0"/>
                <w:sz w:val="18"/>
                <w:szCs w:val="18"/>
                <w:vertAlign w:val="subscript"/>
              </w:rPr>
              <w:t>w</w:t>
            </w:r>
            <w:r>
              <w:rPr>
                <w:rFonts w:hint="eastAsia" w:ascii="宋体" w:hAnsi="宋体" w:cs="宋体"/>
                <w:kern w:val="0"/>
                <w:sz w:val="18"/>
                <w:szCs w:val="18"/>
              </w:rPr>
              <w:t>——抽水井的半径，m；</w:t>
            </w:r>
            <w:r>
              <w:rPr>
                <w:rFonts w:hint="eastAsia" w:ascii="宋体" w:hAnsi="宋体" w:cs="宋体"/>
                <w:i/>
                <w:iCs/>
                <w:kern w:val="0"/>
                <w:sz w:val="18"/>
                <w:szCs w:val="18"/>
              </w:rPr>
              <w:t>H</w:t>
            </w:r>
            <w:r>
              <w:rPr>
                <w:rFonts w:hint="eastAsia" w:ascii="宋体" w:hAnsi="宋体" w:cs="宋体"/>
                <w:kern w:val="0"/>
                <w:sz w:val="18"/>
                <w:szCs w:val="18"/>
              </w:rPr>
              <w:t>——任意点处隔水底板到降水前静水位的高度，m；</w:t>
            </w:r>
            <w:r>
              <w:rPr>
                <w:rFonts w:hint="eastAsia" w:ascii="宋体" w:hAnsi="宋体" w:cs="宋体"/>
                <w:i/>
                <w:iCs/>
                <w:kern w:val="0"/>
                <w:sz w:val="18"/>
                <w:szCs w:val="18"/>
              </w:rPr>
              <w:t>M</w:t>
            </w:r>
            <w:r>
              <w:rPr>
                <w:rFonts w:hint="eastAsia" w:ascii="宋体" w:hAnsi="宋体" w:cs="宋体"/>
                <w:kern w:val="0"/>
                <w:sz w:val="18"/>
                <w:szCs w:val="18"/>
              </w:rPr>
              <w:t>——含水层厚度，m；</w:t>
            </w:r>
            <w:r>
              <w:rPr>
                <w:rFonts w:hint="eastAsia" w:ascii="宋体" w:hAnsi="宋体" w:cs="宋体"/>
                <w:i/>
                <w:iCs/>
                <w:kern w:val="0"/>
                <w:sz w:val="18"/>
                <w:szCs w:val="18"/>
              </w:rPr>
              <w:t>s</w:t>
            </w:r>
            <w:r>
              <w:rPr>
                <w:rFonts w:hint="eastAsia" w:ascii="宋体" w:hAnsi="宋体" w:cs="宋体"/>
                <w:i/>
                <w:iCs/>
                <w:kern w:val="0"/>
                <w:sz w:val="18"/>
                <w:szCs w:val="18"/>
                <w:vertAlign w:val="subscript"/>
              </w:rPr>
              <w:t>w</w:t>
            </w:r>
            <w:r>
              <w:rPr>
                <w:rFonts w:hint="eastAsia" w:ascii="宋体" w:hAnsi="宋体" w:cs="宋体"/>
                <w:kern w:val="0"/>
                <w:sz w:val="18"/>
                <w:szCs w:val="18"/>
              </w:rPr>
              <w:t>——抽水井内水位降深，m；</w:t>
            </w:r>
            <w:r>
              <w:rPr>
                <w:rFonts w:hint="eastAsia" w:ascii="宋体" w:hAnsi="宋体" w:cs="宋体"/>
                <w:i/>
                <w:iCs/>
                <w:kern w:val="0"/>
                <w:sz w:val="18"/>
                <w:szCs w:val="18"/>
              </w:rPr>
              <w:t>s</w:t>
            </w:r>
            <w:r>
              <w:rPr>
                <w:rFonts w:hint="eastAsia" w:ascii="宋体" w:hAnsi="宋体" w:cs="宋体"/>
                <w:kern w:val="0"/>
                <w:sz w:val="18"/>
                <w:szCs w:val="18"/>
                <w:vertAlign w:val="subscript"/>
              </w:rPr>
              <w:t>1</w:t>
            </w:r>
            <w:r>
              <w:rPr>
                <w:rFonts w:hint="eastAsia" w:ascii="宋体" w:hAnsi="宋体" w:cs="宋体"/>
                <w:kern w:val="0"/>
                <w:sz w:val="18"/>
                <w:szCs w:val="18"/>
              </w:rPr>
              <w:t>、</w:t>
            </w:r>
            <w:r>
              <w:rPr>
                <w:rFonts w:hint="eastAsia" w:ascii="宋体" w:hAnsi="宋体" w:cs="宋体"/>
                <w:i/>
                <w:iCs/>
                <w:kern w:val="0"/>
                <w:sz w:val="18"/>
                <w:szCs w:val="18"/>
              </w:rPr>
              <w:t>s</w:t>
            </w:r>
            <w:r>
              <w:rPr>
                <w:rFonts w:hint="eastAsia" w:ascii="宋体" w:hAnsi="宋体" w:cs="宋体"/>
                <w:kern w:val="0"/>
                <w:sz w:val="18"/>
                <w:szCs w:val="18"/>
                <w:vertAlign w:val="subscript"/>
              </w:rPr>
              <w:t>2</w:t>
            </w:r>
            <w:r>
              <w:rPr>
                <w:rFonts w:hint="eastAsia" w:ascii="宋体" w:hAnsi="宋体" w:cs="宋体"/>
                <w:kern w:val="0"/>
                <w:sz w:val="18"/>
                <w:szCs w:val="18"/>
              </w:rPr>
              <w:t>——观测井内水位降深，m；</w:t>
            </w:r>
            <w:r>
              <w:rPr>
                <w:rFonts w:hint="eastAsia" w:ascii="宋体" w:hAnsi="宋体" w:cs="宋体"/>
                <w:i/>
                <w:iCs/>
                <w:kern w:val="0"/>
                <w:sz w:val="18"/>
                <w:szCs w:val="18"/>
              </w:rPr>
              <w:t>r</w:t>
            </w:r>
            <w:r>
              <w:rPr>
                <w:rFonts w:hint="eastAsia" w:ascii="宋体" w:hAnsi="宋体" w:cs="宋体"/>
                <w:kern w:val="0"/>
                <w:sz w:val="18"/>
                <w:szCs w:val="18"/>
                <w:vertAlign w:val="subscript"/>
              </w:rPr>
              <w:t>1</w:t>
            </w:r>
            <w:r>
              <w:rPr>
                <w:rFonts w:hint="eastAsia" w:ascii="宋体" w:hAnsi="宋体" w:cs="宋体"/>
                <w:kern w:val="0"/>
                <w:sz w:val="18"/>
                <w:szCs w:val="18"/>
              </w:rPr>
              <w:t>、</w:t>
            </w:r>
            <w:r>
              <w:rPr>
                <w:rFonts w:hint="eastAsia" w:ascii="宋体" w:hAnsi="宋体" w:cs="宋体"/>
                <w:i/>
                <w:iCs/>
                <w:kern w:val="0"/>
                <w:sz w:val="18"/>
                <w:szCs w:val="18"/>
              </w:rPr>
              <w:t>r</w:t>
            </w:r>
            <w:r>
              <w:rPr>
                <w:rFonts w:hint="eastAsia" w:ascii="宋体" w:hAnsi="宋体" w:cs="宋体"/>
                <w:kern w:val="0"/>
                <w:sz w:val="18"/>
                <w:szCs w:val="18"/>
                <w:vertAlign w:val="subscript"/>
              </w:rPr>
              <w:t>2</w:t>
            </w:r>
            <w:r>
              <w:rPr>
                <w:rFonts w:hint="eastAsia" w:ascii="宋体" w:hAnsi="宋体" w:cs="宋体"/>
                <w:kern w:val="0"/>
                <w:sz w:val="18"/>
                <w:szCs w:val="18"/>
              </w:rPr>
              <w:t>——观测井至抽水井的距离，m</w:t>
            </w:r>
          </w:p>
        </w:tc>
      </w:tr>
    </w:tbl>
    <w:p w14:paraId="0BA38622">
      <w:pPr>
        <w:keepNext/>
        <w:spacing w:before="312" w:beforeLines="100" w:after="156" w:afterLines="50" w:line="240" w:lineRule="auto"/>
        <w:jc w:val="center"/>
        <w:rPr>
          <w:rFonts w:hint="eastAsia" w:ascii="黑体" w:hAnsi="黑体" w:eastAsia="黑体" w:cs="宋体"/>
        </w:rPr>
      </w:pPr>
      <w:r>
        <w:rPr>
          <w:rFonts w:hint="eastAsia" w:ascii="黑体" w:hAnsi="黑体" w:eastAsia="黑体" w:cs="宋体"/>
        </w:rPr>
        <w:t>表5</w:t>
      </w:r>
      <w:r>
        <w:rPr>
          <w:rFonts w:ascii="黑体" w:hAnsi="黑体" w:eastAsia="黑体" w:cs="宋体"/>
        </w:rPr>
        <w:t xml:space="preserve">  </w:t>
      </w:r>
      <w:r>
        <w:rPr>
          <w:rFonts w:hint="eastAsia" w:ascii="黑体" w:hAnsi="黑体" w:eastAsia="黑体" w:cs="宋体"/>
        </w:rPr>
        <w:t>稳定流抽水试验影响半径计算</w:t>
      </w:r>
    </w:p>
    <w:tbl>
      <w:tblPr>
        <w:tblStyle w:val="34"/>
        <w:tblW w:w="80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63"/>
        <w:gridCol w:w="1178"/>
        <w:gridCol w:w="3134"/>
      </w:tblGrid>
      <w:tr w14:paraId="7F506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3763" w:type="dxa"/>
            <w:tcBorders>
              <w:top w:val="single" w:color="auto" w:sz="12" w:space="0"/>
              <w:bottom w:val="single" w:color="auto" w:sz="12" w:space="0"/>
            </w:tcBorders>
            <w:vAlign w:val="center"/>
          </w:tcPr>
          <w:p w14:paraId="154B719B">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计算公式</w:t>
            </w:r>
          </w:p>
        </w:tc>
        <w:tc>
          <w:tcPr>
            <w:tcW w:w="1178" w:type="dxa"/>
            <w:tcBorders>
              <w:top w:val="single" w:color="auto" w:sz="12" w:space="0"/>
              <w:bottom w:val="single" w:color="auto" w:sz="12" w:space="0"/>
            </w:tcBorders>
            <w:vAlign w:val="center"/>
          </w:tcPr>
          <w:p w14:paraId="740CB53C">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适用条件</w:t>
            </w:r>
          </w:p>
        </w:tc>
        <w:tc>
          <w:tcPr>
            <w:tcW w:w="3134" w:type="dxa"/>
            <w:tcBorders>
              <w:top w:val="single" w:color="auto" w:sz="12" w:space="0"/>
              <w:bottom w:val="single" w:color="auto" w:sz="12" w:space="0"/>
            </w:tcBorders>
            <w:vAlign w:val="center"/>
          </w:tcPr>
          <w:p w14:paraId="129105DD">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备注</w:t>
            </w:r>
          </w:p>
        </w:tc>
      </w:tr>
      <w:tr w14:paraId="3BA5B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3763" w:type="dxa"/>
            <w:tcBorders>
              <w:top w:val="single" w:color="auto" w:sz="12" w:space="0"/>
            </w:tcBorders>
            <w:vAlign w:val="center"/>
          </w:tcPr>
          <w:p w14:paraId="2D353173">
            <w:pPr>
              <w:pStyle w:val="32"/>
              <w:spacing w:after="0" w:line="240" w:lineRule="auto"/>
              <w:ind w:left="0" w:leftChars="0" w:firstLine="360"/>
              <w:jc w:val="center"/>
              <w:rPr>
                <w:rFonts w:ascii="宋体" w:hAnsi="宋体" w:eastAsia="宋体" w:cs="宋体"/>
                <w:i/>
                <w:iCs/>
                <w:kern w:val="0"/>
                <w:sz w:val="18"/>
                <w:szCs w:val="18"/>
              </w:rPr>
            </w:pPr>
            <m:oMathPara>
              <m:oMath>
                <m:func>
                  <m:funcPr>
                    <m:ctrlPr>
                      <w:rPr>
                        <w:rFonts w:ascii="Cambria Math" w:hAnsi="Cambria Math" w:eastAsia="宋体" w:cs="宋体"/>
                        <w:i/>
                        <w:iCs/>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iCs/>
                        <w:kern w:val="0"/>
                        <w:sz w:val="18"/>
                        <w:szCs w:val="18"/>
                      </w:rPr>
                    </m:ctrlPr>
                  </m:fName>
                  <m:e>
                    <m:r>
                      <m:rPr/>
                      <w:rPr>
                        <w:rFonts w:ascii="Cambria Math" w:hAnsi="Cambria Math" w:eastAsia="宋体" w:cs="宋体"/>
                        <w:kern w:val="0"/>
                        <w:sz w:val="18"/>
                        <w:szCs w:val="18"/>
                      </w:rPr>
                      <m:t>R</m:t>
                    </m:r>
                    <m:ctrlPr>
                      <w:rPr>
                        <w:rFonts w:ascii="Cambria Math" w:hAnsi="Cambria Math" w:eastAsia="宋体" w:cs="宋体"/>
                        <w:i/>
                        <w:iCs/>
                        <w:kern w:val="0"/>
                        <w:sz w:val="18"/>
                        <w:szCs w:val="18"/>
                      </w:rPr>
                    </m:ctrlPr>
                  </m:e>
                </m:func>
                <m:r>
                  <m:rPr/>
                  <w:rPr>
                    <w:rFonts w:ascii="Cambria Math" w:hAnsi="Cambria Math" w:eastAsia="宋体" w:cs="宋体"/>
                    <w:kern w:val="0"/>
                    <w:sz w:val="18"/>
                    <w:szCs w:val="18"/>
                  </w:rPr>
                  <m:t>=</m:t>
                </m:r>
                <m:f>
                  <m:fPr>
                    <m:ctrlPr>
                      <w:rPr>
                        <w:rFonts w:ascii="Cambria Math" w:hAnsi="Cambria Math" w:eastAsia="宋体" w:cs="宋体"/>
                        <w:i/>
                        <w:iCs/>
                        <w:kern w:val="0"/>
                        <w:sz w:val="18"/>
                        <w:szCs w:val="18"/>
                      </w:rPr>
                    </m:ctrlPr>
                  </m:fPr>
                  <m:num>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func>
                      <m:funcPr>
                        <m:ctrlPr>
                          <w:rPr>
                            <w:rFonts w:ascii="Cambria Math" w:hAnsi="Cambria Math" w:eastAsia="宋体" w:cs="宋体"/>
                            <w:i/>
                            <w:iCs/>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iCs/>
                            <w:kern w:val="0"/>
                            <w:sz w:val="18"/>
                            <w:szCs w:val="18"/>
                          </w:rPr>
                        </m:ctrlPr>
                      </m:fName>
                      <m:e>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iCs/>
                                <w:kern w:val="0"/>
                                <w:sz w:val="18"/>
                                <w:szCs w:val="18"/>
                              </w:rPr>
                            </m:ctrlPr>
                          </m:sub>
                        </m:sSub>
                        <m:ctrlPr>
                          <w:rPr>
                            <w:rFonts w:ascii="Cambria Math" w:hAnsi="Cambria Math" w:eastAsia="宋体" w:cs="宋体"/>
                            <w:i/>
                            <w:iCs/>
                            <w:kern w:val="0"/>
                            <w:sz w:val="18"/>
                            <w:szCs w:val="18"/>
                          </w:rPr>
                        </m:ctrlPr>
                      </m:e>
                    </m:func>
                    <m:r>
                      <m:rPr/>
                      <w:rPr>
                        <w:rFonts w:ascii="微软雅黑" w:hAnsi="微软雅黑" w:eastAsia="微软雅黑" w:cs="微软雅黑"/>
                        <w:kern w:val="0"/>
                        <w:sz w:val="18"/>
                        <w:szCs w:val="18"/>
                      </w:rPr>
                      <m:t>−</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iCs/>
                            <w:kern w:val="0"/>
                            <w:sz w:val="18"/>
                            <w:szCs w:val="18"/>
                          </w:rPr>
                        </m:ctrlPr>
                      </m:sub>
                    </m:sSub>
                    <m:func>
                      <m:funcPr>
                        <m:ctrlPr>
                          <w:rPr>
                            <w:rFonts w:ascii="Cambria Math" w:hAnsi="Cambria Math" w:eastAsia="宋体" w:cs="宋体"/>
                            <w:i/>
                            <w:iCs/>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iCs/>
                            <w:kern w:val="0"/>
                            <w:sz w:val="18"/>
                            <w:szCs w:val="18"/>
                          </w:rPr>
                        </m:ctrlPr>
                      </m:fName>
                      <m:e>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ctrlPr>
                          <w:rPr>
                            <w:rFonts w:ascii="Cambria Math" w:hAnsi="Cambria Math" w:eastAsia="宋体" w:cs="宋体"/>
                            <w:i/>
                            <w:iCs/>
                            <w:kern w:val="0"/>
                            <w:sz w:val="18"/>
                            <w:szCs w:val="18"/>
                          </w:rPr>
                        </m:ctrlPr>
                      </m:e>
                    </m:func>
                    <m:ctrlPr>
                      <w:rPr>
                        <w:rFonts w:ascii="Cambria Math" w:hAnsi="Cambria Math" w:eastAsia="宋体" w:cs="宋体"/>
                        <w:i/>
                        <w:iCs/>
                        <w:kern w:val="0"/>
                        <w:sz w:val="18"/>
                        <w:szCs w:val="18"/>
                      </w:rPr>
                    </m:ctrlPr>
                  </m:num>
                  <m:den>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iCs/>
                            <w:kern w:val="0"/>
                            <w:sz w:val="18"/>
                            <w:szCs w:val="18"/>
                          </w:rPr>
                        </m:ctrlPr>
                      </m:sub>
                    </m:sSub>
                    <m:ctrlPr>
                      <w:rPr>
                        <w:rFonts w:ascii="Cambria Math" w:hAnsi="Cambria Math" w:eastAsia="宋体" w:cs="宋体"/>
                        <w:i/>
                        <w:iCs/>
                        <w:kern w:val="0"/>
                        <w:sz w:val="18"/>
                        <w:szCs w:val="18"/>
                      </w:rPr>
                    </m:ctrlPr>
                  </m:den>
                </m:f>
              </m:oMath>
            </m:oMathPara>
          </w:p>
        </w:tc>
        <w:tc>
          <w:tcPr>
            <w:tcW w:w="1178" w:type="dxa"/>
            <w:tcBorders>
              <w:top w:val="single" w:color="auto" w:sz="12" w:space="0"/>
            </w:tcBorders>
            <w:vAlign w:val="center"/>
          </w:tcPr>
          <w:p w14:paraId="6B1B3B56">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承压水；</w:t>
            </w:r>
          </w:p>
          <w:p w14:paraId="05C5C98A">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两个观测孔</w:t>
            </w:r>
          </w:p>
        </w:tc>
        <w:tc>
          <w:tcPr>
            <w:tcW w:w="3134" w:type="dxa"/>
            <w:vMerge w:val="restart"/>
            <w:tcBorders>
              <w:top w:val="single" w:color="auto" w:sz="12" w:space="0"/>
            </w:tcBorders>
            <w:vAlign w:val="center"/>
          </w:tcPr>
          <w:p w14:paraId="6A92E0B7">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H</w:t>
            </w:r>
            <w:r>
              <w:rPr>
                <w:rFonts w:ascii="宋体" w:hAnsi="宋体" w:eastAsia="宋体" w:cs="宋体"/>
                <w:kern w:val="0"/>
                <w:sz w:val="18"/>
                <w:szCs w:val="18"/>
              </w:rPr>
              <w:t>—任意点处隔水底板到降水前静水位的高度，m；</w:t>
            </w:r>
          </w:p>
          <w:p w14:paraId="23F0B87F">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s</w:t>
            </w:r>
            <w:r>
              <w:rPr>
                <w:rFonts w:ascii="宋体" w:hAnsi="宋体" w:eastAsia="宋体" w:cs="宋体"/>
                <w:i/>
                <w:iCs/>
                <w:kern w:val="0"/>
                <w:sz w:val="18"/>
                <w:szCs w:val="18"/>
                <w:vertAlign w:val="subscript"/>
              </w:rPr>
              <w:t>w</w:t>
            </w:r>
            <w:r>
              <w:rPr>
                <w:rFonts w:ascii="宋体" w:hAnsi="宋体" w:eastAsia="宋体" w:cs="宋体"/>
                <w:kern w:val="0"/>
                <w:sz w:val="18"/>
                <w:szCs w:val="18"/>
              </w:rPr>
              <w:t>—抽水井内水位降深，m；</w:t>
            </w:r>
          </w:p>
          <w:p w14:paraId="37842AF0">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s</w:t>
            </w:r>
            <w:r>
              <w:rPr>
                <w:rFonts w:ascii="宋体" w:hAnsi="宋体" w:eastAsia="宋体" w:cs="宋体"/>
                <w:kern w:val="0"/>
                <w:sz w:val="18"/>
                <w:szCs w:val="18"/>
                <w:vertAlign w:val="subscript"/>
              </w:rPr>
              <w:t>1</w:t>
            </w:r>
            <w:r>
              <w:rPr>
                <w:rFonts w:ascii="宋体" w:hAnsi="宋体" w:eastAsia="宋体" w:cs="宋体"/>
                <w:kern w:val="0"/>
                <w:sz w:val="18"/>
                <w:szCs w:val="18"/>
              </w:rPr>
              <w:t>、</w:t>
            </w:r>
            <w:r>
              <w:rPr>
                <w:rFonts w:ascii="宋体" w:hAnsi="宋体" w:eastAsia="宋体" w:cs="宋体"/>
                <w:i/>
                <w:iCs/>
                <w:kern w:val="0"/>
                <w:sz w:val="18"/>
                <w:szCs w:val="18"/>
              </w:rPr>
              <w:t>s</w:t>
            </w:r>
            <w:r>
              <w:rPr>
                <w:rFonts w:ascii="宋体" w:hAnsi="宋体" w:eastAsia="宋体" w:cs="宋体"/>
                <w:kern w:val="0"/>
                <w:sz w:val="18"/>
                <w:szCs w:val="18"/>
                <w:vertAlign w:val="subscript"/>
              </w:rPr>
              <w:t>2</w:t>
            </w:r>
            <w:r>
              <w:rPr>
                <w:rFonts w:ascii="宋体" w:hAnsi="宋体" w:eastAsia="宋体" w:cs="宋体"/>
                <w:kern w:val="0"/>
                <w:sz w:val="18"/>
                <w:szCs w:val="18"/>
              </w:rPr>
              <w:t>—观测井内水位降深，m；</w:t>
            </w:r>
          </w:p>
          <w:p w14:paraId="6E88B5F2">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r</w:t>
            </w:r>
            <w:r>
              <w:rPr>
                <w:rFonts w:ascii="宋体" w:hAnsi="宋体" w:eastAsia="宋体" w:cs="宋体"/>
                <w:kern w:val="0"/>
                <w:sz w:val="18"/>
                <w:szCs w:val="18"/>
                <w:vertAlign w:val="subscript"/>
              </w:rPr>
              <w:t>1</w:t>
            </w:r>
            <w:r>
              <w:rPr>
                <w:rFonts w:ascii="宋体" w:hAnsi="宋体" w:eastAsia="宋体" w:cs="宋体"/>
                <w:kern w:val="0"/>
                <w:sz w:val="18"/>
                <w:szCs w:val="18"/>
              </w:rPr>
              <w:t>、</w:t>
            </w:r>
            <w:r>
              <w:rPr>
                <w:rFonts w:ascii="宋体" w:hAnsi="宋体" w:eastAsia="宋体" w:cs="宋体"/>
                <w:i/>
                <w:iCs/>
                <w:kern w:val="0"/>
                <w:sz w:val="18"/>
                <w:szCs w:val="18"/>
              </w:rPr>
              <w:t>r</w:t>
            </w:r>
            <w:r>
              <w:rPr>
                <w:rFonts w:ascii="宋体" w:hAnsi="宋体" w:eastAsia="宋体" w:cs="宋体"/>
                <w:kern w:val="0"/>
                <w:sz w:val="18"/>
                <w:szCs w:val="18"/>
                <w:vertAlign w:val="subscript"/>
              </w:rPr>
              <w:t>2</w:t>
            </w:r>
            <w:r>
              <w:rPr>
                <w:rFonts w:ascii="宋体" w:hAnsi="宋体" w:eastAsia="宋体" w:cs="宋体"/>
                <w:kern w:val="0"/>
                <w:sz w:val="18"/>
                <w:szCs w:val="18"/>
              </w:rPr>
              <w:t>—观测井至抽水井的距离，m；</w:t>
            </w:r>
          </w:p>
          <w:p w14:paraId="64B36D4F">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r</w:t>
            </w:r>
            <w:r>
              <w:rPr>
                <w:rFonts w:ascii="宋体" w:hAnsi="宋体" w:eastAsia="宋体" w:cs="宋体"/>
                <w:i/>
                <w:iCs/>
                <w:kern w:val="0"/>
                <w:sz w:val="18"/>
                <w:szCs w:val="18"/>
                <w:vertAlign w:val="subscript"/>
              </w:rPr>
              <w:t>w</w:t>
            </w:r>
            <w:r>
              <w:rPr>
                <w:rFonts w:ascii="宋体" w:hAnsi="宋体" w:eastAsia="宋体" w:cs="宋体"/>
                <w:kern w:val="0"/>
                <w:sz w:val="18"/>
                <w:szCs w:val="18"/>
              </w:rPr>
              <w:t>—抽水井的半径，m；</w:t>
            </w:r>
          </w:p>
        </w:tc>
      </w:tr>
      <w:tr w14:paraId="055D4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6" w:hRule="atLeast"/>
          <w:jc w:val="center"/>
        </w:trPr>
        <w:tc>
          <w:tcPr>
            <w:tcW w:w="3763" w:type="dxa"/>
            <w:vAlign w:val="center"/>
          </w:tcPr>
          <w:p w14:paraId="43AE31F1">
            <w:pPr>
              <w:pStyle w:val="32"/>
              <w:spacing w:after="0" w:line="240" w:lineRule="auto"/>
              <w:ind w:left="0" w:leftChars="0" w:firstLine="0" w:firstLineChars="0"/>
              <w:jc w:val="center"/>
              <w:rPr>
                <w:rFonts w:ascii="宋体" w:hAnsi="宋体" w:eastAsia="宋体" w:cs="宋体"/>
                <w:i/>
                <w:kern w:val="0"/>
                <w:sz w:val="18"/>
                <w:szCs w:val="18"/>
              </w:rPr>
            </w:pPr>
            <m:oMathPara>
              <m:oMath>
                <m:func>
                  <m:funcPr>
                    <m:ctrlPr>
                      <w:rPr>
                        <w:rFonts w:ascii="Cambria Math" w:hAnsi="Cambria Math" w:eastAsia="宋体" w:cs="宋体"/>
                        <w:i/>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kern w:val="0"/>
                        <w:sz w:val="18"/>
                        <w:szCs w:val="18"/>
                      </w:rPr>
                    </m:ctrlPr>
                  </m:fName>
                  <m:e>
                    <m:r>
                      <m:rPr/>
                      <w:rPr>
                        <w:rFonts w:ascii="Cambria Math" w:hAnsi="Cambria Math" w:eastAsia="宋体" w:cs="宋体"/>
                        <w:kern w:val="0"/>
                        <w:sz w:val="18"/>
                        <w:szCs w:val="18"/>
                      </w:rPr>
                      <m:t>R</m:t>
                    </m:r>
                    <m:ctrlPr>
                      <w:rPr>
                        <w:rFonts w:ascii="Cambria Math" w:hAnsi="Cambria Math" w:eastAsia="宋体" w:cs="宋体"/>
                        <w:i/>
                        <w:kern w:val="0"/>
                        <w:sz w:val="18"/>
                        <w:szCs w:val="18"/>
                      </w:rPr>
                    </m:ctrlPr>
                  </m:e>
                </m:func>
                <m:r>
                  <m:rPr/>
                  <w:rPr>
                    <w:rFonts w:ascii="Cambria Math" w:hAnsi="Cambria Math" w:eastAsia="宋体" w:cs="宋体"/>
                    <w:kern w:val="0"/>
                    <w:sz w:val="18"/>
                    <w:szCs w:val="18"/>
                  </w:rPr>
                  <m:t>=</m:t>
                </m:r>
                <m:f>
                  <m:fPr>
                    <m:ctrlPr>
                      <w:rPr>
                        <w:rFonts w:ascii="Cambria Math" w:hAnsi="Cambria Math" w:eastAsia="宋体" w:cs="宋体"/>
                        <w:i/>
                        <w:kern w:val="0"/>
                        <w:sz w:val="18"/>
                        <w:szCs w:val="18"/>
                      </w:rPr>
                    </m:ctrlPr>
                  </m:fPr>
                  <m:num>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kern w:val="0"/>
                            <w:sz w:val="18"/>
                            <w:szCs w:val="18"/>
                          </w:rPr>
                        </m:ctrlPr>
                      </m:sub>
                    </m:sSub>
                    <m:d>
                      <m:dPr>
                        <m:ctrlPr>
                          <w:rPr>
                            <w:rFonts w:hint="default" w:ascii="Cambria Math" w:hAnsi="Cambria Math" w:eastAsia="宋体" w:cs="宋体"/>
                            <w:i/>
                            <w:kern w:val="0"/>
                            <w:sz w:val="18"/>
                            <w:szCs w:val="18"/>
                          </w:rPr>
                        </m:ctrlPr>
                      </m:dPr>
                      <m:e>
                        <m:r>
                          <m:rPr/>
                          <w:rPr>
                            <w:rFonts w:ascii="Cambria Math" w:hAnsi="Cambria Math" w:eastAsia="宋体" w:cs="宋体"/>
                            <w:kern w:val="0"/>
                            <w:sz w:val="18"/>
                            <w:szCs w:val="18"/>
                          </w:rPr>
                          <m:t>2H</m:t>
                        </m:r>
                        <m:r>
                          <m:rPr/>
                          <w:rPr>
                            <w:rFonts w:ascii="微软雅黑" w:hAnsi="微软雅黑" w:eastAsia="微软雅黑" w:cs="微软雅黑"/>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kern w:val="0"/>
                                <w:sz w:val="18"/>
                                <w:szCs w:val="18"/>
                              </w:rPr>
                            </m:ctrlPr>
                          </m:sub>
                        </m:sSub>
                        <m:ctrlPr>
                          <w:rPr>
                            <w:rFonts w:hint="default" w:ascii="Cambria Math" w:hAnsi="Cambria Math" w:eastAsia="宋体" w:cs="宋体"/>
                            <w:i/>
                            <w:kern w:val="0"/>
                            <w:sz w:val="18"/>
                            <w:szCs w:val="18"/>
                          </w:rPr>
                        </m:ctrlPr>
                      </m:e>
                    </m:d>
                    <m:func>
                      <m:funcPr>
                        <m:ctrlPr>
                          <w:rPr>
                            <w:rFonts w:ascii="Cambria Math" w:hAnsi="Cambria Math" w:eastAsia="宋体" w:cs="宋体"/>
                            <w:i/>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kern w:val="0"/>
                            <w:sz w:val="18"/>
                            <w:szCs w:val="18"/>
                          </w:rPr>
                        </m:ctrlPr>
                      </m:fName>
                      <m:e>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kern w:val="0"/>
                                <w:sz w:val="18"/>
                                <w:szCs w:val="18"/>
                              </w:rPr>
                            </m:ctrlPr>
                          </m:sub>
                        </m:sSub>
                        <m:d>
                          <m:dPr>
                            <m:ctrlPr>
                              <w:rPr>
                                <w:rFonts w:hint="default" w:ascii="Cambria Math" w:hAnsi="Cambria Math" w:eastAsia="宋体" w:cs="宋体"/>
                                <w:i/>
                                <w:kern w:val="0"/>
                                <w:sz w:val="18"/>
                                <w:szCs w:val="18"/>
                              </w:rPr>
                            </m:ctrlPr>
                          </m:dPr>
                          <m:e>
                            <m:r>
                              <m:rPr/>
                              <w:rPr>
                                <w:rFonts w:ascii="Cambria Math" w:hAnsi="Cambria Math" w:eastAsia="宋体" w:cs="宋体"/>
                                <w:kern w:val="0"/>
                                <w:sz w:val="18"/>
                                <w:szCs w:val="18"/>
                              </w:rPr>
                              <m:t>2H</m:t>
                            </m:r>
                            <m:r>
                              <m:rPr/>
                              <w:rPr>
                                <w:rFonts w:ascii="微软雅黑" w:hAnsi="微软雅黑" w:eastAsia="微软雅黑" w:cs="微软雅黑"/>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kern w:val="0"/>
                                    <w:sz w:val="18"/>
                                    <w:szCs w:val="18"/>
                                  </w:rPr>
                                </m:ctrlPr>
                              </m:sub>
                            </m:sSub>
                            <m:ctrlPr>
                              <w:rPr>
                                <w:rFonts w:hint="default" w:ascii="Cambria Math" w:hAnsi="Cambria Math" w:eastAsia="宋体" w:cs="宋体"/>
                                <w:i/>
                                <w:kern w:val="0"/>
                                <w:sz w:val="18"/>
                                <w:szCs w:val="18"/>
                              </w:rPr>
                            </m:ctrlPr>
                          </m:e>
                        </m:d>
                        <m:func>
                          <m:funcPr>
                            <m:ctrlPr>
                              <w:rPr>
                                <w:rFonts w:ascii="Cambria Math" w:hAnsi="Cambria Math" w:eastAsia="宋体" w:cs="宋体"/>
                                <w:i/>
                                <w:kern w:val="0"/>
                                <w:sz w:val="18"/>
                                <w:szCs w:val="18"/>
                              </w:rPr>
                            </m:ctrlPr>
                          </m:funcPr>
                          <m:fName>
                            <m:r>
                              <m:rPr>
                                <m:sty m:val="p"/>
                              </m:rPr>
                              <w:rPr>
                                <w:rFonts w:ascii="Cambria Math" w:hAnsi="Cambria Math" w:eastAsia="宋体" w:cs="宋体"/>
                                <w:kern w:val="0"/>
                                <w:sz w:val="18"/>
                                <w:szCs w:val="18"/>
                              </w:rPr>
                              <m:t>lg</m:t>
                            </m:r>
                            <m:ctrlPr>
                              <w:rPr>
                                <w:rFonts w:ascii="Cambria Math" w:hAnsi="Cambria Math" w:eastAsia="宋体" w:cs="宋体"/>
                                <w:i/>
                                <w:kern w:val="0"/>
                                <w:sz w:val="18"/>
                                <w:szCs w:val="18"/>
                              </w:rPr>
                            </m:ctrlPr>
                          </m:fName>
                          <m:e>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kern w:val="0"/>
                                    <w:sz w:val="18"/>
                                    <w:szCs w:val="18"/>
                                  </w:rPr>
                                </m:ctrlPr>
                              </m:sub>
                            </m:sSub>
                            <m:ctrlPr>
                              <w:rPr>
                                <w:rFonts w:ascii="Cambria Math" w:hAnsi="Cambria Math" w:eastAsia="宋体" w:cs="宋体"/>
                                <w:i/>
                                <w:kern w:val="0"/>
                                <w:sz w:val="18"/>
                                <w:szCs w:val="18"/>
                              </w:rPr>
                            </m:ctrlPr>
                          </m:e>
                        </m:func>
                        <m:ctrlPr>
                          <w:rPr>
                            <w:rFonts w:ascii="Cambria Math" w:hAnsi="Cambria Math" w:eastAsia="宋体" w:cs="宋体"/>
                            <w:i/>
                            <w:kern w:val="0"/>
                            <w:sz w:val="18"/>
                            <w:szCs w:val="18"/>
                          </w:rPr>
                        </m:ctrlPr>
                      </m:e>
                    </m:func>
                    <m:ctrlPr>
                      <w:rPr>
                        <w:rFonts w:ascii="Cambria Math" w:hAnsi="Cambria Math" w:eastAsia="宋体" w:cs="宋体"/>
                        <w:i/>
                        <w:kern w:val="0"/>
                        <w:sz w:val="18"/>
                        <w:szCs w:val="18"/>
                      </w:rPr>
                    </m:ctrlPr>
                  </m:num>
                  <m:den>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kern w:val="0"/>
                            <w:sz w:val="18"/>
                            <w:szCs w:val="18"/>
                          </w:rPr>
                        </m:ctrlPr>
                      </m:sub>
                    </m:sSub>
                    <m:r>
                      <m:rPr/>
                      <w:rPr>
                        <w:rFonts w:ascii="Cambria Math" w:hAnsi="Cambria Math" w:eastAsia="宋体" w:cs="宋体"/>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(2H</m:t>
                        </m:r>
                        <m:r>
                          <m:rPr/>
                          <w:rPr>
                            <w:rFonts w:ascii="微软雅黑" w:hAnsi="微软雅黑" w:eastAsia="微软雅黑" w:cs="微软雅黑"/>
                            <w:kern w:val="0"/>
                            <w:sz w:val="18"/>
                            <w:szCs w:val="18"/>
                          </w:rPr>
                          <m:t>−</m:t>
                        </m:r>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kern w:val="0"/>
                            <w:sz w:val="18"/>
                            <w:szCs w:val="18"/>
                          </w:rPr>
                        </m:ctrlPr>
                      </m:e>
                      <m:sub>
                        <m:r>
                          <m:rPr/>
                          <w:rPr>
                            <w:rFonts w:ascii="Cambria Math" w:hAnsi="Cambria Math" w:eastAsia="宋体" w:cs="宋体"/>
                            <w:kern w:val="0"/>
                            <w:sz w:val="18"/>
                            <w:szCs w:val="18"/>
                          </w:rPr>
                          <m:t>2</m:t>
                        </m:r>
                        <m:ctrlPr>
                          <w:rPr>
                            <w:rFonts w:ascii="Cambria Math" w:hAnsi="Cambria Math" w:eastAsia="宋体" w:cs="宋体"/>
                            <w:i/>
                            <w:kern w:val="0"/>
                            <w:sz w:val="18"/>
                            <w:szCs w:val="18"/>
                          </w:rPr>
                        </m:ctrlPr>
                      </m:sub>
                    </m:sSub>
                    <m:r>
                      <m:rPr/>
                      <w:rPr>
                        <w:rFonts w:ascii="Cambria Math" w:hAnsi="Cambria Math" w:eastAsia="宋体" w:cs="宋体"/>
                        <w:kern w:val="0"/>
                        <w:sz w:val="18"/>
                        <w:szCs w:val="18"/>
                      </w:rPr>
                      <m:t>)</m:t>
                    </m:r>
                    <m:ctrlPr>
                      <w:rPr>
                        <w:rFonts w:ascii="Cambria Math" w:hAnsi="Cambria Math" w:eastAsia="宋体" w:cs="宋体"/>
                        <w:i/>
                        <w:kern w:val="0"/>
                        <w:sz w:val="18"/>
                        <w:szCs w:val="18"/>
                      </w:rPr>
                    </m:ctrlPr>
                  </m:den>
                </m:f>
              </m:oMath>
            </m:oMathPara>
          </w:p>
        </w:tc>
        <w:tc>
          <w:tcPr>
            <w:tcW w:w="1178" w:type="dxa"/>
            <w:vAlign w:val="center"/>
          </w:tcPr>
          <w:p w14:paraId="6DB94D2F">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潜水；</w:t>
            </w:r>
          </w:p>
          <w:p w14:paraId="139B5F65">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两个观测孔</w:t>
            </w:r>
          </w:p>
        </w:tc>
        <w:tc>
          <w:tcPr>
            <w:tcW w:w="3134" w:type="dxa"/>
            <w:vMerge w:val="continue"/>
            <w:vAlign w:val="center"/>
          </w:tcPr>
          <w:p w14:paraId="2372D1AF">
            <w:pPr>
              <w:pStyle w:val="32"/>
              <w:spacing w:line="240" w:lineRule="auto"/>
              <w:ind w:firstLine="360"/>
              <w:jc w:val="left"/>
              <w:rPr>
                <w:rFonts w:ascii="宋体" w:hAnsi="宋体" w:eastAsia="宋体" w:cs="宋体"/>
                <w:kern w:val="0"/>
                <w:sz w:val="18"/>
                <w:szCs w:val="18"/>
              </w:rPr>
            </w:pPr>
          </w:p>
        </w:tc>
      </w:tr>
      <w:tr w14:paraId="0D997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3763" w:type="dxa"/>
            <w:vAlign w:val="center"/>
          </w:tcPr>
          <w:p w14:paraId="6EE4CFF1">
            <w:pPr>
              <w:pStyle w:val="32"/>
              <w:spacing w:after="0" w:line="240" w:lineRule="auto"/>
              <w:ind w:left="0" w:leftChars="0" w:firstLine="360"/>
              <w:jc w:val="center"/>
              <w:rPr>
                <w:rFonts w:ascii="宋体" w:hAnsi="宋体" w:eastAsia="宋体" w:cs="宋体"/>
                <w:i/>
                <w:iCs/>
                <w:kern w:val="0"/>
                <w:sz w:val="18"/>
                <w:szCs w:val="18"/>
              </w:rPr>
            </w:pPr>
            <m:oMathPara>
              <m:oMath>
                <m:r>
                  <m:rPr>
                    <m:sty m:val="p"/>
                  </m:rPr>
                  <w:rPr>
                    <w:rFonts w:ascii="Cambria Math" w:hAnsi="Cambria Math" w:eastAsia="宋体" w:cs="宋体"/>
                    <w:kern w:val="0"/>
                    <w:sz w:val="18"/>
                    <w:szCs w:val="18"/>
                  </w:rPr>
                  <m:t>lg</m:t>
                </m:r>
                <m:r>
                  <m:rPr/>
                  <w:rPr>
                    <w:rFonts w:ascii="Cambria Math" w:hAnsi="Cambria Math" w:eastAsia="宋体" w:cs="宋体"/>
                    <w:kern w:val="0"/>
                    <w:sz w:val="18"/>
                    <w:szCs w:val="18"/>
                  </w:rPr>
                  <m:t>R=</m:t>
                </m:r>
                <m:f>
                  <m:fPr>
                    <m:ctrlPr>
                      <w:rPr>
                        <w:rFonts w:ascii="Cambria Math" w:hAnsi="Cambria Math" w:eastAsia="宋体" w:cs="宋体"/>
                        <w:i/>
                        <w:iCs/>
                        <w:kern w:val="0"/>
                        <w:sz w:val="18"/>
                        <w:szCs w:val="18"/>
                      </w:rPr>
                    </m:ctrlPr>
                  </m:fPr>
                  <m:num>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w</m:t>
                        </m:r>
                        <m:ctrlPr>
                          <w:rPr>
                            <w:rFonts w:ascii="Cambria Math" w:hAnsi="Cambria Math" w:eastAsia="宋体" w:cs="宋体"/>
                            <w:i/>
                            <w:iCs/>
                            <w:kern w:val="0"/>
                            <w:sz w:val="18"/>
                            <w:szCs w:val="18"/>
                          </w:rPr>
                        </m:ctrlPr>
                      </m:sub>
                    </m:sSub>
                    <m:r>
                      <m:rPr>
                        <m:sty m:val="p"/>
                      </m:rPr>
                      <w:rPr>
                        <w:rFonts w:ascii="Cambria Math" w:hAnsi="Cambria Math" w:eastAsia="宋体" w:cs="宋体"/>
                        <w:kern w:val="0"/>
                        <w:sz w:val="18"/>
                        <w:szCs w:val="18"/>
                      </w:rPr>
                      <m:t>lg</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r>
                      <m:rPr>
                        <m:sty m:val="p"/>
                      </m:rPr>
                      <w:rPr>
                        <w:rFonts w:ascii="Cambria Math" w:hAnsi="Cambria Math" w:eastAsia="宋体" w:cs="宋体"/>
                        <w:kern w:val="0"/>
                        <w:sz w:val="18"/>
                        <w:szCs w:val="18"/>
                      </w:rPr>
                      <m:t>lg</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r</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w</m:t>
                        </m:r>
                        <m:ctrlPr>
                          <w:rPr>
                            <w:rFonts w:ascii="Cambria Math" w:hAnsi="Cambria Math" w:eastAsia="宋体" w:cs="宋体"/>
                            <w:i/>
                            <w:iCs/>
                            <w:kern w:val="0"/>
                            <w:sz w:val="18"/>
                            <w:szCs w:val="18"/>
                          </w:rPr>
                        </m:ctrlPr>
                      </m:sub>
                    </m:sSub>
                    <m:ctrlPr>
                      <w:rPr>
                        <w:rFonts w:ascii="Cambria Math" w:hAnsi="Cambria Math" w:eastAsia="宋体" w:cs="宋体"/>
                        <w:i/>
                        <w:iCs/>
                        <w:kern w:val="0"/>
                        <w:sz w:val="18"/>
                        <w:szCs w:val="18"/>
                      </w:rPr>
                    </m:ctrlPr>
                  </m:num>
                  <m:den>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w</m:t>
                        </m:r>
                        <m:ctrlPr>
                          <w:rPr>
                            <w:rFonts w:ascii="Cambria Math" w:hAnsi="Cambria Math" w:eastAsia="宋体" w:cs="宋体"/>
                            <w:i/>
                            <w:iCs/>
                            <w:kern w:val="0"/>
                            <w:sz w:val="18"/>
                            <w:szCs w:val="18"/>
                          </w:rPr>
                        </m:ctrlPr>
                      </m:sub>
                    </m:sSub>
                    <m:r>
                      <m:rPr/>
                      <w:rPr>
                        <w:rFonts w:ascii="微软雅黑" w:hAnsi="微软雅黑" w:eastAsia="微软雅黑" w:cs="微软雅黑"/>
                        <w:kern w:val="0"/>
                        <w:sz w:val="18"/>
                        <w:szCs w:val="18"/>
                      </w:rPr>
                      <m:t>−</m:t>
                    </m:r>
                    <m:sSub>
                      <m:sSubPr>
                        <m:ctrlPr>
                          <w:rPr>
                            <w:rFonts w:ascii="Cambria Math" w:hAnsi="Cambria Math" w:eastAsia="宋体" w:cs="宋体"/>
                            <w:i/>
                            <w:iCs/>
                            <w:kern w:val="0"/>
                            <w:sz w:val="18"/>
                            <w:szCs w:val="18"/>
                          </w:rPr>
                        </m:ctrlPr>
                      </m:sSubPr>
                      <m:e>
                        <m:r>
                          <m:rPr/>
                          <w:rPr>
                            <w:rFonts w:ascii="Cambria Math" w:hAnsi="Cambria Math" w:eastAsia="宋体" w:cs="宋体"/>
                            <w:kern w:val="0"/>
                            <w:sz w:val="18"/>
                            <w:szCs w:val="18"/>
                          </w:rPr>
                          <m:t>s</m:t>
                        </m:r>
                        <m:ctrlPr>
                          <w:rPr>
                            <w:rFonts w:ascii="Cambria Math" w:hAnsi="Cambria Math" w:eastAsia="宋体" w:cs="宋体"/>
                            <w:i/>
                            <w:iCs/>
                            <w:kern w:val="0"/>
                            <w:sz w:val="18"/>
                            <w:szCs w:val="18"/>
                          </w:rPr>
                        </m:ctrlPr>
                      </m:e>
                      <m:sub>
                        <m:r>
                          <m:rPr/>
                          <w:rPr>
                            <w:rFonts w:ascii="Cambria Math" w:hAnsi="Cambria Math" w:eastAsia="宋体" w:cs="宋体"/>
                            <w:kern w:val="0"/>
                            <w:sz w:val="18"/>
                            <w:szCs w:val="18"/>
                          </w:rPr>
                          <m:t>1</m:t>
                        </m:r>
                        <m:ctrlPr>
                          <w:rPr>
                            <w:rFonts w:ascii="Cambria Math" w:hAnsi="Cambria Math" w:eastAsia="宋体" w:cs="宋体"/>
                            <w:i/>
                            <w:iCs/>
                            <w:kern w:val="0"/>
                            <w:sz w:val="18"/>
                            <w:szCs w:val="18"/>
                          </w:rPr>
                        </m:ctrlPr>
                      </m:sub>
                    </m:sSub>
                    <m:ctrlPr>
                      <w:rPr>
                        <w:rFonts w:ascii="Cambria Math" w:hAnsi="Cambria Math" w:eastAsia="宋体" w:cs="宋体"/>
                        <w:i/>
                        <w:iCs/>
                        <w:kern w:val="0"/>
                        <w:sz w:val="18"/>
                        <w:szCs w:val="18"/>
                      </w:rPr>
                    </m:ctrlPr>
                  </m:den>
                </m:f>
              </m:oMath>
            </m:oMathPara>
          </w:p>
        </w:tc>
        <w:tc>
          <w:tcPr>
            <w:tcW w:w="1178" w:type="dxa"/>
            <w:vAlign w:val="center"/>
          </w:tcPr>
          <w:p w14:paraId="5E818E7B">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承压水；</w:t>
            </w:r>
          </w:p>
          <w:p w14:paraId="4DBC7434">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一个观测孔</w:t>
            </w:r>
          </w:p>
        </w:tc>
        <w:tc>
          <w:tcPr>
            <w:tcW w:w="3134" w:type="dxa"/>
            <w:vMerge w:val="continue"/>
            <w:vAlign w:val="center"/>
          </w:tcPr>
          <w:p w14:paraId="51662028">
            <w:pPr>
              <w:pStyle w:val="32"/>
              <w:spacing w:line="240" w:lineRule="auto"/>
              <w:ind w:firstLine="360"/>
              <w:jc w:val="left"/>
              <w:rPr>
                <w:rFonts w:ascii="宋体" w:hAnsi="宋体" w:eastAsia="宋体" w:cs="宋体"/>
                <w:kern w:val="0"/>
                <w:sz w:val="18"/>
                <w:szCs w:val="18"/>
              </w:rPr>
            </w:pPr>
          </w:p>
        </w:tc>
      </w:tr>
      <w:tr w14:paraId="343DC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3763" w:type="dxa"/>
            <w:vAlign w:val="center"/>
          </w:tcPr>
          <w:p w14:paraId="5CE8BD64">
            <w:pPr>
              <w:spacing w:line="240" w:lineRule="auto"/>
              <w:jc w:val="center"/>
              <w:rPr>
                <w:rFonts w:hint="eastAsia" w:ascii="宋体" w:hAnsi="宋体" w:cs="宋体"/>
                <w:i/>
                <w:kern w:val="0"/>
                <w:sz w:val="18"/>
                <w:szCs w:val="18"/>
              </w:rPr>
            </w:pPr>
            <m:oMathPara>
              <m:oMath>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r>
                      <m:rPr/>
                      <w:rPr>
                        <w:rFonts w:hint="eastAsia" w:ascii="Cambria Math" w:hAnsi="Cambria Math" w:cs="宋体"/>
                        <w:kern w:val="0"/>
                        <w:sz w:val="18"/>
                        <w:szCs w:val="18"/>
                      </w:rPr>
                      <m:t>R</m:t>
                    </m:r>
                    <m:ctrlPr>
                      <w:rPr>
                        <w:rFonts w:hint="eastAsia" w:ascii="Cambria Math" w:hAnsi="Cambria Math" w:cs="宋体"/>
                        <w:i/>
                        <w:kern w:val="0"/>
                        <w:sz w:val="18"/>
                        <w:szCs w:val="18"/>
                      </w:rPr>
                    </m:ctrlPr>
                  </m:e>
                </m:func>
                <m:r>
                  <m:rPr/>
                  <w:rPr>
                    <w:rFonts w:hint="eastAsia" w:ascii="Cambria Math" w:hAnsi="Cambria Math" w:cs="宋体"/>
                    <w:kern w:val="0"/>
                    <w:sz w:val="18"/>
                    <w:szCs w:val="18"/>
                  </w:rPr>
                  <m:t>=</m:t>
                </m:r>
                <m:f>
                  <m:fPr>
                    <m:ctrlPr>
                      <w:rPr>
                        <w:rFonts w:hint="eastAsia" w:ascii="Cambria Math" w:hAnsi="Cambria Math" w:cs="宋体"/>
                        <w:i/>
                        <w:kern w:val="0"/>
                        <w:sz w:val="18"/>
                        <w:szCs w:val="18"/>
                      </w:rPr>
                    </m:ctrlPr>
                  </m:fPr>
                  <m:num>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d>
                      <m:dPr>
                        <m:ctrlPr>
                          <w:rPr>
                            <w:rFonts w:ascii="Cambria Math" w:hAnsi="Cambria Math" w:cs="宋体"/>
                            <w:i/>
                            <w:kern w:val="0"/>
                            <w:sz w:val="18"/>
                            <w:szCs w:val="18"/>
                          </w:rPr>
                        </m:ctrlPr>
                      </m:dPr>
                      <m:e>
                        <m:r>
                          <m:rPr/>
                          <w:rPr>
                            <w:rFonts w:hint="eastAsia" w:ascii="Cambria Math" w:hAnsi="Cambria Math" w:cs="宋体"/>
                            <w:kern w:val="0"/>
                            <w:sz w:val="18"/>
                            <w:szCs w:val="18"/>
                          </w:rPr>
                          <m:t>2H</m:t>
                        </m:r>
                        <m:r>
                          <m:rPr/>
                          <w:rPr>
                            <w:rFonts w:hint="eastAsia" w:ascii="微软雅黑" w:hAnsi="微软雅黑" w:eastAsia="微软雅黑" w:cs="微软雅黑"/>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ctrlPr>
                          <w:rPr>
                            <w:rFonts w:ascii="Cambria Math" w:hAnsi="Cambria Math" w:cs="宋体"/>
                            <w:i/>
                            <w:kern w:val="0"/>
                            <w:sz w:val="18"/>
                            <w:szCs w:val="18"/>
                          </w:rPr>
                        </m:ctrlPr>
                      </m:e>
                    </m:d>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微软雅黑" w:hAnsi="微软雅黑" w:eastAsia="微软雅黑" w:cs="微软雅黑"/>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d>
                          <m:dPr>
                            <m:ctrlPr>
                              <w:rPr>
                                <w:rFonts w:ascii="Cambria Math" w:hAnsi="Cambria Math" w:cs="宋体"/>
                                <w:i/>
                                <w:kern w:val="0"/>
                                <w:sz w:val="18"/>
                                <w:szCs w:val="18"/>
                              </w:rPr>
                            </m:ctrlPr>
                          </m:dPr>
                          <m:e>
                            <m:r>
                              <m:rPr/>
                              <w:rPr>
                                <w:rFonts w:hint="eastAsia" w:ascii="Cambria Math" w:hAnsi="Cambria Math" w:cs="宋体"/>
                                <w:kern w:val="0"/>
                                <w:sz w:val="18"/>
                                <w:szCs w:val="18"/>
                              </w:rPr>
                              <m:t>2H</m:t>
                            </m:r>
                            <m:r>
                              <m:rPr/>
                              <w:rPr>
                                <w:rFonts w:hint="eastAsia" w:ascii="微软雅黑" w:hAnsi="微软雅黑" w:eastAsia="微软雅黑" w:cs="微软雅黑"/>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ctrlPr>
                              <w:rPr>
                                <w:rFonts w:ascii="Cambria Math" w:hAnsi="Cambria Math" w:cs="宋体"/>
                                <w:i/>
                                <w:kern w:val="0"/>
                                <w:sz w:val="18"/>
                                <w:szCs w:val="18"/>
                              </w:rPr>
                            </m:ctrlPr>
                          </m:e>
                        </m:d>
                        <m:func>
                          <m:funcPr>
                            <m:ctrlPr>
                              <w:rPr>
                                <w:rFonts w:hint="eastAsia" w:ascii="Cambria Math" w:hAnsi="Cambria Math" w:cs="宋体"/>
                                <w:i/>
                                <w:kern w:val="0"/>
                                <w:sz w:val="18"/>
                                <w:szCs w:val="18"/>
                              </w:rPr>
                            </m:ctrlPr>
                          </m:funcPr>
                          <m:fName>
                            <m:r>
                              <m:rPr>
                                <m:sty m:val="p"/>
                              </m:rPr>
                              <w:rPr>
                                <w:rFonts w:hint="eastAsia" w:ascii="Cambria Math" w:hAnsi="Cambria Math" w:cs="宋体"/>
                                <w:kern w:val="0"/>
                                <w:sz w:val="18"/>
                                <w:szCs w:val="18"/>
                              </w:rPr>
                              <m:t>lg</m:t>
                            </m:r>
                            <m:ctrlPr>
                              <w:rPr>
                                <w:rFonts w:hint="eastAsia" w:ascii="Cambria Math" w:hAnsi="Cambria Math" w:cs="宋体"/>
                                <w:i/>
                                <w:kern w:val="0"/>
                                <w:sz w:val="18"/>
                                <w:szCs w:val="18"/>
                              </w:rPr>
                            </m:ctrlPr>
                          </m:fName>
                          <m:e>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r</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ctrlPr>
                              <w:rPr>
                                <w:rFonts w:hint="eastAsia" w:ascii="Cambria Math" w:hAnsi="Cambria Math" w:cs="宋体"/>
                                <w:i/>
                                <w:kern w:val="0"/>
                                <w:sz w:val="18"/>
                                <w:szCs w:val="18"/>
                              </w:rPr>
                            </m:ctrlPr>
                          </m:e>
                        </m:func>
                        <m:ctrlPr>
                          <w:rPr>
                            <w:rFonts w:hint="eastAsia" w:ascii="Cambria Math" w:hAnsi="Cambria Math" w:cs="宋体"/>
                            <w:i/>
                            <w:kern w:val="0"/>
                            <w:sz w:val="18"/>
                            <w:szCs w:val="18"/>
                          </w:rPr>
                        </m:ctrlPr>
                      </m:e>
                    </m:func>
                    <m:ctrlPr>
                      <w:rPr>
                        <w:rFonts w:hint="eastAsia" w:ascii="Cambria Math" w:hAnsi="Cambria Math" w:cs="宋体"/>
                        <w:i/>
                        <w:kern w:val="0"/>
                        <w:sz w:val="18"/>
                        <w:szCs w:val="18"/>
                      </w:rPr>
                    </m:ctrlPr>
                  </m:num>
                  <m:den>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r>
                      <m:rPr/>
                      <w:rPr>
                        <w:rFonts w:hint="eastAsia" w:ascii="微软雅黑" w:hAnsi="微软雅黑" w:eastAsia="微软雅黑" w:cs="微软雅黑"/>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(2H</m:t>
                        </m:r>
                        <m:r>
                          <m:rPr/>
                          <w:rPr>
                            <w:rFonts w:hint="eastAsia" w:ascii="微软雅黑" w:hAnsi="微软雅黑" w:eastAsia="微软雅黑" w:cs="微软雅黑"/>
                            <w:kern w:val="0"/>
                            <w:sz w:val="18"/>
                            <w:szCs w:val="18"/>
                          </w:rPr>
                          <m:t>−</m:t>
                        </m:r>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w</m:t>
                        </m:r>
                        <m:ctrlPr>
                          <w:rPr>
                            <w:rFonts w:hint="eastAsia" w:ascii="Cambria Math" w:hAnsi="Cambria Math" w:cs="宋体"/>
                            <w:i/>
                            <w:kern w:val="0"/>
                            <w:sz w:val="18"/>
                            <w:szCs w:val="18"/>
                          </w:rPr>
                        </m:ctrlPr>
                      </m:sub>
                    </m:sSub>
                    <m:r>
                      <m:rPr/>
                      <w:rPr>
                        <w:rFonts w:hint="eastAsia" w:ascii="微软雅黑" w:hAnsi="微软雅黑" w:eastAsia="微软雅黑" w:cs="微软雅黑"/>
                        <w:kern w:val="0"/>
                        <w:sz w:val="18"/>
                        <w:szCs w:val="18"/>
                      </w:rPr>
                      <m:t>−</m:t>
                    </m:r>
                    <m:sSub>
                      <m:sSubPr>
                        <m:ctrlPr>
                          <w:rPr>
                            <w:rFonts w:hint="eastAsia" w:ascii="Cambria Math" w:hAnsi="Cambria Math" w:cs="宋体"/>
                            <w:i/>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kern w:val="0"/>
                            <w:sz w:val="18"/>
                            <w:szCs w:val="18"/>
                          </w:rPr>
                        </m:ctrlPr>
                      </m:e>
                      <m:sub>
                        <m:r>
                          <m:rPr/>
                          <w:rPr>
                            <w:rFonts w:hint="eastAsia" w:ascii="Cambria Math" w:hAnsi="Cambria Math" w:cs="宋体"/>
                            <w:kern w:val="0"/>
                            <w:sz w:val="18"/>
                            <w:szCs w:val="18"/>
                          </w:rPr>
                          <m:t>1</m:t>
                        </m:r>
                        <m:ctrlPr>
                          <w:rPr>
                            <w:rFonts w:hint="eastAsia" w:ascii="Cambria Math" w:hAnsi="Cambria Math" w:cs="宋体"/>
                            <w:i/>
                            <w:kern w:val="0"/>
                            <w:sz w:val="18"/>
                            <w:szCs w:val="18"/>
                          </w:rPr>
                        </m:ctrlPr>
                      </m:sub>
                    </m:sSub>
                    <m:r>
                      <m:rPr/>
                      <w:rPr>
                        <w:rFonts w:hint="eastAsia" w:ascii="Cambria Math" w:hAnsi="Cambria Math" w:cs="宋体"/>
                        <w:kern w:val="0"/>
                        <w:sz w:val="18"/>
                        <w:szCs w:val="18"/>
                      </w:rPr>
                      <m:t>)</m:t>
                    </m:r>
                    <m:ctrlPr>
                      <w:rPr>
                        <w:rFonts w:hint="eastAsia" w:ascii="Cambria Math" w:hAnsi="Cambria Math" w:cs="宋体"/>
                        <w:i/>
                        <w:kern w:val="0"/>
                        <w:sz w:val="18"/>
                        <w:szCs w:val="18"/>
                      </w:rPr>
                    </m:ctrlPr>
                  </m:den>
                </m:f>
              </m:oMath>
            </m:oMathPara>
          </w:p>
        </w:tc>
        <w:tc>
          <w:tcPr>
            <w:tcW w:w="1178" w:type="dxa"/>
            <w:vAlign w:val="center"/>
          </w:tcPr>
          <w:p w14:paraId="4FD7B319">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潜水；</w:t>
            </w:r>
          </w:p>
          <w:p w14:paraId="0F77B0ED">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一个观测孔</w:t>
            </w:r>
          </w:p>
        </w:tc>
        <w:tc>
          <w:tcPr>
            <w:tcW w:w="3134" w:type="dxa"/>
            <w:vMerge w:val="continue"/>
            <w:vAlign w:val="center"/>
          </w:tcPr>
          <w:p w14:paraId="350CF558">
            <w:pPr>
              <w:pStyle w:val="32"/>
              <w:spacing w:line="240" w:lineRule="auto"/>
              <w:ind w:firstLine="360"/>
              <w:jc w:val="left"/>
              <w:rPr>
                <w:rFonts w:ascii="宋体" w:hAnsi="宋体" w:eastAsia="宋体" w:cs="宋体"/>
                <w:kern w:val="0"/>
                <w:sz w:val="18"/>
                <w:szCs w:val="18"/>
              </w:rPr>
            </w:pPr>
          </w:p>
        </w:tc>
      </w:tr>
      <w:tr w14:paraId="49E77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3763" w:type="dxa"/>
            <w:vAlign w:val="center"/>
          </w:tcPr>
          <w:p w14:paraId="5291AC62">
            <w:pPr>
              <w:pStyle w:val="15"/>
              <w:snapToGrid w:val="0"/>
              <w:spacing w:after="0" w:line="240" w:lineRule="auto"/>
              <w:jc w:val="center"/>
              <w:rPr>
                <w:rFonts w:hint="eastAsia" w:ascii="宋体" w:hAnsi="宋体" w:cs="宋体"/>
                <w:i/>
                <w:iCs/>
                <w:kern w:val="0"/>
                <w:sz w:val="18"/>
                <w:szCs w:val="18"/>
              </w:rPr>
            </w:pPr>
            <m:oMathPara>
              <m:oMath>
                <m:r>
                  <m:rPr/>
                  <w:rPr>
                    <w:rFonts w:hint="eastAsia" w:ascii="Cambria Math" w:hAnsi="Cambria Math" w:cs="宋体"/>
                    <w:kern w:val="0"/>
                    <w:sz w:val="18"/>
                    <w:szCs w:val="18"/>
                  </w:rPr>
                  <m:t>R=10</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rad>
                  <m:radPr>
                    <m:degHide m:val="1"/>
                    <m:ctrlPr>
                      <w:rPr>
                        <w:rFonts w:hint="eastAsia" w:ascii="Cambria Math" w:hAnsi="Cambria Math" w:cs="宋体"/>
                        <w:i/>
                        <w:iCs/>
                        <w:kern w:val="0"/>
                        <w:sz w:val="18"/>
                        <w:szCs w:val="18"/>
                      </w:rPr>
                    </m:ctrlPr>
                  </m:radPr>
                  <m:deg>
                    <m:ctrlPr>
                      <w:rPr>
                        <w:rFonts w:hint="eastAsia" w:ascii="Cambria Math" w:hAnsi="Cambria Math" w:cs="宋体"/>
                        <w:i/>
                        <w:iCs/>
                        <w:kern w:val="0"/>
                        <w:sz w:val="18"/>
                        <w:szCs w:val="18"/>
                      </w:rPr>
                    </m:ctrlPr>
                  </m:deg>
                  <m:e>
                    <m:r>
                      <m:rPr/>
                      <w:rPr>
                        <w:rFonts w:hint="eastAsia" w:ascii="Cambria Math" w:hAnsi="Cambria Math" w:cs="宋体"/>
                        <w:kern w:val="0"/>
                        <w:sz w:val="18"/>
                        <w:szCs w:val="18"/>
                      </w:rPr>
                      <m:t>K</m:t>
                    </m:r>
                    <m:ctrlPr>
                      <w:rPr>
                        <w:rFonts w:hint="eastAsia" w:ascii="Cambria Math" w:hAnsi="Cambria Math" w:cs="宋体"/>
                        <w:i/>
                        <w:iCs/>
                        <w:kern w:val="0"/>
                        <w:sz w:val="18"/>
                        <w:szCs w:val="18"/>
                      </w:rPr>
                    </m:ctrlPr>
                  </m:e>
                </m:rad>
              </m:oMath>
            </m:oMathPara>
          </w:p>
        </w:tc>
        <w:tc>
          <w:tcPr>
            <w:tcW w:w="1178" w:type="dxa"/>
            <w:vAlign w:val="center"/>
          </w:tcPr>
          <w:p w14:paraId="4F13D3E8">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承压水</w:t>
            </w:r>
          </w:p>
        </w:tc>
        <w:tc>
          <w:tcPr>
            <w:tcW w:w="3134" w:type="dxa"/>
            <w:vMerge w:val="restart"/>
            <w:vAlign w:val="center"/>
          </w:tcPr>
          <w:p w14:paraId="27F66A14">
            <w:pPr>
              <w:pStyle w:val="32"/>
              <w:spacing w:line="240" w:lineRule="auto"/>
              <w:ind w:left="0" w:leftChars="0" w:firstLine="0" w:firstLineChars="0"/>
              <w:jc w:val="left"/>
              <w:rPr>
                <w:rFonts w:ascii="宋体" w:hAnsi="宋体" w:eastAsia="宋体" w:cs="宋体"/>
                <w:kern w:val="0"/>
                <w:sz w:val="18"/>
                <w:szCs w:val="18"/>
              </w:rPr>
            </w:pPr>
            <w:r>
              <w:rPr>
                <w:rFonts w:ascii="宋体" w:hAnsi="宋体" w:eastAsia="宋体" w:cs="宋体"/>
                <w:i/>
                <w:iCs/>
                <w:kern w:val="0"/>
                <w:sz w:val="18"/>
                <w:szCs w:val="18"/>
              </w:rPr>
              <w:t>s</w:t>
            </w:r>
            <w:r>
              <w:rPr>
                <w:rFonts w:ascii="宋体" w:hAnsi="宋体" w:eastAsia="宋体" w:cs="宋体"/>
                <w:i/>
                <w:iCs/>
                <w:kern w:val="0"/>
                <w:sz w:val="18"/>
                <w:szCs w:val="18"/>
                <w:vertAlign w:val="subscript"/>
              </w:rPr>
              <w:t>w</w:t>
            </w:r>
            <w:r>
              <w:rPr>
                <w:rFonts w:ascii="宋体" w:hAnsi="宋体" w:eastAsia="宋体" w:cs="宋体"/>
                <w:kern w:val="0"/>
                <w:sz w:val="18"/>
                <w:szCs w:val="18"/>
              </w:rPr>
              <w:t>小于10m时，取</w:t>
            </w:r>
            <w:r>
              <w:rPr>
                <w:rFonts w:ascii="宋体" w:hAnsi="宋体" w:eastAsia="宋体" w:cs="宋体"/>
                <w:i/>
                <w:iCs/>
                <w:kern w:val="0"/>
                <w:sz w:val="18"/>
                <w:szCs w:val="18"/>
              </w:rPr>
              <w:t>s</w:t>
            </w:r>
            <w:r>
              <w:rPr>
                <w:rFonts w:ascii="宋体" w:hAnsi="宋体" w:eastAsia="宋体" w:cs="宋体"/>
                <w:i/>
                <w:iCs/>
                <w:kern w:val="0"/>
                <w:sz w:val="18"/>
                <w:szCs w:val="18"/>
                <w:vertAlign w:val="subscript"/>
              </w:rPr>
              <w:t>w</w:t>
            </w:r>
            <w:r>
              <w:rPr>
                <w:rFonts w:ascii="宋体" w:hAnsi="宋体" w:eastAsia="宋体" w:cs="宋体"/>
                <w:kern w:val="0"/>
                <w:sz w:val="18"/>
                <w:szCs w:val="18"/>
              </w:rPr>
              <w:t>=10m。</w:t>
            </w:r>
          </w:p>
        </w:tc>
      </w:tr>
      <w:tr w14:paraId="75437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3763" w:type="dxa"/>
            <w:vAlign w:val="center"/>
          </w:tcPr>
          <w:p w14:paraId="3F7FCE82">
            <w:pPr>
              <w:pStyle w:val="15"/>
              <w:snapToGrid w:val="0"/>
              <w:spacing w:after="0" w:line="240" w:lineRule="auto"/>
              <w:jc w:val="center"/>
              <w:rPr>
                <w:rFonts w:hint="eastAsia" w:ascii="宋体" w:hAnsi="宋体" w:cs="宋体"/>
                <w:i/>
                <w:iCs/>
                <w:kern w:val="0"/>
                <w:sz w:val="18"/>
                <w:szCs w:val="18"/>
              </w:rPr>
            </w:pPr>
            <m:oMathPara>
              <m:oMath>
                <m:r>
                  <m:rPr/>
                  <w:rPr>
                    <w:rFonts w:hint="eastAsia" w:ascii="Cambria Math" w:hAnsi="Cambria Math" w:cs="宋体"/>
                    <w:kern w:val="0"/>
                    <w:sz w:val="18"/>
                    <w:szCs w:val="18"/>
                  </w:rPr>
                  <m:t>R=2</m:t>
                </m:r>
                <m:sSub>
                  <m:sSubPr>
                    <m:ctrlPr>
                      <w:rPr>
                        <w:rFonts w:hint="eastAsia" w:ascii="Cambria Math" w:hAnsi="Cambria Math" w:cs="宋体"/>
                        <w:i/>
                        <w:iCs/>
                        <w:kern w:val="0"/>
                        <w:sz w:val="18"/>
                        <w:szCs w:val="18"/>
                      </w:rPr>
                    </m:ctrlPr>
                  </m:sSubPr>
                  <m:e>
                    <m:r>
                      <m:rPr/>
                      <w:rPr>
                        <w:rFonts w:hint="eastAsia" w:ascii="Cambria Math" w:hAnsi="Cambria Math" w:cs="宋体"/>
                        <w:kern w:val="0"/>
                        <w:sz w:val="18"/>
                        <w:szCs w:val="18"/>
                      </w:rPr>
                      <m:t>s</m:t>
                    </m:r>
                    <m:ctrlPr>
                      <w:rPr>
                        <w:rFonts w:hint="eastAsia" w:ascii="Cambria Math" w:hAnsi="Cambria Math" w:cs="宋体"/>
                        <w:i/>
                        <w:iCs/>
                        <w:kern w:val="0"/>
                        <w:sz w:val="18"/>
                        <w:szCs w:val="18"/>
                      </w:rPr>
                    </m:ctrlPr>
                  </m:e>
                  <m:sub>
                    <m:r>
                      <m:rPr/>
                      <w:rPr>
                        <w:rFonts w:hint="eastAsia" w:ascii="Cambria Math" w:hAnsi="Cambria Math" w:cs="宋体"/>
                        <w:kern w:val="0"/>
                        <w:sz w:val="18"/>
                        <w:szCs w:val="18"/>
                      </w:rPr>
                      <m:t>w</m:t>
                    </m:r>
                    <m:ctrlPr>
                      <w:rPr>
                        <w:rFonts w:hint="eastAsia" w:ascii="Cambria Math" w:hAnsi="Cambria Math" w:cs="宋体"/>
                        <w:i/>
                        <w:iCs/>
                        <w:kern w:val="0"/>
                        <w:sz w:val="18"/>
                        <w:szCs w:val="18"/>
                      </w:rPr>
                    </m:ctrlPr>
                  </m:sub>
                </m:sSub>
                <m:rad>
                  <m:radPr>
                    <m:degHide m:val="1"/>
                    <m:ctrlPr>
                      <w:rPr>
                        <w:rFonts w:hint="eastAsia" w:ascii="Cambria Math" w:hAnsi="Cambria Math" w:cs="宋体"/>
                        <w:i/>
                        <w:iCs/>
                        <w:kern w:val="0"/>
                        <w:sz w:val="18"/>
                        <w:szCs w:val="18"/>
                      </w:rPr>
                    </m:ctrlPr>
                  </m:radPr>
                  <m:deg>
                    <m:ctrlPr>
                      <w:rPr>
                        <w:rFonts w:hint="eastAsia" w:ascii="Cambria Math" w:hAnsi="Cambria Math" w:cs="宋体"/>
                        <w:i/>
                        <w:iCs/>
                        <w:kern w:val="0"/>
                        <w:sz w:val="18"/>
                        <w:szCs w:val="18"/>
                      </w:rPr>
                    </m:ctrlPr>
                  </m:deg>
                  <m:e>
                    <m:r>
                      <m:rPr/>
                      <w:rPr>
                        <w:rFonts w:hint="eastAsia" w:ascii="Cambria Math" w:hAnsi="Cambria Math" w:cs="宋体"/>
                        <w:kern w:val="0"/>
                        <w:sz w:val="18"/>
                        <w:szCs w:val="18"/>
                      </w:rPr>
                      <m:t>KH</m:t>
                    </m:r>
                    <m:ctrlPr>
                      <w:rPr>
                        <w:rFonts w:hint="eastAsia" w:ascii="Cambria Math" w:hAnsi="Cambria Math" w:cs="宋体"/>
                        <w:i/>
                        <w:iCs/>
                        <w:kern w:val="0"/>
                        <w:sz w:val="18"/>
                        <w:szCs w:val="18"/>
                      </w:rPr>
                    </m:ctrlPr>
                  </m:e>
                </m:rad>
              </m:oMath>
            </m:oMathPara>
          </w:p>
        </w:tc>
        <w:tc>
          <w:tcPr>
            <w:tcW w:w="1178" w:type="dxa"/>
            <w:vAlign w:val="center"/>
          </w:tcPr>
          <w:p w14:paraId="57BEAD62">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潜水</w:t>
            </w:r>
          </w:p>
        </w:tc>
        <w:tc>
          <w:tcPr>
            <w:tcW w:w="3134" w:type="dxa"/>
            <w:vMerge w:val="continue"/>
            <w:vAlign w:val="center"/>
          </w:tcPr>
          <w:p w14:paraId="329BC704">
            <w:pPr>
              <w:pStyle w:val="32"/>
              <w:spacing w:line="240" w:lineRule="auto"/>
              <w:ind w:firstLine="360"/>
              <w:jc w:val="center"/>
              <w:rPr>
                <w:rFonts w:ascii="宋体" w:hAnsi="宋体" w:eastAsia="宋体" w:cs="宋体"/>
                <w:kern w:val="0"/>
                <w:sz w:val="18"/>
                <w:szCs w:val="18"/>
              </w:rPr>
            </w:pPr>
          </w:p>
        </w:tc>
      </w:tr>
    </w:tbl>
    <w:p w14:paraId="0E891F98">
      <w:pPr>
        <w:pStyle w:val="182"/>
        <w:ind w:left="0" w:firstLine="0"/>
      </w:pPr>
    </w:p>
    <w:p w14:paraId="7E725004">
      <w:pPr>
        <w:pStyle w:val="182"/>
        <w:ind w:left="0" w:firstLine="0"/>
      </w:pPr>
    </w:p>
    <w:p w14:paraId="1D196541">
      <w:pPr>
        <w:pStyle w:val="182"/>
        <w:ind w:left="0" w:firstLine="0"/>
      </w:pPr>
    </w:p>
    <w:p w14:paraId="3A132ABA">
      <w:pPr>
        <w:pStyle w:val="182"/>
        <w:ind w:left="0" w:firstLine="0"/>
      </w:pPr>
    </w:p>
    <w:p w14:paraId="786F37B3">
      <w:pPr>
        <w:pStyle w:val="173"/>
        <w:spacing w:line="360" w:lineRule="auto"/>
      </w:pPr>
      <w:r>
        <w:rPr>
          <w:rFonts w:hint="eastAsia"/>
        </w:rPr>
        <w:t>注水试验应满足下列要求：</w:t>
      </w:r>
    </w:p>
    <w:p w14:paraId="0719E892">
      <w:pPr>
        <w:pStyle w:val="182"/>
        <w:numPr>
          <w:ilvl w:val="0"/>
          <w:numId w:val="47"/>
        </w:numPr>
        <w:ind w:left="845" w:hanging="425"/>
      </w:pPr>
      <w:r>
        <w:rPr>
          <w:rFonts w:hint="eastAsia"/>
        </w:rPr>
        <w:t>注水试验适用于无地下水、地下水位较深或渗透性较弱的场地，可根据工程需求按表6选择；</w:t>
      </w:r>
    </w:p>
    <w:p w14:paraId="475E5560">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表6 注水试验的适用条件</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234"/>
        <w:gridCol w:w="4706"/>
        <w:gridCol w:w="2970"/>
      </w:tblGrid>
      <w:tr w14:paraId="2C7E855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34" w:type="dxa"/>
            <w:tcBorders>
              <w:right w:val="single" w:color="auto" w:sz="2" w:space="0"/>
            </w:tcBorders>
            <w:vAlign w:val="center"/>
          </w:tcPr>
          <w:p w14:paraId="4A817398">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类型</w:t>
            </w:r>
          </w:p>
        </w:tc>
        <w:tc>
          <w:tcPr>
            <w:tcW w:w="4706" w:type="dxa"/>
            <w:tcBorders>
              <w:left w:val="single" w:color="auto" w:sz="2" w:space="0"/>
              <w:right w:val="single" w:color="auto" w:sz="2" w:space="0"/>
            </w:tcBorders>
            <w:vAlign w:val="center"/>
          </w:tcPr>
          <w:p w14:paraId="2E9C6FB6">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适用场景</w:t>
            </w:r>
          </w:p>
        </w:tc>
        <w:tc>
          <w:tcPr>
            <w:tcW w:w="2970" w:type="dxa"/>
            <w:tcBorders>
              <w:left w:val="single" w:color="auto" w:sz="2" w:space="0"/>
            </w:tcBorders>
            <w:vAlign w:val="center"/>
          </w:tcPr>
          <w:p w14:paraId="57043B50">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工程案例</w:t>
            </w:r>
          </w:p>
        </w:tc>
      </w:tr>
      <w:tr w14:paraId="4649ED1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34" w:type="dxa"/>
            <w:tcBorders>
              <w:bottom w:val="single" w:color="auto" w:sz="2" w:space="0"/>
              <w:right w:val="single" w:color="auto" w:sz="2" w:space="0"/>
            </w:tcBorders>
            <w:vAlign w:val="center"/>
          </w:tcPr>
          <w:p w14:paraId="26DE3EC3">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试坑注水试验</w:t>
            </w:r>
          </w:p>
        </w:tc>
        <w:tc>
          <w:tcPr>
            <w:tcW w:w="4706" w:type="dxa"/>
            <w:tcBorders>
              <w:left w:val="single" w:color="auto" w:sz="2" w:space="0"/>
              <w:bottom w:val="single" w:color="auto" w:sz="2" w:space="0"/>
              <w:right w:val="single" w:color="auto" w:sz="2" w:space="0"/>
            </w:tcBorders>
            <w:vAlign w:val="center"/>
          </w:tcPr>
          <w:p w14:paraId="46BEFE9A">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评价浅层（地表下 1-5m）松散土层（如填土、砂层、粉土）的渗透性；适用于无地下水或地下水位较深的场地</w:t>
            </w:r>
          </w:p>
        </w:tc>
        <w:tc>
          <w:tcPr>
            <w:tcW w:w="2970" w:type="dxa"/>
            <w:tcBorders>
              <w:left w:val="single" w:color="auto" w:sz="2" w:space="0"/>
              <w:bottom w:val="single" w:color="auto" w:sz="2" w:space="0"/>
            </w:tcBorders>
            <w:vAlign w:val="center"/>
          </w:tcPr>
          <w:p w14:paraId="64BC8674">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路基填土压实质量检测、基坑开挖前浅层土层渗透评价</w:t>
            </w:r>
          </w:p>
        </w:tc>
      </w:tr>
      <w:tr w14:paraId="480097D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jc w:val="center"/>
        </w:trPr>
        <w:tc>
          <w:tcPr>
            <w:tcW w:w="1234" w:type="dxa"/>
            <w:tcBorders>
              <w:top w:val="single" w:color="auto" w:sz="2" w:space="0"/>
              <w:bottom w:val="single" w:color="auto" w:sz="2" w:space="0"/>
              <w:right w:val="single" w:color="auto" w:sz="2" w:space="0"/>
            </w:tcBorders>
            <w:vAlign w:val="center"/>
          </w:tcPr>
          <w:p w14:paraId="25A1BBCE">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钻孔注水试验</w:t>
            </w:r>
          </w:p>
        </w:tc>
        <w:tc>
          <w:tcPr>
            <w:tcW w:w="4706" w:type="dxa"/>
            <w:tcBorders>
              <w:top w:val="single" w:color="auto" w:sz="2" w:space="0"/>
              <w:left w:val="single" w:color="auto" w:sz="2" w:space="0"/>
              <w:bottom w:val="single" w:color="auto" w:sz="2" w:space="0"/>
              <w:right w:val="single" w:color="auto" w:sz="2" w:space="0"/>
            </w:tcBorders>
            <w:vAlign w:val="center"/>
          </w:tcPr>
          <w:p w14:paraId="1BDD8284">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评价深层岩土体（如岩层、黏土层、卵石层）的渗透性；适用于地下水位较高或需测试特定深度岩层的场景</w:t>
            </w:r>
          </w:p>
        </w:tc>
        <w:tc>
          <w:tcPr>
            <w:tcW w:w="2970" w:type="dxa"/>
            <w:tcBorders>
              <w:top w:val="single" w:color="auto" w:sz="2" w:space="0"/>
              <w:left w:val="single" w:color="auto" w:sz="2" w:space="0"/>
              <w:bottom w:val="single" w:color="auto" w:sz="2" w:space="0"/>
            </w:tcBorders>
            <w:vAlign w:val="center"/>
          </w:tcPr>
          <w:p w14:paraId="43469360">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隧道围岩涌水风险评估</w:t>
            </w:r>
          </w:p>
        </w:tc>
      </w:tr>
      <w:tr w14:paraId="7FB85B4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34" w:type="dxa"/>
            <w:tcBorders>
              <w:top w:val="single" w:color="auto" w:sz="2" w:space="0"/>
              <w:right w:val="single" w:color="auto" w:sz="2" w:space="0"/>
            </w:tcBorders>
            <w:vAlign w:val="center"/>
          </w:tcPr>
          <w:p w14:paraId="2F0895E7">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压水试验</w:t>
            </w:r>
          </w:p>
        </w:tc>
        <w:tc>
          <w:tcPr>
            <w:tcW w:w="4706" w:type="dxa"/>
            <w:tcBorders>
              <w:top w:val="single" w:color="auto" w:sz="2" w:space="0"/>
              <w:left w:val="single" w:color="auto" w:sz="2" w:space="0"/>
              <w:right w:val="single" w:color="auto" w:sz="2" w:space="0"/>
            </w:tcBorders>
            <w:vAlign w:val="center"/>
          </w:tcPr>
          <w:p w14:paraId="52E4DE48">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评价坚硬岩层（如花岗岩、灰岩）的裂隙渗透性；</w:t>
            </w:r>
          </w:p>
        </w:tc>
        <w:tc>
          <w:tcPr>
            <w:tcW w:w="2970" w:type="dxa"/>
            <w:tcBorders>
              <w:top w:val="single" w:color="auto" w:sz="2" w:space="0"/>
              <w:left w:val="single" w:color="auto" w:sz="2" w:space="0"/>
            </w:tcBorders>
            <w:vAlign w:val="center"/>
          </w:tcPr>
          <w:p w14:paraId="0DEDEC5F">
            <w:pPr>
              <w:pStyle w:val="32"/>
              <w:spacing w:after="0" w:line="240" w:lineRule="auto"/>
              <w:ind w:left="0" w:leftChars="0" w:firstLine="0" w:firstLineChars="0"/>
              <w:jc w:val="center"/>
              <w:rPr>
                <w:rFonts w:ascii="宋体" w:hAnsi="宋体" w:eastAsia="宋体" w:cs="宋体"/>
                <w:kern w:val="0"/>
                <w:sz w:val="18"/>
                <w:szCs w:val="18"/>
              </w:rPr>
            </w:pPr>
            <w:r>
              <w:rPr>
                <w:rFonts w:ascii="宋体" w:hAnsi="宋体" w:eastAsia="宋体" w:cs="宋体"/>
                <w:kern w:val="0"/>
                <w:sz w:val="18"/>
                <w:szCs w:val="18"/>
              </w:rPr>
              <w:t>地下洞室（隧道、厂房）的地基 / 围岩检测</w:t>
            </w:r>
          </w:p>
        </w:tc>
      </w:tr>
    </w:tbl>
    <w:p w14:paraId="2B67336A">
      <w:pPr>
        <w:pStyle w:val="182"/>
        <w:ind w:left="420" w:firstLine="0"/>
      </w:pPr>
    </w:p>
    <w:p w14:paraId="00B28500">
      <w:pPr>
        <w:pStyle w:val="182"/>
        <w:numPr>
          <w:ilvl w:val="0"/>
          <w:numId w:val="47"/>
        </w:numPr>
        <w:ind w:left="845" w:hanging="425"/>
      </w:pPr>
      <w:r>
        <w:rPr>
          <w:rFonts w:hint="eastAsia"/>
        </w:rPr>
        <w:t>试坑注水试验需确保坑壁直立、无坍塌，若坑壁渗水（如遇裂隙），需用黏土封堵，避免 “边界渗漏” 影响数据；</w:t>
      </w:r>
    </w:p>
    <w:p w14:paraId="11CF0C04">
      <w:pPr>
        <w:pStyle w:val="182"/>
        <w:numPr>
          <w:ilvl w:val="0"/>
          <w:numId w:val="47"/>
        </w:numPr>
        <w:ind w:left="845" w:hanging="425"/>
      </w:pPr>
      <w:r>
        <w:rPr>
          <w:rFonts w:hint="eastAsia"/>
        </w:rPr>
        <w:t>钻孔注水试验需严格止水（如用膨胀橡胶塞、水泥浆止水），防止水沿孔壁窜流，确保测试段为目标岩土体；</w:t>
      </w:r>
    </w:p>
    <w:p w14:paraId="6792B562">
      <w:pPr>
        <w:pStyle w:val="182"/>
        <w:numPr>
          <w:ilvl w:val="0"/>
          <w:numId w:val="47"/>
        </w:numPr>
        <w:ind w:left="845" w:hanging="425"/>
      </w:pPr>
      <w:r>
        <w:rPr>
          <w:rFonts w:hint="eastAsia"/>
        </w:rPr>
        <w:t>注水试验的具体要求和参数求取可参照《水利水电工程岩土渗透性原位试验规程 第 2 部分：注水试验》（SL/T31.2） 执行。</w:t>
      </w:r>
    </w:p>
    <w:p w14:paraId="4E1D1A1B">
      <w:pPr>
        <w:pStyle w:val="113"/>
        <w:keepNext/>
        <w:spacing w:before="156" w:after="156"/>
      </w:pPr>
      <w:bookmarkStart w:id="457" w:name="_Toc2388"/>
      <w:bookmarkStart w:id="458" w:name="_Toc142730172"/>
      <w:bookmarkStart w:id="459" w:name="_Toc29654"/>
      <w:r>
        <w:rPr>
          <w:rFonts w:hint="eastAsia"/>
        </w:rPr>
        <w:t>勘察成果</w:t>
      </w:r>
      <w:bookmarkEnd w:id="457"/>
      <w:bookmarkEnd w:id="458"/>
      <w:bookmarkEnd w:id="459"/>
    </w:p>
    <w:p w14:paraId="407A29AD">
      <w:pPr>
        <w:pStyle w:val="173"/>
      </w:pPr>
      <w:r>
        <w:rPr>
          <w:rFonts w:hint="eastAsia"/>
        </w:rPr>
        <w:t>水文地质勘察成果应符合下列要求：</w:t>
      </w:r>
    </w:p>
    <w:p w14:paraId="2C65109C">
      <w:pPr>
        <w:pStyle w:val="182"/>
        <w:numPr>
          <w:ilvl w:val="0"/>
          <w:numId w:val="48"/>
        </w:numPr>
        <w:ind w:left="845" w:hanging="425"/>
      </w:pPr>
      <w:r>
        <w:rPr>
          <w:rFonts w:hint="eastAsia"/>
        </w:rPr>
        <w:t>应针对地下水控制工程设计、施工的需要，结合岩土工程勘察报告进行编制，并根据区域水文地质条件和水文地质试验等，分析地下水与地表水体的水力联系；</w:t>
      </w:r>
    </w:p>
    <w:p w14:paraId="19959ADC">
      <w:pPr>
        <w:pStyle w:val="182"/>
        <w:numPr>
          <w:ilvl w:val="0"/>
          <w:numId w:val="48"/>
        </w:numPr>
        <w:ind w:left="845" w:hanging="425"/>
      </w:pPr>
      <w:r>
        <w:rPr>
          <w:rFonts w:hint="eastAsia"/>
        </w:rPr>
        <w:t>应阐明含水层和隔水层的埋藏条件，主要含水层的分布规律、岩性特征，明确地下水类型、水位、水质、补给、径流、排泄条件及其水位动态特征。</w:t>
      </w:r>
    </w:p>
    <w:p w14:paraId="7D075B49">
      <w:pPr>
        <w:pStyle w:val="182"/>
        <w:numPr>
          <w:ilvl w:val="0"/>
          <w:numId w:val="48"/>
        </w:numPr>
        <w:ind w:left="845" w:hanging="425"/>
      </w:pPr>
      <w:r>
        <w:rPr>
          <w:rFonts w:hint="eastAsia"/>
        </w:rPr>
        <w:t>明确地下水控制设计参数，包括抗浮设防水位的确定依据及方法，并对地下水控制方法提出建议；</w:t>
      </w:r>
    </w:p>
    <w:p w14:paraId="700F41E5">
      <w:pPr>
        <w:pStyle w:val="182"/>
        <w:numPr>
          <w:ilvl w:val="0"/>
          <w:numId w:val="48"/>
        </w:numPr>
        <w:ind w:left="845" w:hanging="425"/>
      </w:pPr>
      <w:r>
        <w:rPr>
          <w:rFonts w:hint="eastAsia"/>
        </w:rPr>
        <w:t>应分析水文地质条件对工程的影响及其可能造成的风险，评价建设工程地下水控制的影响范围，并对其可能造成的地面沉降、地面坍陷、基坑与边坡失稳等周边环境影响问题加以分析；</w:t>
      </w:r>
    </w:p>
    <w:p w14:paraId="6CC65AEA">
      <w:pPr>
        <w:pStyle w:val="182"/>
        <w:numPr>
          <w:ilvl w:val="0"/>
          <w:numId w:val="48"/>
        </w:numPr>
        <w:ind w:left="845" w:hanging="425"/>
      </w:pPr>
      <w:r>
        <w:rPr>
          <w:rFonts w:hint="eastAsia"/>
        </w:rPr>
        <w:t>对污染场地应专项分析污染源特征、污染物迁移路径及扩散风险，提出针对性防治措施；</w:t>
      </w:r>
    </w:p>
    <w:p w14:paraId="54A46574">
      <w:pPr>
        <w:pStyle w:val="182"/>
        <w:numPr>
          <w:ilvl w:val="0"/>
          <w:numId w:val="48"/>
        </w:numPr>
        <w:ind w:left="845" w:hanging="425"/>
      </w:pPr>
      <w:r>
        <w:rPr>
          <w:rFonts w:hint="eastAsia"/>
        </w:rPr>
        <w:t>对地下水控制施工阶段的环境保护和监测工作及应急方案提出建议。</w:t>
      </w:r>
    </w:p>
    <w:p w14:paraId="5639F5C0">
      <w:pPr>
        <w:pStyle w:val="173"/>
      </w:pPr>
      <w:r>
        <w:rPr>
          <w:rFonts w:hint="eastAsia"/>
        </w:rPr>
        <w:t>水文地质勘察成果应包括下列内容：</w:t>
      </w:r>
    </w:p>
    <w:p w14:paraId="388183AD">
      <w:pPr>
        <w:pStyle w:val="182"/>
        <w:numPr>
          <w:ilvl w:val="0"/>
          <w:numId w:val="49"/>
        </w:numPr>
        <w:ind w:left="845" w:hanging="425"/>
      </w:pPr>
      <w:r>
        <w:rPr>
          <w:rFonts w:hint="eastAsia"/>
        </w:rPr>
        <w:t>工程概况，应包括工程基本情况、基坑开挖深度、地理及周边环境条件等内容；</w:t>
      </w:r>
    </w:p>
    <w:p w14:paraId="73E16C2F">
      <w:pPr>
        <w:pStyle w:val="182"/>
        <w:numPr>
          <w:ilvl w:val="0"/>
          <w:numId w:val="49"/>
        </w:numPr>
        <w:ind w:left="845" w:hanging="425"/>
      </w:pPr>
      <w:r>
        <w:rPr>
          <w:rFonts w:hint="eastAsia"/>
        </w:rPr>
        <w:t>勘察目的、任务要求、工作依据、勘察方法及勘察工作布置；</w:t>
      </w:r>
    </w:p>
    <w:p w14:paraId="1682E3E5">
      <w:pPr>
        <w:pStyle w:val="182"/>
        <w:numPr>
          <w:ilvl w:val="0"/>
          <w:numId w:val="49"/>
        </w:numPr>
        <w:ind w:left="845" w:hanging="425"/>
      </w:pPr>
      <w:r>
        <w:rPr>
          <w:rFonts w:hint="eastAsia"/>
        </w:rPr>
        <w:t>场地工程地质、水文地质条件；</w:t>
      </w:r>
    </w:p>
    <w:p w14:paraId="55A438E0">
      <w:pPr>
        <w:pStyle w:val="182"/>
        <w:numPr>
          <w:ilvl w:val="0"/>
          <w:numId w:val="49"/>
        </w:numPr>
        <w:ind w:left="845" w:hanging="425"/>
      </w:pPr>
      <w:r>
        <w:rPr>
          <w:rFonts w:hint="eastAsia"/>
        </w:rPr>
        <w:t>水文地质试验；</w:t>
      </w:r>
    </w:p>
    <w:p w14:paraId="5BF4E394">
      <w:pPr>
        <w:pStyle w:val="182"/>
        <w:numPr>
          <w:ilvl w:val="0"/>
          <w:numId w:val="49"/>
        </w:numPr>
        <w:ind w:left="845" w:hanging="425"/>
      </w:pPr>
      <w:r>
        <w:rPr>
          <w:rFonts w:hint="eastAsia"/>
        </w:rPr>
        <w:t>水文地质勘察综合评价，应包括地下水控制工程等级判定、地下水控制设计参数分析与计算、地下水控制方法建议、地下水控制措施对基坑稳定及周边环境影响的分析等内容；</w:t>
      </w:r>
    </w:p>
    <w:p w14:paraId="3FA78365">
      <w:pPr>
        <w:pStyle w:val="182"/>
        <w:numPr>
          <w:ilvl w:val="0"/>
          <w:numId w:val="49"/>
        </w:numPr>
        <w:ind w:left="845" w:hanging="425"/>
      </w:pPr>
      <w:r>
        <w:rPr>
          <w:rFonts w:hint="eastAsia"/>
        </w:rPr>
        <w:t>水文地质条件可能带来的基坑工程风险；</w:t>
      </w:r>
    </w:p>
    <w:p w14:paraId="34BF60BE">
      <w:pPr>
        <w:pStyle w:val="182"/>
        <w:numPr>
          <w:ilvl w:val="0"/>
          <w:numId w:val="49"/>
        </w:numPr>
        <w:ind w:left="845" w:hanging="425"/>
      </w:pPr>
      <w:r>
        <w:rPr>
          <w:rFonts w:hint="eastAsia"/>
        </w:rPr>
        <w:t>结论与建议；</w:t>
      </w:r>
    </w:p>
    <w:p w14:paraId="54E6CECF">
      <w:pPr>
        <w:pStyle w:val="182"/>
        <w:numPr>
          <w:ilvl w:val="0"/>
          <w:numId w:val="49"/>
        </w:numPr>
        <w:ind w:left="845" w:hanging="425"/>
      </w:pPr>
      <w:r>
        <w:rPr>
          <w:rFonts w:hint="eastAsia"/>
        </w:rPr>
        <w:t>试验成果图件、图表、计算书及照片等。</w:t>
      </w:r>
    </w:p>
    <w:p w14:paraId="4C909282">
      <w:pPr>
        <w:pStyle w:val="112"/>
        <w:keepNext/>
        <w:spacing w:before="312" w:after="312"/>
      </w:pPr>
      <w:bookmarkStart w:id="460" w:name="_Toc28235"/>
      <w:bookmarkStart w:id="461" w:name="_Toc142730173"/>
      <w:r>
        <w:rPr>
          <w:rFonts w:hint="eastAsia"/>
        </w:rPr>
        <w:t>隔渗</w:t>
      </w:r>
      <w:bookmarkEnd w:id="460"/>
    </w:p>
    <w:p w14:paraId="759289CD">
      <w:pPr>
        <w:pStyle w:val="113"/>
        <w:keepNext/>
        <w:spacing w:before="156" w:after="156"/>
      </w:pPr>
      <w:bookmarkStart w:id="462" w:name="_Toc13054"/>
      <w:bookmarkStart w:id="463" w:name="_Toc10924"/>
      <w:bookmarkStart w:id="464" w:name="_Toc142730174"/>
      <w:r>
        <w:rPr>
          <w:rFonts w:hint="eastAsia"/>
        </w:rPr>
        <w:t>一般规定</w:t>
      </w:r>
      <w:bookmarkEnd w:id="462"/>
      <w:bookmarkEnd w:id="463"/>
      <w:bookmarkEnd w:id="464"/>
    </w:p>
    <w:p w14:paraId="6EA924D9">
      <w:pPr>
        <w:pStyle w:val="173"/>
      </w:pPr>
      <w:r>
        <w:rPr>
          <w:rFonts w:hint="eastAsia"/>
        </w:rPr>
        <w:t>下列情况下应采取隔渗措施：</w:t>
      </w:r>
    </w:p>
    <w:p w14:paraId="1C8F443D">
      <w:pPr>
        <w:pStyle w:val="182"/>
        <w:numPr>
          <w:ilvl w:val="0"/>
          <w:numId w:val="50"/>
        </w:numPr>
        <w:ind w:left="845" w:hanging="425"/>
      </w:pPr>
      <w:r>
        <w:rPr>
          <w:rFonts w:hint="eastAsia"/>
        </w:rPr>
        <w:t>基底上下可能产生流土、流砂及上层滞水流失，会对周边环境造成不利影响时；</w:t>
      </w:r>
    </w:p>
    <w:p w14:paraId="11A26D90">
      <w:pPr>
        <w:pStyle w:val="182"/>
        <w:numPr>
          <w:ilvl w:val="0"/>
          <w:numId w:val="50"/>
        </w:numPr>
        <w:ind w:left="845" w:hanging="425"/>
      </w:pPr>
      <w:r>
        <w:rPr>
          <w:rFonts w:hint="eastAsia"/>
        </w:rPr>
        <w:t>邻近基坑有湖塘、渠道、河流等地表水体，与基坑之间有水力联系且产生不利影响时；</w:t>
      </w:r>
    </w:p>
    <w:p w14:paraId="3B086FCB">
      <w:pPr>
        <w:pStyle w:val="182"/>
        <w:numPr>
          <w:ilvl w:val="0"/>
          <w:numId w:val="50"/>
        </w:numPr>
        <w:ind w:left="845" w:hanging="425"/>
      </w:pPr>
      <w:r>
        <w:rPr>
          <w:rFonts w:hint="eastAsia"/>
        </w:rPr>
        <w:t>长期降水可能会对基坑周边建（构）筑物、道路、管线等造成危害或对环境造成不利影响时；</w:t>
      </w:r>
    </w:p>
    <w:p w14:paraId="605FEAE3">
      <w:pPr>
        <w:pStyle w:val="182"/>
        <w:numPr>
          <w:ilvl w:val="0"/>
          <w:numId w:val="50"/>
        </w:numPr>
        <w:ind w:left="845" w:hanging="425"/>
      </w:pPr>
      <w:r>
        <w:rPr>
          <w:rFonts w:hint="eastAsia"/>
        </w:rPr>
        <w:t>工程有特殊的隔渗要求时。</w:t>
      </w:r>
    </w:p>
    <w:p w14:paraId="704B6221">
      <w:pPr>
        <w:pStyle w:val="173"/>
      </w:pPr>
      <w:r>
        <w:rPr>
          <w:rFonts w:hint="eastAsia"/>
        </w:rPr>
        <w:t>隔渗帷幕的选型应根据基坑开挖深度、周边环境条件、场地工程地质及水文地质条件等因素综合确定。基坑工程常用的隔渗帷幕方法可参照附录C执行。</w:t>
      </w:r>
    </w:p>
    <w:p w14:paraId="792EDE61">
      <w:pPr>
        <w:pStyle w:val="173"/>
      </w:pPr>
      <w:r>
        <w:rPr>
          <w:rFonts w:hint="eastAsia"/>
        </w:rPr>
        <w:t>隔渗帷幕的渗透系数应满足设计要求，不宜大于1.0×10</w:t>
      </w:r>
      <w:r>
        <w:rPr>
          <w:rFonts w:hint="eastAsia"/>
          <w:vertAlign w:val="superscript"/>
        </w:rPr>
        <w:t>-5</w:t>
      </w:r>
      <w:r>
        <w:rPr>
          <w:rFonts w:hint="eastAsia"/>
        </w:rPr>
        <w:t> cm/s。</w:t>
      </w:r>
    </w:p>
    <w:p w14:paraId="33D9A435">
      <w:pPr>
        <w:pStyle w:val="173"/>
      </w:pPr>
      <w:r>
        <w:rPr>
          <w:rFonts w:hint="eastAsia"/>
        </w:rPr>
        <w:t>隔渗帷幕类型可按表7进行分类。</w:t>
      </w:r>
    </w:p>
    <w:p w14:paraId="71511181">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 xml:space="preserve">表7 </w:t>
      </w:r>
      <w:r>
        <w:rPr>
          <w:rFonts w:ascii="黑体" w:hAnsi="黑体" w:eastAsia="黑体" w:cs="宋体"/>
          <w:color w:val="000000"/>
        </w:rPr>
        <w:t xml:space="preserve"> </w:t>
      </w:r>
      <w:r>
        <w:rPr>
          <w:rFonts w:hint="eastAsia" w:ascii="黑体" w:hAnsi="黑体" w:eastAsia="黑体" w:cs="宋体"/>
          <w:color w:val="000000"/>
        </w:rPr>
        <w:t>隔渗帷幕类型分类</w:t>
      </w:r>
    </w:p>
    <w:tbl>
      <w:tblPr>
        <w:tblStyle w:val="34"/>
        <w:tblW w:w="82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22"/>
        <w:gridCol w:w="5374"/>
      </w:tblGrid>
      <w:tr w14:paraId="5C831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22" w:type="dxa"/>
            <w:tcBorders>
              <w:top w:val="single" w:color="auto" w:sz="12" w:space="0"/>
              <w:bottom w:val="single" w:color="auto" w:sz="12" w:space="0"/>
            </w:tcBorders>
            <w:vAlign w:val="center"/>
          </w:tcPr>
          <w:p w14:paraId="0938043F">
            <w:pPr>
              <w:spacing w:line="240" w:lineRule="auto"/>
              <w:jc w:val="center"/>
              <w:rPr>
                <w:sz w:val="18"/>
                <w:szCs w:val="18"/>
              </w:rPr>
            </w:pPr>
            <w:r>
              <w:rPr>
                <w:sz w:val="18"/>
                <w:szCs w:val="18"/>
              </w:rPr>
              <w:t>分类方式</w:t>
            </w:r>
          </w:p>
        </w:tc>
        <w:tc>
          <w:tcPr>
            <w:tcW w:w="5374" w:type="dxa"/>
            <w:tcBorders>
              <w:top w:val="single" w:color="auto" w:sz="12" w:space="0"/>
              <w:bottom w:val="single" w:color="auto" w:sz="12" w:space="0"/>
            </w:tcBorders>
            <w:vAlign w:val="center"/>
          </w:tcPr>
          <w:p w14:paraId="3B569009">
            <w:pPr>
              <w:spacing w:line="240" w:lineRule="auto"/>
              <w:jc w:val="center"/>
              <w:rPr>
                <w:sz w:val="18"/>
                <w:szCs w:val="18"/>
              </w:rPr>
            </w:pPr>
            <w:r>
              <w:rPr>
                <w:sz w:val="18"/>
                <w:szCs w:val="18"/>
              </w:rPr>
              <w:t>隔渗帷幕</w:t>
            </w:r>
            <w:r>
              <w:rPr>
                <w:rFonts w:hint="eastAsia"/>
                <w:sz w:val="18"/>
                <w:szCs w:val="18"/>
              </w:rPr>
              <w:t>类型</w:t>
            </w:r>
          </w:p>
        </w:tc>
      </w:tr>
      <w:tr w14:paraId="3D1C7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22" w:type="dxa"/>
            <w:tcBorders>
              <w:top w:val="single" w:color="auto" w:sz="12" w:space="0"/>
            </w:tcBorders>
            <w:vAlign w:val="center"/>
          </w:tcPr>
          <w:p w14:paraId="0E8ACA50">
            <w:pPr>
              <w:spacing w:line="240" w:lineRule="auto"/>
              <w:jc w:val="center"/>
              <w:rPr>
                <w:sz w:val="18"/>
                <w:szCs w:val="18"/>
              </w:rPr>
            </w:pPr>
            <w:r>
              <w:rPr>
                <w:rFonts w:hint="eastAsia"/>
                <w:sz w:val="18"/>
                <w:szCs w:val="18"/>
              </w:rPr>
              <w:t>帷幕底端与目标隔水层的相对关系</w:t>
            </w:r>
          </w:p>
        </w:tc>
        <w:tc>
          <w:tcPr>
            <w:tcW w:w="5374" w:type="dxa"/>
            <w:tcBorders>
              <w:top w:val="single" w:color="auto" w:sz="12" w:space="0"/>
            </w:tcBorders>
            <w:vAlign w:val="center"/>
          </w:tcPr>
          <w:p w14:paraId="489F0FB7">
            <w:pPr>
              <w:spacing w:line="240" w:lineRule="auto"/>
              <w:jc w:val="center"/>
              <w:rPr>
                <w:sz w:val="18"/>
                <w:szCs w:val="18"/>
              </w:rPr>
            </w:pPr>
            <w:r>
              <w:rPr>
                <w:sz w:val="18"/>
                <w:szCs w:val="18"/>
              </w:rPr>
              <w:t>悬挂式、落底式</w:t>
            </w:r>
          </w:p>
        </w:tc>
      </w:tr>
      <w:tr w14:paraId="66FAE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22" w:type="dxa"/>
            <w:vAlign w:val="center"/>
          </w:tcPr>
          <w:p w14:paraId="246382D7">
            <w:pPr>
              <w:spacing w:line="240" w:lineRule="auto"/>
              <w:jc w:val="center"/>
              <w:rPr>
                <w:sz w:val="18"/>
                <w:szCs w:val="18"/>
              </w:rPr>
            </w:pPr>
            <w:r>
              <w:rPr>
                <w:sz w:val="18"/>
                <w:szCs w:val="18"/>
              </w:rPr>
              <w:t>隔</w:t>
            </w:r>
            <w:r>
              <w:rPr>
                <w:rFonts w:hint="eastAsia"/>
                <w:sz w:val="18"/>
                <w:szCs w:val="18"/>
              </w:rPr>
              <w:t>渗方</w:t>
            </w:r>
            <w:r>
              <w:rPr>
                <w:sz w:val="18"/>
                <w:szCs w:val="18"/>
              </w:rPr>
              <w:t>向</w:t>
            </w:r>
          </w:p>
        </w:tc>
        <w:tc>
          <w:tcPr>
            <w:tcW w:w="5374" w:type="dxa"/>
            <w:vAlign w:val="center"/>
          </w:tcPr>
          <w:p w14:paraId="4A35EDAE">
            <w:pPr>
              <w:spacing w:line="240" w:lineRule="auto"/>
              <w:jc w:val="center"/>
              <w:rPr>
                <w:sz w:val="18"/>
                <w:szCs w:val="18"/>
              </w:rPr>
            </w:pPr>
            <w:r>
              <w:rPr>
                <w:sz w:val="18"/>
                <w:szCs w:val="18"/>
              </w:rPr>
              <w:t>竖向、水平向</w:t>
            </w:r>
          </w:p>
        </w:tc>
      </w:tr>
      <w:tr w14:paraId="18D3A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22" w:type="dxa"/>
            <w:vAlign w:val="center"/>
          </w:tcPr>
          <w:p w14:paraId="74940584">
            <w:pPr>
              <w:spacing w:line="240" w:lineRule="auto"/>
              <w:jc w:val="center"/>
              <w:rPr>
                <w:sz w:val="18"/>
                <w:szCs w:val="18"/>
              </w:rPr>
            </w:pPr>
            <w:r>
              <w:rPr>
                <w:sz w:val="18"/>
                <w:szCs w:val="18"/>
              </w:rPr>
              <w:t>施工工法</w:t>
            </w:r>
          </w:p>
        </w:tc>
        <w:tc>
          <w:tcPr>
            <w:tcW w:w="5374" w:type="dxa"/>
            <w:vAlign w:val="center"/>
          </w:tcPr>
          <w:p w14:paraId="1AD2DE78">
            <w:pPr>
              <w:spacing w:line="240" w:lineRule="auto"/>
              <w:jc w:val="left"/>
              <w:rPr>
                <w:sz w:val="18"/>
                <w:szCs w:val="18"/>
              </w:rPr>
            </w:pPr>
            <w:r>
              <w:rPr>
                <w:sz w:val="18"/>
                <w:szCs w:val="18"/>
              </w:rPr>
              <w:t>水泥土搅拌类、高压喷射类、咬合式排桩、地下连续墙、钢板桩</w:t>
            </w:r>
            <w:r>
              <w:rPr>
                <w:sz w:val="18"/>
                <w:szCs w:val="18"/>
                <w:shd w:val="clear" w:color="auto" w:fill="FFFFFF"/>
              </w:rPr>
              <w:t>及</w:t>
            </w:r>
            <w:r>
              <w:rPr>
                <w:sz w:val="18"/>
                <w:szCs w:val="18"/>
              </w:rPr>
              <w:t>其</w:t>
            </w:r>
            <w:r>
              <w:rPr>
                <w:rFonts w:hint="eastAsia"/>
                <w:sz w:val="18"/>
                <w:szCs w:val="18"/>
              </w:rPr>
              <w:t>他</w:t>
            </w:r>
            <w:r>
              <w:rPr>
                <w:sz w:val="18"/>
                <w:szCs w:val="18"/>
              </w:rPr>
              <w:t>装配式隔</w:t>
            </w:r>
            <w:r>
              <w:rPr>
                <w:rFonts w:hint="eastAsia"/>
                <w:sz w:val="18"/>
                <w:szCs w:val="18"/>
              </w:rPr>
              <w:t>渗</w:t>
            </w:r>
            <w:r>
              <w:rPr>
                <w:sz w:val="18"/>
                <w:szCs w:val="18"/>
              </w:rPr>
              <w:t>桩</w:t>
            </w:r>
            <w:r>
              <w:rPr>
                <w:rFonts w:hint="eastAsia"/>
                <w:sz w:val="18"/>
                <w:szCs w:val="18"/>
              </w:rPr>
              <w:t>、冷冻法</w:t>
            </w:r>
            <w:r>
              <w:rPr>
                <w:sz w:val="18"/>
                <w:szCs w:val="18"/>
              </w:rPr>
              <w:t>等</w:t>
            </w:r>
          </w:p>
        </w:tc>
      </w:tr>
    </w:tbl>
    <w:p w14:paraId="5E0E0C25">
      <w:pPr>
        <w:pStyle w:val="113"/>
        <w:spacing w:before="624" w:beforeLines="200" w:after="156"/>
      </w:pPr>
      <w:bookmarkStart w:id="465" w:name="_Toc15762"/>
      <w:bookmarkStart w:id="466" w:name="_Toc19026"/>
      <w:bookmarkStart w:id="467" w:name="_Toc142730175"/>
      <w:bookmarkStart w:id="468" w:name="_Toc75351031"/>
      <w:r>
        <w:rPr>
          <w:rFonts w:hint="eastAsia"/>
        </w:rPr>
        <w:t>设计</w:t>
      </w:r>
      <w:bookmarkEnd w:id="465"/>
      <w:bookmarkEnd w:id="466"/>
      <w:bookmarkEnd w:id="467"/>
      <w:bookmarkEnd w:id="468"/>
    </w:p>
    <w:p w14:paraId="4F0A097A">
      <w:pPr>
        <w:pStyle w:val="173"/>
      </w:pPr>
      <w:r>
        <w:rPr>
          <w:rFonts w:hint="eastAsia"/>
        </w:rPr>
        <w:t>隔渗帷幕设计前应开展下列工作：</w:t>
      </w:r>
    </w:p>
    <w:p w14:paraId="385250A8">
      <w:pPr>
        <w:pStyle w:val="182"/>
        <w:numPr>
          <w:ilvl w:val="0"/>
          <w:numId w:val="49"/>
        </w:numPr>
        <w:ind w:left="845" w:hanging="425"/>
      </w:pPr>
      <w:r>
        <w:rPr>
          <w:rFonts w:hint="eastAsia"/>
        </w:rPr>
        <w:t>调查收集场地及周边工程地质、水文地质资料；</w:t>
      </w:r>
    </w:p>
    <w:p w14:paraId="7FF69F85">
      <w:pPr>
        <w:pStyle w:val="182"/>
        <w:numPr>
          <w:ilvl w:val="0"/>
          <w:numId w:val="49"/>
        </w:numPr>
        <w:ind w:left="845" w:hanging="425"/>
      </w:pPr>
      <w:r>
        <w:rPr>
          <w:rFonts w:hint="eastAsia"/>
        </w:rPr>
        <w:t>调查周边已有建（构）筑物、道路、管线等环境情况；</w:t>
      </w:r>
    </w:p>
    <w:p w14:paraId="7F7CB895">
      <w:pPr>
        <w:pStyle w:val="182"/>
        <w:numPr>
          <w:ilvl w:val="0"/>
          <w:numId w:val="49"/>
        </w:numPr>
        <w:ind w:left="845" w:hanging="425"/>
      </w:pPr>
      <w:r>
        <w:rPr>
          <w:rFonts w:hint="eastAsia"/>
        </w:rPr>
        <w:t>收集周边类似基坑工程的帷幕实施经验；</w:t>
      </w:r>
    </w:p>
    <w:p w14:paraId="69681041">
      <w:pPr>
        <w:pStyle w:val="182"/>
        <w:numPr>
          <w:ilvl w:val="0"/>
          <w:numId w:val="49"/>
        </w:numPr>
        <w:ind w:left="845" w:hanging="425"/>
      </w:pPr>
      <w:r>
        <w:rPr>
          <w:rFonts w:hint="eastAsia"/>
        </w:rPr>
        <w:t>收集相关权属部门及管理部门对场区附近的环境保护要求。</w:t>
      </w:r>
    </w:p>
    <w:p w14:paraId="7F5CF323">
      <w:pPr>
        <w:pStyle w:val="173"/>
      </w:pPr>
      <w:r>
        <w:rPr>
          <w:rFonts w:hint="eastAsia"/>
        </w:rPr>
        <w:t>隔渗帷幕设计应包括下列内容：</w:t>
      </w:r>
    </w:p>
    <w:p w14:paraId="54C50762">
      <w:pPr>
        <w:pStyle w:val="182"/>
        <w:numPr>
          <w:ilvl w:val="0"/>
          <w:numId w:val="51"/>
        </w:numPr>
        <w:ind w:left="845" w:hanging="425"/>
      </w:pPr>
      <w:r>
        <w:rPr>
          <w:rFonts w:hint="eastAsia"/>
        </w:rPr>
        <w:t>确定隔渗帷幕的类型；</w:t>
      </w:r>
    </w:p>
    <w:p w14:paraId="7581904C">
      <w:pPr>
        <w:pStyle w:val="182"/>
        <w:numPr>
          <w:ilvl w:val="0"/>
          <w:numId w:val="51"/>
        </w:numPr>
        <w:ind w:left="845" w:hanging="425"/>
      </w:pPr>
      <w:r>
        <w:rPr>
          <w:rFonts w:hint="eastAsia"/>
        </w:rPr>
        <w:t>确定隔渗帷幕的平面布置、竖向布置、结构形式；</w:t>
      </w:r>
    </w:p>
    <w:p w14:paraId="6E891A12">
      <w:pPr>
        <w:pStyle w:val="182"/>
        <w:numPr>
          <w:ilvl w:val="0"/>
          <w:numId w:val="51"/>
        </w:numPr>
        <w:ind w:left="845" w:hanging="425"/>
      </w:pPr>
      <w:r>
        <w:rPr>
          <w:rFonts w:hint="eastAsia"/>
        </w:rPr>
        <w:t>隔渗帷幕的结构设计和构造要求；</w:t>
      </w:r>
    </w:p>
    <w:p w14:paraId="52D28EFE">
      <w:pPr>
        <w:pStyle w:val="182"/>
        <w:numPr>
          <w:ilvl w:val="0"/>
          <w:numId w:val="51"/>
        </w:numPr>
        <w:ind w:left="845" w:hanging="425"/>
      </w:pPr>
      <w:r>
        <w:rPr>
          <w:rFonts w:hint="eastAsia"/>
        </w:rPr>
        <w:t>确定帷幕施工方法，施工工艺和技术参数，提出施工质量要求和控制指标；</w:t>
      </w:r>
    </w:p>
    <w:p w14:paraId="2C613B4E">
      <w:pPr>
        <w:pStyle w:val="182"/>
        <w:numPr>
          <w:ilvl w:val="0"/>
          <w:numId w:val="51"/>
        </w:numPr>
        <w:ind w:left="845" w:hanging="425"/>
      </w:pPr>
      <w:r>
        <w:rPr>
          <w:rFonts w:hint="eastAsia"/>
        </w:rPr>
        <w:t>对可能存在的施工风险提出应对处理方案；</w:t>
      </w:r>
    </w:p>
    <w:p w14:paraId="2AB78FB0">
      <w:pPr>
        <w:pStyle w:val="182"/>
        <w:numPr>
          <w:ilvl w:val="0"/>
          <w:numId w:val="51"/>
        </w:numPr>
        <w:ind w:left="845" w:hanging="425"/>
      </w:pPr>
      <w:r>
        <w:rPr>
          <w:rFonts w:hint="eastAsia"/>
        </w:rPr>
        <w:t>提出帷幕施工时对周边工程环境的监测要求。</w:t>
      </w:r>
    </w:p>
    <w:p w14:paraId="7D6F2917">
      <w:pPr>
        <w:pStyle w:val="173"/>
      </w:pPr>
      <w:r>
        <w:rPr>
          <w:rFonts w:hint="eastAsia"/>
        </w:rPr>
        <w:t>隔渗帷幕在平面布置上应沿基坑周边闭合，无法闭合时应采取有效措施减少地下水对周边环境的不利影响。</w:t>
      </w:r>
    </w:p>
    <w:p w14:paraId="24537359">
      <w:pPr>
        <w:pStyle w:val="173"/>
      </w:pPr>
      <w:r>
        <w:rPr>
          <w:rFonts w:hint="eastAsia"/>
        </w:rPr>
        <w:t>悬挂式帷幕插入基坑底下部的深度应满足地下水从帷幕底绕流的渗流稳定要求；坑底分布有互层土时，宜加大帷幕深度，必要时穿过互层土。</w:t>
      </w:r>
    </w:p>
    <w:p w14:paraId="1F144393">
      <w:pPr>
        <w:pStyle w:val="173"/>
      </w:pPr>
      <w:r>
        <w:rPr>
          <w:rFonts w:hint="eastAsia"/>
        </w:rPr>
        <w:t>落底式隔渗帷幕应穿过含水层进入下卧完整的隔水层一定深度并符合下列要求：</w:t>
      </w:r>
    </w:p>
    <w:p w14:paraId="551E5506">
      <w:pPr>
        <w:pStyle w:val="182"/>
        <w:numPr>
          <w:ilvl w:val="0"/>
          <w:numId w:val="52"/>
        </w:numPr>
        <w:ind w:left="845" w:hanging="425"/>
      </w:pPr>
      <w:r>
        <w:rPr>
          <w:rFonts w:hint="eastAsia"/>
        </w:rPr>
        <w:t>当下卧层为连续存在的黏性土层，帷幕进入该土层深度不应小于2.0 m；</w:t>
      </w:r>
    </w:p>
    <w:p w14:paraId="3ED0A9F3">
      <w:pPr>
        <w:pStyle w:val="182"/>
        <w:numPr>
          <w:ilvl w:val="0"/>
          <w:numId w:val="52"/>
        </w:numPr>
        <w:ind w:left="845" w:hanging="425"/>
      </w:pPr>
      <w:r>
        <w:rPr>
          <w:rFonts w:hint="eastAsia"/>
          <w:spacing w:val="-6"/>
        </w:rPr>
        <w:t>当下卧层为相对隔水的岩层，帷幕进入强风化岩层1.0 m </w:t>
      </w:r>
      <w:r>
        <w:rPr>
          <w:rFonts w:hint="eastAsia" w:hAnsi="宋体" w:cs="宋体"/>
          <w:spacing w:val="-6"/>
          <w:sz w:val="18"/>
          <w:szCs w:val="18"/>
        </w:rPr>
        <w:t>～</w:t>
      </w:r>
      <w:r>
        <w:rPr>
          <w:rFonts w:hint="eastAsia"/>
          <w:spacing w:val="-6"/>
        </w:rPr>
        <w:t>2.0 m </w:t>
      </w:r>
      <w:r>
        <w:rPr>
          <w:rFonts w:hint="eastAsia"/>
        </w:rPr>
        <w:t>，如强风化岩层厚度小于1.0 m或缺失，帷幕进入中风化岩层不少于0.5 m。</w:t>
      </w:r>
    </w:p>
    <w:p w14:paraId="6954514C">
      <w:pPr>
        <w:pStyle w:val="173"/>
      </w:pPr>
      <w:r>
        <w:rPr>
          <w:rFonts w:hint="eastAsia"/>
        </w:rPr>
        <w:t>隔渗帷幕的搭接宽度应结合隔渗帷幕深度及施工设备性能参数、施工工艺等因素综合确定，且满足表8的要求。</w:t>
      </w:r>
    </w:p>
    <w:p w14:paraId="6894A131">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 xml:space="preserve">表8 </w:t>
      </w:r>
      <w:r>
        <w:rPr>
          <w:rFonts w:ascii="黑体" w:hAnsi="黑体" w:eastAsia="黑体" w:cs="宋体"/>
          <w:color w:val="000000"/>
        </w:rPr>
        <w:t xml:space="preserve"> </w:t>
      </w:r>
      <w:r>
        <w:rPr>
          <w:rFonts w:hint="eastAsia" w:ascii="黑体" w:hAnsi="黑体" w:eastAsia="黑体" w:cs="宋体"/>
          <w:color w:val="000000"/>
        </w:rPr>
        <w:t>隔渗帷幕的搭接宽度要求</w:t>
      </w:r>
    </w:p>
    <w:tbl>
      <w:tblPr>
        <w:tblStyle w:val="34"/>
        <w:tblW w:w="7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3"/>
        <w:gridCol w:w="2174"/>
        <w:gridCol w:w="3009"/>
      </w:tblGrid>
      <w:tr w14:paraId="05CE7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tcBorders>
              <w:top w:val="single" w:color="auto" w:sz="12" w:space="0"/>
              <w:bottom w:val="single" w:color="auto" w:sz="12" w:space="0"/>
            </w:tcBorders>
            <w:vAlign w:val="center"/>
          </w:tcPr>
          <w:p w14:paraId="1749F9E9">
            <w:pPr>
              <w:spacing w:line="240" w:lineRule="auto"/>
              <w:jc w:val="center"/>
              <w:rPr>
                <w:rFonts w:ascii="Times New Roman" w:hAnsi="Times New Roman"/>
                <w:sz w:val="18"/>
                <w:szCs w:val="18"/>
              </w:rPr>
            </w:pPr>
            <w:r>
              <w:rPr>
                <w:rFonts w:ascii="Times New Roman" w:hAnsi="Times New Roman"/>
                <w:sz w:val="18"/>
                <w:szCs w:val="18"/>
              </w:rPr>
              <w:t>隔渗帷幕类型</w:t>
            </w:r>
          </w:p>
        </w:tc>
        <w:tc>
          <w:tcPr>
            <w:tcW w:w="2174" w:type="dxa"/>
            <w:tcBorders>
              <w:top w:val="single" w:color="auto" w:sz="12" w:space="0"/>
              <w:bottom w:val="single" w:color="auto" w:sz="12" w:space="0"/>
            </w:tcBorders>
            <w:vAlign w:val="center"/>
          </w:tcPr>
          <w:p w14:paraId="31A1424D">
            <w:pPr>
              <w:spacing w:line="240" w:lineRule="auto"/>
              <w:jc w:val="center"/>
              <w:rPr>
                <w:rFonts w:ascii="Times New Roman" w:hAnsi="Times New Roman"/>
                <w:sz w:val="18"/>
                <w:szCs w:val="18"/>
              </w:rPr>
            </w:pPr>
            <w:r>
              <w:rPr>
                <w:rFonts w:ascii="Times New Roman" w:hAnsi="Times New Roman"/>
                <w:sz w:val="18"/>
                <w:szCs w:val="18"/>
              </w:rPr>
              <w:t>搭接宽度</w:t>
            </w:r>
          </w:p>
        </w:tc>
        <w:tc>
          <w:tcPr>
            <w:tcW w:w="3009" w:type="dxa"/>
            <w:tcBorders>
              <w:top w:val="single" w:color="auto" w:sz="12" w:space="0"/>
              <w:bottom w:val="single" w:color="auto" w:sz="12" w:space="0"/>
            </w:tcBorders>
            <w:vAlign w:val="center"/>
          </w:tcPr>
          <w:p w14:paraId="2176A6A8">
            <w:pPr>
              <w:spacing w:line="240" w:lineRule="auto"/>
              <w:jc w:val="center"/>
              <w:rPr>
                <w:rFonts w:ascii="Times New Roman" w:hAnsi="Times New Roman"/>
                <w:sz w:val="18"/>
                <w:szCs w:val="18"/>
              </w:rPr>
            </w:pPr>
            <w:r>
              <w:rPr>
                <w:rFonts w:ascii="Times New Roman" w:hAnsi="Times New Roman"/>
                <w:sz w:val="18"/>
                <w:szCs w:val="18"/>
              </w:rPr>
              <w:t>备注</w:t>
            </w:r>
          </w:p>
        </w:tc>
      </w:tr>
      <w:tr w14:paraId="44D7E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restart"/>
            <w:tcBorders>
              <w:top w:val="single" w:color="auto" w:sz="12" w:space="0"/>
            </w:tcBorders>
            <w:vAlign w:val="center"/>
          </w:tcPr>
          <w:p w14:paraId="0E990EEE">
            <w:pPr>
              <w:spacing w:line="240" w:lineRule="auto"/>
              <w:jc w:val="center"/>
              <w:rPr>
                <w:rFonts w:ascii="Times New Roman" w:hAnsi="Times New Roman"/>
                <w:sz w:val="18"/>
                <w:szCs w:val="18"/>
              </w:rPr>
            </w:pPr>
            <w:r>
              <w:rPr>
                <w:rFonts w:ascii="Times New Roman" w:hAnsi="Times New Roman"/>
                <w:sz w:val="18"/>
                <w:szCs w:val="18"/>
              </w:rPr>
              <w:t>单轴搅拌桩</w:t>
            </w:r>
          </w:p>
        </w:tc>
        <w:tc>
          <w:tcPr>
            <w:tcW w:w="2174" w:type="dxa"/>
            <w:tcBorders>
              <w:top w:val="single" w:color="auto" w:sz="12" w:space="0"/>
            </w:tcBorders>
            <w:vAlign w:val="center"/>
          </w:tcPr>
          <w:p w14:paraId="52A1A56C">
            <w:pPr>
              <w:spacing w:line="240" w:lineRule="auto"/>
              <w:jc w:val="center"/>
              <w:rPr>
                <w:rFonts w:ascii="Times New Roman" w:hAnsi="Times New Roman"/>
                <w:sz w:val="18"/>
                <w:szCs w:val="18"/>
              </w:rPr>
            </w:pPr>
            <w:r>
              <w:rPr>
                <w:rFonts w:ascii="Times New Roman" w:hAnsi="Times New Roman"/>
                <w:sz w:val="18"/>
                <w:szCs w:val="18"/>
              </w:rPr>
              <w:t>≥ 150 mm</w:t>
            </w:r>
          </w:p>
        </w:tc>
        <w:tc>
          <w:tcPr>
            <w:tcW w:w="3009" w:type="dxa"/>
            <w:tcBorders>
              <w:top w:val="single" w:color="auto" w:sz="12" w:space="0"/>
            </w:tcBorders>
            <w:vAlign w:val="center"/>
          </w:tcPr>
          <w:p w14:paraId="562C301F">
            <w:pPr>
              <w:spacing w:line="240" w:lineRule="auto"/>
              <w:jc w:val="center"/>
              <w:rPr>
                <w:rFonts w:ascii="Times New Roman" w:hAnsi="Times New Roman"/>
                <w:sz w:val="18"/>
                <w:szCs w:val="18"/>
              </w:rPr>
            </w:pPr>
            <w:r>
              <w:rPr>
                <w:rFonts w:ascii="Times New Roman" w:hAnsi="Times New Roman"/>
                <w:sz w:val="18"/>
                <w:szCs w:val="18"/>
              </w:rPr>
              <w:t>搅拌深度不大于10 m</w:t>
            </w:r>
          </w:p>
        </w:tc>
      </w:tr>
      <w:tr w14:paraId="11C69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continue"/>
            <w:vAlign w:val="center"/>
          </w:tcPr>
          <w:p w14:paraId="082A17AA">
            <w:pPr>
              <w:spacing w:line="240" w:lineRule="auto"/>
              <w:jc w:val="center"/>
              <w:rPr>
                <w:rFonts w:ascii="Times New Roman" w:hAnsi="Times New Roman"/>
                <w:sz w:val="18"/>
                <w:szCs w:val="18"/>
              </w:rPr>
            </w:pPr>
          </w:p>
        </w:tc>
        <w:tc>
          <w:tcPr>
            <w:tcW w:w="2174" w:type="dxa"/>
            <w:vAlign w:val="center"/>
          </w:tcPr>
          <w:p w14:paraId="78309F53">
            <w:pPr>
              <w:spacing w:line="240" w:lineRule="auto"/>
              <w:jc w:val="center"/>
              <w:rPr>
                <w:rFonts w:ascii="Times New Roman" w:hAnsi="Times New Roman"/>
                <w:sz w:val="18"/>
                <w:szCs w:val="18"/>
              </w:rPr>
            </w:pPr>
            <w:r>
              <w:rPr>
                <w:rFonts w:ascii="Times New Roman" w:hAnsi="Times New Roman"/>
                <w:sz w:val="18"/>
                <w:szCs w:val="18"/>
              </w:rPr>
              <w:t>≥ 200 mm</w:t>
            </w:r>
          </w:p>
        </w:tc>
        <w:tc>
          <w:tcPr>
            <w:tcW w:w="3009" w:type="dxa"/>
            <w:vAlign w:val="center"/>
          </w:tcPr>
          <w:p w14:paraId="20DB1990">
            <w:pPr>
              <w:spacing w:line="240" w:lineRule="auto"/>
              <w:jc w:val="center"/>
              <w:rPr>
                <w:rFonts w:ascii="Times New Roman" w:hAnsi="Times New Roman"/>
                <w:sz w:val="18"/>
                <w:szCs w:val="18"/>
              </w:rPr>
            </w:pPr>
            <w:r>
              <w:rPr>
                <w:rFonts w:ascii="Times New Roman" w:hAnsi="Times New Roman"/>
                <w:sz w:val="18"/>
                <w:szCs w:val="18"/>
              </w:rPr>
              <w:t>搅拌深度10 m～15 m</w:t>
            </w:r>
          </w:p>
        </w:tc>
      </w:tr>
      <w:tr w14:paraId="11DF64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Align w:val="center"/>
          </w:tcPr>
          <w:p w14:paraId="50782784">
            <w:pPr>
              <w:spacing w:line="240" w:lineRule="auto"/>
              <w:jc w:val="center"/>
              <w:rPr>
                <w:rFonts w:ascii="Times New Roman" w:hAnsi="Times New Roman"/>
                <w:sz w:val="18"/>
                <w:szCs w:val="18"/>
              </w:rPr>
            </w:pPr>
            <w:r>
              <w:rPr>
                <w:rFonts w:ascii="Times New Roman" w:hAnsi="Times New Roman"/>
                <w:sz w:val="18"/>
                <w:szCs w:val="18"/>
              </w:rPr>
              <w:t>三轴搅拌桩</w:t>
            </w:r>
          </w:p>
        </w:tc>
        <w:tc>
          <w:tcPr>
            <w:tcW w:w="2174" w:type="dxa"/>
            <w:vAlign w:val="center"/>
          </w:tcPr>
          <w:p w14:paraId="3D2B59FF">
            <w:pPr>
              <w:spacing w:line="240" w:lineRule="auto"/>
              <w:jc w:val="center"/>
              <w:rPr>
                <w:rFonts w:ascii="Times New Roman" w:hAnsi="Times New Roman"/>
                <w:sz w:val="18"/>
                <w:szCs w:val="18"/>
              </w:rPr>
            </w:pPr>
            <w:r>
              <w:rPr>
                <w:rFonts w:ascii="Times New Roman" w:hAnsi="Times New Roman"/>
                <w:sz w:val="18"/>
                <w:szCs w:val="18"/>
              </w:rPr>
              <w:t>≥ 250 mm</w:t>
            </w:r>
          </w:p>
        </w:tc>
        <w:tc>
          <w:tcPr>
            <w:tcW w:w="3009" w:type="dxa"/>
            <w:vAlign w:val="center"/>
          </w:tcPr>
          <w:p w14:paraId="47D8E74A">
            <w:pPr>
              <w:spacing w:line="240" w:lineRule="auto"/>
              <w:jc w:val="center"/>
              <w:rPr>
                <w:rFonts w:ascii="Times New Roman" w:hAnsi="Times New Roman"/>
                <w:sz w:val="18"/>
                <w:szCs w:val="18"/>
              </w:rPr>
            </w:pPr>
            <w:r>
              <w:rPr>
                <w:rFonts w:ascii="Times New Roman" w:hAnsi="Times New Roman"/>
                <w:sz w:val="18"/>
                <w:szCs w:val="18"/>
              </w:rPr>
              <w:t>套接一孔法施工</w:t>
            </w:r>
          </w:p>
        </w:tc>
      </w:tr>
      <w:tr w14:paraId="3E499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Align w:val="center"/>
          </w:tcPr>
          <w:p w14:paraId="2AD5231A">
            <w:pPr>
              <w:spacing w:line="240" w:lineRule="auto"/>
              <w:jc w:val="center"/>
              <w:rPr>
                <w:rFonts w:ascii="Times New Roman" w:hAnsi="Times New Roman"/>
                <w:sz w:val="18"/>
                <w:szCs w:val="18"/>
              </w:rPr>
            </w:pPr>
            <w:r>
              <w:rPr>
                <w:rFonts w:ascii="Times New Roman" w:hAnsi="Times New Roman"/>
                <w:sz w:val="18"/>
                <w:szCs w:val="18"/>
              </w:rPr>
              <w:t>TRD</w:t>
            </w:r>
          </w:p>
        </w:tc>
        <w:tc>
          <w:tcPr>
            <w:tcW w:w="2174" w:type="dxa"/>
            <w:vAlign w:val="center"/>
          </w:tcPr>
          <w:p w14:paraId="765636E4">
            <w:pPr>
              <w:spacing w:line="240" w:lineRule="auto"/>
              <w:jc w:val="center"/>
              <w:rPr>
                <w:rFonts w:ascii="Times New Roman" w:hAnsi="Times New Roman"/>
                <w:sz w:val="18"/>
                <w:szCs w:val="18"/>
              </w:rPr>
            </w:pPr>
            <w:r>
              <w:rPr>
                <w:rFonts w:ascii="Times New Roman" w:hAnsi="Times New Roman"/>
                <w:sz w:val="18"/>
                <w:szCs w:val="18"/>
              </w:rPr>
              <w:t>≥ 500 mm</w:t>
            </w:r>
          </w:p>
        </w:tc>
        <w:tc>
          <w:tcPr>
            <w:tcW w:w="3009" w:type="dxa"/>
            <w:vAlign w:val="center"/>
          </w:tcPr>
          <w:p w14:paraId="4AFD0C5D">
            <w:pPr>
              <w:spacing w:line="240" w:lineRule="auto"/>
              <w:jc w:val="center"/>
              <w:rPr>
                <w:rFonts w:ascii="Times New Roman" w:hAnsi="Times New Roman"/>
                <w:sz w:val="18"/>
                <w:szCs w:val="18"/>
              </w:rPr>
            </w:pPr>
            <w:r>
              <w:rPr>
                <w:rFonts w:ascii="Times New Roman" w:hAnsi="Times New Roman"/>
                <w:sz w:val="18"/>
                <w:szCs w:val="18"/>
              </w:rPr>
              <w:t>回切搭接长度不应少于500 mm</w:t>
            </w:r>
          </w:p>
        </w:tc>
      </w:tr>
      <w:tr w14:paraId="50808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Align w:val="center"/>
          </w:tcPr>
          <w:p w14:paraId="60AF3033">
            <w:pPr>
              <w:spacing w:line="240" w:lineRule="auto"/>
              <w:jc w:val="center"/>
              <w:rPr>
                <w:rFonts w:ascii="Times New Roman" w:hAnsi="Times New Roman"/>
                <w:sz w:val="18"/>
                <w:szCs w:val="18"/>
              </w:rPr>
            </w:pPr>
            <w:r>
              <w:rPr>
                <w:rFonts w:ascii="Times New Roman" w:hAnsi="Times New Roman"/>
                <w:sz w:val="18"/>
                <w:szCs w:val="18"/>
              </w:rPr>
              <w:t>CSM</w:t>
            </w:r>
          </w:p>
        </w:tc>
        <w:tc>
          <w:tcPr>
            <w:tcW w:w="2174" w:type="dxa"/>
            <w:vAlign w:val="center"/>
          </w:tcPr>
          <w:p w14:paraId="37A23580">
            <w:pPr>
              <w:spacing w:line="240" w:lineRule="auto"/>
              <w:jc w:val="center"/>
              <w:rPr>
                <w:rFonts w:ascii="Times New Roman" w:hAnsi="Times New Roman"/>
                <w:sz w:val="18"/>
                <w:szCs w:val="18"/>
              </w:rPr>
            </w:pPr>
            <w:r>
              <w:rPr>
                <w:rFonts w:ascii="Times New Roman" w:hAnsi="Times New Roman"/>
                <w:sz w:val="18"/>
                <w:szCs w:val="18"/>
              </w:rPr>
              <w:t>≥ 300 mm</w:t>
            </w:r>
          </w:p>
        </w:tc>
        <w:tc>
          <w:tcPr>
            <w:tcW w:w="3009" w:type="dxa"/>
            <w:vAlign w:val="center"/>
          </w:tcPr>
          <w:p w14:paraId="60AB1DD4">
            <w:pPr>
              <w:spacing w:line="240" w:lineRule="auto"/>
              <w:jc w:val="center"/>
              <w:rPr>
                <w:rFonts w:ascii="Times New Roman" w:hAnsi="Times New Roman"/>
                <w:sz w:val="18"/>
                <w:szCs w:val="18"/>
              </w:rPr>
            </w:pPr>
            <w:r>
              <w:rPr>
                <w:rFonts w:hint="eastAsia" w:ascii="Times New Roman" w:hAnsi="Times New Roman"/>
                <w:sz w:val="18"/>
                <w:szCs w:val="18"/>
              </w:rPr>
              <w:t>/</w:t>
            </w:r>
          </w:p>
        </w:tc>
      </w:tr>
      <w:tr w14:paraId="3AEAA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restart"/>
            <w:tcBorders>
              <w:top w:val="single" w:color="auto" w:sz="12" w:space="0"/>
            </w:tcBorders>
            <w:vAlign w:val="center"/>
          </w:tcPr>
          <w:p w14:paraId="3E2DEB86">
            <w:pPr>
              <w:spacing w:line="240" w:lineRule="auto"/>
              <w:jc w:val="center"/>
              <w:rPr>
                <w:rFonts w:ascii="Times New Roman" w:hAnsi="Times New Roman"/>
                <w:sz w:val="18"/>
                <w:szCs w:val="18"/>
              </w:rPr>
            </w:pPr>
            <w:r>
              <w:rPr>
                <w:rFonts w:ascii="Times New Roman" w:hAnsi="Times New Roman"/>
                <w:sz w:val="18"/>
                <w:szCs w:val="18"/>
              </w:rPr>
              <w:t>普通高压喷射类</w:t>
            </w:r>
          </w:p>
        </w:tc>
        <w:tc>
          <w:tcPr>
            <w:tcW w:w="2174" w:type="dxa"/>
            <w:tcBorders>
              <w:top w:val="single" w:color="auto" w:sz="12" w:space="0"/>
            </w:tcBorders>
            <w:vAlign w:val="center"/>
          </w:tcPr>
          <w:p w14:paraId="4CCCB0C6">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 200 mm</w:t>
            </w:r>
          </w:p>
        </w:tc>
        <w:tc>
          <w:tcPr>
            <w:tcW w:w="3009" w:type="dxa"/>
            <w:tcBorders>
              <w:top w:val="single" w:color="auto" w:sz="12" w:space="0"/>
            </w:tcBorders>
            <w:vAlign w:val="center"/>
          </w:tcPr>
          <w:p w14:paraId="2A98FF11">
            <w:pPr>
              <w:spacing w:line="240" w:lineRule="auto"/>
              <w:jc w:val="center"/>
              <w:rPr>
                <w:rFonts w:ascii="Times New Roman" w:hAnsi="Times New Roman"/>
                <w:sz w:val="18"/>
                <w:szCs w:val="18"/>
              </w:rPr>
            </w:pPr>
            <w:r>
              <w:rPr>
                <w:rFonts w:ascii="Times New Roman" w:hAnsi="Times New Roman"/>
                <w:sz w:val="18"/>
                <w:szCs w:val="18"/>
              </w:rPr>
              <w:t>喷浆孔深度不大于10 m</w:t>
            </w:r>
          </w:p>
        </w:tc>
      </w:tr>
      <w:tr w14:paraId="2D77C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continue"/>
            <w:vAlign w:val="center"/>
          </w:tcPr>
          <w:p w14:paraId="7B216198">
            <w:pPr>
              <w:spacing w:line="240" w:lineRule="auto"/>
              <w:jc w:val="center"/>
              <w:rPr>
                <w:rFonts w:ascii="Times New Roman" w:hAnsi="Times New Roman"/>
                <w:sz w:val="18"/>
                <w:szCs w:val="18"/>
              </w:rPr>
            </w:pPr>
          </w:p>
        </w:tc>
        <w:tc>
          <w:tcPr>
            <w:tcW w:w="2174" w:type="dxa"/>
            <w:vAlign w:val="center"/>
          </w:tcPr>
          <w:p w14:paraId="54C616A3">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 250 mm</w:t>
            </w:r>
          </w:p>
        </w:tc>
        <w:tc>
          <w:tcPr>
            <w:tcW w:w="3009" w:type="dxa"/>
            <w:vAlign w:val="center"/>
          </w:tcPr>
          <w:p w14:paraId="5953E3FF">
            <w:pPr>
              <w:spacing w:line="240" w:lineRule="auto"/>
              <w:jc w:val="center"/>
              <w:rPr>
                <w:rFonts w:ascii="Times New Roman" w:hAnsi="Times New Roman"/>
                <w:sz w:val="18"/>
                <w:szCs w:val="18"/>
              </w:rPr>
            </w:pPr>
            <w:r>
              <w:rPr>
                <w:rFonts w:ascii="Times New Roman" w:hAnsi="Times New Roman"/>
                <w:sz w:val="18"/>
                <w:szCs w:val="18"/>
              </w:rPr>
              <w:t>喷浆孔深度10 m～20 m</w:t>
            </w:r>
          </w:p>
        </w:tc>
      </w:tr>
      <w:tr w14:paraId="52656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continue"/>
            <w:vAlign w:val="center"/>
          </w:tcPr>
          <w:p w14:paraId="2280D6F5">
            <w:pPr>
              <w:spacing w:line="240" w:lineRule="auto"/>
              <w:jc w:val="center"/>
              <w:rPr>
                <w:rFonts w:ascii="Times New Roman" w:hAnsi="Times New Roman"/>
                <w:sz w:val="18"/>
                <w:szCs w:val="18"/>
              </w:rPr>
            </w:pPr>
          </w:p>
        </w:tc>
        <w:tc>
          <w:tcPr>
            <w:tcW w:w="2174" w:type="dxa"/>
            <w:vAlign w:val="center"/>
          </w:tcPr>
          <w:p w14:paraId="778EFE92">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 350 mm</w:t>
            </w:r>
          </w:p>
        </w:tc>
        <w:tc>
          <w:tcPr>
            <w:tcW w:w="3009" w:type="dxa"/>
            <w:vAlign w:val="center"/>
          </w:tcPr>
          <w:p w14:paraId="3B80D4D7">
            <w:pPr>
              <w:spacing w:line="240" w:lineRule="auto"/>
              <w:jc w:val="center"/>
              <w:rPr>
                <w:rFonts w:ascii="Times New Roman" w:hAnsi="Times New Roman"/>
                <w:sz w:val="18"/>
                <w:szCs w:val="18"/>
              </w:rPr>
            </w:pPr>
            <w:r>
              <w:rPr>
                <w:rFonts w:ascii="Times New Roman" w:hAnsi="Times New Roman"/>
                <w:sz w:val="18"/>
                <w:szCs w:val="18"/>
              </w:rPr>
              <w:t>喷浆孔深度大于20 m</w:t>
            </w:r>
          </w:p>
        </w:tc>
      </w:tr>
      <w:tr w14:paraId="6AFF1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restart"/>
            <w:vAlign w:val="center"/>
          </w:tcPr>
          <w:p w14:paraId="6B140320">
            <w:pPr>
              <w:spacing w:line="240" w:lineRule="auto"/>
              <w:jc w:val="center"/>
              <w:rPr>
                <w:rFonts w:ascii="Times New Roman" w:hAnsi="Times New Roman"/>
                <w:sz w:val="18"/>
                <w:szCs w:val="18"/>
              </w:rPr>
            </w:pPr>
            <w:r>
              <w:rPr>
                <w:rFonts w:ascii="Times New Roman" w:hAnsi="Times New Roman"/>
                <w:sz w:val="18"/>
                <w:szCs w:val="18"/>
              </w:rPr>
              <w:t>MJS</w:t>
            </w:r>
          </w:p>
        </w:tc>
        <w:tc>
          <w:tcPr>
            <w:tcW w:w="2174" w:type="dxa"/>
            <w:vAlign w:val="center"/>
          </w:tcPr>
          <w:p w14:paraId="6EA043C3">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 300 mm</w:t>
            </w:r>
          </w:p>
        </w:tc>
        <w:tc>
          <w:tcPr>
            <w:tcW w:w="3009" w:type="dxa"/>
            <w:vAlign w:val="center"/>
          </w:tcPr>
          <w:p w14:paraId="76A4B57A">
            <w:pPr>
              <w:spacing w:line="240" w:lineRule="auto"/>
              <w:jc w:val="center"/>
              <w:rPr>
                <w:rFonts w:ascii="Times New Roman" w:hAnsi="Times New Roman"/>
                <w:sz w:val="18"/>
                <w:szCs w:val="18"/>
              </w:rPr>
            </w:pPr>
            <w:r>
              <w:rPr>
                <w:rFonts w:ascii="Times New Roman" w:hAnsi="Times New Roman"/>
                <w:sz w:val="18"/>
                <w:szCs w:val="18"/>
              </w:rPr>
              <w:t>成桩深度不大于20 m时</w:t>
            </w:r>
          </w:p>
        </w:tc>
      </w:tr>
      <w:tr w14:paraId="19493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Merge w:val="continue"/>
            <w:vAlign w:val="center"/>
          </w:tcPr>
          <w:p w14:paraId="59110783">
            <w:pPr>
              <w:spacing w:line="240" w:lineRule="auto"/>
              <w:jc w:val="center"/>
              <w:rPr>
                <w:rFonts w:ascii="Times New Roman" w:hAnsi="Times New Roman"/>
                <w:sz w:val="18"/>
                <w:szCs w:val="18"/>
              </w:rPr>
            </w:pPr>
          </w:p>
        </w:tc>
        <w:tc>
          <w:tcPr>
            <w:tcW w:w="2174" w:type="dxa"/>
            <w:vAlign w:val="center"/>
          </w:tcPr>
          <w:p w14:paraId="66140897">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 500 mm</w:t>
            </w:r>
          </w:p>
        </w:tc>
        <w:tc>
          <w:tcPr>
            <w:tcW w:w="3009" w:type="dxa"/>
            <w:vAlign w:val="center"/>
          </w:tcPr>
          <w:p w14:paraId="65DF34A9">
            <w:pPr>
              <w:spacing w:line="240" w:lineRule="auto"/>
              <w:jc w:val="center"/>
              <w:rPr>
                <w:rFonts w:ascii="Times New Roman" w:hAnsi="Times New Roman"/>
                <w:sz w:val="18"/>
                <w:szCs w:val="18"/>
              </w:rPr>
            </w:pPr>
            <w:r>
              <w:rPr>
                <w:rFonts w:ascii="Times New Roman" w:hAnsi="Times New Roman"/>
                <w:sz w:val="18"/>
                <w:szCs w:val="18"/>
              </w:rPr>
              <w:t>成桩深度大于20 m时</w:t>
            </w:r>
          </w:p>
        </w:tc>
      </w:tr>
      <w:tr w14:paraId="0BE89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Align w:val="center"/>
          </w:tcPr>
          <w:p w14:paraId="69CC5912">
            <w:pPr>
              <w:spacing w:line="240" w:lineRule="auto"/>
              <w:jc w:val="center"/>
              <w:rPr>
                <w:rFonts w:ascii="Times New Roman" w:hAnsi="Times New Roman"/>
                <w:sz w:val="18"/>
                <w:szCs w:val="18"/>
              </w:rPr>
            </w:pPr>
            <w:r>
              <w:rPr>
                <w:rFonts w:ascii="Times New Roman" w:hAnsi="Times New Roman"/>
                <w:sz w:val="18"/>
                <w:szCs w:val="18"/>
              </w:rPr>
              <w:t>咬合桩</w:t>
            </w:r>
          </w:p>
        </w:tc>
        <w:tc>
          <w:tcPr>
            <w:tcW w:w="2174" w:type="dxa"/>
            <w:vAlign w:val="center"/>
          </w:tcPr>
          <w:p w14:paraId="260958B2">
            <w:pPr>
              <w:spacing w:line="240" w:lineRule="auto"/>
              <w:jc w:val="center"/>
              <w:rPr>
                <w:rFonts w:ascii="Times New Roman" w:hAnsi="Times New Roman"/>
                <w:sz w:val="18"/>
                <w:szCs w:val="18"/>
              </w:rPr>
            </w:pPr>
            <w:r>
              <w:rPr>
                <w:rFonts w:ascii="Times New Roman" w:hAnsi="Times New Roman"/>
                <w:bCs/>
              </w:rPr>
              <w:t>≥</w:t>
            </w:r>
            <w:r>
              <w:rPr>
                <w:rFonts w:ascii="Times New Roman" w:hAnsi="Times New Roman"/>
                <w:sz w:val="18"/>
                <w:szCs w:val="18"/>
              </w:rPr>
              <w:t> 200 mm</w:t>
            </w:r>
          </w:p>
        </w:tc>
        <w:tc>
          <w:tcPr>
            <w:tcW w:w="3009" w:type="dxa"/>
            <w:vAlign w:val="center"/>
          </w:tcPr>
          <w:p w14:paraId="03CA8E77">
            <w:pPr>
              <w:spacing w:line="240" w:lineRule="auto"/>
              <w:jc w:val="center"/>
              <w:rPr>
                <w:rFonts w:ascii="Times New Roman" w:hAnsi="Times New Roman"/>
                <w:sz w:val="18"/>
                <w:szCs w:val="18"/>
              </w:rPr>
            </w:pPr>
            <w:r>
              <w:rPr>
                <w:rFonts w:hint="eastAsia" w:ascii="Times New Roman" w:hAnsi="Times New Roman"/>
                <w:sz w:val="18"/>
                <w:szCs w:val="18"/>
              </w:rPr>
              <w:t>/</w:t>
            </w:r>
          </w:p>
        </w:tc>
      </w:tr>
      <w:tr w14:paraId="4B177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173" w:type="dxa"/>
            <w:vAlign w:val="center"/>
          </w:tcPr>
          <w:p w14:paraId="52319D7F">
            <w:pPr>
              <w:spacing w:line="240" w:lineRule="auto"/>
              <w:jc w:val="center"/>
              <w:rPr>
                <w:rFonts w:ascii="Times New Roman" w:hAnsi="Times New Roman"/>
                <w:sz w:val="18"/>
                <w:szCs w:val="18"/>
              </w:rPr>
            </w:pPr>
            <w:r>
              <w:rPr>
                <w:rFonts w:ascii="Times New Roman" w:hAnsi="Times New Roman"/>
                <w:sz w:val="18"/>
                <w:szCs w:val="18"/>
              </w:rPr>
              <w:t>拉森钢板桩</w:t>
            </w:r>
          </w:p>
        </w:tc>
        <w:tc>
          <w:tcPr>
            <w:tcW w:w="2174" w:type="dxa"/>
            <w:vAlign w:val="center"/>
          </w:tcPr>
          <w:p w14:paraId="34AFB6B3">
            <w:pPr>
              <w:spacing w:line="240" w:lineRule="auto"/>
              <w:jc w:val="center"/>
              <w:rPr>
                <w:rFonts w:ascii="Times New Roman" w:hAnsi="Times New Roman"/>
                <w:sz w:val="18"/>
                <w:szCs w:val="18"/>
              </w:rPr>
            </w:pPr>
            <w:r>
              <w:rPr>
                <w:rFonts w:ascii="Times New Roman" w:hAnsi="Times New Roman"/>
                <w:sz w:val="18"/>
                <w:szCs w:val="18"/>
              </w:rPr>
              <w:t>锁口连接</w:t>
            </w:r>
          </w:p>
        </w:tc>
        <w:tc>
          <w:tcPr>
            <w:tcW w:w="3009" w:type="dxa"/>
            <w:vAlign w:val="center"/>
          </w:tcPr>
          <w:p w14:paraId="2A6668B2">
            <w:pPr>
              <w:spacing w:line="240" w:lineRule="auto"/>
              <w:jc w:val="center"/>
              <w:rPr>
                <w:rFonts w:ascii="Times New Roman" w:hAnsi="Times New Roman"/>
                <w:sz w:val="18"/>
                <w:szCs w:val="18"/>
              </w:rPr>
            </w:pPr>
            <w:r>
              <w:rPr>
                <w:rFonts w:hint="eastAsia" w:ascii="Times New Roman" w:hAnsi="Times New Roman"/>
                <w:sz w:val="18"/>
                <w:szCs w:val="18"/>
              </w:rPr>
              <w:t>/</w:t>
            </w:r>
          </w:p>
        </w:tc>
      </w:tr>
    </w:tbl>
    <w:p w14:paraId="11219C6E">
      <w:pPr>
        <w:pStyle w:val="173"/>
        <w:numPr>
          <w:ilvl w:val="3"/>
          <w:numId w:val="0"/>
        </w:numPr>
      </w:pPr>
    </w:p>
    <w:p w14:paraId="4AC41473">
      <w:pPr>
        <w:pStyle w:val="173"/>
      </w:pPr>
      <w:r>
        <w:rPr>
          <w:rFonts w:hint="eastAsia"/>
        </w:rPr>
        <w:t>隔渗帷幕兼做支护结构时，应满足支护结构的稳定性要求。</w:t>
      </w:r>
    </w:p>
    <w:p w14:paraId="1A2FB93E">
      <w:pPr>
        <w:pStyle w:val="173"/>
      </w:pPr>
      <w:r>
        <w:rPr>
          <w:rFonts w:hint="eastAsia"/>
        </w:rPr>
        <w:t>隔渗帷幕的冷缝处应进行补强加固，确保帷幕的连续性。</w:t>
      </w:r>
    </w:p>
    <w:p w14:paraId="33A9D4BC">
      <w:pPr>
        <w:pStyle w:val="113"/>
        <w:spacing w:before="156" w:after="156"/>
      </w:pPr>
      <w:bookmarkStart w:id="469" w:name="_Toc142730176"/>
      <w:bookmarkStart w:id="470" w:name="_Toc14716"/>
      <w:bookmarkStart w:id="471" w:name="_Toc21199"/>
      <w:r>
        <w:rPr>
          <w:rFonts w:hint="eastAsia"/>
        </w:rPr>
        <w:t>施工</w:t>
      </w:r>
      <w:bookmarkEnd w:id="469"/>
      <w:bookmarkEnd w:id="470"/>
      <w:bookmarkEnd w:id="471"/>
    </w:p>
    <w:p w14:paraId="2B42DE9D">
      <w:pPr>
        <w:pStyle w:val="173"/>
      </w:pPr>
      <w:r>
        <w:rPr>
          <w:rFonts w:hint="eastAsia"/>
        </w:rPr>
        <w:t>隔渗帷幕应编制专项施工方案，明确施工方法、工艺参数及控制要点等；工程条件复杂、成桩（墙）困难的情况下，宜通过成桩（墙）试验验证施工工艺及参数的可行性。</w:t>
      </w:r>
    </w:p>
    <w:p w14:paraId="0E34979D">
      <w:pPr>
        <w:pStyle w:val="173"/>
      </w:pPr>
      <w:r>
        <w:rPr>
          <w:rFonts w:hint="eastAsia"/>
        </w:rPr>
        <w:t>隔渗帷幕施工场地的承载力、平整度、作业空间应满足重型设备稳定与安全作业的要求。</w:t>
      </w:r>
    </w:p>
    <w:p w14:paraId="78A1A867">
      <w:pPr>
        <w:pStyle w:val="173"/>
      </w:pPr>
      <w:r>
        <w:rPr>
          <w:rFonts w:hint="eastAsia"/>
        </w:rPr>
        <w:t>隔渗帷幕的施工应与支护结构施工相协调，施工顺序应符合下列规定：</w:t>
      </w:r>
    </w:p>
    <w:p w14:paraId="1104CEF4">
      <w:pPr>
        <w:pStyle w:val="182"/>
        <w:numPr>
          <w:ilvl w:val="0"/>
          <w:numId w:val="53"/>
        </w:numPr>
        <w:ind w:left="845" w:hanging="425"/>
      </w:pPr>
      <w:r>
        <w:rPr>
          <w:rFonts w:hint="eastAsia"/>
        </w:rPr>
        <w:t>独立的连续性隔渗帷幕，宜先施工帷幕，后施工支护结构；</w:t>
      </w:r>
    </w:p>
    <w:p w14:paraId="7C94B082">
      <w:pPr>
        <w:pStyle w:val="182"/>
        <w:numPr>
          <w:ilvl w:val="0"/>
          <w:numId w:val="53"/>
        </w:numPr>
        <w:ind w:left="845" w:hanging="425"/>
      </w:pPr>
      <w:r>
        <w:rPr>
          <w:rFonts w:hint="eastAsia"/>
        </w:rPr>
        <w:t>当帷幕与支护结构位于同一轴线（图1-a、图1-b）时，应先施工帷幕，后施工支护结构；</w:t>
      </w:r>
    </w:p>
    <w:p w14:paraId="2B50E6C5">
      <w:pPr>
        <w:pStyle w:val="182"/>
        <w:numPr>
          <w:ilvl w:val="0"/>
          <w:numId w:val="53"/>
        </w:numPr>
        <w:ind w:left="845" w:hanging="425"/>
      </w:pPr>
      <w:r>
        <w:rPr>
          <w:rFonts w:hint="eastAsia"/>
        </w:rPr>
        <w:t>当采用高压旋喷工艺作为桩间止水帷幕时（图1-c）时，宜先施工支护结构，后施工帷幕；</w:t>
      </w:r>
    </w:p>
    <w:p w14:paraId="07A4AA78">
      <w:pPr>
        <w:pStyle w:val="182"/>
        <w:numPr>
          <w:ilvl w:val="0"/>
          <w:numId w:val="53"/>
        </w:numPr>
        <w:ind w:left="845" w:hanging="425"/>
      </w:pPr>
      <w:r>
        <w:rPr>
          <w:rFonts w:hint="eastAsia"/>
        </w:rPr>
        <w:t>当采用咬合式排桩帷幕时，宜先施工非加筋桩，后施工加筋桩。</w:t>
      </w:r>
    </w:p>
    <w:p w14:paraId="10BD04CE">
      <w:pPr>
        <w:pStyle w:val="182"/>
        <w:ind w:left="420" w:firstLine="0"/>
      </w:pPr>
    </w:p>
    <w:p w14:paraId="364787A1">
      <w:pPr>
        <w:keepNext/>
        <w:keepLines/>
        <w:spacing w:line="240" w:lineRule="auto"/>
        <w:jc w:val="center"/>
        <w:rPr>
          <w:rFonts w:hint="eastAsia" w:ascii="黑体" w:hAnsi="黑体" w:eastAsia="黑体" w:cs="宋体"/>
        </w:rPr>
      </w:pPr>
      <w:r>
        <w:rPr>
          <w:sz w:val="24"/>
        </w:rPr>
        <mc:AlternateContent>
          <mc:Choice Requires="wpg">
            <w:drawing>
              <wp:inline distT="0" distB="0" distL="114300" distR="114300">
                <wp:extent cx="5400040" cy="1084580"/>
                <wp:effectExtent l="0" t="0" r="10160" b="1270"/>
                <wp:docPr id="68" name="组合 68"/>
                <wp:cNvGraphicFramePr/>
                <a:graphic xmlns:a="http://schemas.openxmlformats.org/drawingml/2006/main">
                  <a:graphicData uri="http://schemas.microsoft.com/office/word/2010/wordprocessingGroup">
                    <wpg:wgp>
                      <wpg:cNvGrpSpPr/>
                      <wpg:grpSpPr>
                        <a:xfrm>
                          <a:off x="0" y="0"/>
                          <a:ext cx="5400040" cy="1084580"/>
                          <a:chOff x="6152" y="347312"/>
                          <a:chExt cx="8504" cy="1708"/>
                        </a:xfrm>
                      </wpg:grpSpPr>
                      <pic:pic xmlns:pic="http://schemas.openxmlformats.org/drawingml/2006/picture">
                        <pic:nvPicPr>
                          <pic:cNvPr id="13" name="图片 26" descr="IMG_256"/>
                          <pic:cNvPicPr>
                            <a:picLocks noChangeAspect="1"/>
                          </pic:cNvPicPr>
                        </pic:nvPicPr>
                        <pic:blipFill>
                          <a:blip r:embed="rId39"/>
                          <a:stretch>
                            <a:fillRect/>
                          </a:stretch>
                        </pic:blipFill>
                        <pic:spPr>
                          <a:xfrm>
                            <a:off x="6152" y="347312"/>
                            <a:ext cx="8504" cy="1708"/>
                          </a:xfrm>
                          <a:prstGeom prst="rect">
                            <a:avLst/>
                          </a:prstGeom>
                          <a:noFill/>
                          <a:ln w="9525">
                            <a:noFill/>
                          </a:ln>
                        </pic:spPr>
                      </pic:pic>
                      <wps:wsp>
                        <wps:cNvPr id="29" name="文本框 29"/>
                        <wps:cNvSpPr txBox="1"/>
                        <wps:spPr>
                          <a:xfrm>
                            <a:off x="7022" y="347353"/>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D54EA">
                              <w:pPr>
                                <w:spacing w:line="240" w:lineRule="auto"/>
                                <w:rPr>
                                  <w:rFonts w:hint="eastAsia" w:ascii="黑体" w:hAnsi="黑体" w:eastAsia="黑体" w:cs="黑体"/>
                                  <w:b/>
                                  <w:bCs/>
                                </w:rPr>
                              </w:pPr>
                              <w:r>
                                <w:rPr>
                                  <w:rFonts w:hint="eastAsia" w:ascii="黑体" w:hAnsi="黑体" w:eastAsia="黑体" w:cs="黑体"/>
                                  <w:b/>
                                  <w:bC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9822" y="347349"/>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DE913">
                              <w:pPr>
                                <w:spacing w:line="240" w:lineRule="auto"/>
                                <w:rPr>
                                  <w:rFonts w:hint="eastAsia" w:ascii="黑体" w:hAnsi="黑体" w:eastAsia="黑体" w:cs="黑体"/>
                                  <w:b/>
                                  <w:bCs/>
                                </w:rPr>
                              </w:pPr>
                              <w:r>
                                <w:rPr>
                                  <w:rFonts w:hint="eastAsia" w:ascii="黑体" w:hAnsi="黑体" w:eastAsia="黑体" w:cs="黑体"/>
                                  <w:b/>
                                  <w:bC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2782" y="347390"/>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B42F6">
                              <w:pPr>
                                <w:spacing w:line="240" w:lineRule="auto"/>
                                <w:rPr>
                                  <w:rFonts w:hint="eastAsia" w:ascii="黑体" w:hAnsi="黑体" w:eastAsia="黑体" w:cs="黑体"/>
                                  <w:b/>
                                  <w:bCs/>
                                </w:rPr>
                              </w:pPr>
                              <w:r>
                                <w:rPr>
                                  <w:rFonts w:hint="eastAsia" w:ascii="黑体" w:hAnsi="黑体" w:eastAsia="黑体" w:cs="黑体"/>
                                  <w:b/>
                                  <w:bCs/>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7311" y="348344"/>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9391B">
                              <w:pPr>
                                <w:spacing w:line="240" w:lineRule="auto"/>
                                <w:rPr>
                                  <w:rFonts w:hint="eastAsia" w:ascii="黑体" w:hAnsi="黑体" w:eastAsia="黑体" w:cs="黑体"/>
                                  <w:b/>
                                  <w:bCs/>
                                </w:rPr>
                              </w:pPr>
                              <w:r>
                                <w:rPr>
                                  <w:rFonts w:hint="eastAsia" w:ascii="黑体" w:hAnsi="黑体" w:eastAsia="黑体" w:cs="黑体"/>
                                  <w:b/>
                                  <w:bC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10166" y="348340"/>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3F9E3">
                              <w:pPr>
                                <w:spacing w:line="240" w:lineRule="auto"/>
                                <w:rPr>
                                  <w:rFonts w:hint="eastAsia" w:ascii="黑体" w:hAnsi="黑体" w:eastAsia="黑体" w:cs="黑体"/>
                                  <w:b/>
                                  <w:bCs/>
                                </w:rPr>
                              </w:pPr>
                              <w:r>
                                <w:rPr>
                                  <w:rFonts w:hint="eastAsia" w:ascii="黑体" w:hAnsi="黑体" w:eastAsia="黑体" w:cs="黑体"/>
                                  <w:b/>
                                  <w:bC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13057" y="348337"/>
                            <a:ext cx="573"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D47E7">
                              <w:pPr>
                                <w:spacing w:line="240" w:lineRule="auto"/>
                                <w:rPr>
                                  <w:rFonts w:hint="eastAsia" w:ascii="黑体" w:hAnsi="黑体" w:eastAsia="黑体" w:cs="黑体"/>
                                  <w:b/>
                                  <w:bCs/>
                                </w:rPr>
                              </w:pPr>
                              <w:r>
                                <w:rPr>
                                  <w:rFonts w:hint="eastAsia" w:ascii="黑体" w:hAnsi="黑体" w:eastAsia="黑体" w:cs="黑体"/>
                                  <w:b/>
                                  <w:bC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85.4pt;width:425.2pt;" coordorigin="6152,347312" coordsize="8504,1708" o:gfxdata="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">
                <o:lock v:ext="edit" aspectratio="f"/>
                <v:shape id="图片 26" o:spid="_x0000_s1026" o:spt="75" alt="IMG_256" type="#_x0000_t75" style="position:absolute;left:6152;top:347312;height:1708;width:8504;" filled="f" o:preferrelative="t" stroked="f" coordsize="21600,21600" o:gfxdata="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xurLsAAADb&#10;AAAADwAAAAAAAAABACAAAAAiAAAAZHJzL2Rvd25yZXYueG1sUEsBAhQAFAAAAAgAh07iQDMvBZ47&#10;AAAAOQAAABAAAAAAAAAAAQAgAAAACgEAAGRycy9zaGFwZXhtbC54bWxQSwUGAAAAAAYABgBbAQAA&#10;tAMAAAAA&#10;">
                  <v:fill on="f" focussize="0,0"/>
                  <v:stroke on="f"/>
                  <v:imagedata r:id="rId39" o:title=""/>
                  <o:lock v:ext="edit" aspectratio="t"/>
                </v:shape>
                <v:shape id="_x0000_s1026" o:spid="_x0000_s1026" o:spt="202" type="#_x0000_t202" style="position:absolute;left:7022;top:347353;height:476;width:573;"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6BD54EA">
                        <w:pPr>
                          <w:spacing w:line="240" w:lineRule="auto"/>
                          <w:rPr>
                            <w:rFonts w:hint="eastAsia" w:ascii="黑体" w:hAnsi="黑体" w:eastAsia="黑体" w:cs="黑体"/>
                            <w:b/>
                            <w:bCs/>
                          </w:rPr>
                        </w:pPr>
                        <w:r>
                          <w:rPr>
                            <w:rFonts w:hint="eastAsia" w:ascii="黑体" w:hAnsi="黑体" w:eastAsia="黑体" w:cs="黑体"/>
                            <w:b/>
                            <w:bCs/>
                          </w:rPr>
                          <w:t>1</w:t>
                        </w:r>
                      </w:p>
                    </w:txbxContent>
                  </v:textbox>
                </v:shape>
                <v:shape id="_x0000_s1026" o:spid="_x0000_s1026" o:spt="202" type="#_x0000_t202" style="position:absolute;left:9822;top:347349;height:476;width:573;"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ACDE913">
                        <w:pPr>
                          <w:spacing w:line="240" w:lineRule="auto"/>
                          <w:rPr>
                            <w:rFonts w:hint="eastAsia" w:ascii="黑体" w:hAnsi="黑体" w:eastAsia="黑体" w:cs="黑体"/>
                            <w:b/>
                            <w:bCs/>
                          </w:rPr>
                        </w:pPr>
                        <w:r>
                          <w:rPr>
                            <w:rFonts w:hint="eastAsia" w:ascii="黑体" w:hAnsi="黑体" w:eastAsia="黑体" w:cs="黑体"/>
                            <w:b/>
                            <w:bCs/>
                          </w:rPr>
                          <w:t>2</w:t>
                        </w:r>
                      </w:p>
                    </w:txbxContent>
                  </v:textbox>
                </v:shape>
                <v:shape id="_x0000_s1026" o:spid="_x0000_s1026" o:spt="202" type="#_x0000_t202" style="position:absolute;left:12782;top:347390;height:476;width:573;"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9FB42F6">
                        <w:pPr>
                          <w:spacing w:line="240" w:lineRule="auto"/>
                          <w:rPr>
                            <w:rFonts w:hint="eastAsia" w:ascii="黑体" w:hAnsi="黑体" w:eastAsia="黑体" w:cs="黑体"/>
                            <w:b/>
                            <w:bCs/>
                          </w:rPr>
                        </w:pPr>
                        <w:r>
                          <w:rPr>
                            <w:rFonts w:hint="eastAsia" w:ascii="黑体" w:hAnsi="黑体" w:eastAsia="黑体" w:cs="黑体"/>
                            <w:b/>
                            <w:bCs/>
                          </w:rPr>
                          <w:t>3</w:t>
                        </w:r>
                      </w:p>
                    </w:txbxContent>
                  </v:textbox>
                </v:shape>
                <v:shape id="_x0000_s1026" o:spid="_x0000_s1026" o:spt="202" type="#_x0000_t202" style="position:absolute;left:7311;top:348344;height:476;width:573;"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F19391B">
                        <w:pPr>
                          <w:spacing w:line="240" w:lineRule="auto"/>
                          <w:rPr>
                            <w:rFonts w:hint="eastAsia" w:ascii="黑体" w:hAnsi="黑体" w:eastAsia="黑体" w:cs="黑体"/>
                            <w:b/>
                            <w:bCs/>
                          </w:rPr>
                        </w:pPr>
                        <w:r>
                          <w:rPr>
                            <w:rFonts w:hint="eastAsia" w:ascii="黑体" w:hAnsi="黑体" w:eastAsia="黑体" w:cs="黑体"/>
                            <w:b/>
                            <w:bCs/>
                          </w:rPr>
                          <w:t>4</w:t>
                        </w:r>
                      </w:p>
                    </w:txbxContent>
                  </v:textbox>
                </v:shape>
                <v:shape id="_x0000_s1026" o:spid="_x0000_s1026" o:spt="202" type="#_x0000_t202" style="position:absolute;left:10166;top:348340;height:476;width:573;"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933F9E3">
                        <w:pPr>
                          <w:spacing w:line="240" w:lineRule="auto"/>
                          <w:rPr>
                            <w:rFonts w:hint="eastAsia" w:ascii="黑体" w:hAnsi="黑体" w:eastAsia="黑体" w:cs="黑体"/>
                            <w:b/>
                            <w:bCs/>
                          </w:rPr>
                        </w:pPr>
                        <w:r>
                          <w:rPr>
                            <w:rFonts w:hint="eastAsia" w:ascii="黑体" w:hAnsi="黑体" w:eastAsia="黑体" w:cs="黑体"/>
                            <w:b/>
                            <w:bCs/>
                          </w:rPr>
                          <w:t>4</w:t>
                        </w:r>
                      </w:p>
                    </w:txbxContent>
                  </v:textbox>
                </v:shape>
                <v:shape id="_x0000_s1026" o:spid="_x0000_s1026" o:spt="202" type="#_x0000_t202" style="position:absolute;left:13057;top:348337;height:476;width:573;"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26D47E7">
                        <w:pPr>
                          <w:spacing w:line="240" w:lineRule="auto"/>
                          <w:rPr>
                            <w:rFonts w:hint="eastAsia" w:ascii="黑体" w:hAnsi="黑体" w:eastAsia="黑体" w:cs="黑体"/>
                            <w:b/>
                            <w:bCs/>
                          </w:rPr>
                        </w:pPr>
                        <w:r>
                          <w:rPr>
                            <w:rFonts w:hint="eastAsia" w:ascii="黑体" w:hAnsi="黑体" w:eastAsia="黑体" w:cs="黑体"/>
                            <w:b/>
                            <w:bCs/>
                          </w:rPr>
                          <w:t>4</w:t>
                        </w:r>
                      </w:p>
                    </w:txbxContent>
                  </v:textbox>
                </v:shape>
                <w10:wrap type="none"/>
                <w10:anchorlock/>
              </v:group>
            </w:pict>
          </mc:Fallback>
        </mc:AlternateContent>
      </w:r>
    </w:p>
    <w:p w14:paraId="3B0B72B9">
      <w:pPr>
        <w:keepNext/>
        <w:spacing w:line="240" w:lineRule="auto"/>
        <w:jc w:val="center"/>
        <w:rPr>
          <w:rFonts w:hint="eastAsia" w:ascii="黑体" w:hAnsi="黑体" w:eastAsia="黑体" w:cs="宋体"/>
        </w:rPr>
      </w:pPr>
      <w:r>
        <w:rPr>
          <w:rFonts w:hint="eastAsia" w:ascii="黑体" w:hAnsi="黑体" w:eastAsia="黑体" w:cs="宋体"/>
        </w:rPr>
        <w:t>(1-a)                       (1-b)                       (1-c)</w:t>
      </w:r>
    </w:p>
    <w:p w14:paraId="602809E5">
      <w:pPr>
        <w:keepNext/>
        <w:spacing w:before="156" w:beforeLines="50" w:after="156" w:afterLines="50" w:line="240" w:lineRule="auto"/>
        <w:jc w:val="center"/>
        <w:rPr>
          <w:rFonts w:hint="eastAsia" w:ascii="黑体" w:hAnsi="黑体" w:eastAsia="黑体" w:cs="宋体"/>
        </w:rPr>
      </w:pPr>
      <w:r>
        <w:rPr>
          <w:rFonts w:hint="eastAsia" w:ascii="黑体" w:hAnsi="黑体" w:eastAsia="黑体" w:cs="宋体"/>
        </w:rPr>
        <w:t>图1  隔水帷幕与支护结构的施工顺序示意图</w:t>
      </w:r>
    </w:p>
    <w:p w14:paraId="04BCD07D">
      <w:pPr>
        <w:pStyle w:val="13"/>
        <w:spacing w:line="240" w:lineRule="auto"/>
        <w:ind w:left="344" w:hanging="343" w:hangingChars="191"/>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—止水帷幕（TRD、CSM）</w:t>
      </w:r>
      <w:r>
        <w:rPr>
          <w:rFonts w:ascii="Times New Roman" w:hAnsi="Times New Roman" w:eastAsia="宋体"/>
          <w:sz w:val="18"/>
          <w:szCs w:val="18"/>
        </w:rPr>
        <w:t>；</w:t>
      </w:r>
      <w:r>
        <w:rPr>
          <w:rFonts w:hint="eastAsia" w:ascii="Times New Roman" w:hAnsi="Times New Roman" w:eastAsia="宋体"/>
          <w:sz w:val="18"/>
          <w:szCs w:val="18"/>
        </w:rPr>
        <w:t>2—止水帷幕（三轴搅拌桩）</w:t>
      </w:r>
      <w:r>
        <w:rPr>
          <w:rFonts w:ascii="Times New Roman" w:hAnsi="Times New Roman" w:eastAsia="宋体"/>
          <w:sz w:val="18"/>
          <w:szCs w:val="18"/>
        </w:rPr>
        <w:t>；</w:t>
      </w:r>
      <w:r>
        <w:rPr>
          <w:rFonts w:hint="eastAsia" w:ascii="Times New Roman" w:hAnsi="Times New Roman" w:eastAsia="宋体"/>
          <w:sz w:val="18"/>
          <w:szCs w:val="18"/>
        </w:rPr>
        <w:t>3—高压旋喷桩；4—支护桩</w:t>
      </w:r>
    </w:p>
    <w:p w14:paraId="5458839F">
      <w:pPr>
        <w:pStyle w:val="182"/>
        <w:ind w:left="420" w:firstLine="0"/>
        <w:rPr>
          <w:sz w:val="24"/>
          <w:szCs w:val="24"/>
        </w:rPr>
      </w:pPr>
    </w:p>
    <w:p w14:paraId="1427B3D6">
      <w:pPr>
        <w:pStyle w:val="173"/>
      </w:pPr>
      <w:r>
        <w:rPr>
          <w:rFonts w:hint="eastAsia"/>
        </w:rPr>
        <w:t>隔渗帷幕的施工应连续，相邻桩体的施工间隔不宜超过24h。施工开始处、结束处及冷缝等位置应采取加强措施。</w:t>
      </w:r>
    </w:p>
    <w:p w14:paraId="1E1720BF">
      <w:pPr>
        <w:pStyle w:val="173"/>
      </w:pPr>
      <w:r>
        <w:rPr>
          <w:rFonts w:hint="eastAsia"/>
        </w:rPr>
        <w:t>水泥土类隔渗帷幕的桩（墙）位偏差及垂直度偏差应满足表9的相关要求。</w:t>
      </w:r>
    </w:p>
    <w:p w14:paraId="1951495D">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表9  水泥土类隔渗帷幕的桩（墙）位偏差及垂直度偏差要求</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476"/>
        <w:gridCol w:w="1836"/>
        <w:gridCol w:w="2151"/>
      </w:tblGrid>
      <w:tr w14:paraId="096C1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bottom w:val="single" w:color="auto" w:sz="12" w:space="0"/>
            </w:tcBorders>
            <w:vAlign w:val="center"/>
          </w:tcPr>
          <w:p w14:paraId="6AC36A8A">
            <w:pPr>
              <w:spacing w:line="240" w:lineRule="auto"/>
              <w:jc w:val="center"/>
              <w:rPr>
                <w:rFonts w:hint="eastAsia" w:ascii="宋体" w:hAnsi="宋体" w:cs="宋体"/>
                <w:sz w:val="18"/>
                <w:szCs w:val="18"/>
              </w:rPr>
            </w:pPr>
            <w:r>
              <w:rPr>
                <w:rFonts w:hint="eastAsia" w:ascii="宋体" w:hAnsi="宋体" w:cs="宋体"/>
                <w:sz w:val="18"/>
                <w:szCs w:val="18"/>
              </w:rPr>
              <w:t>序号</w:t>
            </w:r>
          </w:p>
        </w:tc>
        <w:tc>
          <w:tcPr>
            <w:tcW w:w="0" w:type="auto"/>
            <w:tcBorders>
              <w:bottom w:val="single" w:color="auto" w:sz="12" w:space="0"/>
            </w:tcBorders>
            <w:vAlign w:val="center"/>
          </w:tcPr>
          <w:p w14:paraId="306C37C3">
            <w:pPr>
              <w:spacing w:line="240" w:lineRule="auto"/>
              <w:jc w:val="center"/>
              <w:rPr>
                <w:rFonts w:hint="eastAsia" w:ascii="宋体" w:hAnsi="宋体" w:cs="宋体"/>
                <w:sz w:val="18"/>
                <w:szCs w:val="18"/>
              </w:rPr>
            </w:pPr>
            <w:r>
              <w:rPr>
                <w:rFonts w:hint="eastAsia" w:ascii="宋体" w:hAnsi="宋体" w:cs="宋体"/>
                <w:sz w:val="18"/>
                <w:szCs w:val="18"/>
              </w:rPr>
              <w:t>水泥土工艺</w:t>
            </w:r>
          </w:p>
        </w:tc>
        <w:tc>
          <w:tcPr>
            <w:tcW w:w="0" w:type="auto"/>
            <w:tcBorders>
              <w:bottom w:val="single" w:color="auto" w:sz="12" w:space="0"/>
            </w:tcBorders>
            <w:vAlign w:val="center"/>
          </w:tcPr>
          <w:p w14:paraId="06EF1356">
            <w:pPr>
              <w:spacing w:line="240" w:lineRule="auto"/>
              <w:jc w:val="center"/>
              <w:rPr>
                <w:rFonts w:hint="eastAsia" w:ascii="宋体" w:hAnsi="宋体" w:cs="宋体"/>
                <w:sz w:val="18"/>
                <w:szCs w:val="18"/>
              </w:rPr>
            </w:pPr>
            <w:r>
              <w:rPr>
                <w:rFonts w:hint="eastAsia" w:ascii="宋体" w:hAnsi="宋体" w:cs="宋体"/>
                <w:sz w:val="18"/>
                <w:szCs w:val="18"/>
              </w:rPr>
              <w:t>桩（墙）位允许偏差</w:t>
            </w:r>
          </w:p>
        </w:tc>
        <w:tc>
          <w:tcPr>
            <w:tcW w:w="0" w:type="auto"/>
            <w:tcBorders>
              <w:bottom w:val="single" w:color="auto" w:sz="12" w:space="0"/>
            </w:tcBorders>
            <w:vAlign w:val="center"/>
          </w:tcPr>
          <w:p w14:paraId="13385828">
            <w:pPr>
              <w:spacing w:line="240" w:lineRule="auto"/>
              <w:jc w:val="center"/>
              <w:rPr>
                <w:rFonts w:hint="eastAsia" w:ascii="宋体" w:hAnsi="宋体" w:cs="宋体"/>
                <w:sz w:val="18"/>
                <w:szCs w:val="18"/>
              </w:rPr>
            </w:pPr>
            <w:r>
              <w:rPr>
                <w:rFonts w:hint="eastAsia" w:ascii="宋体" w:hAnsi="宋体" w:cs="宋体"/>
                <w:sz w:val="18"/>
                <w:szCs w:val="18"/>
              </w:rPr>
              <w:t>桩体垂直度允许偏差</w:t>
            </w:r>
          </w:p>
        </w:tc>
      </w:tr>
      <w:tr w14:paraId="6A427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tl2br w:val="nil"/>
              <w:tr2bl w:val="nil"/>
            </w:tcBorders>
            <w:vAlign w:val="center"/>
          </w:tcPr>
          <w:p w14:paraId="38061B01">
            <w:pPr>
              <w:spacing w:line="240" w:lineRule="auto"/>
              <w:jc w:val="center"/>
              <w:rPr>
                <w:rFonts w:hint="eastAsia" w:ascii="宋体" w:hAnsi="宋体" w:cs="宋体"/>
                <w:sz w:val="18"/>
                <w:szCs w:val="18"/>
              </w:rPr>
            </w:pPr>
            <w:r>
              <w:rPr>
                <w:rFonts w:hint="eastAsia" w:ascii="宋体" w:hAnsi="宋体" w:cs="宋体"/>
                <w:sz w:val="18"/>
                <w:szCs w:val="18"/>
              </w:rPr>
              <w:t>1</w:t>
            </w:r>
          </w:p>
        </w:tc>
        <w:tc>
          <w:tcPr>
            <w:tcW w:w="0" w:type="auto"/>
            <w:tcBorders>
              <w:top w:val="single" w:color="auto" w:sz="12" w:space="0"/>
              <w:tl2br w:val="nil"/>
              <w:tr2bl w:val="nil"/>
            </w:tcBorders>
            <w:vAlign w:val="center"/>
          </w:tcPr>
          <w:p w14:paraId="08DEBC54">
            <w:pPr>
              <w:spacing w:line="240" w:lineRule="auto"/>
              <w:jc w:val="center"/>
              <w:rPr>
                <w:rFonts w:hint="eastAsia" w:ascii="宋体" w:hAnsi="宋体" w:cs="宋体"/>
                <w:sz w:val="18"/>
                <w:szCs w:val="18"/>
              </w:rPr>
            </w:pPr>
            <w:r>
              <w:rPr>
                <w:rFonts w:hint="eastAsia" w:ascii="宋体" w:hAnsi="宋体" w:cs="宋体"/>
                <w:sz w:val="18"/>
                <w:szCs w:val="18"/>
              </w:rPr>
              <w:t>单轴搅拌桩</w:t>
            </w:r>
          </w:p>
        </w:tc>
        <w:tc>
          <w:tcPr>
            <w:tcW w:w="0" w:type="auto"/>
            <w:tcBorders>
              <w:top w:val="single" w:color="auto" w:sz="12" w:space="0"/>
              <w:tl2br w:val="nil"/>
              <w:tr2bl w:val="nil"/>
            </w:tcBorders>
            <w:vAlign w:val="center"/>
          </w:tcPr>
          <w:p w14:paraId="3F69CFBB">
            <w:pPr>
              <w:spacing w:line="240" w:lineRule="auto"/>
              <w:jc w:val="center"/>
              <w:rPr>
                <w:rFonts w:hint="eastAsia" w:ascii="宋体" w:hAnsi="宋体" w:cs="宋体"/>
                <w:sz w:val="18"/>
                <w:szCs w:val="18"/>
              </w:rPr>
            </w:pPr>
            <w:r>
              <w:rPr>
                <w:rFonts w:hint="eastAsia" w:ascii="宋体" w:hAnsi="宋体" w:cs="宋体"/>
                <w:sz w:val="18"/>
                <w:szCs w:val="18"/>
              </w:rPr>
              <w:t>≤20.0mm</w:t>
            </w:r>
          </w:p>
        </w:tc>
        <w:tc>
          <w:tcPr>
            <w:tcW w:w="0" w:type="auto"/>
            <w:tcBorders>
              <w:top w:val="single" w:color="auto" w:sz="12" w:space="0"/>
              <w:tl2br w:val="nil"/>
              <w:tr2bl w:val="nil"/>
            </w:tcBorders>
            <w:vAlign w:val="center"/>
          </w:tcPr>
          <w:p w14:paraId="209C5A5A">
            <w:pPr>
              <w:spacing w:line="240" w:lineRule="auto"/>
              <w:jc w:val="center"/>
              <w:rPr>
                <w:rFonts w:hint="eastAsia" w:ascii="宋体" w:hAnsi="宋体" w:cs="宋体"/>
                <w:sz w:val="18"/>
                <w:szCs w:val="18"/>
              </w:rPr>
            </w:pPr>
            <w:r>
              <w:rPr>
                <w:rFonts w:hint="eastAsia" w:ascii="宋体" w:hAnsi="宋体" w:cs="宋体"/>
                <w:sz w:val="18"/>
                <w:szCs w:val="18"/>
              </w:rPr>
              <w:t>≤1/200且满足设计要求</w:t>
            </w:r>
          </w:p>
        </w:tc>
      </w:tr>
      <w:tr w14:paraId="70A3C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20F47EC4">
            <w:pPr>
              <w:spacing w:line="240" w:lineRule="auto"/>
              <w:jc w:val="center"/>
              <w:rPr>
                <w:rFonts w:hint="eastAsia" w:ascii="宋体" w:hAnsi="宋体" w:cs="宋体"/>
                <w:sz w:val="18"/>
                <w:szCs w:val="18"/>
              </w:rPr>
            </w:pPr>
            <w:r>
              <w:rPr>
                <w:rFonts w:hint="eastAsia" w:ascii="宋体" w:hAnsi="宋体" w:cs="宋体"/>
                <w:sz w:val="18"/>
                <w:szCs w:val="18"/>
              </w:rPr>
              <w:t>2</w:t>
            </w:r>
          </w:p>
        </w:tc>
        <w:tc>
          <w:tcPr>
            <w:tcW w:w="0" w:type="auto"/>
            <w:tcBorders>
              <w:tl2br w:val="nil"/>
              <w:tr2bl w:val="nil"/>
            </w:tcBorders>
            <w:vAlign w:val="center"/>
          </w:tcPr>
          <w:p w14:paraId="2CE030FD">
            <w:pPr>
              <w:spacing w:line="240" w:lineRule="auto"/>
              <w:jc w:val="center"/>
              <w:rPr>
                <w:rFonts w:hint="eastAsia" w:ascii="宋体" w:hAnsi="宋体" w:cs="宋体"/>
                <w:sz w:val="18"/>
                <w:szCs w:val="18"/>
              </w:rPr>
            </w:pPr>
            <w:r>
              <w:rPr>
                <w:rFonts w:hint="eastAsia" w:ascii="宋体" w:hAnsi="宋体" w:cs="宋体"/>
                <w:sz w:val="18"/>
                <w:szCs w:val="18"/>
              </w:rPr>
              <w:t>三轴搅拌桩</w:t>
            </w:r>
          </w:p>
        </w:tc>
        <w:tc>
          <w:tcPr>
            <w:tcW w:w="0" w:type="auto"/>
            <w:tcBorders>
              <w:tl2br w:val="nil"/>
              <w:tr2bl w:val="nil"/>
            </w:tcBorders>
            <w:vAlign w:val="center"/>
          </w:tcPr>
          <w:p w14:paraId="28477C76">
            <w:pPr>
              <w:spacing w:line="240" w:lineRule="auto"/>
              <w:jc w:val="center"/>
              <w:rPr>
                <w:rFonts w:hint="eastAsia" w:ascii="宋体" w:hAnsi="宋体" w:cs="宋体"/>
                <w:sz w:val="18"/>
                <w:szCs w:val="18"/>
              </w:rPr>
            </w:pPr>
            <w:r>
              <w:rPr>
                <w:rFonts w:hint="eastAsia" w:ascii="宋体" w:hAnsi="宋体" w:cs="宋体"/>
                <w:sz w:val="18"/>
                <w:szCs w:val="18"/>
              </w:rPr>
              <w:t>≤±20mm</w:t>
            </w:r>
          </w:p>
        </w:tc>
        <w:tc>
          <w:tcPr>
            <w:tcW w:w="0" w:type="auto"/>
            <w:tcBorders>
              <w:tl2br w:val="nil"/>
              <w:tr2bl w:val="nil"/>
            </w:tcBorders>
            <w:vAlign w:val="center"/>
          </w:tcPr>
          <w:p w14:paraId="19B50385">
            <w:pPr>
              <w:spacing w:line="240" w:lineRule="auto"/>
              <w:jc w:val="center"/>
              <w:rPr>
                <w:rFonts w:hint="eastAsia" w:ascii="宋体" w:hAnsi="宋体" w:cs="宋体"/>
                <w:sz w:val="18"/>
                <w:szCs w:val="18"/>
              </w:rPr>
            </w:pPr>
            <w:r>
              <w:rPr>
                <w:rFonts w:hint="eastAsia" w:ascii="宋体" w:hAnsi="宋体" w:cs="宋体"/>
                <w:sz w:val="18"/>
                <w:szCs w:val="18"/>
              </w:rPr>
              <w:t>≤1/200且满足设计要求</w:t>
            </w:r>
          </w:p>
        </w:tc>
      </w:tr>
      <w:tr w14:paraId="61A36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AF4B8F1">
            <w:pPr>
              <w:spacing w:line="240" w:lineRule="auto"/>
              <w:jc w:val="center"/>
              <w:rPr>
                <w:rFonts w:hint="eastAsia" w:ascii="宋体" w:hAnsi="宋体" w:cs="宋体"/>
                <w:sz w:val="18"/>
                <w:szCs w:val="18"/>
              </w:rPr>
            </w:pPr>
            <w:r>
              <w:rPr>
                <w:rFonts w:hint="eastAsia" w:ascii="宋体" w:hAnsi="宋体" w:cs="宋体"/>
                <w:sz w:val="18"/>
                <w:szCs w:val="18"/>
              </w:rPr>
              <w:t>3</w:t>
            </w:r>
          </w:p>
        </w:tc>
        <w:tc>
          <w:tcPr>
            <w:tcW w:w="0" w:type="auto"/>
            <w:tcBorders>
              <w:tl2br w:val="nil"/>
              <w:tr2bl w:val="nil"/>
            </w:tcBorders>
            <w:vAlign w:val="center"/>
          </w:tcPr>
          <w:p w14:paraId="32B89CE2">
            <w:pPr>
              <w:spacing w:line="240" w:lineRule="auto"/>
              <w:jc w:val="center"/>
              <w:rPr>
                <w:rFonts w:hint="eastAsia" w:ascii="宋体" w:hAnsi="宋体" w:cs="宋体"/>
                <w:sz w:val="18"/>
                <w:szCs w:val="18"/>
              </w:rPr>
            </w:pPr>
            <w:r>
              <w:rPr>
                <w:rFonts w:hint="eastAsia" w:ascii="宋体" w:hAnsi="宋体" w:cs="宋体"/>
                <w:sz w:val="18"/>
                <w:szCs w:val="18"/>
              </w:rPr>
              <w:t>CSM</w:t>
            </w:r>
          </w:p>
        </w:tc>
        <w:tc>
          <w:tcPr>
            <w:tcW w:w="0" w:type="auto"/>
            <w:tcBorders>
              <w:tl2br w:val="nil"/>
              <w:tr2bl w:val="nil"/>
            </w:tcBorders>
            <w:vAlign w:val="center"/>
          </w:tcPr>
          <w:p w14:paraId="11189A80">
            <w:pPr>
              <w:spacing w:line="240" w:lineRule="auto"/>
              <w:jc w:val="center"/>
              <w:rPr>
                <w:rFonts w:hint="eastAsia" w:ascii="宋体" w:hAnsi="宋体" w:cs="宋体"/>
                <w:sz w:val="18"/>
                <w:szCs w:val="18"/>
              </w:rPr>
            </w:pPr>
            <w:r>
              <w:rPr>
                <w:rFonts w:hint="eastAsia" w:ascii="宋体" w:hAnsi="宋体" w:cs="宋体"/>
                <w:sz w:val="18"/>
                <w:szCs w:val="18"/>
              </w:rPr>
              <w:t>≤±20mm</w:t>
            </w:r>
          </w:p>
        </w:tc>
        <w:tc>
          <w:tcPr>
            <w:tcW w:w="0" w:type="auto"/>
            <w:tcBorders>
              <w:tl2br w:val="nil"/>
              <w:tr2bl w:val="nil"/>
            </w:tcBorders>
            <w:vAlign w:val="center"/>
          </w:tcPr>
          <w:p w14:paraId="3F95D1EA">
            <w:pPr>
              <w:spacing w:line="240" w:lineRule="auto"/>
              <w:jc w:val="center"/>
              <w:rPr>
                <w:rFonts w:hint="eastAsia" w:ascii="宋体" w:hAnsi="宋体" w:cs="宋体"/>
                <w:sz w:val="18"/>
                <w:szCs w:val="18"/>
              </w:rPr>
            </w:pPr>
            <w:r>
              <w:rPr>
                <w:rFonts w:hint="eastAsia" w:ascii="宋体" w:hAnsi="宋体" w:cs="宋体"/>
                <w:sz w:val="18"/>
                <w:szCs w:val="18"/>
              </w:rPr>
              <w:t>≤1/250且满足设计要求</w:t>
            </w:r>
          </w:p>
        </w:tc>
      </w:tr>
      <w:tr w14:paraId="2464E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0E27B252">
            <w:pPr>
              <w:spacing w:line="240" w:lineRule="auto"/>
              <w:jc w:val="center"/>
              <w:rPr>
                <w:rFonts w:hint="eastAsia" w:ascii="宋体" w:hAnsi="宋体" w:cs="宋体"/>
                <w:sz w:val="18"/>
                <w:szCs w:val="18"/>
              </w:rPr>
            </w:pPr>
            <w:r>
              <w:rPr>
                <w:rFonts w:hint="eastAsia" w:ascii="宋体" w:hAnsi="宋体" w:cs="宋体"/>
                <w:sz w:val="18"/>
                <w:szCs w:val="18"/>
              </w:rPr>
              <w:t>4</w:t>
            </w:r>
          </w:p>
        </w:tc>
        <w:tc>
          <w:tcPr>
            <w:tcW w:w="0" w:type="auto"/>
            <w:tcBorders>
              <w:tl2br w:val="nil"/>
              <w:tr2bl w:val="nil"/>
            </w:tcBorders>
            <w:vAlign w:val="center"/>
          </w:tcPr>
          <w:p w14:paraId="044A9406">
            <w:pPr>
              <w:spacing w:line="240" w:lineRule="auto"/>
              <w:jc w:val="center"/>
              <w:rPr>
                <w:rFonts w:hint="eastAsia" w:ascii="宋体" w:hAnsi="宋体" w:cs="宋体"/>
                <w:sz w:val="18"/>
                <w:szCs w:val="18"/>
              </w:rPr>
            </w:pPr>
            <w:r>
              <w:rPr>
                <w:rFonts w:hint="eastAsia" w:ascii="宋体" w:hAnsi="宋体" w:cs="宋体"/>
                <w:sz w:val="18"/>
                <w:szCs w:val="18"/>
              </w:rPr>
              <w:t>TRD</w:t>
            </w:r>
          </w:p>
        </w:tc>
        <w:tc>
          <w:tcPr>
            <w:tcW w:w="0" w:type="auto"/>
            <w:tcBorders>
              <w:tl2br w:val="nil"/>
              <w:tr2bl w:val="nil"/>
            </w:tcBorders>
            <w:vAlign w:val="center"/>
          </w:tcPr>
          <w:p w14:paraId="1DF90341">
            <w:pPr>
              <w:spacing w:line="240" w:lineRule="auto"/>
              <w:jc w:val="center"/>
              <w:rPr>
                <w:rFonts w:hint="eastAsia" w:ascii="宋体" w:hAnsi="宋体" w:cs="宋体"/>
                <w:sz w:val="18"/>
                <w:szCs w:val="18"/>
              </w:rPr>
            </w:pPr>
            <w:r>
              <w:rPr>
                <w:rFonts w:hint="eastAsia" w:ascii="宋体" w:hAnsi="宋体" w:cs="宋体"/>
                <w:sz w:val="18"/>
                <w:szCs w:val="18"/>
              </w:rPr>
              <w:t>≤±20mm</w:t>
            </w:r>
          </w:p>
        </w:tc>
        <w:tc>
          <w:tcPr>
            <w:tcW w:w="0" w:type="auto"/>
            <w:tcBorders>
              <w:tl2br w:val="nil"/>
              <w:tr2bl w:val="nil"/>
            </w:tcBorders>
            <w:vAlign w:val="center"/>
          </w:tcPr>
          <w:p w14:paraId="6CBDFDFF">
            <w:pPr>
              <w:spacing w:line="240" w:lineRule="auto"/>
              <w:jc w:val="center"/>
              <w:rPr>
                <w:rFonts w:hint="eastAsia" w:ascii="宋体" w:hAnsi="宋体" w:cs="宋体"/>
                <w:sz w:val="18"/>
                <w:szCs w:val="18"/>
              </w:rPr>
            </w:pPr>
            <w:r>
              <w:rPr>
                <w:rFonts w:hint="eastAsia" w:ascii="宋体" w:hAnsi="宋体" w:cs="宋体"/>
                <w:sz w:val="18"/>
                <w:szCs w:val="18"/>
              </w:rPr>
              <w:t>≤1/250且满足设计要求</w:t>
            </w:r>
          </w:p>
        </w:tc>
      </w:tr>
      <w:tr w14:paraId="4088C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086485F7">
            <w:pPr>
              <w:spacing w:line="240" w:lineRule="auto"/>
              <w:jc w:val="center"/>
              <w:rPr>
                <w:rFonts w:hint="eastAsia" w:ascii="宋体" w:hAnsi="宋体" w:cs="宋体"/>
                <w:sz w:val="18"/>
                <w:szCs w:val="18"/>
              </w:rPr>
            </w:pPr>
            <w:r>
              <w:rPr>
                <w:rFonts w:hint="eastAsia" w:ascii="宋体" w:hAnsi="宋体" w:cs="宋体"/>
                <w:sz w:val="18"/>
                <w:szCs w:val="18"/>
              </w:rPr>
              <w:t>5</w:t>
            </w:r>
          </w:p>
        </w:tc>
        <w:tc>
          <w:tcPr>
            <w:tcW w:w="0" w:type="auto"/>
            <w:tcBorders>
              <w:tl2br w:val="nil"/>
              <w:tr2bl w:val="nil"/>
            </w:tcBorders>
            <w:vAlign w:val="center"/>
          </w:tcPr>
          <w:p w14:paraId="5E518EDA">
            <w:pPr>
              <w:spacing w:line="240" w:lineRule="auto"/>
              <w:jc w:val="center"/>
              <w:rPr>
                <w:rFonts w:hint="eastAsia" w:ascii="宋体" w:hAnsi="宋体" w:cs="宋体"/>
                <w:sz w:val="18"/>
                <w:szCs w:val="18"/>
              </w:rPr>
            </w:pPr>
            <w:r>
              <w:rPr>
                <w:rFonts w:hint="eastAsia" w:ascii="宋体" w:hAnsi="宋体" w:cs="宋体"/>
                <w:sz w:val="18"/>
                <w:szCs w:val="18"/>
              </w:rPr>
              <w:t>普通高压旋喷桩</w:t>
            </w:r>
          </w:p>
        </w:tc>
        <w:tc>
          <w:tcPr>
            <w:tcW w:w="0" w:type="auto"/>
            <w:tcBorders>
              <w:tl2br w:val="nil"/>
              <w:tr2bl w:val="nil"/>
            </w:tcBorders>
            <w:vAlign w:val="center"/>
          </w:tcPr>
          <w:p w14:paraId="359F8A6F">
            <w:pPr>
              <w:spacing w:line="240" w:lineRule="auto"/>
              <w:jc w:val="center"/>
              <w:rPr>
                <w:rFonts w:hint="eastAsia" w:ascii="宋体" w:hAnsi="宋体" w:cs="宋体"/>
                <w:sz w:val="18"/>
                <w:szCs w:val="18"/>
              </w:rPr>
            </w:pPr>
            <w:r>
              <w:rPr>
                <w:rFonts w:hint="eastAsia" w:ascii="宋体" w:hAnsi="宋体" w:cs="宋体"/>
                <w:sz w:val="18"/>
                <w:szCs w:val="18"/>
              </w:rPr>
              <w:t>≤50.0mm</w:t>
            </w:r>
          </w:p>
        </w:tc>
        <w:tc>
          <w:tcPr>
            <w:tcW w:w="0" w:type="auto"/>
            <w:tcBorders>
              <w:tl2br w:val="nil"/>
              <w:tr2bl w:val="nil"/>
            </w:tcBorders>
            <w:vAlign w:val="center"/>
          </w:tcPr>
          <w:p w14:paraId="5923ED64">
            <w:pPr>
              <w:spacing w:line="240" w:lineRule="auto"/>
              <w:jc w:val="center"/>
              <w:rPr>
                <w:rFonts w:hint="eastAsia" w:ascii="宋体" w:hAnsi="宋体" w:cs="宋体"/>
                <w:sz w:val="18"/>
                <w:szCs w:val="18"/>
              </w:rPr>
            </w:pPr>
            <w:r>
              <w:rPr>
                <w:rFonts w:hint="eastAsia" w:ascii="宋体" w:hAnsi="宋体" w:cs="宋体"/>
                <w:sz w:val="18"/>
                <w:szCs w:val="18"/>
              </w:rPr>
              <w:t>≤1/100且满足设计要求</w:t>
            </w:r>
          </w:p>
        </w:tc>
      </w:tr>
      <w:tr w14:paraId="61D78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DAB1D41">
            <w:pPr>
              <w:spacing w:line="240" w:lineRule="auto"/>
              <w:jc w:val="center"/>
              <w:rPr>
                <w:rFonts w:hint="eastAsia" w:ascii="宋体" w:hAnsi="宋体" w:cs="宋体"/>
                <w:sz w:val="18"/>
                <w:szCs w:val="18"/>
              </w:rPr>
            </w:pPr>
            <w:r>
              <w:rPr>
                <w:rFonts w:hint="eastAsia" w:ascii="宋体" w:hAnsi="宋体" w:cs="宋体"/>
                <w:sz w:val="18"/>
                <w:szCs w:val="18"/>
              </w:rPr>
              <w:t>6</w:t>
            </w:r>
          </w:p>
        </w:tc>
        <w:tc>
          <w:tcPr>
            <w:tcW w:w="0" w:type="auto"/>
            <w:tcBorders>
              <w:tl2br w:val="nil"/>
              <w:tr2bl w:val="nil"/>
            </w:tcBorders>
            <w:vAlign w:val="center"/>
          </w:tcPr>
          <w:p w14:paraId="354A3E24">
            <w:pPr>
              <w:spacing w:line="240" w:lineRule="auto"/>
              <w:jc w:val="center"/>
              <w:rPr>
                <w:rFonts w:hint="eastAsia" w:ascii="宋体" w:hAnsi="宋体" w:cs="宋体"/>
                <w:sz w:val="18"/>
                <w:szCs w:val="18"/>
              </w:rPr>
            </w:pPr>
            <w:r>
              <w:rPr>
                <w:rFonts w:hint="eastAsia" w:ascii="宋体" w:hAnsi="宋体" w:cs="宋体"/>
                <w:sz w:val="18"/>
                <w:szCs w:val="18"/>
              </w:rPr>
              <w:t>MJS</w:t>
            </w:r>
          </w:p>
        </w:tc>
        <w:tc>
          <w:tcPr>
            <w:tcW w:w="0" w:type="auto"/>
            <w:tcBorders>
              <w:tl2br w:val="nil"/>
              <w:tr2bl w:val="nil"/>
            </w:tcBorders>
            <w:vAlign w:val="center"/>
          </w:tcPr>
          <w:p w14:paraId="30FA7D21">
            <w:pPr>
              <w:spacing w:line="240" w:lineRule="auto"/>
              <w:jc w:val="center"/>
              <w:rPr>
                <w:rFonts w:hint="eastAsia" w:ascii="宋体" w:hAnsi="宋体" w:cs="宋体"/>
                <w:sz w:val="18"/>
                <w:szCs w:val="18"/>
              </w:rPr>
            </w:pPr>
            <w:r>
              <w:rPr>
                <w:rFonts w:hint="eastAsia" w:ascii="宋体" w:hAnsi="宋体" w:cs="宋体"/>
                <w:sz w:val="18"/>
                <w:szCs w:val="18"/>
              </w:rPr>
              <w:t>≤±20mm</w:t>
            </w:r>
          </w:p>
        </w:tc>
        <w:tc>
          <w:tcPr>
            <w:tcW w:w="0" w:type="auto"/>
            <w:tcBorders>
              <w:tl2br w:val="nil"/>
              <w:tr2bl w:val="nil"/>
            </w:tcBorders>
            <w:vAlign w:val="center"/>
          </w:tcPr>
          <w:p w14:paraId="56A3DBE2">
            <w:pPr>
              <w:spacing w:line="240" w:lineRule="auto"/>
              <w:jc w:val="center"/>
              <w:rPr>
                <w:rFonts w:hint="eastAsia" w:ascii="宋体" w:hAnsi="宋体" w:cs="宋体"/>
                <w:sz w:val="18"/>
                <w:szCs w:val="18"/>
              </w:rPr>
            </w:pPr>
            <w:r>
              <w:rPr>
                <w:rFonts w:hint="eastAsia" w:ascii="宋体" w:hAnsi="宋体" w:cs="宋体"/>
                <w:sz w:val="18"/>
                <w:szCs w:val="18"/>
              </w:rPr>
              <w:t>≤1/150且满足设计要求</w:t>
            </w:r>
          </w:p>
        </w:tc>
      </w:tr>
    </w:tbl>
    <w:p w14:paraId="132DBA8E">
      <w:pPr>
        <w:pStyle w:val="173"/>
        <w:numPr>
          <w:ilvl w:val="3"/>
          <w:numId w:val="0"/>
        </w:numPr>
      </w:pPr>
    </w:p>
    <w:p w14:paraId="490ACA39">
      <w:pPr>
        <w:pStyle w:val="173"/>
      </w:pPr>
      <w:r>
        <w:rPr>
          <w:rFonts w:hint="eastAsia"/>
        </w:rPr>
        <w:t>水泥土类隔渗帷幕施工的搅拌（切削）次数和搅拌（切削）时间应能保证帷幕的成桩（墙）质量。</w:t>
      </w:r>
    </w:p>
    <w:p w14:paraId="1961FF83">
      <w:pPr>
        <w:pStyle w:val="173"/>
      </w:pPr>
      <w:r>
        <w:rPr>
          <w:rFonts w:hint="eastAsia"/>
        </w:rPr>
        <w:t>单轴搅拌桩应结合工程地质条件，合理选用干喷或湿喷施工工艺，施工全过程应复喷复搅。</w:t>
      </w:r>
    </w:p>
    <w:p w14:paraId="3DD2B5E8">
      <w:pPr>
        <w:pStyle w:val="173"/>
      </w:pPr>
      <w:r>
        <w:rPr>
          <w:rFonts w:hint="eastAsia"/>
        </w:rPr>
        <w:t>三轴搅拌桩采用套打一孔施工时，可采用双侧套打方式（图2-a）或单侧套打方式（图2-b）；采用搭接方法施工时，搭接长度应满足设计要求。</w:t>
      </w:r>
    </w:p>
    <w:p w14:paraId="30CDE787">
      <w:pPr>
        <w:pStyle w:val="173"/>
        <w:numPr>
          <w:ilvl w:val="3"/>
          <w:numId w:val="0"/>
        </w:numPr>
        <w:jc w:val="center"/>
        <w:rPr>
          <w:rFonts w:hint="eastAsia" w:hAnsi="宋体" w:cs="宋体"/>
          <w:sz w:val="24"/>
          <w:szCs w:val="24"/>
        </w:rPr>
      </w:pPr>
      <w:r>
        <w:rPr>
          <w:rFonts w:hAnsi="宋体" w:cs="宋体"/>
          <w:sz w:val="24"/>
          <w:szCs w:val="24"/>
        </w:rPr>
        <w:drawing>
          <wp:inline distT="0" distB="0" distL="114300" distR="114300">
            <wp:extent cx="5400040" cy="1614805"/>
            <wp:effectExtent l="0" t="0" r="10160" b="4445"/>
            <wp:docPr id="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IMG_256"/>
                    <pic:cNvPicPr>
                      <a:picLocks noChangeAspect="1"/>
                    </pic:cNvPicPr>
                  </pic:nvPicPr>
                  <pic:blipFill>
                    <a:blip r:embed="rId40"/>
                    <a:stretch>
                      <a:fillRect/>
                    </a:stretch>
                  </pic:blipFill>
                  <pic:spPr>
                    <a:xfrm>
                      <a:off x="0" y="0"/>
                      <a:ext cx="5400040" cy="1614805"/>
                    </a:xfrm>
                    <a:prstGeom prst="rect">
                      <a:avLst/>
                    </a:prstGeom>
                    <a:noFill/>
                    <a:ln w="9525">
                      <a:noFill/>
                    </a:ln>
                  </pic:spPr>
                </pic:pic>
              </a:graphicData>
            </a:graphic>
          </wp:inline>
        </w:drawing>
      </w:r>
    </w:p>
    <w:p w14:paraId="122249DF">
      <w:pPr>
        <w:keepNext/>
        <w:spacing w:line="240" w:lineRule="auto"/>
        <w:jc w:val="center"/>
        <w:rPr>
          <w:rFonts w:hint="eastAsia" w:ascii="黑体" w:hAnsi="黑体" w:eastAsia="黑体" w:cs="宋体"/>
        </w:rPr>
      </w:pPr>
      <w:r>
        <w:rPr>
          <w:rFonts w:hint="eastAsia"/>
        </w:rPr>
        <w:t>（2-a）双侧套打施工顺序示意                        （2-b）单侧套打施工顺序示意</w:t>
      </w:r>
    </w:p>
    <w:p w14:paraId="12C755D5">
      <w:pPr>
        <w:pStyle w:val="173"/>
        <w:numPr>
          <w:ilvl w:val="3"/>
          <w:numId w:val="0"/>
        </w:numPr>
        <w:jc w:val="center"/>
        <w:rPr>
          <w:rFonts w:hint="eastAsia" w:hAnsi="宋体" w:cs="宋体"/>
          <w:sz w:val="24"/>
          <w:szCs w:val="24"/>
        </w:rPr>
      </w:pPr>
    </w:p>
    <w:p w14:paraId="3EEE4993">
      <w:pPr>
        <w:spacing w:before="156" w:beforeLines="50" w:after="156" w:afterLines="50" w:line="240" w:lineRule="auto"/>
        <w:jc w:val="center"/>
        <w:rPr>
          <w:rFonts w:hint="eastAsia" w:ascii="黑体" w:hAnsi="黑体" w:eastAsia="黑体" w:cs="宋体"/>
        </w:rPr>
      </w:pPr>
      <w:r>
        <w:rPr>
          <w:rFonts w:hint="eastAsia" w:ascii="黑体" w:hAnsi="黑体" w:eastAsia="黑体" w:cs="宋体"/>
        </w:rPr>
        <w:t>图2  三轴搅拌桩施工示意图</w:t>
      </w:r>
    </w:p>
    <w:p w14:paraId="5B0CC169">
      <w:pPr>
        <w:pStyle w:val="173"/>
      </w:pPr>
      <w:r>
        <w:rPr>
          <w:rFonts w:hint="eastAsia"/>
        </w:rPr>
        <w:t>TRD工法施工应符合下列规定：</w:t>
      </w:r>
    </w:p>
    <w:p w14:paraId="428A21D1">
      <w:pPr>
        <w:pStyle w:val="182"/>
        <w:numPr>
          <w:ilvl w:val="0"/>
          <w:numId w:val="54"/>
        </w:numPr>
        <w:ind w:left="845" w:hanging="425"/>
      </w:pPr>
      <w:r>
        <w:rPr>
          <w:rFonts w:hint="eastAsia"/>
        </w:rPr>
        <w:t>应结合工程地质条件、墙体性能、墙体深度和环境保护要求等因素采用一步施工法或三步施工法；采用一步施工法时墙体深度不宜大于25.0m；采用三步施工法时，开放区长度不宜超过15.0m，地质条件较差或周边环境复杂时开放区长度不宜超过10.0m；</w:t>
      </w:r>
    </w:p>
    <w:p w14:paraId="17871CA5">
      <w:pPr>
        <w:pStyle w:val="182"/>
        <w:numPr>
          <w:ilvl w:val="0"/>
          <w:numId w:val="54"/>
        </w:numPr>
        <w:ind w:left="845" w:hanging="425"/>
      </w:pPr>
      <w:r>
        <w:rPr>
          <w:rFonts w:hint="eastAsia"/>
        </w:rPr>
        <w:t>TRD施工主机需要停机处理时，必须将切割箱停放在临时停放区内或将切割箱全部拔出；</w:t>
      </w:r>
    </w:p>
    <w:p w14:paraId="7C7FB401">
      <w:pPr>
        <w:pStyle w:val="182"/>
        <w:numPr>
          <w:ilvl w:val="0"/>
          <w:numId w:val="54"/>
        </w:numPr>
        <w:ind w:left="845" w:hanging="425"/>
      </w:pPr>
      <w:r>
        <w:rPr>
          <w:rFonts w:hint="eastAsia"/>
        </w:rPr>
        <w:t>TRD施工时应做好吊车等配合机械的安全管理工作。</w:t>
      </w:r>
    </w:p>
    <w:p w14:paraId="683FE6C2">
      <w:pPr>
        <w:pStyle w:val="173"/>
      </w:pPr>
      <w:r>
        <w:rPr>
          <w:rFonts w:hint="eastAsia"/>
        </w:rPr>
        <w:t>CSM工法施工应满足下列规定：</w:t>
      </w:r>
    </w:p>
    <w:p w14:paraId="2C047FA7">
      <w:pPr>
        <w:pStyle w:val="182"/>
        <w:numPr>
          <w:ilvl w:val="0"/>
          <w:numId w:val="55"/>
        </w:numPr>
        <w:ind w:left="845" w:hanging="425"/>
      </w:pPr>
      <w:r>
        <w:rPr>
          <w:rFonts w:hint="eastAsia"/>
        </w:rPr>
        <w:t>对于深度不大于30m，且无深厚砂层等地层，CSM施工可采用单浆液方式；对于墙体深度大于30m，或进入密实砂层时，应采用双浆液方式施工；</w:t>
      </w:r>
    </w:p>
    <w:p w14:paraId="1827F737">
      <w:pPr>
        <w:pStyle w:val="182"/>
        <w:numPr>
          <w:ilvl w:val="0"/>
          <w:numId w:val="55"/>
        </w:numPr>
        <w:ind w:left="845" w:hanging="425"/>
      </w:pPr>
      <w:r>
        <w:rPr>
          <w:rFonts w:hint="eastAsia"/>
        </w:rPr>
        <w:t>当墙体深度不大于30m，且无深厚砂层等地层时，可采用顺槽式施工（如图（3-a）所示）；顺槽式施工时相邻两幅墙的间隔时间不宜过长，二期墙体的施工应在一期墙体终凝之前完成；</w:t>
      </w:r>
    </w:p>
    <w:p w14:paraId="497EF463">
      <w:pPr>
        <w:pStyle w:val="182"/>
        <w:numPr>
          <w:ilvl w:val="0"/>
          <w:numId w:val="55"/>
        </w:numPr>
        <w:ind w:left="845" w:hanging="425"/>
      </w:pPr>
      <w:r>
        <w:rPr>
          <w:rFonts w:hint="eastAsia"/>
        </w:rPr>
        <w:t>当墙体深度大于30m或穿越深厚砂层等复杂地层时，应采用跳槽式施工（如图（3-b）所示）；跳槽方式应根据成墙深度、地质条件、周边环境复杂程度进行调整。</w:t>
      </w:r>
    </w:p>
    <w:p w14:paraId="640407A3">
      <w:pPr>
        <w:pStyle w:val="182"/>
        <w:ind w:left="0" w:firstLine="0"/>
        <w:jc w:val="center"/>
        <w:rPr>
          <w:rFonts w:hint="eastAsia" w:hAnsi="宋体" w:cs="宋体"/>
          <w:sz w:val="24"/>
          <w:szCs w:val="24"/>
        </w:rPr>
      </w:pPr>
      <w:r>
        <w:rPr>
          <w:rFonts w:hAnsi="宋体" w:cs="宋体"/>
          <w:sz w:val="24"/>
          <w:szCs w:val="24"/>
        </w:rPr>
        <w:drawing>
          <wp:inline distT="0" distB="0" distL="114300" distR="114300">
            <wp:extent cx="5760085" cy="1214755"/>
            <wp:effectExtent l="0" t="0" r="12065" b="4445"/>
            <wp:docPr id="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IMG_256"/>
                    <pic:cNvPicPr>
                      <a:picLocks noChangeAspect="1"/>
                    </pic:cNvPicPr>
                  </pic:nvPicPr>
                  <pic:blipFill>
                    <a:blip r:embed="rId41"/>
                    <a:stretch>
                      <a:fillRect/>
                    </a:stretch>
                  </pic:blipFill>
                  <pic:spPr>
                    <a:xfrm>
                      <a:off x="0" y="0"/>
                      <a:ext cx="5760085" cy="1214755"/>
                    </a:xfrm>
                    <a:prstGeom prst="rect">
                      <a:avLst/>
                    </a:prstGeom>
                    <a:noFill/>
                    <a:ln w="9525">
                      <a:noFill/>
                    </a:ln>
                  </pic:spPr>
                </pic:pic>
              </a:graphicData>
            </a:graphic>
          </wp:inline>
        </w:drawing>
      </w:r>
    </w:p>
    <w:p w14:paraId="57DCAD0C">
      <w:pPr>
        <w:pStyle w:val="182"/>
        <w:ind w:left="420" w:firstLine="0"/>
        <w:jc w:val="center"/>
        <w:rPr>
          <w:rFonts w:hint="eastAsia" w:hAnsi="宋体" w:cs="宋体"/>
          <w:sz w:val="24"/>
          <w:szCs w:val="24"/>
        </w:rPr>
      </w:pPr>
      <w:r>
        <w:rPr>
          <w:rFonts w:hint="eastAsia"/>
        </w:rPr>
        <w:t>（3-a）顺槽式施工示意图                   （3-b）跳槽式施工示意图(隔一打</w:t>
      </w:r>
      <w:r>
        <w:rPr>
          <w:rFonts w:hint="eastAsia"/>
          <w:u w:val="dotted"/>
        </w:rPr>
        <w:t>一</w:t>
      </w:r>
      <w:r>
        <w:rPr>
          <w:rFonts w:hint="eastAsia"/>
        </w:rPr>
        <w:t>)</w:t>
      </w:r>
    </w:p>
    <w:p w14:paraId="1B9D18AD">
      <w:pPr>
        <w:keepNext/>
        <w:spacing w:before="156" w:beforeLines="50" w:after="156" w:afterLines="50" w:line="240" w:lineRule="auto"/>
        <w:jc w:val="center"/>
        <w:rPr>
          <w:rFonts w:hint="eastAsia" w:ascii="黑体" w:hAnsi="黑体" w:eastAsia="黑体" w:cs="宋体"/>
        </w:rPr>
      </w:pPr>
      <w:bookmarkStart w:id="472" w:name="_Toc75351033"/>
      <w:r>
        <w:rPr>
          <w:rFonts w:hint="eastAsia" w:ascii="黑体" w:hAnsi="黑体" w:eastAsia="黑体" w:cs="宋体"/>
        </w:rPr>
        <w:t>图3  CSM施工方式示意图</w:t>
      </w:r>
    </w:p>
    <w:p w14:paraId="7B757E70">
      <w:pPr>
        <w:pStyle w:val="173"/>
      </w:pPr>
      <w:r>
        <w:rPr>
          <w:rFonts w:hint="eastAsia"/>
        </w:rPr>
        <w:t>高压旋喷桩施工可采用单管法、双重管法、三重管法；喷浆形式可根据工程需求，采用旋喷、摆喷或定喷。其施工应符合下列规定：</w:t>
      </w:r>
    </w:p>
    <w:p w14:paraId="27F1DCAF">
      <w:pPr>
        <w:pStyle w:val="182"/>
        <w:numPr>
          <w:ilvl w:val="0"/>
          <w:numId w:val="56"/>
        </w:numPr>
        <w:ind w:left="845" w:hanging="425"/>
      </w:pPr>
      <w:r>
        <w:rPr>
          <w:rFonts w:hint="eastAsia"/>
        </w:rPr>
        <w:t>高压旋喷桩隔渗帷幕深度大于15m时，应采用双排或多排相互搭接的布置形式；隔渗帷幕深度大于20m时，应进行工艺性试验，验证施工工艺及参数的可行性；</w:t>
      </w:r>
    </w:p>
    <w:p w14:paraId="50C97E42">
      <w:pPr>
        <w:pStyle w:val="182"/>
        <w:numPr>
          <w:ilvl w:val="0"/>
          <w:numId w:val="56"/>
        </w:numPr>
        <w:ind w:left="845" w:hanging="425"/>
      </w:pPr>
      <w:r>
        <w:rPr>
          <w:rFonts w:hint="eastAsia"/>
        </w:rPr>
        <w:t>高压设备及管路系统的压力、流量应符合设计要求；高压胶管、接头、喷嘴应完好无损，连接应牢固可靠；严禁在带压状态下拆卸、检修管路及相关部件，防止高压浆液泄漏伤人；</w:t>
      </w:r>
    </w:p>
    <w:p w14:paraId="01CE341B">
      <w:pPr>
        <w:pStyle w:val="182"/>
        <w:numPr>
          <w:ilvl w:val="0"/>
          <w:numId w:val="56"/>
        </w:numPr>
        <w:ind w:left="845" w:hanging="425"/>
      </w:pPr>
      <w:r>
        <w:rPr>
          <w:rFonts w:hint="eastAsia"/>
        </w:rPr>
        <w:t>作业时，操作人员与喷嘴的安全距离不应小于0.6m，严禁人员正对喷嘴作业，作业区域应设置警示标识，严禁无关人员进入作业禁区；</w:t>
      </w:r>
    </w:p>
    <w:p w14:paraId="4C7F99E9">
      <w:pPr>
        <w:pStyle w:val="182"/>
        <w:numPr>
          <w:ilvl w:val="0"/>
          <w:numId w:val="56"/>
        </w:numPr>
        <w:ind w:left="845" w:hanging="425"/>
      </w:pPr>
      <w:r>
        <w:rPr>
          <w:rFonts w:hint="eastAsia"/>
        </w:rPr>
        <w:t>高压旋喷桩施工时，喷射孔与高压注浆泵的距离不宜大于50m，确保浆液输送稳定，减少管路压力损失；</w:t>
      </w:r>
    </w:p>
    <w:p w14:paraId="089CB459">
      <w:pPr>
        <w:pStyle w:val="182"/>
        <w:numPr>
          <w:ilvl w:val="0"/>
          <w:numId w:val="56"/>
        </w:numPr>
        <w:ind w:left="845" w:hanging="425"/>
      </w:pPr>
      <w:r>
        <w:rPr>
          <w:rFonts w:hint="eastAsia"/>
        </w:rPr>
        <w:t>为防止固结体顶部因浆液凝固析水收缩影响设计高程，高喷作业应严格控制停浆面，注浆完成后应及时进行补浆，直至孔口浆面稳定不再下沉；当注浆孔临近既有建（构）筑物时，宜采用速凝浆液进行喷射注浆，并配合隔孔施工、控制注浆压力及注浆量，减少施工对周边建（构）筑物的扰动。</w:t>
      </w:r>
    </w:p>
    <w:p w14:paraId="176D35C4">
      <w:pPr>
        <w:pStyle w:val="173"/>
      </w:pPr>
      <w:r>
        <w:rPr>
          <w:rFonts w:hint="eastAsia"/>
        </w:rPr>
        <w:t>MJS工法施工前，应结合工程地质、水文地质及周边环境条件，设定喷射流压力和流量、同轴压缩空气压力和流量、地内压力控制系数、钻杆提升或回抽步进参数、单次步进钻杆转数、浆液比重、水泥用量等施工参数，且施工过程中应对上述参数进行实时监控，确保施工质量与安全。其施工应符合下列规定：</w:t>
      </w:r>
    </w:p>
    <w:p w14:paraId="78150A13">
      <w:pPr>
        <w:pStyle w:val="182"/>
        <w:numPr>
          <w:ilvl w:val="0"/>
          <w:numId w:val="57"/>
        </w:numPr>
        <w:ind w:left="845" w:hanging="425"/>
      </w:pPr>
      <w:r>
        <w:rPr>
          <w:rFonts w:hint="eastAsia"/>
        </w:rPr>
        <w:t>施工过程中，遇易导致钻孔坍塌的土层时，应采取可靠的护壁措施，防止孔壁坍塌、埋钻等事故发生，保障施工顺利进行；</w:t>
      </w:r>
    </w:p>
    <w:p w14:paraId="00F78976">
      <w:pPr>
        <w:pStyle w:val="182"/>
        <w:numPr>
          <w:ilvl w:val="0"/>
          <w:numId w:val="57"/>
        </w:numPr>
        <w:ind w:left="845" w:hanging="425"/>
      </w:pPr>
      <w:r>
        <w:rPr>
          <w:rFonts w:hint="eastAsia"/>
        </w:rPr>
        <w:t>喷浆作业全过程必须严格监测环境相关数据，密切关注地内压力变化情况。施工中若出现地内压力异常，应及时通过调节回流水量、回流气量、排浆阀门开度等措施调整排浆量，将地内压力控制在1.3～1.6MPa范围内，减少施工对周边地层及环境的扰动；</w:t>
      </w:r>
    </w:p>
    <w:p w14:paraId="0541587A">
      <w:pPr>
        <w:pStyle w:val="182"/>
        <w:numPr>
          <w:ilvl w:val="0"/>
          <w:numId w:val="57"/>
        </w:numPr>
        <w:ind w:left="845" w:hanging="425"/>
      </w:pPr>
      <w:r>
        <w:rPr>
          <w:rFonts w:hint="eastAsia"/>
        </w:rPr>
        <w:t>施工宜采用间隔、跳桩的施工方式；当桩间距小于3倍有效桩径进行群桩施工时，相邻桩的施工间隔时间不应小于24h；若无条件采用跳桩施工，同一截面的施工间隔时间也不得小于24h，避免相邻未硬化桩体受扰动，保障桩体搭接质量与整体稳定性。</w:t>
      </w:r>
    </w:p>
    <w:p w14:paraId="7E43BA52">
      <w:pPr>
        <w:pStyle w:val="173"/>
      </w:pPr>
      <w:r>
        <w:rPr>
          <w:rFonts w:hint="eastAsia"/>
        </w:rPr>
        <w:t>水泥土类工艺隔渗帷幕施工应连续不中断，如施工过程中因故停止，恢复施工后应与已完成喷浆的区域重叠一定高度。如停工时间过长存在埋钻等风险时，应及时拔除钻具并进行清洗，防止钻具、喷嘴堵塞。</w:t>
      </w:r>
    </w:p>
    <w:p w14:paraId="29D21B02">
      <w:pPr>
        <w:pStyle w:val="173"/>
      </w:pPr>
      <w:r>
        <w:rPr>
          <w:rFonts w:hint="eastAsia"/>
        </w:rPr>
        <w:t xml:space="preserve"> </w:t>
      </w:r>
      <w:bookmarkEnd w:id="472"/>
      <w:r>
        <w:rPr>
          <w:rFonts w:hint="eastAsia"/>
        </w:rPr>
        <w:t>咬合式排桩由素混凝土桩（Ⅰ桩）与钢筋混凝土桩（Ⅱ桩）相互咬合形成，其施工应符合下列要求：</w:t>
      </w:r>
    </w:p>
    <w:p w14:paraId="53CF1604">
      <w:pPr>
        <w:pStyle w:val="182"/>
        <w:numPr>
          <w:ilvl w:val="0"/>
          <w:numId w:val="58"/>
        </w:numPr>
        <w:ind w:left="845" w:hanging="425"/>
      </w:pPr>
      <w:r>
        <w:rPr>
          <w:rFonts w:hint="eastAsia"/>
        </w:rPr>
        <w:t>咬合式排桩隔渗帷幕施工所用机械，宜采用全套管全回转钻机、搓管机、振动锤、旋挖钻机驱动护筒等；钻孔机械的选型应结合工程实际需求，综合考虑桩机型号、功能及适配性，确保满足施工质量与效率要求；</w:t>
      </w:r>
    </w:p>
    <w:p w14:paraId="127E9D50">
      <w:pPr>
        <w:pStyle w:val="182"/>
        <w:numPr>
          <w:ilvl w:val="0"/>
          <w:numId w:val="58"/>
        </w:numPr>
        <w:ind w:left="845" w:hanging="425"/>
      </w:pPr>
      <w:r>
        <w:rPr>
          <w:rFonts w:hint="eastAsia"/>
        </w:rPr>
        <w:t>施工前，应根据设计参数、工程地质及水文地质条件、地下障碍物分布情况、施工经验、周边环境要求及机械选型特点，合理选用硬切割或软切割施工工艺。采用硬切割工艺时，Ⅱ桩施工应待两侧Ⅰ桩混凝土终凝后，方可进行切割成孔；采用软切割工艺时，Ⅱ桩应在两侧Ⅰ桩混凝土初凝前完成切割成孔，确保桩体咬合质量；</w:t>
      </w:r>
    </w:p>
    <w:p w14:paraId="4A182D92">
      <w:pPr>
        <w:pStyle w:val="182"/>
        <w:numPr>
          <w:ilvl w:val="0"/>
          <w:numId w:val="58"/>
        </w:numPr>
        <w:ind w:left="845" w:hanging="425"/>
      </w:pPr>
      <w:r>
        <w:rPr>
          <w:rFonts w:hint="eastAsia"/>
        </w:rPr>
        <w:t>施工前，应构筑混凝土导墙；导墙上应预留定位孔，定位孔直径应比桩直径大30mm～50mm。导墙应具备足够的强度、刚度及稳定性，满足施工定位及桩机作业承载要求，防止施工过程中发生变形、移位；</w:t>
      </w:r>
    </w:p>
    <w:p w14:paraId="02B90346">
      <w:pPr>
        <w:pStyle w:val="182"/>
        <w:numPr>
          <w:ilvl w:val="0"/>
          <w:numId w:val="58"/>
        </w:numPr>
        <w:ind w:left="845" w:hanging="425"/>
      </w:pPr>
      <w:r>
        <w:rPr>
          <w:rFonts w:hint="eastAsia"/>
        </w:rPr>
        <w:t>施工顺序应遵循“先施工Ⅰ桩、后施工Ⅱ桩”的原则，宜先施工两根或多根Ⅰ桩，再施工相邻Ⅱ桩（如图4所示）。Ⅰ桩（素混凝土桩）宜采用超缓凝混凝土浇筑，也可采用低强度等级混凝土浇筑，确保切割成孔时桩体强度满足施工要求，避免桩体破损影响咬合效果。</w:t>
      </w:r>
    </w:p>
    <w:p w14:paraId="49C9EB0D">
      <w:pPr>
        <w:pStyle w:val="182"/>
        <w:ind w:left="0" w:firstLine="0"/>
        <w:jc w:val="center"/>
      </w:pPr>
      <w:r>
        <w:rPr>
          <w:rFonts w:hAnsi="宋体" w:cs="宋体"/>
          <w:sz w:val="24"/>
          <w:szCs w:val="24"/>
        </w:rPr>
        <w:drawing>
          <wp:inline distT="0" distB="0" distL="114300" distR="114300">
            <wp:extent cx="1931670" cy="1440180"/>
            <wp:effectExtent l="0" t="0" r="11430" b="7620"/>
            <wp:docPr id="1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56"/>
                    <pic:cNvPicPr>
                      <a:picLocks noChangeAspect="1"/>
                    </pic:cNvPicPr>
                  </pic:nvPicPr>
                  <pic:blipFill>
                    <a:blip r:embed="rId42"/>
                    <a:stretch>
                      <a:fillRect/>
                    </a:stretch>
                  </pic:blipFill>
                  <pic:spPr>
                    <a:xfrm>
                      <a:off x="0" y="0"/>
                      <a:ext cx="1931670" cy="1440180"/>
                    </a:xfrm>
                    <a:prstGeom prst="rect">
                      <a:avLst/>
                    </a:prstGeom>
                    <a:noFill/>
                    <a:ln w="9525">
                      <a:noFill/>
                    </a:ln>
                  </pic:spPr>
                </pic:pic>
              </a:graphicData>
            </a:graphic>
          </wp:inline>
        </w:drawing>
      </w:r>
    </w:p>
    <w:p w14:paraId="6951D51A">
      <w:pPr>
        <w:keepNext/>
        <w:spacing w:before="156" w:beforeLines="50" w:after="156" w:afterLines="50" w:line="240" w:lineRule="auto"/>
        <w:jc w:val="center"/>
        <w:rPr>
          <w:rFonts w:hint="eastAsia" w:ascii="黑体" w:hAnsi="黑体" w:eastAsia="黑体" w:cs="宋体"/>
        </w:rPr>
      </w:pPr>
      <w:r>
        <w:rPr>
          <w:rFonts w:hint="eastAsia" w:ascii="黑体" w:hAnsi="黑体" w:eastAsia="黑体" w:cs="宋体"/>
        </w:rPr>
        <w:t>图4  咬合桩施工工序示意图</w:t>
      </w:r>
    </w:p>
    <w:p w14:paraId="5EF82D35">
      <w:pPr>
        <w:pStyle w:val="173"/>
      </w:pPr>
      <w:r>
        <w:rPr>
          <w:rFonts w:hint="eastAsia"/>
        </w:rPr>
        <w:t>地下连续墙作为隔渗帷幕时，其施工应符合下列规定：</w:t>
      </w:r>
    </w:p>
    <w:p w14:paraId="18D10693">
      <w:pPr>
        <w:pStyle w:val="182"/>
        <w:numPr>
          <w:ilvl w:val="0"/>
          <w:numId w:val="59"/>
        </w:numPr>
        <w:ind w:left="845" w:hanging="425"/>
      </w:pPr>
      <w:r>
        <w:rPr>
          <w:rFonts w:hint="eastAsia"/>
        </w:rPr>
        <w:t>槽段开挖过程中，应严格控制成槽设备的作业速度，保障槽壁稳定性及泥浆护壁效果；避免因扰动过大导致槽壁坍塌、泥浆流失或泥浆移除异常；</w:t>
      </w:r>
    </w:p>
    <w:p w14:paraId="5312B62E">
      <w:pPr>
        <w:pStyle w:val="182"/>
        <w:numPr>
          <w:ilvl w:val="0"/>
          <w:numId w:val="59"/>
        </w:numPr>
        <w:ind w:left="845" w:hanging="425"/>
      </w:pPr>
      <w:r>
        <w:rPr>
          <w:rFonts w:hint="eastAsia"/>
        </w:rPr>
        <w:t>应严格控制接头施工质量，防止接头处出现渗漏通道，确保帷幕整体防渗性能达标；</w:t>
      </w:r>
    </w:p>
    <w:p w14:paraId="5D3CD0B8">
      <w:pPr>
        <w:pStyle w:val="182"/>
        <w:numPr>
          <w:ilvl w:val="0"/>
          <w:numId w:val="59"/>
        </w:numPr>
        <w:ind w:left="845" w:hanging="425"/>
      </w:pPr>
      <w:r>
        <w:rPr>
          <w:rFonts w:hint="eastAsia"/>
        </w:rPr>
        <w:t>成槽作业完成后，应对相邻槽段端口进行全断面清刷除泥，确保接头处无夹泥、无杂物，保障接头连接密实。刷壁作业时，刷壁器钢丝刷应与混凝土端面全面、充分接触，进行彻底刷壁，清除端面浮浆及泥渣；闭合幅施工时，应增加刷壁次数，进一步提升接头清洁度，确保咬合紧密、防渗可靠；</w:t>
      </w:r>
    </w:p>
    <w:p w14:paraId="013F0C25">
      <w:pPr>
        <w:pStyle w:val="182"/>
        <w:numPr>
          <w:ilvl w:val="0"/>
          <w:numId w:val="59"/>
        </w:numPr>
        <w:ind w:left="845" w:hanging="425"/>
      </w:pPr>
      <w:r>
        <w:rPr>
          <w:rFonts w:hint="eastAsia"/>
        </w:rPr>
        <w:t>成槽完成后应及时灌注水下混凝土，从成槽结束至混凝土灌注的间隔时间不应超过0.5h，避免槽底沉渣回升影响施工质量。混凝土灌注过程中，应随着墙内混凝土面的上升，及时提升并拆卸导管，导管底端埋入混凝土面以下的深度宜控制在2～6m，严禁导管底端脱离混凝土面，确保水下混凝土灌注密实，防止出现断桩、夹泥等质量缺陷，保障隔渗帷幕的整体性和抗渗性。</w:t>
      </w:r>
    </w:p>
    <w:p w14:paraId="59B2C095">
      <w:pPr>
        <w:pStyle w:val="173"/>
      </w:pPr>
      <w:r>
        <w:rPr>
          <w:rFonts w:hint="eastAsia"/>
        </w:rPr>
        <w:t>拉森钢板桩作为隔渗帷幕时，应结合工程地质、水文地质条件及周边环境，分析施工过程中可能对周围建（构）筑物、地下管线、道路及土体产生的不利影响，并制定防控措施，确保施工安全及周边环境稳定。其施工应符合下列规定：</w:t>
      </w:r>
    </w:p>
    <w:p w14:paraId="6E0F51B3">
      <w:pPr>
        <w:pStyle w:val="182"/>
        <w:numPr>
          <w:ilvl w:val="0"/>
          <w:numId w:val="60"/>
        </w:numPr>
        <w:ind w:left="845" w:hanging="425"/>
      </w:pPr>
      <w:r>
        <w:rPr>
          <w:rFonts w:hint="eastAsia"/>
        </w:rPr>
        <w:t>钢板桩墙转角处应完整封闭，可采用特制转角钢板桩或通过切割、焊接等工艺加工形成异型钢板桩进行转角连接；</w:t>
      </w:r>
    </w:p>
    <w:p w14:paraId="5A923969">
      <w:pPr>
        <w:pStyle w:val="182"/>
        <w:numPr>
          <w:ilvl w:val="0"/>
          <w:numId w:val="60"/>
        </w:numPr>
        <w:ind w:left="845" w:hanging="425"/>
      </w:pPr>
      <w:r>
        <w:rPr>
          <w:rFonts w:hint="eastAsia"/>
        </w:rPr>
        <w:t>定位及沉桩施工全过程，应配备专用桩身垂直度观测仪器，对钢板桩垂直度进行实时监测，宜每隔一定深度进行一次垂直度测量，发现偏差时应及时校正，校正合格后方可继续沉桩；当桩身偏斜过大，无法采用拉齐方法矫正时，应将钢板桩拔起后重新沉桩；</w:t>
      </w:r>
    </w:p>
    <w:p w14:paraId="5027912F">
      <w:pPr>
        <w:pStyle w:val="182"/>
        <w:numPr>
          <w:ilvl w:val="0"/>
          <w:numId w:val="60"/>
        </w:numPr>
        <w:ind w:left="845" w:hanging="425"/>
      </w:pPr>
      <w:r>
        <w:rPr>
          <w:rFonts w:hint="eastAsia"/>
        </w:rPr>
        <w:t>需要采取辅助引孔措施进行沉桩时，应进行成桩试验，验证引孔工艺及参数的可行性；引孔直径宜比钢板桩宽度小50mm～100mm，引孔垂直度不宜大于0.5%；引孔作业与沉桩作业应连续进行，两者间隔时间不宜大于12h，防止孔壁坍塌；引孔与拉森钢板桩之间的间隙，应及时采用合适材料进行回填压实，确保桩体与土体结合紧密，避免形成渗漏通道；</w:t>
      </w:r>
    </w:p>
    <w:p w14:paraId="4D9340F7">
      <w:pPr>
        <w:pStyle w:val="182"/>
        <w:numPr>
          <w:ilvl w:val="0"/>
          <w:numId w:val="60"/>
        </w:numPr>
        <w:ind w:left="845" w:hanging="425"/>
      </w:pPr>
      <w:r>
        <w:rPr>
          <w:rFonts w:hint="eastAsia"/>
        </w:rPr>
        <w:t>钢板桩的拔除应在基坑回填至设计标高且回填密实后进行；钢板桩拔除后遗留的桩孔，应及时采用注浆方式进行回填处理，注浆应填充密实，防止土体沉降；拔除钢板桩全过程，应加强对周边建（构）筑物、地下管线及地面沉降的监测，发现异常情况立即停止作业，采取应急防控措施后再继续施工。</w:t>
      </w:r>
    </w:p>
    <w:p w14:paraId="4E30511D">
      <w:pPr>
        <w:pStyle w:val="173"/>
      </w:pPr>
      <w:r>
        <w:rPr>
          <w:rFonts w:hint="eastAsia"/>
        </w:rPr>
        <w:t>隔渗帷幕施工过程中产生的泥浆废液、槽段开挖出的土方应及时清理，满足文明施工的要求。</w:t>
      </w:r>
    </w:p>
    <w:p w14:paraId="61094A59">
      <w:pPr>
        <w:pStyle w:val="173"/>
      </w:pPr>
      <w:r>
        <w:rPr>
          <w:rFonts w:hint="eastAsia"/>
        </w:rPr>
        <w:t>土方开挖前，隔渗帷幕的强度与龄期均应达到设计要求。</w:t>
      </w:r>
    </w:p>
    <w:bookmarkEnd w:id="461"/>
    <w:p w14:paraId="4BCEC0F7">
      <w:pPr>
        <w:pStyle w:val="112"/>
        <w:spacing w:before="312" w:after="312"/>
      </w:pPr>
      <w:bookmarkStart w:id="473" w:name="_Toc6511"/>
      <w:r>
        <w:rPr>
          <w:rFonts w:hint="eastAsia"/>
        </w:rPr>
        <w:t xml:space="preserve"> </w:t>
      </w:r>
      <w:bookmarkStart w:id="474" w:name="_Toc16826"/>
      <w:r>
        <w:rPr>
          <w:rFonts w:hint="eastAsia"/>
        </w:rPr>
        <w:t>降水与集水明排</w:t>
      </w:r>
      <w:bookmarkEnd w:id="473"/>
      <w:bookmarkEnd w:id="474"/>
    </w:p>
    <w:p w14:paraId="1379294E">
      <w:pPr>
        <w:pStyle w:val="113"/>
        <w:spacing w:before="156" w:after="156"/>
      </w:pPr>
      <w:bookmarkStart w:id="475" w:name="_Toc142730179"/>
      <w:bookmarkStart w:id="476" w:name="_Toc15134"/>
      <w:bookmarkStart w:id="477" w:name="_Toc2112"/>
      <w:r>
        <w:rPr>
          <w:rFonts w:hint="eastAsia"/>
        </w:rPr>
        <w:t>一般规定</w:t>
      </w:r>
      <w:bookmarkEnd w:id="475"/>
      <w:bookmarkEnd w:id="476"/>
      <w:bookmarkEnd w:id="477"/>
    </w:p>
    <w:p w14:paraId="48C1402F">
      <w:pPr>
        <w:pStyle w:val="173"/>
      </w:pPr>
      <w:r>
        <w:rPr>
          <w:rFonts w:hint="eastAsia"/>
        </w:rPr>
        <w:t>降排水方法的选择应根据地下水控制工程的安全等级、结合基坑工程特点、开挖方式和周边环境控制要求综合确定。</w:t>
      </w:r>
    </w:p>
    <w:p w14:paraId="3CAE48A9">
      <w:pPr>
        <w:pStyle w:val="173"/>
      </w:pPr>
      <w:r>
        <w:rPr>
          <w:rFonts w:hint="eastAsia"/>
        </w:rPr>
        <w:t>降排水方法主要包括管井降水、真空管井降水、轻型井点降水、集水明排等类型。其适用范围可参照表10确定。</w:t>
      </w:r>
    </w:p>
    <w:p w14:paraId="6F07AFB7">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表10 降排水方法适用范围表</w:t>
      </w:r>
    </w:p>
    <w:tbl>
      <w:tblPr>
        <w:tblStyle w:val="34"/>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4111"/>
        <w:gridCol w:w="1418"/>
        <w:gridCol w:w="1842"/>
      </w:tblGrid>
      <w:tr w14:paraId="3E5E5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vMerge w:val="restart"/>
            <w:tcBorders>
              <w:top w:val="single" w:color="auto" w:sz="12" w:space="0"/>
            </w:tcBorders>
            <w:vAlign w:val="center"/>
          </w:tcPr>
          <w:p w14:paraId="2632CB31">
            <w:pPr>
              <w:pStyle w:val="253"/>
              <w:spacing w:line="240" w:lineRule="auto"/>
              <w:ind w:firstLine="0"/>
              <w:jc w:val="center"/>
              <w:rPr>
                <w:rFonts w:hint="eastAsia"/>
                <w:bCs/>
                <w:color w:val="auto"/>
                <w:sz w:val="18"/>
                <w:szCs w:val="18"/>
              </w:rPr>
            </w:pPr>
            <w:r>
              <w:rPr>
                <w:rFonts w:hint="eastAsia"/>
                <w:bCs/>
                <w:color w:val="auto"/>
                <w:sz w:val="18"/>
                <w:szCs w:val="18"/>
              </w:rPr>
              <w:t>降排水方法</w:t>
            </w:r>
          </w:p>
        </w:tc>
        <w:tc>
          <w:tcPr>
            <w:tcW w:w="7371" w:type="dxa"/>
            <w:gridSpan w:val="3"/>
            <w:tcBorders>
              <w:top w:val="single" w:color="auto" w:sz="12" w:space="0"/>
              <w:bottom w:val="single" w:color="auto" w:sz="8" w:space="0"/>
            </w:tcBorders>
            <w:vAlign w:val="center"/>
          </w:tcPr>
          <w:p w14:paraId="7D29BC26">
            <w:pPr>
              <w:pStyle w:val="253"/>
              <w:spacing w:line="240" w:lineRule="auto"/>
              <w:ind w:firstLine="0"/>
              <w:jc w:val="center"/>
              <w:rPr>
                <w:rFonts w:hint="eastAsia"/>
                <w:bCs/>
                <w:color w:val="auto"/>
                <w:sz w:val="18"/>
                <w:szCs w:val="18"/>
              </w:rPr>
            </w:pPr>
            <w:r>
              <w:rPr>
                <w:rFonts w:hint="eastAsia"/>
                <w:bCs/>
                <w:color w:val="auto"/>
                <w:sz w:val="18"/>
                <w:szCs w:val="18"/>
              </w:rPr>
              <w:t>适用范围</w:t>
            </w:r>
          </w:p>
        </w:tc>
      </w:tr>
      <w:tr w14:paraId="4146B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vMerge w:val="continue"/>
            <w:tcBorders>
              <w:bottom w:val="single" w:color="auto" w:sz="12" w:space="0"/>
            </w:tcBorders>
            <w:vAlign w:val="center"/>
          </w:tcPr>
          <w:p w14:paraId="03691707">
            <w:pPr>
              <w:pStyle w:val="253"/>
              <w:spacing w:line="240" w:lineRule="auto"/>
              <w:ind w:firstLine="0"/>
              <w:jc w:val="center"/>
              <w:rPr>
                <w:rFonts w:hint="eastAsia"/>
                <w:bCs/>
                <w:color w:val="auto"/>
                <w:sz w:val="18"/>
                <w:szCs w:val="18"/>
              </w:rPr>
            </w:pPr>
          </w:p>
        </w:tc>
        <w:tc>
          <w:tcPr>
            <w:tcW w:w="4111" w:type="dxa"/>
            <w:tcBorders>
              <w:top w:val="single" w:color="auto" w:sz="8" w:space="0"/>
              <w:bottom w:val="single" w:color="auto" w:sz="12" w:space="0"/>
            </w:tcBorders>
            <w:vAlign w:val="center"/>
          </w:tcPr>
          <w:p w14:paraId="6C5A6CC2">
            <w:pPr>
              <w:pStyle w:val="253"/>
              <w:spacing w:line="240" w:lineRule="auto"/>
              <w:ind w:firstLine="0"/>
              <w:jc w:val="center"/>
              <w:rPr>
                <w:rFonts w:hint="eastAsia"/>
                <w:bCs/>
                <w:color w:val="auto"/>
                <w:sz w:val="18"/>
                <w:szCs w:val="18"/>
              </w:rPr>
            </w:pPr>
            <w:r>
              <w:rPr>
                <w:rFonts w:hint="eastAsia"/>
                <w:bCs/>
                <w:color w:val="auto"/>
                <w:sz w:val="18"/>
                <w:szCs w:val="18"/>
              </w:rPr>
              <w:t>地下水类型</w:t>
            </w:r>
          </w:p>
        </w:tc>
        <w:tc>
          <w:tcPr>
            <w:tcW w:w="1418" w:type="dxa"/>
            <w:tcBorders>
              <w:top w:val="single" w:color="auto" w:sz="8" w:space="0"/>
              <w:bottom w:val="single" w:color="auto" w:sz="12" w:space="0"/>
            </w:tcBorders>
            <w:vAlign w:val="center"/>
          </w:tcPr>
          <w:p w14:paraId="5E92F1FF">
            <w:pPr>
              <w:pStyle w:val="253"/>
              <w:spacing w:line="240" w:lineRule="auto"/>
              <w:ind w:firstLine="0"/>
              <w:jc w:val="center"/>
              <w:rPr>
                <w:rFonts w:hint="eastAsia"/>
                <w:bCs/>
                <w:color w:val="auto"/>
                <w:sz w:val="18"/>
                <w:szCs w:val="18"/>
              </w:rPr>
            </w:pPr>
            <w:r>
              <w:rPr>
                <w:rFonts w:hint="eastAsia"/>
                <w:bCs/>
                <w:color w:val="auto"/>
                <w:sz w:val="18"/>
                <w:szCs w:val="18"/>
              </w:rPr>
              <w:t>渗透系数(m/d)</w:t>
            </w:r>
          </w:p>
        </w:tc>
        <w:tc>
          <w:tcPr>
            <w:tcW w:w="1842" w:type="dxa"/>
            <w:tcBorders>
              <w:top w:val="single" w:color="auto" w:sz="8" w:space="0"/>
              <w:bottom w:val="single" w:color="auto" w:sz="12" w:space="0"/>
            </w:tcBorders>
            <w:vAlign w:val="center"/>
          </w:tcPr>
          <w:p w14:paraId="0F2F6243">
            <w:pPr>
              <w:pStyle w:val="253"/>
              <w:spacing w:line="240" w:lineRule="auto"/>
              <w:ind w:firstLine="0"/>
              <w:jc w:val="center"/>
              <w:rPr>
                <w:rFonts w:hint="eastAsia"/>
                <w:bCs/>
                <w:color w:val="auto"/>
                <w:sz w:val="18"/>
                <w:szCs w:val="18"/>
              </w:rPr>
            </w:pPr>
            <w:r>
              <w:rPr>
                <w:rFonts w:hint="eastAsia"/>
                <w:bCs/>
                <w:color w:val="auto"/>
                <w:sz w:val="18"/>
                <w:szCs w:val="18"/>
              </w:rPr>
              <w:t>降水深度（m）</w:t>
            </w:r>
          </w:p>
        </w:tc>
      </w:tr>
      <w:tr w14:paraId="5A92C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vAlign w:val="center"/>
          </w:tcPr>
          <w:p w14:paraId="0CCC5C35">
            <w:pPr>
              <w:pStyle w:val="253"/>
              <w:spacing w:line="240" w:lineRule="auto"/>
              <w:ind w:firstLine="0"/>
              <w:jc w:val="center"/>
              <w:rPr>
                <w:rFonts w:hint="eastAsia"/>
                <w:bCs/>
                <w:color w:val="auto"/>
                <w:sz w:val="18"/>
                <w:szCs w:val="18"/>
              </w:rPr>
            </w:pPr>
            <w:r>
              <w:rPr>
                <w:rFonts w:hint="eastAsia"/>
                <w:bCs/>
                <w:color w:val="auto"/>
                <w:sz w:val="18"/>
                <w:szCs w:val="18"/>
              </w:rPr>
              <w:t>管井降水</w:t>
            </w:r>
          </w:p>
        </w:tc>
        <w:tc>
          <w:tcPr>
            <w:tcW w:w="4111" w:type="dxa"/>
            <w:tcBorders>
              <w:top w:val="single" w:color="auto" w:sz="12" w:space="0"/>
            </w:tcBorders>
            <w:vAlign w:val="center"/>
          </w:tcPr>
          <w:p w14:paraId="089C8C10">
            <w:pPr>
              <w:pStyle w:val="253"/>
              <w:spacing w:line="240" w:lineRule="auto"/>
              <w:ind w:firstLine="0"/>
              <w:jc w:val="center"/>
              <w:rPr>
                <w:rFonts w:hint="eastAsia"/>
                <w:bCs/>
                <w:color w:val="auto"/>
                <w:sz w:val="18"/>
                <w:szCs w:val="18"/>
              </w:rPr>
            </w:pPr>
            <w:r>
              <w:rPr>
                <w:rFonts w:hint="eastAsia"/>
                <w:bCs/>
                <w:color w:val="auto"/>
                <w:sz w:val="18"/>
                <w:szCs w:val="18"/>
              </w:rPr>
              <w:t>潜水、承压水/岩溶水、基岩裂隙水</w:t>
            </w:r>
          </w:p>
        </w:tc>
        <w:tc>
          <w:tcPr>
            <w:tcW w:w="1418" w:type="dxa"/>
            <w:tcBorders>
              <w:top w:val="single" w:color="auto" w:sz="12" w:space="0"/>
            </w:tcBorders>
            <w:vAlign w:val="center"/>
          </w:tcPr>
          <w:p w14:paraId="7129DE38">
            <w:pPr>
              <w:pStyle w:val="253"/>
              <w:spacing w:line="240" w:lineRule="auto"/>
              <w:ind w:firstLine="0"/>
              <w:jc w:val="center"/>
              <w:rPr>
                <w:rFonts w:hint="eastAsia"/>
                <w:bCs/>
                <w:color w:val="auto"/>
                <w:sz w:val="18"/>
                <w:szCs w:val="18"/>
              </w:rPr>
            </w:pPr>
            <w:r>
              <w:rPr>
                <w:rFonts w:hint="eastAsia"/>
                <w:bCs/>
                <w:color w:val="auto"/>
                <w:sz w:val="18"/>
                <w:szCs w:val="18"/>
              </w:rPr>
              <w:t>≥5</w:t>
            </w:r>
          </w:p>
        </w:tc>
        <w:tc>
          <w:tcPr>
            <w:tcW w:w="1842" w:type="dxa"/>
            <w:tcBorders>
              <w:top w:val="single" w:color="auto" w:sz="12" w:space="0"/>
            </w:tcBorders>
            <w:vAlign w:val="center"/>
          </w:tcPr>
          <w:p w14:paraId="7B7909D6">
            <w:pPr>
              <w:pStyle w:val="253"/>
              <w:spacing w:line="240" w:lineRule="auto"/>
              <w:ind w:firstLine="0"/>
              <w:jc w:val="center"/>
              <w:rPr>
                <w:rFonts w:hint="eastAsia"/>
                <w:bCs/>
                <w:color w:val="auto"/>
                <w:sz w:val="18"/>
                <w:szCs w:val="18"/>
              </w:rPr>
            </w:pPr>
            <w:r>
              <w:rPr>
                <w:rFonts w:hint="eastAsia"/>
                <w:bCs/>
                <w:color w:val="auto"/>
                <w:sz w:val="18"/>
                <w:szCs w:val="18"/>
              </w:rPr>
              <w:t>—</w:t>
            </w:r>
          </w:p>
        </w:tc>
      </w:tr>
      <w:tr w14:paraId="110D1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vAlign w:val="center"/>
          </w:tcPr>
          <w:p w14:paraId="2DFA6FA7">
            <w:pPr>
              <w:pStyle w:val="253"/>
              <w:spacing w:line="240" w:lineRule="auto"/>
              <w:ind w:firstLine="0"/>
              <w:jc w:val="center"/>
              <w:rPr>
                <w:rFonts w:hint="eastAsia"/>
                <w:bCs/>
                <w:color w:val="auto"/>
                <w:sz w:val="18"/>
                <w:szCs w:val="18"/>
              </w:rPr>
            </w:pPr>
            <w:r>
              <w:rPr>
                <w:rFonts w:hint="eastAsia"/>
                <w:bCs/>
                <w:color w:val="auto"/>
                <w:sz w:val="18"/>
                <w:szCs w:val="18"/>
              </w:rPr>
              <w:t>真空管井降水</w:t>
            </w:r>
          </w:p>
        </w:tc>
        <w:tc>
          <w:tcPr>
            <w:tcW w:w="4111" w:type="dxa"/>
            <w:vAlign w:val="center"/>
          </w:tcPr>
          <w:p w14:paraId="272C24EC">
            <w:pPr>
              <w:pStyle w:val="253"/>
              <w:spacing w:line="240" w:lineRule="auto"/>
              <w:ind w:firstLine="0"/>
              <w:jc w:val="center"/>
              <w:rPr>
                <w:rFonts w:hint="eastAsia"/>
                <w:bCs/>
                <w:color w:val="auto"/>
                <w:sz w:val="18"/>
                <w:szCs w:val="18"/>
              </w:rPr>
            </w:pPr>
            <w:r>
              <w:rPr>
                <w:rFonts w:hint="eastAsia"/>
                <w:bCs/>
                <w:color w:val="auto"/>
                <w:sz w:val="18"/>
                <w:szCs w:val="18"/>
              </w:rPr>
              <w:t>潜水、承压水</w:t>
            </w:r>
          </w:p>
        </w:tc>
        <w:tc>
          <w:tcPr>
            <w:tcW w:w="1418" w:type="dxa"/>
            <w:vAlign w:val="center"/>
          </w:tcPr>
          <w:p w14:paraId="3BC8AB67">
            <w:pPr>
              <w:pStyle w:val="253"/>
              <w:spacing w:line="240" w:lineRule="auto"/>
              <w:ind w:firstLine="0"/>
              <w:jc w:val="center"/>
              <w:rPr>
                <w:rFonts w:hint="eastAsia"/>
                <w:bCs/>
                <w:color w:val="auto"/>
                <w:sz w:val="18"/>
                <w:szCs w:val="18"/>
              </w:rPr>
            </w:pPr>
            <w:r>
              <w:rPr>
                <w:rFonts w:hint="eastAsia"/>
                <w:bCs/>
                <w:color w:val="auto"/>
                <w:sz w:val="18"/>
                <w:szCs w:val="18"/>
              </w:rPr>
              <w:t>3</w:t>
            </w:r>
            <m:oMath>
              <m:r>
                <m:rPr>
                  <m:sty m:val="p"/>
                </m:rPr>
                <w:rPr>
                  <w:rFonts w:ascii="Cambria Math" w:hAnsi="Cambria Math"/>
                  <w:color w:val="auto"/>
                  <w:sz w:val="18"/>
                  <w:szCs w:val="18"/>
                </w:rPr>
                <m:t>～</m:t>
              </m:r>
            </m:oMath>
            <w:r>
              <w:rPr>
                <w:rFonts w:hint="eastAsia"/>
                <w:bCs/>
                <w:color w:val="auto"/>
                <w:sz w:val="18"/>
                <w:szCs w:val="18"/>
              </w:rPr>
              <w:t>5</w:t>
            </w:r>
          </w:p>
        </w:tc>
        <w:tc>
          <w:tcPr>
            <w:tcW w:w="1842" w:type="dxa"/>
            <w:vAlign w:val="center"/>
          </w:tcPr>
          <w:p w14:paraId="729039BD">
            <w:pPr>
              <w:pStyle w:val="253"/>
              <w:spacing w:line="240" w:lineRule="auto"/>
              <w:ind w:firstLine="0"/>
              <w:jc w:val="center"/>
              <w:rPr>
                <w:rFonts w:hint="eastAsia"/>
                <w:bCs/>
                <w:color w:val="auto"/>
                <w:sz w:val="18"/>
                <w:szCs w:val="18"/>
              </w:rPr>
            </w:pPr>
            <w:r>
              <w:rPr>
                <w:rFonts w:hint="eastAsia"/>
                <w:bCs/>
                <w:color w:val="auto"/>
                <w:sz w:val="18"/>
                <w:szCs w:val="18"/>
              </w:rPr>
              <w:t>—</w:t>
            </w:r>
          </w:p>
        </w:tc>
      </w:tr>
      <w:tr w14:paraId="00063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vAlign w:val="center"/>
          </w:tcPr>
          <w:p w14:paraId="5F30A804">
            <w:pPr>
              <w:pStyle w:val="253"/>
              <w:spacing w:line="240" w:lineRule="auto"/>
              <w:ind w:firstLine="0"/>
              <w:jc w:val="center"/>
              <w:rPr>
                <w:rFonts w:hint="eastAsia"/>
                <w:bCs/>
                <w:color w:val="auto"/>
                <w:sz w:val="18"/>
                <w:szCs w:val="18"/>
              </w:rPr>
            </w:pPr>
            <w:r>
              <w:rPr>
                <w:rFonts w:hint="eastAsia"/>
                <w:bCs/>
                <w:color w:val="auto"/>
                <w:sz w:val="18"/>
                <w:szCs w:val="18"/>
              </w:rPr>
              <w:t>轻型井点降水</w:t>
            </w:r>
          </w:p>
        </w:tc>
        <w:tc>
          <w:tcPr>
            <w:tcW w:w="4111" w:type="dxa"/>
            <w:vAlign w:val="center"/>
          </w:tcPr>
          <w:p w14:paraId="1E453E9F">
            <w:pPr>
              <w:pStyle w:val="253"/>
              <w:spacing w:line="240" w:lineRule="auto"/>
              <w:ind w:firstLine="0"/>
              <w:jc w:val="center"/>
              <w:rPr>
                <w:rFonts w:hint="eastAsia"/>
                <w:bCs/>
                <w:color w:val="auto"/>
                <w:sz w:val="18"/>
                <w:szCs w:val="18"/>
              </w:rPr>
            </w:pPr>
            <w:r>
              <w:rPr>
                <w:rFonts w:hint="eastAsia"/>
                <w:bCs/>
                <w:color w:val="auto"/>
                <w:sz w:val="18"/>
                <w:szCs w:val="18"/>
              </w:rPr>
              <w:t>上层滞水、潜水、承压水</w:t>
            </w:r>
          </w:p>
        </w:tc>
        <w:tc>
          <w:tcPr>
            <w:tcW w:w="1418" w:type="dxa"/>
            <w:vAlign w:val="center"/>
          </w:tcPr>
          <w:p w14:paraId="0B3CA16E">
            <w:pPr>
              <w:pStyle w:val="253"/>
              <w:spacing w:line="240" w:lineRule="auto"/>
              <w:ind w:firstLine="0"/>
              <w:jc w:val="center"/>
              <w:rPr>
                <w:rFonts w:hint="eastAsia"/>
                <w:bCs/>
                <w:color w:val="auto"/>
                <w:sz w:val="18"/>
                <w:szCs w:val="18"/>
              </w:rPr>
            </w:pPr>
            <w:r>
              <w:rPr>
                <w:rFonts w:hint="eastAsia"/>
                <w:bCs/>
                <w:color w:val="auto"/>
                <w:sz w:val="18"/>
                <w:szCs w:val="18"/>
              </w:rPr>
              <w:t>0.1</w:t>
            </w:r>
            <m:oMath>
              <m:r>
                <m:rPr>
                  <m:sty m:val="p"/>
                </m:rPr>
                <w:rPr>
                  <w:rFonts w:ascii="Cambria Math" w:hAnsi="Cambria Math"/>
                  <w:color w:val="auto"/>
                  <w:sz w:val="18"/>
                  <w:szCs w:val="18"/>
                </w:rPr>
                <m:t>～</m:t>
              </m:r>
            </m:oMath>
            <w:r>
              <w:rPr>
                <w:rFonts w:hint="eastAsia"/>
                <w:bCs/>
                <w:color w:val="auto"/>
                <w:sz w:val="18"/>
                <w:szCs w:val="18"/>
              </w:rPr>
              <w:t>3</w:t>
            </w:r>
          </w:p>
        </w:tc>
        <w:tc>
          <w:tcPr>
            <w:tcW w:w="1842" w:type="dxa"/>
            <w:vAlign w:val="center"/>
          </w:tcPr>
          <w:p w14:paraId="3E1C06B5">
            <w:pPr>
              <w:pStyle w:val="253"/>
              <w:spacing w:line="240" w:lineRule="auto"/>
              <w:ind w:firstLine="0"/>
              <w:jc w:val="center"/>
              <w:rPr>
                <w:rFonts w:hint="eastAsia"/>
                <w:bCs/>
                <w:color w:val="auto"/>
                <w:sz w:val="18"/>
                <w:szCs w:val="18"/>
              </w:rPr>
            </w:pPr>
            <w:r>
              <w:rPr>
                <w:rFonts w:hint="eastAsia"/>
                <w:bCs/>
                <w:color w:val="auto"/>
                <w:sz w:val="18"/>
                <w:szCs w:val="18"/>
              </w:rPr>
              <w:t>单级＜6，多级≤12</w:t>
            </w:r>
          </w:p>
        </w:tc>
      </w:tr>
      <w:tr w14:paraId="5A346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86" w:type="dxa"/>
            <w:tcBorders>
              <w:bottom w:val="single" w:color="auto" w:sz="12" w:space="0"/>
            </w:tcBorders>
            <w:vAlign w:val="center"/>
          </w:tcPr>
          <w:p w14:paraId="624F1FC2">
            <w:pPr>
              <w:pStyle w:val="253"/>
              <w:spacing w:line="240" w:lineRule="auto"/>
              <w:ind w:firstLine="0"/>
              <w:jc w:val="center"/>
              <w:rPr>
                <w:rFonts w:hint="eastAsia"/>
                <w:bCs/>
                <w:color w:val="auto"/>
                <w:sz w:val="18"/>
                <w:szCs w:val="18"/>
              </w:rPr>
            </w:pPr>
            <w:r>
              <w:rPr>
                <w:rFonts w:hint="eastAsia"/>
                <w:bCs/>
                <w:color w:val="auto"/>
                <w:sz w:val="18"/>
                <w:szCs w:val="18"/>
              </w:rPr>
              <w:t>集水明排</w:t>
            </w:r>
          </w:p>
        </w:tc>
        <w:tc>
          <w:tcPr>
            <w:tcW w:w="4111" w:type="dxa"/>
            <w:tcBorders>
              <w:bottom w:val="single" w:color="auto" w:sz="12" w:space="0"/>
            </w:tcBorders>
            <w:vAlign w:val="center"/>
          </w:tcPr>
          <w:p w14:paraId="357F71F0">
            <w:pPr>
              <w:pStyle w:val="253"/>
              <w:spacing w:line="240" w:lineRule="auto"/>
              <w:ind w:firstLine="0"/>
              <w:jc w:val="center"/>
              <w:rPr>
                <w:rFonts w:hint="eastAsia"/>
                <w:bCs/>
                <w:color w:val="auto"/>
                <w:sz w:val="18"/>
                <w:szCs w:val="18"/>
              </w:rPr>
            </w:pPr>
            <w:r>
              <w:rPr>
                <w:rFonts w:hint="eastAsia"/>
                <w:bCs/>
                <w:color w:val="auto"/>
                <w:sz w:val="18"/>
                <w:szCs w:val="18"/>
              </w:rPr>
              <w:t>上层滞水、潜水、承压水/岩溶水、基岩裂隙水</w:t>
            </w:r>
          </w:p>
        </w:tc>
        <w:tc>
          <w:tcPr>
            <w:tcW w:w="1418" w:type="dxa"/>
            <w:tcBorders>
              <w:bottom w:val="single" w:color="auto" w:sz="12" w:space="0"/>
            </w:tcBorders>
            <w:vAlign w:val="center"/>
          </w:tcPr>
          <w:p w14:paraId="37083FA8">
            <w:pPr>
              <w:pStyle w:val="253"/>
              <w:spacing w:line="240" w:lineRule="auto"/>
              <w:ind w:firstLine="0"/>
              <w:jc w:val="center"/>
              <w:rPr>
                <w:rFonts w:hint="eastAsia"/>
                <w:bCs/>
                <w:color w:val="auto"/>
                <w:sz w:val="18"/>
                <w:szCs w:val="18"/>
              </w:rPr>
            </w:pPr>
            <w:r>
              <w:rPr>
                <w:rFonts w:hint="eastAsia"/>
                <w:bCs/>
                <w:color w:val="auto"/>
                <w:sz w:val="18"/>
                <w:szCs w:val="18"/>
              </w:rPr>
              <w:t>—</w:t>
            </w:r>
          </w:p>
        </w:tc>
        <w:tc>
          <w:tcPr>
            <w:tcW w:w="1842" w:type="dxa"/>
            <w:tcBorders>
              <w:bottom w:val="single" w:color="auto" w:sz="12" w:space="0"/>
            </w:tcBorders>
            <w:vAlign w:val="center"/>
          </w:tcPr>
          <w:p w14:paraId="17DF0062">
            <w:pPr>
              <w:pStyle w:val="253"/>
              <w:spacing w:line="240" w:lineRule="auto"/>
              <w:ind w:firstLine="0"/>
              <w:jc w:val="center"/>
              <w:rPr>
                <w:rFonts w:hint="eastAsia"/>
                <w:bCs/>
                <w:color w:val="auto"/>
                <w:sz w:val="18"/>
                <w:szCs w:val="18"/>
              </w:rPr>
            </w:pPr>
            <w:r>
              <w:rPr>
                <w:rFonts w:hint="eastAsia"/>
                <w:bCs/>
                <w:color w:val="auto"/>
                <w:sz w:val="18"/>
                <w:szCs w:val="18"/>
              </w:rPr>
              <w:t>—</w:t>
            </w:r>
          </w:p>
        </w:tc>
      </w:tr>
      <w:tr w14:paraId="135B4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57" w:type="dxa"/>
            <w:gridSpan w:val="4"/>
            <w:tcBorders>
              <w:top w:val="single" w:color="auto" w:sz="12" w:space="0"/>
              <w:bottom w:val="single" w:color="auto" w:sz="12" w:space="0"/>
            </w:tcBorders>
            <w:vAlign w:val="center"/>
          </w:tcPr>
          <w:p w14:paraId="30737442">
            <w:pPr>
              <w:spacing w:line="240" w:lineRule="auto"/>
              <w:jc w:val="left"/>
              <w:rPr>
                <w:rFonts w:hint="eastAsia" w:ascii="宋体" w:hAnsi="宋体" w:cs="宋体"/>
                <w:sz w:val="18"/>
                <w:szCs w:val="18"/>
              </w:rPr>
            </w:pPr>
            <w:r>
              <w:rPr>
                <w:rFonts w:hint="eastAsia" w:ascii="黑体" w:hAnsi="黑体" w:eastAsia="黑体" w:cs="黑体"/>
                <w:sz w:val="18"/>
                <w:szCs w:val="18"/>
              </w:rPr>
              <w:t>注：</w:t>
            </w:r>
            <w:r>
              <w:rPr>
                <w:rFonts w:hint="eastAsia" w:ascii="宋体" w:hAnsi="宋体" w:cs="宋体"/>
                <w:sz w:val="18"/>
                <w:szCs w:val="18"/>
              </w:rPr>
              <w:t>当采用集水明排作为地下水控制措施时，应满足下列条件：</w:t>
            </w:r>
          </w:p>
          <w:p w14:paraId="40862021">
            <w:p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1.抽排水过程中，不产生水土流失；</w:t>
            </w:r>
          </w:p>
          <w:p w14:paraId="1987F596">
            <w:p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2.抽排水过程不影响主体结构的施工；</w:t>
            </w:r>
          </w:p>
          <w:p w14:paraId="2F2E777E">
            <w:pPr>
              <w:spacing w:line="240" w:lineRule="auto"/>
              <w:ind w:firstLine="360" w:firstLineChars="200"/>
              <w:jc w:val="left"/>
              <w:rPr>
                <w:rFonts w:hint="eastAsia" w:ascii="宋体" w:hAnsi="宋体" w:cs="宋体"/>
                <w:sz w:val="18"/>
                <w:szCs w:val="18"/>
              </w:rPr>
            </w:pPr>
            <w:r>
              <w:rPr>
                <w:rFonts w:hint="eastAsia" w:ascii="宋体" w:hAnsi="宋体" w:cs="宋体"/>
                <w:sz w:val="18"/>
                <w:szCs w:val="18"/>
              </w:rPr>
              <w:t>3.主体结构施工完毕后，可采取有效的封堵措施。</w:t>
            </w:r>
          </w:p>
        </w:tc>
      </w:tr>
    </w:tbl>
    <w:p w14:paraId="7D0F1295">
      <w:pPr>
        <w:pStyle w:val="173"/>
        <w:numPr>
          <w:ilvl w:val="3"/>
          <w:numId w:val="0"/>
        </w:numPr>
      </w:pPr>
    </w:p>
    <w:p w14:paraId="0C3B7218">
      <w:pPr>
        <w:pStyle w:val="173"/>
      </w:pPr>
      <w:r>
        <w:rPr>
          <w:rFonts w:hint="eastAsia"/>
        </w:rPr>
        <w:t>降排水工程应满足基坑周边建（构）筑物、道路、管线、周边既有取水装置正常使用的要求。</w:t>
      </w:r>
    </w:p>
    <w:p w14:paraId="2223EE1F">
      <w:pPr>
        <w:pStyle w:val="173"/>
      </w:pPr>
      <w:r>
        <w:rPr>
          <w:rFonts w:hint="eastAsia"/>
        </w:rPr>
        <w:t>降排水工程应满足周边水源地的水质、水量、水位的保护要求。</w:t>
      </w:r>
    </w:p>
    <w:p w14:paraId="414BB81D">
      <w:pPr>
        <w:pStyle w:val="173"/>
      </w:pPr>
      <w:r>
        <w:rPr>
          <w:rFonts w:hint="eastAsia"/>
        </w:rPr>
        <w:t>降水工程运行前，应核实初始水位，宜进行抽水试验，验证降水计算模型和水文地质参数。</w:t>
      </w:r>
    </w:p>
    <w:p w14:paraId="3ACD48A7">
      <w:pPr>
        <w:pStyle w:val="173"/>
        <w:rPr>
          <w:rFonts w:hint="eastAsia" w:ascii="黑体" w:hAnsi="黑体" w:eastAsia="黑体" w:cs="宋体"/>
        </w:rPr>
      </w:pPr>
      <w:r>
        <w:rPr>
          <w:rFonts w:hint="eastAsia"/>
        </w:rPr>
        <w:t>降水工程完成后应及时封井。</w:t>
      </w:r>
    </w:p>
    <w:p w14:paraId="4F0788E9">
      <w:pPr>
        <w:pStyle w:val="113"/>
        <w:spacing w:before="156" w:after="156"/>
      </w:pPr>
      <w:bookmarkStart w:id="478" w:name="_Toc23905"/>
      <w:r>
        <w:rPr>
          <w:rFonts w:hint="eastAsia"/>
        </w:rPr>
        <w:t>设计</w:t>
      </w:r>
      <w:bookmarkEnd w:id="478"/>
    </w:p>
    <w:p w14:paraId="754D62E4">
      <w:pPr>
        <w:pStyle w:val="173"/>
      </w:pPr>
      <w:r>
        <w:rPr>
          <w:rFonts w:hint="eastAsia"/>
        </w:rPr>
        <w:t>降排水设计收集的资料宜包括下列内容：</w:t>
      </w:r>
    </w:p>
    <w:p w14:paraId="03ADA98C">
      <w:pPr>
        <w:pStyle w:val="182"/>
        <w:numPr>
          <w:ilvl w:val="0"/>
          <w:numId w:val="61"/>
        </w:numPr>
        <w:ind w:left="845" w:hanging="425"/>
      </w:pPr>
      <w:r>
        <w:rPr>
          <w:rFonts w:hint="eastAsia"/>
        </w:rPr>
        <w:t>场区工程地质资料、水文地质资料；</w:t>
      </w:r>
    </w:p>
    <w:p w14:paraId="1D1491E9">
      <w:pPr>
        <w:pStyle w:val="182"/>
        <w:numPr>
          <w:ilvl w:val="0"/>
          <w:numId w:val="61"/>
        </w:numPr>
        <w:ind w:left="845" w:hanging="425"/>
      </w:pPr>
      <w:r>
        <w:rPr>
          <w:rFonts w:hint="eastAsia"/>
        </w:rPr>
        <w:t>周边环境对降水运行控制的要求，包括周边建（构）筑物与市政基础设施的基础类型、埋深、平面图、剖面图及变形控制标准等；场区降水设备实施条件和周边管网的排水能力；</w:t>
      </w:r>
    </w:p>
    <w:p w14:paraId="6135937E">
      <w:pPr>
        <w:pStyle w:val="182"/>
        <w:numPr>
          <w:ilvl w:val="0"/>
          <w:numId w:val="61"/>
        </w:numPr>
        <w:ind w:left="845" w:hanging="425"/>
      </w:pPr>
      <w:r>
        <w:rPr>
          <w:rFonts w:hint="eastAsia"/>
        </w:rPr>
        <w:t>拟建建（构）筑物的平面图、剖面图、坑中坑结构大样图等及基坑支护设计与施工方案、土方开挖方案、地下室及上部结构的工期安排等；</w:t>
      </w:r>
    </w:p>
    <w:p w14:paraId="4D7897BB">
      <w:pPr>
        <w:pStyle w:val="182"/>
        <w:numPr>
          <w:ilvl w:val="0"/>
          <w:numId w:val="61"/>
        </w:numPr>
        <w:ind w:left="845" w:hanging="425"/>
      </w:pPr>
      <w:r>
        <w:rPr>
          <w:rFonts w:hint="eastAsia"/>
        </w:rPr>
        <w:t>周边类似基坑工程地下水控制的经验。</w:t>
      </w:r>
    </w:p>
    <w:p w14:paraId="21D514CC">
      <w:pPr>
        <w:pStyle w:val="173"/>
      </w:pPr>
      <w:r>
        <w:rPr>
          <w:rFonts w:hint="eastAsia"/>
        </w:rPr>
        <w:t>降排水设计应包含下列主要内容：</w:t>
      </w:r>
    </w:p>
    <w:p w14:paraId="0913C61B">
      <w:pPr>
        <w:pStyle w:val="182"/>
        <w:numPr>
          <w:ilvl w:val="0"/>
          <w:numId w:val="62"/>
        </w:numPr>
        <w:ind w:left="845" w:hanging="425"/>
      </w:pPr>
      <w:r>
        <w:rPr>
          <w:rFonts w:hint="eastAsia"/>
        </w:rPr>
        <w:t>降排水设计的目标；</w:t>
      </w:r>
    </w:p>
    <w:p w14:paraId="48FC7B5D">
      <w:pPr>
        <w:pStyle w:val="182"/>
        <w:numPr>
          <w:ilvl w:val="0"/>
          <w:numId w:val="62"/>
        </w:numPr>
        <w:ind w:left="845" w:hanging="425"/>
      </w:pPr>
      <w:r>
        <w:rPr>
          <w:rFonts w:hint="eastAsia"/>
        </w:rPr>
        <w:t>降排水方法及对应的水位降深，绘制降深等值线图、水位等值线图；</w:t>
      </w:r>
    </w:p>
    <w:p w14:paraId="04055B75">
      <w:pPr>
        <w:pStyle w:val="182"/>
        <w:numPr>
          <w:ilvl w:val="0"/>
          <w:numId w:val="62"/>
        </w:numPr>
        <w:ind w:left="845" w:hanging="425"/>
      </w:pPr>
      <w:r>
        <w:rPr>
          <w:rFonts w:hint="eastAsia"/>
        </w:rPr>
        <w:t>降水管井结构设计及其对应的单井出水量、降水管井数量及其平面布置图；</w:t>
      </w:r>
    </w:p>
    <w:p w14:paraId="484BD77E">
      <w:pPr>
        <w:pStyle w:val="182"/>
        <w:numPr>
          <w:ilvl w:val="0"/>
          <w:numId w:val="62"/>
        </w:numPr>
        <w:ind w:left="845" w:hanging="425"/>
      </w:pPr>
      <w:r>
        <w:rPr>
          <w:rFonts w:hint="eastAsia"/>
        </w:rPr>
        <w:t>降水对周边环境的影响分析、绘制地面沉降等值线图；</w:t>
      </w:r>
    </w:p>
    <w:p w14:paraId="61FFBD91">
      <w:pPr>
        <w:pStyle w:val="182"/>
        <w:numPr>
          <w:ilvl w:val="0"/>
          <w:numId w:val="62"/>
        </w:numPr>
        <w:ind w:left="845" w:hanging="425"/>
      </w:pPr>
      <w:r>
        <w:rPr>
          <w:rFonts w:hint="eastAsia"/>
        </w:rPr>
        <w:t>降水管井质量控制标准、降水管井检测、运行与维护；</w:t>
      </w:r>
    </w:p>
    <w:p w14:paraId="41FF6BD5">
      <w:pPr>
        <w:pStyle w:val="182"/>
        <w:numPr>
          <w:ilvl w:val="0"/>
          <w:numId w:val="62"/>
        </w:numPr>
        <w:ind w:left="845" w:hanging="425"/>
      </w:pPr>
      <w:r>
        <w:rPr>
          <w:rFonts w:hint="eastAsia"/>
        </w:rPr>
        <w:t>降水运行时间应考虑地下室抗浮、后浇带类型、后浇带封闭时间等的影响；</w:t>
      </w:r>
    </w:p>
    <w:p w14:paraId="247CEB0B">
      <w:pPr>
        <w:pStyle w:val="182"/>
        <w:numPr>
          <w:ilvl w:val="0"/>
          <w:numId w:val="61"/>
        </w:numPr>
        <w:ind w:left="845" w:hanging="425"/>
      </w:pPr>
      <w:r>
        <w:rPr>
          <w:rFonts w:hint="eastAsia"/>
        </w:rPr>
        <w:t>降水管井封井设计，包括封井工艺、封井结构等。</w:t>
      </w:r>
    </w:p>
    <w:p w14:paraId="7F45B72B">
      <w:pPr>
        <w:pStyle w:val="173"/>
      </w:pPr>
      <w:r>
        <w:rPr>
          <w:rFonts w:hint="eastAsia"/>
        </w:rPr>
        <w:t>孔隙水的控制设计应满足下列要求：</w:t>
      </w:r>
    </w:p>
    <w:p w14:paraId="5FF70FB0">
      <w:pPr>
        <w:pStyle w:val="182"/>
        <w:numPr>
          <w:ilvl w:val="0"/>
          <w:numId w:val="63"/>
        </w:numPr>
        <w:ind w:left="845" w:hanging="425"/>
      </w:pPr>
      <w:r>
        <w:rPr>
          <w:rFonts w:hint="eastAsia"/>
        </w:rPr>
        <w:t>应根据工程地质条件、水文地质条件、基坑工程特点、开挖工况、周边环境条件等因素，选择合理的降水方案；</w:t>
      </w:r>
    </w:p>
    <w:p w14:paraId="369A3663">
      <w:pPr>
        <w:pStyle w:val="182"/>
        <w:numPr>
          <w:ilvl w:val="0"/>
          <w:numId w:val="63"/>
        </w:numPr>
        <w:ind w:left="845" w:hanging="425"/>
      </w:pPr>
      <w:r>
        <w:rPr>
          <w:rFonts w:hint="eastAsia"/>
        </w:rPr>
        <w:t>应明确降水设计的依据、任务、目标；应明确降水设计工况是采用整体降水还是进行分期、分区降水；</w:t>
      </w:r>
    </w:p>
    <w:p w14:paraId="7846658E">
      <w:pPr>
        <w:pStyle w:val="182"/>
        <w:numPr>
          <w:ilvl w:val="0"/>
          <w:numId w:val="63"/>
        </w:numPr>
        <w:ind w:left="845" w:hanging="425"/>
      </w:pPr>
      <w:r>
        <w:rPr>
          <w:rFonts w:hint="eastAsia"/>
        </w:rPr>
        <w:t>应明确降水类型，采用疏干降水时，降水目标水位应降至坑底下0.5 m～1 m；采用减压降水时，降水目标水位应满足坑底承压水抗突涌的要求；</w:t>
      </w:r>
    </w:p>
    <w:p w14:paraId="30EB85CB">
      <w:pPr>
        <w:pStyle w:val="182"/>
        <w:numPr>
          <w:ilvl w:val="0"/>
          <w:numId w:val="63"/>
        </w:numPr>
        <w:ind w:left="845" w:hanging="425"/>
      </w:pPr>
      <w:r>
        <w:rPr>
          <w:rFonts w:hint="eastAsia"/>
        </w:rPr>
        <w:t>应对降水引起的坑外地面沉降进行预测；明确环境保护要求；制定沉降监测预警值、控制值、地面沉降超过预警值的控制措施及应急预案。</w:t>
      </w:r>
    </w:p>
    <w:p w14:paraId="4C7E7BC4">
      <w:pPr>
        <w:pStyle w:val="173"/>
        <w:rPr>
          <w:szCs w:val="22"/>
        </w:rPr>
      </w:pPr>
      <w:r>
        <w:rPr>
          <w:rFonts w:hint="eastAsia"/>
          <w:szCs w:val="22"/>
        </w:rPr>
        <w:t xml:space="preserve"> 岩溶水的控制设计应</w:t>
      </w:r>
      <w:r>
        <w:rPr>
          <w:rFonts w:hint="eastAsia"/>
        </w:rPr>
        <w:t>满足</w:t>
      </w:r>
      <w:r>
        <w:rPr>
          <w:rFonts w:hint="eastAsia"/>
          <w:szCs w:val="22"/>
        </w:rPr>
        <w:t>下列要求：</w:t>
      </w:r>
    </w:p>
    <w:p w14:paraId="439DFAF7">
      <w:pPr>
        <w:pStyle w:val="182"/>
        <w:numPr>
          <w:ilvl w:val="0"/>
          <w:numId w:val="64"/>
        </w:numPr>
        <w:ind w:left="845" w:hanging="425"/>
      </w:pPr>
      <w:r>
        <w:rPr>
          <w:rFonts w:hint="eastAsia"/>
        </w:rPr>
        <w:t>收集岩土工程详细勘察、施工勘察及桩基施工资料，确定岩溶发育情况、岩溶水的类型及连通性；</w:t>
      </w:r>
    </w:p>
    <w:p w14:paraId="2665E06A">
      <w:pPr>
        <w:pStyle w:val="182"/>
        <w:numPr>
          <w:ilvl w:val="0"/>
          <w:numId w:val="64"/>
        </w:numPr>
        <w:ind w:left="845" w:hanging="425"/>
      </w:pPr>
      <w:r>
        <w:rPr>
          <w:rFonts w:hint="eastAsia"/>
        </w:rPr>
        <w:t>应根据岩溶水的特点，采取以降排为主、封堵结合的处理措施；</w:t>
      </w:r>
    </w:p>
    <w:p w14:paraId="4362CF11">
      <w:pPr>
        <w:pStyle w:val="182"/>
        <w:numPr>
          <w:ilvl w:val="0"/>
          <w:numId w:val="64"/>
        </w:numPr>
        <w:ind w:left="845" w:hanging="425"/>
      </w:pPr>
      <w:r>
        <w:rPr>
          <w:rFonts w:hint="eastAsia"/>
        </w:rPr>
        <w:t>降水管井井位应布置在岩溶发育区域；</w:t>
      </w:r>
    </w:p>
    <w:p w14:paraId="71213F20">
      <w:pPr>
        <w:pStyle w:val="182"/>
        <w:numPr>
          <w:ilvl w:val="0"/>
          <w:numId w:val="64"/>
        </w:numPr>
        <w:ind w:left="845" w:hanging="425"/>
      </w:pPr>
      <w:r>
        <w:rPr>
          <w:rFonts w:hint="eastAsia"/>
        </w:rPr>
        <w:t>根据水位控制要求和岩溶水的富水情况，调整降水管井的结构及抽水泵的大小；</w:t>
      </w:r>
    </w:p>
    <w:p w14:paraId="6932B81B">
      <w:pPr>
        <w:pStyle w:val="182"/>
        <w:numPr>
          <w:ilvl w:val="0"/>
          <w:numId w:val="64"/>
        </w:numPr>
        <w:ind w:left="845" w:hanging="425"/>
      </w:pPr>
      <w:r>
        <w:rPr>
          <w:rFonts w:hint="eastAsia"/>
        </w:rPr>
        <w:t>应提出防止成井后突水现象发生的辅助措施；</w:t>
      </w:r>
    </w:p>
    <w:p w14:paraId="5BB52CB9">
      <w:pPr>
        <w:pStyle w:val="182"/>
        <w:numPr>
          <w:ilvl w:val="0"/>
          <w:numId w:val="64"/>
        </w:numPr>
        <w:ind w:left="845" w:hanging="425"/>
      </w:pPr>
      <w:r>
        <w:rPr>
          <w:rFonts w:hint="eastAsia"/>
        </w:rPr>
        <w:t>应对相邻地区泉水衰减、地面沉降、地面塌陷等进行预测和观测。</w:t>
      </w:r>
    </w:p>
    <w:p w14:paraId="58313328">
      <w:pPr>
        <w:pStyle w:val="173"/>
        <w:rPr>
          <w:szCs w:val="22"/>
        </w:rPr>
      </w:pPr>
      <w:r>
        <w:rPr>
          <w:rFonts w:hint="eastAsia"/>
          <w:szCs w:val="22"/>
        </w:rPr>
        <w:t xml:space="preserve"> 基岩裂隙水的控制设计应满足下列要求：</w:t>
      </w:r>
    </w:p>
    <w:p w14:paraId="0B593AF4">
      <w:pPr>
        <w:pStyle w:val="182"/>
        <w:numPr>
          <w:ilvl w:val="0"/>
          <w:numId w:val="65"/>
        </w:numPr>
        <w:ind w:left="845" w:hanging="425"/>
      </w:pPr>
      <w:r>
        <w:rPr>
          <w:rFonts w:hint="eastAsia"/>
        </w:rPr>
        <w:t>根据场区区域构造特点及其与相邻含水层的连通情况，确定地下水控制设计方案；</w:t>
      </w:r>
    </w:p>
    <w:p w14:paraId="51F1ECA7">
      <w:pPr>
        <w:pStyle w:val="182"/>
        <w:numPr>
          <w:ilvl w:val="0"/>
          <w:numId w:val="65"/>
        </w:numPr>
        <w:ind w:left="845" w:hanging="425"/>
      </w:pPr>
      <w:r>
        <w:rPr>
          <w:rFonts w:hint="eastAsia"/>
        </w:rPr>
        <w:t>降水管井井位应布设在结构面发育或构造发育带；</w:t>
      </w:r>
    </w:p>
    <w:p w14:paraId="6535AD79">
      <w:pPr>
        <w:pStyle w:val="182"/>
        <w:numPr>
          <w:ilvl w:val="0"/>
          <w:numId w:val="65"/>
        </w:numPr>
        <w:ind w:left="845" w:hanging="425"/>
      </w:pPr>
      <w:r>
        <w:rPr>
          <w:rFonts w:hint="eastAsia"/>
        </w:rPr>
        <w:t>进行现场试验，查明裂隙水富水情况。</w:t>
      </w:r>
    </w:p>
    <w:p w14:paraId="1C57272C">
      <w:pPr>
        <w:pStyle w:val="173"/>
        <w:rPr>
          <w:szCs w:val="22"/>
        </w:rPr>
      </w:pPr>
      <w:r>
        <w:rPr>
          <w:rFonts w:hint="eastAsia"/>
          <w:szCs w:val="22"/>
        </w:rPr>
        <w:t xml:space="preserve"> 古河道区域</w:t>
      </w:r>
      <w:r>
        <w:rPr>
          <w:rFonts w:hint="eastAsia"/>
        </w:rPr>
        <w:t>地下水</w:t>
      </w:r>
      <w:r>
        <w:rPr>
          <w:rFonts w:hint="eastAsia"/>
          <w:szCs w:val="22"/>
        </w:rPr>
        <w:t>控制设计应符合下列要求：</w:t>
      </w:r>
    </w:p>
    <w:p w14:paraId="0A373A6B">
      <w:pPr>
        <w:pStyle w:val="182"/>
        <w:numPr>
          <w:ilvl w:val="0"/>
          <w:numId w:val="66"/>
        </w:numPr>
        <w:ind w:left="845" w:hanging="425"/>
      </w:pPr>
      <w:r>
        <w:rPr>
          <w:rFonts w:hint="eastAsia"/>
        </w:rPr>
        <w:t>收集区域水文地质资料，确定古河道的形成条件、地下水的补给来源、渗流特征及水位控制因素；</w:t>
      </w:r>
    </w:p>
    <w:p w14:paraId="70114709">
      <w:pPr>
        <w:pStyle w:val="182"/>
        <w:numPr>
          <w:ilvl w:val="0"/>
          <w:numId w:val="66"/>
        </w:numPr>
        <w:ind w:left="845" w:hanging="425"/>
      </w:pPr>
      <w:r>
        <w:rPr>
          <w:rFonts w:hint="eastAsia"/>
        </w:rPr>
        <w:t>查明古河道的平面分布边界、竖向分带、主要透水地层、空间展布规律；</w:t>
      </w:r>
    </w:p>
    <w:p w14:paraId="2D87AEA9">
      <w:pPr>
        <w:pStyle w:val="182"/>
        <w:numPr>
          <w:ilvl w:val="0"/>
          <w:numId w:val="66"/>
        </w:numPr>
        <w:ind w:left="845" w:hanging="425"/>
      </w:pPr>
      <w:r>
        <w:rPr>
          <w:rFonts w:hint="eastAsia"/>
        </w:rPr>
        <w:t>通过水文地质试验，查明水文地质参数；</w:t>
      </w:r>
    </w:p>
    <w:p w14:paraId="63C1727D">
      <w:pPr>
        <w:pStyle w:val="182"/>
        <w:numPr>
          <w:ilvl w:val="0"/>
          <w:numId w:val="66"/>
        </w:numPr>
        <w:ind w:left="845" w:hanging="425"/>
      </w:pPr>
      <w:r>
        <w:rPr>
          <w:rFonts w:hint="eastAsia"/>
        </w:rPr>
        <w:t>宜优先在古河道渗流方向的补给侧、富水性强的区段布设降水管井；根据古河道含水层富水性及补给排泄条件，调整降水管井的结构、间距及抽水泵的大小。</w:t>
      </w:r>
    </w:p>
    <w:p w14:paraId="61EE73AD">
      <w:pPr>
        <w:pStyle w:val="173"/>
      </w:pPr>
      <w:r>
        <w:rPr>
          <w:rFonts w:hint="eastAsia"/>
        </w:rPr>
        <w:t>水头高于坑底的承压含水层应按公式（1）进行抗承压水突涌验算(图5)；</w:t>
      </w:r>
    </w:p>
    <w:p w14:paraId="63F237AC">
      <w:pPr>
        <w:pStyle w:val="173"/>
        <w:numPr>
          <w:ilvl w:val="3"/>
          <w:numId w:val="0"/>
        </w:numPr>
      </w:pPr>
    </w:p>
    <w:p w14:paraId="3BE6C680">
      <w:pPr>
        <w:spacing w:line="240" w:lineRule="auto"/>
        <w:jc w:val="center"/>
      </w:pPr>
      <w:r>
        <w:rPr>
          <w:rFonts w:ascii="宋体" w:hAnsi="宋体" w:cs="宋体"/>
          <w:sz w:val="24"/>
        </w:rPr>
        <w:drawing>
          <wp:inline distT="0" distB="0" distL="114300" distR="114300">
            <wp:extent cx="2754630" cy="1764665"/>
            <wp:effectExtent l="0" t="0" r="7620" b="6985"/>
            <wp:docPr id="1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56"/>
                    <pic:cNvPicPr>
                      <a:picLocks noChangeAspect="1"/>
                    </pic:cNvPicPr>
                  </pic:nvPicPr>
                  <pic:blipFill>
                    <a:blip r:embed="rId43"/>
                    <a:stretch>
                      <a:fillRect/>
                    </a:stretch>
                  </pic:blipFill>
                  <pic:spPr>
                    <a:xfrm>
                      <a:off x="0" y="0"/>
                      <a:ext cx="2754630" cy="1764665"/>
                    </a:xfrm>
                    <a:prstGeom prst="rect">
                      <a:avLst/>
                    </a:prstGeom>
                    <a:noFill/>
                    <a:ln w="9525">
                      <a:noFill/>
                    </a:ln>
                  </pic:spPr>
                </pic:pic>
              </a:graphicData>
            </a:graphic>
          </wp:inline>
        </w:drawing>
      </w:r>
    </w:p>
    <w:p w14:paraId="7016D861">
      <w:pPr>
        <w:keepNext/>
        <w:spacing w:before="156" w:beforeLines="50" w:after="156" w:afterLines="50" w:line="240" w:lineRule="auto"/>
        <w:jc w:val="center"/>
        <w:rPr>
          <w:rFonts w:hint="eastAsia" w:ascii="黑体" w:hAnsi="黑体" w:eastAsia="黑体" w:cs="宋体"/>
        </w:rPr>
      </w:pPr>
      <w:r>
        <w:rPr>
          <w:rFonts w:hint="eastAsia" w:ascii="黑体" w:hAnsi="黑体" w:eastAsia="黑体" w:cs="宋体"/>
        </w:rPr>
        <w:t xml:space="preserve">图5 </w:t>
      </w:r>
      <w:r>
        <w:rPr>
          <w:rFonts w:ascii="黑体" w:hAnsi="黑体" w:eastAsia="黑体" w:cs="宋体"/>
        </w:rPr>
        <w:t xml:space="preserve"> </w:t>
      </w:r>
      <w:r>
        <w:rPr>
          <w:rFonts w:hint="eastAsia" w:ascii="黑体" w:hAnsi="黑体" w:eastAsia="黑体" w:cs="宋体"/>
        </w:rPr>
        <w:t>坑底突涌验算</w:t>
      </w:r>
    </w:p>
    <w:p w14:paraId="3F7105A5">
      <w:pPr>
        <w:pStyle w:val="13"/>
        <w:spacing w:line="240" w:lineRule="auto"/>
        <w:ind w:left="344" w:hanging="343" w:hangingChars="191"/>
        <w:rPr>
          <w:rFonts w:ascii="Times New Roman" w:hAnsi="Times New Roman" w:eastAsia="宋体"/>
          <w:sz w:val="18"/>
          <w:szCs w:val="18"/>
        </w:rPr>
      </w:pPr>
      <w:r>
        <w:rPr>
          <w:rFonts w:ascii="Times New Roman" w:hAnsi="Times New Roman" w:eastAsia="宋体"/>
          <w:sz w:val="18"/>
          <w:szCs w:val="18"/>
        </w:rPr>
        <w:t>1</w:t>
      </w:r>
      <w:r>
        <w:rPr>
          <w:rFonts w:hint="eastAsia" w:ascii="Times New Roman" w:hAnsi="Times New Roman" w:eastAsia="宋体"/>
          <w:sz w:val="18"/>
          <w:szCs w:val="18"/>
        </w:rPr>
        <w:t>—</w:t>
      </w:r>
      <w:r>
        <w:rPr>
          <w:rFonts w:ascii="Times New Roman" w:hAnsi="Times New Roman" w:eastAsia="宋体"/>
          <w:sz w:val="18"/>
          <w:szCs w:val="18"/>
        </w:rPr>
        <w:t>基坑底面；</w:t>
      </w:r>
      <w:r>
        <w:rPr>
          <w:rFonts w:hint="eastAsia" w:ascii="Times New Roman" w:hAnsi="Times New Roman" w:eastAsia="宋体"/>
          <w:sz w:val="18"/>
          <w:szCs w:val="18"/>
        </w:rPr>
        <w:t>2—隔水层</w:t>
      </w:r>
      <w:r>
        <w:rPr>
          <w:rFonts w:ascii="Times New Roman" w:hAnsi="Times New Roman" w:eastAsia="宋体"/>
          <w:sz w:val="18"/>
          <w:szCs w:val="18"/>
        </w:rPr>
        <w:t>；</w:t>
      </w:r>
      <w:r>
        <w:rPr>
          <w:rFonts w:hint="eastAsia" w:ascii="Times New Roman" w:hAnsi="Times New Roman" w:eastAsia="宋体"/>
          <w:sz w:val="18"/>
          <w:szCs w:val="18"/>
        </w:rPr>
        <w:t>3—含水层</w:t>
      </w:r>
    </w:p>
    <w:p w14:paraId="1B2C06EE">
      <w:pPr>
        <w:spacing w:before="312" w:beforeLines="100" w:after="312" w:afterLines="100" w:line="240" w:lineRule="auto"/>
        <w:ind w:firstLine="401" w:firstLineChars="191"/>
        <w:jc w:val="right"/>
        <w:rPr>
          <w:b/>
        </w:rPr>
      </w:pPr>
      <w:r>
        <w:rPr>
          <w:rFonts w:hint="eastAsia"/>
          <w:bCs/>
        </w:rPr>
        <w:t>       </w:t>
      </w:r>
      <w:r>
        <w:rPr>
          <w:rFonts w:hint="eastAsia"/>
          <w:b/>
        </w:rPr>
        <w:t>                </w:t>
      </w:r>
      <m:oMath>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ty</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b/>
        </w:rPr>
        <w:t>  ≤</w:t>
      </w:r>
      <m:oMath>
        <m:r>
          <m:rPr/>
          <w:rPr>
            <w:rFonts w:ascii="Cambria Math" w:hAnsi="Cambria Math"/>
          </w:rPr>
          <m:t>D∙γ</m:t>
        </m:r>
      </m:oMath>
      <w:r>
        <w:rPr>
          <w:b/>
        </w:rPr>
        <w:t xml:space="preserve">                        （</w:t>
      </w:r>
      <w:r>
        <w:rPr>
          <w:rFonts w:hint="eastAsia"/>
          <w:b/>
        </w:rPr>
        <w:t>1</w:t>
      </w:r>
      <w:r>
        <w:rPr>
          <w:b/>
        </w:rPr>
        <w:t>）</w:t>
      </w:r>
    </w:p>
    <w:p w14:paraId="6967DD43">
      <w:pPr>
        <w:spacing w:line="240" w:lineRule="auto"/>
        <w:ind w:firstLine="420" w:firstLineChars="200"/>
        <w:jc w:val="left"/>
        <w:rPr>
          <w:rFonts w:hint="eastAsia" w:ascii="宋体" w:hAnsi="宋体" w:cs="宋体"/>
          <w:bCs/>
        </w:rPr>
      </w:pPr>
      <w:r>
        <w:rPr>
          <w:rFonts w:hint="eastAsia" w:ascii="宋体" w:hAnsi="宋体" w:cs="宋体"/>
          <w:bCs/>
        </w:rPr>
        <w:t>式中：</w:t>
      </w:r>
    </w:p>
    <w:p w14:paraId="70501E4F">
      <w:pPr>
        <w:spacing w:line="240" w:lineRule="auto"/>
        <w:ind w:firstLine="420" w:firstLineChars="200"/>
        <w:jc w:val="left"/>
        <w:rPr>
          <w:rFonts w:hint="eastAsia" w:ascii="宋体" w:hAnsi="宋体" w:cs="宋体"/>
          <w:bCs/>
        </w:rPr>
      </w:pPr>
      <w:r>
        <w:rPr>
          <w:rFonts w:hint="eastAsia" w:ascii="宋体" w:hAnsi="宋体" w:cs="宋体"/>
          <w:bCs/>
          <w:i/>
          <w:iCs/>
        </w:rPr>
        <w:t>k</w:t>
      </w:r>
      <w:r>
        <w:rPr>
          <w:rFonts w:hint="eastAsia" w:ascii="宋体" w:hAnsi="宋体" w:cs="宋体"/>
          <w:bCs/>
          <w:i/>
          <w:iCs/>
          <w:vertAlign w:val="subscript"/>
        </w:rPr>
        <w:t>ty</w:t>
      </w:r>
      <w:r>
        <w:rPr>
          <w:rFonts w:hint="eastAsia" w:ascii="宋体" w:hAnsi="宋体" w:cs="宋体"/>
        </w:rPr>
        <w:t>——</w:t>
      </w:r>
      <w:r>
        <w:rPr>
          <w:rFonts w:hint="eastAsia" w:ascii="宋体" w:hAnsi="宋体" w:cs="宋体"/>
          <w:bCs/>
        </w:rPr>
        <w:t>坑底抗突涌安全系数，地下水控制等级为一级、二级、三级的基坑工程，</w:t>
      </w:r>
      <w:r>
        <w:rPr>
          <w:rFonts w:hint="eastAsia" w:ascii="宋体" w:hAnsi="宋体" w:cs="宋体"/>
          <w:bCs/>
          <w:i/>
          <w:iCs/>
        </w:rPr>
        <w:t>k</w:t>
      </w:r>
      <w:r>
        <w:rPr>
          <w:rFonts w:hint="eastAsia" w:ascii="宋体" w:hAnsi="宋体" w:cs="宋体"/>
          <w:bCs/>
          <w:i/>
          <w:iCs/>
          <w:vertAlign w:val="subscript"/>
        </w:rPr>
        <w:t>ty</w:t>
      </w:r>
      <w:r>
        <w:rPr>
          <w:rFonts w:hint="eastAsia" w:ascii="宋体" w:hAnsi="宋体" w:cs="宋体"/>
          <w:bCs/>
        </w:rPr>
        <w:t>分别取1.2、1.15、1.1；对于承台、电梯井、竖井等平面尺寸较小或分段开挖的窄条形基坑，</w:t>
      </w:r>
      <w:r>
        <w:rPr>
          <w:rFonts w:hint="eastAsia" w:ascii="宋体" w:hAnsi="宋体" w:cs="宋体"/>
          <w:bCs/>
          <w:i/>
          <w:iCs/>
        </w:rPr>
        <w:t>k</w:t>
      </w:r>
      <w:r>
        <w:rPr>
          <w:rFonts w:hint="eastAsia" w:ascii="宋体" w:hAnsi="宋体" w:cs="宋体"/>
          <w:bCs/>
          <w:i/>
          <w:iCs/>
          <w:vertAlign w:val="subscript"/>
        </w:rPr>
        <w:t>ty</w:t>
      </w:r>
      <w:r>
        <w:rPr>
          <w:rFonts w:hint="eastAsia" w:ascii="宋体" w:hAnsi="宋体" w:cs="宋体"/>
          <w:bCs/>
        </w:rPr>
        <w:t>可取1.05</w:t>
      </w:r>
      <w:r>
        <w:rPr>
          <w:rFonts w:hint="eastAsia" w:ascii="宋体" w:hAnsi="宋体" w:cs="宋体"/>
        </w:rPr>
        <w:t>；</w:t>
      </w:r>
    </w:p>
    <w:p w14:paraId="55CF7162">
      <w:pPr>
        <w:spacing w:line="240" w:lineRule="auto"/>
        <w:ind w:firstLine="420" w:firstLineChars="200"/>
        <w:jc w:val="left"/>
        <w:rPr>
          <w:rFonts w:hint="eastAsia" w:ascii="宋体" w:hAnsi="宋体" w:cs="宋体"/>
          <w:bCs/>
        </w:rPr>
      </w:pPr>
      <w:r>
        <w:rPr>
          <w:rFonts w:hint="eastAsia" w:ascii="宋体" w:hAnsi="宋体" w:cs="宋体"/>
          <w:bCs/>
          <w:i/>
          <w:iCs/>
        </w:rPr>
        <w:t>D</w:t>
      </w:r>
      <w:r>
        <w:rPr>
          <w:rFonts w:hint="eastAsia" w:ascii="宋体" w:hAnsi="宋体" w:cs="宋体"/>
        </w:rPr>
        <w:t>——</w:t>
      </w:r>
      <w:r>
        <w:rPr>
          <w:rFonts w:hint="eastAsia" w:ascii="宋体" w:hAnsi="宋体" w:cs="宋体"/>
          <w:bCs/>
        </w:rPr>
        <w:t>基坑底至承压含水层顶板的距离，m；</w:t>
      </w:r>
    </w:p>
    <w:p w14:paraId="7ABC5016">
      <w:pPr>
        <w:spacing w:line="240" w:lineRule="auto"/>
        <w:ind w:firstLine="420" w:firstLineChars="200"/>
        <w:jc w:val="left"/>
        <w:rPr>
          <w:rFonts w:hint="eastAsia" w:ascii="宋体" w:hAnsi="宋体" w:cs="宋体"/>
          <w:bCs/>
        </w:rPr>
      </w:pPr>
      <w:r>
        <w:rPr>
          <w:rFonts w:hint="eastAsia" w:ascii="宋体" w:hAnsi="宋体" w:cs="宋体"/>
          <w:bCs/>
          <w:i/>
          <w:iCs/>
        </w:rPr>
        <w:t>γ</w:t>
      </w:r>
      <w:r>
        <w:rPr>
          <w:rFonts w:hint="eastAsia" w:ascii="宋体" w:hAnsi="宋体" w:cs="宋体"/>
        </w:rPr>
        <w:t>——</w:t>
      </w:r>
      <w:r>
        <w:rPr>
          <w:rFonts w:hint="eastAsia" w:ascii="宋体" w:hAnsi="宋体" w:cs="宋体"/>
          <w:bCs/>
        </w:rPr>
        <w:t>D范围内土的加权平均天然重度，kN/m</w:t>
      </w:r>
      <w:r>
        <w:rPr>
          <w:rFonts w:hint="eastAsia" w:ascii="宋体" w:hAnsi="宋体" w:cs="宋体"/>
          <w:bCs/>
          <w:vertAlign w:val="superscript"/>
        </w:rPr>
        <w:t>3</w:t>
      </w:r>
      <w:r>
        <w:rPr>
          <w:rFonts w:hint="eastAsia" w:ascii="宋体" w:hAnsi="宋体" w:cs="宋体"/>
          <w:bCs/>
        </w:rPr>
        <w:t>；</w:t>
      </w:r>
    </w:p>
    <w:p w14:paraId="39BA146F">
      <w:pPr>
        <w:spacing w:line="240" w:lineRule="auto"/>
        <w:ind w:firstLine="420" w:firstLineChars="200"/>
        <w:jc w:val="left"/>
        <w:rPr>
          <w:rFonts w:hint="eastAsia" w:ascii="宋体" w:hAnsi="宋体" w:cs="宋体"/>
          <w:bCs/>
        </w:rPr>
      </w:pPr>
      <w:r>
        <w:rPr>
          <w:rFonts w:hint="eastAsia" w:ascii="宋体" w:hAnsi="宋体" w:cs="宋体"/>
          <w:bCs/>
          <w:i/>
          <w:iCs/>
        </w:rPr>
        <w:t>H</w:t>
      </w:r>
      <w:r>
        <w:rPr>
          <w:rFonts w:hint="eastAsia" w:ascii="宋体" w:hAnsi="宋体" w:cs="宋体"/>
          <w:bCs/>
          <w:i/>
          <w:iCs/>
          <w:vertAlign w:val="subscript"/>
        </w:rPr>
        <w:t>w</w:t>
      </w:r>
      <w:r>
        <w:rPr>
          <w:rFonts w:hint="eastAsia" w:ascii="宋体" w:hAnsi="宋体" w:cs="宋体"/>
        </w:rPr>
        <w:t>——</w:t>
      </w:r>
      <w:r>
        <w:rPr>
          <w:rFonts w:hint="eastAsia" w:ascii="宋体" w:hAnsi="宋体" w:cs="宋体"/>
          <w:bCs/>
        </w:rPr>
        <w:t>承压水水头高度，m；</w:t>
      </w:r>
    </w:p>
    <w:p w14:paraId="57C27F5A">
      <w:pPr>
        <w:spacing w:line="240" w:lineRule="auto"/>
        <w:ind w:firstLine="420" w:firstLineChars="200"/>
        <w:jc w:val="left"/>
        <w:rPr>
          <w:rFonts w:hint="eastAsia" w:ascii="宋体" w:hAnsi="宋体" w:cs="宋体"/>
          <w:bCs/>
        </w:rPr>
      </w:pPr>
      <w:r>
        <w:rPr>
          <w:rFonts w:hint="eastAsia" w:ascii="宋体" w:hAnsi="宋体" w:cs="宋体"/>
          <w:bCs/>
          <w:i/>
          <w:iCs/>
        </w:rPr>
        <w:t>γ</w:t>
      </w:r>
      <w:r>
        <w:rPr>
          <w:rFonts w:hint="eastAsia" w:ascii="宋体" w:hAnsi="宋体" w:cs="宋体"/>
          <w:bCs/>
          <w:i/>
          <w:iCs/>
          <w:vertAlign w:val="subscript"/>
        </w:rPr>
        <w:t>w</w:t>
      </w:r>
      <w:r>
        <w:rPr>
          <w:rFonts w:hint="eastAsia" w:ascii="宋体" w:hAnsi="宋体" w:cs="宋体"/>
        </w:rPr>
        <w:t>——</w:t>
      </w:r>
      <w:r>
        <w:rPr>
          <w:rFonts w:hint="eastAsia" w:ascii="宋体" w:hAnsi="宋体" w:cs="宋体"/>
          <w:bCs/>
        </w:rPr>
        <w:t>水的重度，取10kN/m</w:t>
      </w:r>
      <w:r>
        <w:rPr>
          <w:rFonts w:hint="eastAsia" w:ascii="宋体" w:hAnsi="宋体" w:cs="宋体"/>
          <w:bCs/>
          <w:vertAlign w:val="superscript"/>
        </w:rPr>
        <w:t>3</w:t>
      </w:r>
      <w:r>
        <w:rPr>
          <w:rFonts w:hint="eastAsia" w:ascii="宋体" w:hAnsi="宋体" w:cs="宋体"/>
          <w:bCs/>
        </w:rPr>
        <w:t>。</w:t>
      </w:r>
    </w:p>
    <w:p w14:paraId="38B2E21F">
      <w:pPr>
        <w:pStyle w:val="113"/>
        <w:spacing w:before="156" w:after="156"/>
      </w:pPr>
      <w:bookmarkStart w:id="479" w:name="_Toc20626"/>
      <w:r>
        <w:rPr>
          <w:rFonts w:hint="eastAsia"/>
        </w:rPr>
        <w:t>管井降水</w:t>
      </w:r>
      <w:bookmarkEnd w:id="479"/>
    </w:p>
    <w:p w14:paraId="5B3188DB">
      <w:pPr>
        <w:pStyle w:val="173"/>
      </w:pPr>
      <w:r>
        <w:rPr>
          <w:rFonts w:hint="eastAsia" w:hAnsi="宋体" w:cs="宋体"/>
          <w:bCs/>
          <w:kern w:val="2"/>
          <w:szCs w:val="21"/>
        </w:rPr>
        <w:t>降水管井平面布置应符合下列要求：</w:t>
      </w:r>
    </w:p>
    <w:p w14:paraId="575FB69C">
      <w:pPr>
        <w:pStyle w:val="182"/>
        <w:numPr>
          <w:ilvl w:val="0"/>
          <w:numId w:val="67"/>
        </w:numPr>
        <w:ind w:left="845" w:hanging="425"/>
        <w:rPr>
          <w:rFonts w:hint="eastAsia" w:hAnsi="宋体" w:cs="宋体"/>
          <w:bCs/>
          <w:kern w:val="2"/>
          <w:szCs w:val="21"/>
        </w:rPr>
      </w:pPr>
      <w:r>
        <w:rPr>
          <w:rFonts w:hint="eastAsia" w:hAnsi="宋体" w:cs="宋体"/>
          <w:bCs/>
          <w:kern w:val="2"/>
          <w:szCs w:val="21"/>
        </w:rPr>
        <w:t>应结合工程地质条件、开挖深度、平面形状和施工平面布置等因素并通过设计计算确定；基坑内任一点的水位降深应满足设计要求；</w:t>
      </w:r>
    </w:p>
    <w:p w14:paraId="02979717">
      <w:pPr>
        <w:pStyle w:val="182"/>
        <w:numPr>
          <w:ilvl w:val="0"/>
          <w:numId w:val="67"/>
        </w:numPr>
        <w:ind w:left="845" w:hanging="425"/>
        <w:rPr>
          <w:rFonts w:hint="eastAsia" w:hAnsi="宋体" w:cs="宋体"/>
          <w:bCs/>
          <w:kern w:val="2"/>
          <w:szCs w:val="21"/>
        </w:rPr>
      </w:pPr>
      <w:r>
        <w:rPr>
          <w:rFonts w:hint="eastAsia" w:hAnsi="宋体" w:cs="宋体"/>
          <w:bCs/>
          <w:kern w:val="2"/>
          <w:szCs w:val="21"/>
        </w:rPr>
        <w:t>降水管井的间距宜根据含水层的渗透系数、</w:t>
      </w:r>
      <w:r>
        <w:rPr>
          <w:rFonts w:hint="eastAsia" w:hAnsi="宋体" w:cs="宋体"/>
        </w:rPr>
        <w:t>抽水影响半径</w:t>
      </w:r>
      <w:r>
        <w:rPr>
          <w:rFonts w:hint="eastAsia" w:hAnsi="宋体" w:cs="宋体"/>
          <w:bCs/>
          <w:kern w:val="2"/>
          <w:szCs w:val="21"/>
        </w:rPr>
        <w:t>、</w:t>
      </w:r>
      <w:r>
        <w:rPr>
          <w:rFonts w:hint="eastAsia"/>
        </w:rPr>
        <w:t> 设计降深</w:t>
      </w:r>
      <w:r>
        <w:rPr>
          <w:rFonts w:hint="eastAsia" w:hAnsi="宋体" w:cs="宋体"/>
          <w:bCs/>
          <w:kern w:val="2"/>
          <w:szCs w:val="21"/>
        </w:rPr>
        <w:t>等因素确定；</w:t>
      </w:r>
    </w:p>
    <w:p w14:paraId="5500FF71">
      <w:pPr>
        <w:pStyle w:val="182"/>
        <w:numPr>
          <w:ilvl w:val="0"/>
          <w:numId w:val="67"/>
        </w:numPr>
        <w:ind w:left="845" w:hanging="425"/>
        <w:rPr>
          <w:rFonts w:hint="eastAsia" w:hAnsi="宋体" w:cs="宋体"/>
          <w:bCs/>
          <w:kern w:val="2"/>
          <w:szCs w:val="21"/>
        </w:rPr>
      </w:pPr>
      <w:r>
        <w:rPr>
          <w:rFonts w:hint="eastAsia" w:hAnsi="宋体" w:cs="宋体"/>
          <w:bCs/>
          <w:kern w:val="2"/>
          <w:szCs w:val="21"/>
        </w:rPr>
        <w:t>降水管井宜优先布置在基坑内。当基坑面积较小或坑内难以布置时，可坑内外结合布置；</w:t>
      </w:r>
    </w:p>
    <w:p w14:paraId="3B791BD7">
      <w:pPr>
        <w:pStyle w:val="182"/>
        <w:numPr>
          <w:ilvl w:val="0"/>
          <w:numId w:val="67"/>
        </w:numPr>
        <w:ind w:left="845" w:hanging="425"/>
        <w:rPr>
          <w:rFonts w:hint="eastAsia" w:hAnsi="宋体" w:cs="宋体"/>
          <w:bCs/>
          <w:kern w:val="2"/>
          <w:szCs w:val="21"/>
        </w:rPr>
      </w:pPr>
      <w:r>
        <w:rPr>
          <w:rFonts w:hint="eastAsia" w:hAnsi="宋体" w:cs="宋体"/>
          <w:bCs/>
          <w:kern w:val="2"/>
          <w:szCs w:val="21"/>
        </w:rPr>
        <w:t>布置在坑内的管井应避开承台、基础梁、后浇带、地下室剪力墙、柱、梁和支撑杆件的位置；</w:t>
      </w:r>
    </w:p>
    <w:p w14:paraId="4246F652">
      <w:pPr>
        <w:pStyle w:val="182"/>
        <w:numPr>
          <w:ilvl w:val="0"/>
          <w:numId w:val="67"/>
        </w:numPr>
        <w:ind w:left="845" w:hanging="425"/>
        <w:rPr>
          <w:rFonts w:hint="eastAsia" w:hAnsi="宋体" w:cs="宋体"/>
          <w:bCs/>
          <w:kern w:val="2"/>
          <w:szCs w:val="21"/>
        </w:rPr>
      </w:pPr>
      <w:r>
        <w:rPr>
          <w:rFonts w:hint="eastAsia" w:hAnsi="宋体" w:cs="宋体"/>
          <w:bCs/>
          <w:kern w:val="2"/>
          <w:szCs w:val="21"/>
        </w:rPr>
        <w:t>基坑邻近地下水补给边界时，宜在地下水补给方向适当增加降水管井；在地下水排泄方向，可适当减少降水管井；</w:t>
      </w:r>
    </w:p>
    <w:p w14:paraId="77CA8B2C">
      <w:pPr>
        <w:pStyle w:val="182"/>
        <w:numPr>
          <w:ilvl w:val="0"/>
          <w:numId w:val="67"/>
        </w:numPr>
        <w:ind w:left="845" w:hanging="425"/>
      </w:pPr>
      <w:r>
        <w:rPr>
          <w:rFonts w:hint="eastAsia" w:hAnsi="宋体" w:cs="宋体"/>
          <w:bCs/>
          <w:kern w:val="2"/>
          <w:szCs w:val="21"/>
        </w:rPr>
        <w:t>对长条形基坑，降水管井宜沿基坑的长轴方向呈梅花形交叉布置。</w:t>
      </w:r>
    </w:p>
    <w:p w14:paraId="18F68A15">
      <w:pPr>
        <w:pStyle w:val="173"/>
        <w:rPr>
          <w:rFonts w:hint="eastAsia" w:hAnsi="宋体" w:cs="宋体"/>
          <w:bCs/>
          <w:kern w:val="2"/>
          <w:szCs w:val="21"/>
        </w:rPr>
      </w:pPr>
      <w:r>
        <w:rPr>
          <w:rFonts w:hint="eastAsia" w:hAnsi="宋体" w:cs="宋体"/>
          <w:bCs/>
          <w:kern w:val="2"/>
          <w:szCs w:val="21"/>
        </w:rPr>
        <w:t>基坑涌水量应根据基坑平面形状、地下水类型、补给条件、布井方式等选择计算方法。</w:t>
      </w:r>
    </w:p>
    <w:p w14:paraId="5F61EBCE">
      <w:pPr>
        <w:pStyle w:val="182"/>
        <w:numPr>
          <w:ilvl w:val="0"/>
          <w:numId w:val="68"/>
        </w:numPr>
        <w:ind w:left="845" w:hanging="425"/>
        <w:rPr>
          <w:szCs w:val="22"/>
        </w:rPr>
      </w:pPr>
      <w:r>
        <w:rPr>
          <w:rFonts w:hint="eastAsia"/>
        </w:rPr>
        <w:t>不考虑隔渗帷幕影响的</w:t>
      </w:r>
      <w:r>
        <w:rPr>
          <w:rFonts w:hint="eastAsia" w:ascii="Calibri" w:hAnsi="Calibri" w:cs="Calibri"/>
          <w:bCs/>
        </w:rPr>
        <w:t>敞开式</w:t>
      </w:r>
      <w:r>
        <w:rPr>
          <w:rFonts w:hint="eastAsia"/>
        </w:rPr>
        <w:t>降水</w:t>
      </w:r>
      <w:r>
        <w:rPr>
          <w:rFonts w:hint="eastAsia"/>
          <w:szCs w:val="22"/>
        </w:rPr>
        <w:t>，按表11、表12计算；</w:t>
      </w:r>
    </w:p>
    <w:p w14:paraId="231D78C5">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表11  潜水含水层基坑涌水量计算公式与适用条件</w:t>
      </w:r>
    </w:p>
    <w:tbl>
      <w:tblPr>
        <w:tblStyle w:val="34"/>
        <w:tblW w:w="90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1"/>
        <w:gridCol w:w="3129"/>
        <w:gridCol w:w="3945"/>
        <w:gridCol w:w="1485"/>
      </w:tblGrid>
      <w:tr w14:paraId="7D4EE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31" w:type="dxa"/>
            <w:tcBorders>
              <w:top w:val="single" w:color="auto" w:sz="12" w:space="0"/>
              <w:bottom w:val="single" w:color="auto" w:sz="12" w:space="0"/>
            </w:tcBorders>
            <w:vAlign w:val="center"/>
          </w:tcPr>
          <w:p w14:paraId="1E2CA500">
            <w:pPr>
              <w:spacing w:line="240" w:lineRule="auto"/>
              <w:jc w:val="center"/>
              <w:rPr>
                <w:kern w:val="0"/>
                <w:sz w:val="18"/>
                <w:szCs w:val="18"/>
              </w:rPr>
            </w:pPr>
            <w:r>
              <w:rPr>
                <w:kern w:val="0"/>
                <w:sz w:val="18"/>
                <w:szCs w:val="18"/>
              </w:rPr>
              <w:t>序号</w:t>
            </w:r>
          </w:p>
        </w:tc>
        <w:tc>
          <w:tcPr>
            <w:tcW w:w="3129" w:type="dxa"/>
            <w:tcBorders>
              <w:top w:val="single" w:color="auto" w:sz="12" w:space="0"/>
              <w:bottom w:val="single" w:color="auto" w:sz="12" w:space="0"/>
            </w:tcBorders>
            <w:vAlign w:val="center"/>
          </w:tcPr>
          <w:p w14:paraId="4645E5D2">
            <w:pPr>
              <w:spacing w:line="240" w:lineRule="auto"/>
              <w:jc w:val="center"/>
              <w:rPr>
                <w:kern w:val="0"/>
                <w:sz w:val="18"/>
                <w:szCs w:val="18"/>
              </w:rPr>
            </w:pPr>
            <w:r>
              <w:rPr>
                <w:kern w:val="0"/>
                <w:sz w:val="18"/>
                <w:szCs w:val="18"/>
              </w:rPr>
              <w:t>图形</w:t>
            </w:r>
          </w:p>
        </w:tc>
        <w:tc>
          <w:tcPr>
            <w:tcW w:w="3945" w:type="dxa"/>
            <w:tcBorders>
              <w:top w:val="single" w:color="auto" w:sz="12" w:space="0"/>
              <w:bottom w:val="single" w:color="auto" w:sz="12" w:space="0"/>
            </w:tcBorders>
            <w:vAlign w:val="center"/>
          </w:tcPr>
          <w:p w14:paraId="56F2EF2B">
            <w:pPr>
              <w:spacing w:line="240" w:lineRule="auto"/>
              <w:jc w:val="center"/>
              <w:rPr>
                <w:kern w:val="0"/>
                <w:sz w:val="18"/>
                <w:szCs w:val="18"/>
              </w:rPr>
            </w:pPr>
            <w:r>
              <w:rPr>
                <w:kern w:val="0"/>
                <w:sz w:val="18"/>
                <w:szCs w:val="18"/>
              </w:rPr>
              <w:t>计算公式</w:t>
            </w:r>
          </w:p>
        </w:tc>
        <w:tc>
          <w:tcPr>
            <w:tcW w:w="1485" w:type="dxa"/>
            <w:tcBorders>
              <w:top w:val="single" w:color="auto" w:sz="12" w:space="0"/>
              <w:bottom w:val="single" w:color="auto" w:sz="12" w:space="0"/>
            </w:tcBorders>
            <w:vAlign w:val="center"/>
          </w:tcPr>
          <w:p w14:paraId="5285C6F7">
            <w:pPr>
              <w:spacing w:line="240" w:lineRule="auto"/>
              <w:jc w:val="center"/>
              <w:rPr>
                <w:kern w:val="0"/>
                <w:sz w:val="18"/>
                <w:szCs w:val="18"/>
              </w:rPr>
            </w:pPr>
            <w:r>
              <w:rPr>
                <w:kern w:val="0"/>
                <w:sz w:val="18"/>
                <w:szCs w:val="18"/>
              </w:rPr>
              <w:t>适用条件</w:t>
            </w:r>
          </w:p>
        </w:tc>
      </w:tr>
      <w:tr w14:paraId="14DD3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tcBorders>
              <w:top w:val="single" w:color="auto" w:sz="12" w:space="0"/>
            </w:tcBorders>
            <w:vAlign w:val="center"/>
          </w:tcPr>
          <w:p w14:paraId="59A51C5B">
            <w:pPr>
              <w:spacing w:line="240" w:lineRule="auto"/>
              <w:jc w:val="center"/>
              <w:rPr>
                <w:kern w:val="0"/>
                <w:sz w:val="18"/>
                <w:szCs w:val="18"/>
              </w:rPr>
            </w:pPr>
            <w:r>
              <w:rPr>
                <w:kern w:val="0"/>
                <w:sz w:val="18"/>
                <w:szCs w:val="18"/>
              </w:rPr>
              <w:t>1</w:t>
            </w:r>
          </w:p>
        </w:tc>
        <w:tc>
          <w:tcPr>
            <w:tcW w:w="3129" w:type="dxa"/>
            <w:tcBorders>
              <w:top w:val="single" w:color="auto" w:sz="12" w:space="0"/>
            </w:tcBorders>
            <w:vAlign w:val="center"/>
          </w:tcPr>
          <w:p w14:paraId="36DC23BD">
            <w:pPr>
              <w:pStyle w:val="254"/>
              <w:widowControl w:val="0"/>
              <w:spacing w:before="0" w:after="0" w:line="240" w:lineRule="auto"/>
              <w:ind w:left="0" w:leftChars="0" w:right="0" w:rightChars="0"/>
              <w:rPr>
                <w:rFonts w:ascii="Times New Roman" w:hAnsi="Times New Roman"/>
                <w:kern w:val="0"/>
                <w:sz w:val="18"/>
                <w:szCs w:val="18"/>
              </w:rPr>
            </w:pPr>
            <w:r>
              <w:object>
                <v:shape id="_x0000_i1025" o:spt="75" type="#_x0000_t75" style="height:64.55pt;width:136.55pt;" o:ole="t" filled="f" coordsize="21600,21600">
                  <v:path/>
                  <v:fill on="f" focussize="0,0"/>
                  <v:stroke/>
                  <v:imagedata r:id="rId45" cropleft="1492f" croptop="9637f" cropright="13495f" cropbottom="23018f" o:title=""/>
                  <o:lock v:ext="edit" aspectratio="t"/>
                  <w10:wrap type="none"/>
                  <w10:anchorlock/>
                </v:shape>
                <o:OLEObject Type="Embed" ProgID="AcroExch.Document.11" ShapeID="_x0000_i1025" DrawAspect="Content" ObjectID="_1468075725" r:id="rId44">
                  <o:LockedField>false</o:LockedField>
                </o:OLEObject>
              </w:object>
            </w:r>
          </w:p>
        </w:tc>
        <w:tc>
          <w:tcPr>
            <w:tcW w:w="3945" w:type="dxa"/>
            <w:tcBorders>
              <w:top w:val="single" w:color="auto" w:sz="12" w:space="0"/>
            </w:tcBorders>
            <w:vAlign w:val="center"/>
          </w:tcPr>
          <w:p w14:paraId="11A1053F">
            <w:pPr>
              <w:spacing w:line="240" w:lineRule="auto"/>
              <w:ind w:firstLine="480"/>
              <w:jc w:val="center"/>
              <w:rPr>
                <w:i/>
                <w:kern w:val="0"/>
                <w:sz w:val="18"/>
                <w:szCs w:val="18"/>
              </w:rPr>
            </w:pPr>
            <m:oMathPara>
              <m:oMath>
                <m:r>
                  <m:rPr/>
                  <w:rPr>
                    <w:rFonts w:ascii="Cambria Math" w:hAnsi="Cambria Math"/>
                    <w:kern w:val="0"/>
                    <w:sz w:val="15"/>
                    <w:szCs w:val="15"/>
                  </w:rPr>
                  <m:t>Q=1.366K</m:t>
                </m:r>
                <m:f>
                  <m:fPr>
                    <m:ctrlPr>
                      <w:rPr>
                        <w:rFonts w:ascii="Cambria Math" w:hAnsi="Cambria Math"/>
                        <w:i/>
                        <w:kern w:val="0"/>
                        <w:sz w:val="15"/>
                        <w:szCs w:val="15"/>
                      </w:rPr>
                    </m:ctrlPr>
                  </m:fPr>
                  <m:num>
                    <m:d>
                      <m:dPr>
                        <m:begChr m:val="（"/>
                        <m:endChr m:val="）"/>
                        <m:ctrlPr>
                          <w:rPr>
                            <w:rFonts w:ascii="Cambria Math" w:hAnsi="Cambria Math"/>
                            <w:i/>
                            <w:kern w:val="0"/>
                            <w:sz w:val="15"/>
                            <w:szCs w:val="15"/>
                          </w:rPr>
                        </m:ctrlPr>
                      </m:dPr>
                      <m:e>
                        <m:r>
                          <m:rPr/>
                          <w:rPr>
                            <w:rFonts w:ascii="Cambria Math" w:hAnsi="Cambria Math"/>
                            <w:kern w:val="0"/>
                            <w:sz w:val="15"/>
                            <w:szCs w:val="15"/>
                          </w:rPr>
                          <m:t>2H−S</m:t>
                        </m:r>
                        <m:ctrlPr>
                          <w:rPr>
                            <w:rFonts w:ascii="Cambria Math" w:hAnsi="Cambria Math"/>
                            <w:i/>
                            <w:kern w:val="0"/>
                            <w:sz w:val="15"/>
                            <w:szCs w:val="15"/>
                          </w:rPr>
                        </m:ctrlPr>
                      </m:e>
                    </m:d>
                    <m:r>
                      <m:rPr/>
                      <w:rPr>
                        <w:rFonts w:ascii="Cambria Math" w:hAnsi="Cambria Math"/>
                        <w:kern w:val="0"/>
                        <w:sz w:val="15"/>
                        <w:szCs w:val="15"/>
                      </w:rPr>
                      <m:t>S</m:t>
                    </m:r>
                    <m:ctrlPr>
                      <w:rPr>
                        <w:rFonts w:ascii="Cambria Math" w:hAnsi="Cambria Math"/>
                        <w:i/>
                        <w:kern w:val="0"/>
                        <w:sz w:val="15"/>
                        <w:szCs w:val="15"/>
                      </w:rPr>
                    </m:ctrlPr>
                  </m:num>
                  <m:den>
                    <m:func>
                      <m:funcPr>
                        <m:ctrlPr>
                          <w:rPr>
                            <w:rFonts w:ascii="Cambria Math" w:hAnsi="Cambria Math"/>
                            <w:i/>
                            <w:kern w:val="0"/>
                            <w:sz w:val="15"/>
                            <w:szCs w:val="15"/>
                          </w:rPr>
                        </m:ctrlPr>
                      </m:funcPr>
                      <m:fName>
                        <m:r>
                          <m:rPr>
                            <m:sty m:val="p"/>
                          </m:rPr>
                          <w:rPr>
                            <w:rFonts w:ascii="Cambria Math" w:hAnsi="Cambria Math"/>
                            <w:kern w:val="0"/>
                            <w:sz w:val="15"/>
                            <w:szCs w:val="15"/>
                          </w:rPr>
                          <m:t>lg</m:t>
                        </m:r>
                        <m:ctrlPr>
                          <w:rPr>
                            <w:rFonts w:ascii="Cambria Math" w:hAnsi="Cambria Math"/>
                            <w:i/>
                            <w:kern w:val="0"/>
                            <w:sz w:val="15"/>
                            <w:szCs w:val="15"/>
                          </w:rPr>
                        </m:ctrlPr>
                      </m:fName>
                      <m:e>
                        <m:d>
                          <m:dPr>
                            <m:begChr m:val="（"/>
                            <m:endChr m:val="）"/>
                            <m:ctrlPr>
                              <w:rPr>
                                <w:rFonts w:ascii="Cambria Math" w:hAnsi="Cambria Math"/>
                                <w:i/>
                                <w:kern w:val="0"/>
                                <w:sz w:val="15"/>
                                <w:szCs w:val="15"/>
                              </w:rPr>
                            </m:ctrlPr>
                          </m:dPr>
                          <m:e>
                            <m:r>
                              <m:rPr/>
                              <w:rPr>
                                <w:rFonts w:ascii="Cambria Math" w:hAnsi="Cambria Math"/>
                                <w:kern w:val="0"/>
                                <w:sz w:val="15"/>
                                <w:szCs w:val="15"/>
                              </w:rPr>
                              <m:t>R+</m:t>
                            </m:r>
                            <m:sSub>
                              <m:sSubPr>
                                <m:ctrlPr>
                                  <w:rPr>
                                    <w:rFonts w:ascii="Cambria Math" w:hAnsi="Cambria Math"/>
                                    <w:i/>
                                    <w:kern w:val="0"/>
                                    <w:sz w:val="15"/>
                                    <w:szCs w:val="15"/>
                                  </w:rPr>
                                </m:ctrlPr>
                              </m:sSubPr>
                              <m:e>
                                <m:r>
                                  <m:rPr/>
                                  <w:rPr>
                                    <w:rFonts w:ascii="Cambria Math" w:hAnsi="Cambria Math"/>
                                    <w:kern w:val="0"/>
                                    <w:sz w:val="15"/>
                                    <w:szCs w:val="15"/>
                                  </w:rPr>
                                  <m:t>r</m:t>
                                </m:r>
                                <m:ctrlPr>
                                  <w:rPr>
                                    <w:rFonts w:ascii="Cambria Math" w:hAnsi="Cambria Math"/>
                                    <w:i/>
                                    <w:kern w:val="0"/>
                                    <w:sz w:val="15"/>
                                    <w:szCs w:val="15"/>
                                  </w:rPr>
                                </m:ctrlPr>
                              </m:e>
                              <m:sub>
                                <m:r>
                                  <m:rPr/>
                                  <w:rPr>
                                    <w:rFonts w:ascii="Cambria Math" w:hAnsi="Cambria Math"/>
                                    <w:kern w:val="0"/>
                                    <w:sz w:val="15"/>
                                    <w:szCs w:val="15"/>
                                  </w:rPr>
                                  <m:t>0</m:t>
                                </m:r>
                                <m:ctrlPr>
                                  <w:rPr>
                                    <w:rFonts w:ascii="Cambria Math" w:hAnsi="Cambria Math"/>
                                    <w:i/>
                                    <w:kern w:val="0"/>
                                    <w:sz w:val="15"/>
                                    <w:szCs w:val="15"/>
                                  </w:rPr>
                                </m:ctrlPr>
                              </m:sub>
                            </m:sSub>
                            <m:ctrlPr>
                              <w:rPr>
                                <w:rFonts w:ascii="Cambria Math" w:hAnsi="Cambria Math"/>
                                <w:i/>
                                <w:kern w:val="0"/>
                                <w:sz w:val="15"/>
                                <w:szCs w:val="15"/>
                              </w:rPr>
                            </m:ctrlPr>
                          </m:e>
                        </m:d>
                        <m:ctrlPr>
                          <w:rPr>
                            <w:rFonts w:ascii="Cambria Math" w:hAnsi="Cambria Math"/>
                            <w:i/>
                            <w:kern w:val="0"/>
                            <w:sz w:val="15"/>
                            <w:szCs w:val="15"/>
                          </w:rPr>
                        </m:ctrlPr>
                      </m:e>
                    </m:func>
                    <m:r>
                      <m:rPr/>
                      <w:rPr>
                        <w:rFonts w:ascii="Cambria Math" w:hAnsi="Cambria Math"/>
                        <w:kern w:val="0"/>
                        <w:sz w:val="15"/>
                        <w:szCs w:val="15"/>
                      </w:rPr>
                      <m:t>−</m:t>
                    </m:r>
                    <m:func>
                      <m:funcPr>
                        <m:ctrlPr>
                          <w:rPr>
                            <w:rFonts w:ascii="Cambria Math" w:hAnsi="Cambria Math"/>
                            <w:i/>
                            <w:kern w:val="0"/>
                            <w:sz w:val="15"/>
                            <w:szCs w:val="15"/>
                          </w:rPr>
                        </m:ctrlPr>
                      </m:funcPr>
                      <m:fName>
                        <m:r>
                          <m:rPr>
                            <m:sty m:val="p"/>
                          </m:rPr>
                          <w:rPr>
                            <w:rFonts w:ascii="Cambria Math" w:hAnsi="Cambria Math"/>
                            <w:kern w:val="0"/>
                            <w:sz w:val="15"/>
                            <w:szCs w:val="15"/>
                          </w:rPr>
                          <m:t>lg</m:t>
                        </m:r>
                        <m:ctrlPr>
                          <w:rPr>
                            <w:rFonts w:ascii="Cambria Math" w:hAnsi="Cambria Math"/>
                            <w:i/>
                            <w:kern w:val="0"/>
                            <w:sz w:val="15"/>
                            <w:szCs w:val="15"/>
                          </w:rPr>
                        </m:ctrlPr>
                      </m:fName>
                      <m:e>
                        <m:sSub>
                          <m:sSubPr>
                            <m:ctrlPr>
                              <w:rPr>
                                <w:rFonts w:ascii="Cambria Math" w:hAnsi="Cambria Math"/>
                                <w:i/>
                                <w:kern w:val="0"/>
                                <w:sz w:val="15"/>
                                <w:szCs w:val="15"/>
                              </w:rPr>
                            </m:ctrlPr>
                          </m:sSubPr>
                          <m:e>
                            <m:r>
                              <m:rPr/>
                              <w:rPr>
                                <w:rFonts w:ascii="Cambria Math" w:hAnsi="Cambria Math"/>
                                <w:kern w:val="0"/>
                                <w:sz w:val="15"/>
                                <w:szCs w:val="15"/>
                              </w:rPr>
                              <m:t>r</m:t>
                            </m:r>
                            <m:ctrlPr>
                              <w:rPr>
                                <w:rFonts w:ascii="Cambria Math" w:hAnsi="Cambria Math"/>
                                <w:i/>
                                <w:kern w:val="0"/>
                                <w:sz w:val="15"/>
                                <w:szCs w:val="15"/>
                              </w:rPr>
                            </m:ctrlPr>
                          </m:e>
                          <m:sub>
                            <m:r>
                              <m:rPr/>
                              <w:rPr>
                                <w:rFonts w:ascii="Cambria Math" w:hAnsi="Cambria Math"/>
                                <w:kern w:val="0"/>
                                <w:sz w:val="15"/>
                                <w:szCs w:val="15"/>
                              </w:rPr>
                              <m:t>0</m:t>
                            </m:r>
                            <m:ctrlPr>
                              <w:rPr>
                                <w:rFonts w:ascii="Cambria Math" w:hAnsi="Cambria Math"/>
                                <w:i/>
                                <w:kern w:val="0"/>
                                <w:sz w:val="15"/>
                                <w:szCs w:val="15"/>
                              </w:rPr>
                            </m:ctrlPr>
                          </m:sub>
                        </m:sSub>
                        <m:ctrlPr>
                          <w:rPr>
                            <w:rFonts w:ascii="Cambria Math" w:hAnsi="Cambria Math"/>
                            <w:i/>
                            <w:kern w:val="0"/>
                            <w:sz w:val="15"/>
                            <w:szCs w:val="15"/>
                          </w:rPr>
                        </m:ctrlPr>
                      </m:e>
                    </m:func>
                    <m:ctrlPr>
                      <w:rPr>
                        <w:rFonts w:ascii="Cambria Math" w:hAnsi="Cambria Math"/>
                        <w:i/>
                        <w:kern w:val="0"/>
                        <w:sz w:val="15"/>
                        <w:szCs w:val="15"/>
                      </w:rPr>
                    </m:ctrlPr>
                  </m:den>
                </m:f>
              </m:oMath>
            </m:oMathPara>
          </w:p>
        </w:tc>
        <w:tc>
          <w:tcPr>
            <w:tcW w:w="1485" w:type="dxa"/>
            <w:tcBorders>
              <w:top w:val="single" w:color="auto" w:sz="12" w:space="0"/>
            </w:tcBorders>
            <w:vAlign w:val="center"/>
          </w:tcPr>
          <w:p w14:paraId="6DC94983">
            <w:pPr>
              <w:spacing w:line="240" w:lineRule="auto"/>
              <w:jc w:val="left"/>
              <w:rPr>
                <w:kern w:val="0"/>
                <w:sz w:val="18"/>
                <w:szCs w:val="18"/>
              </w:rPr>
            </w:pPr>
            <w:r>
              <w:rPr>
                <w:rFonts w:hint="eastAsia" w:ascii="宋体" w:hAnsi="宋体"/>
                <w:kern w:val="0"/>
                <w:sz w:val="18"/>
                <w:szCs w:val="18"/>
              </w:rPr>
              <w:t>①</w:t>
            </w:r>
            <w:r>
              <w:rPr>
                <w:kern w:val="0"/>
                <w:sz w:val="18"/>
                <w:szCs w:val="18"/>
              </w:rPr>
              <w:t>潜水完整井；</w:t>
            </w:r>
          </w:p>
          <w:p w14:paraId="2D7015C1">
            <w:pPr>
              <w:spacing w:line="240" w:lineRule="auto"/>
              <w:jc w:val="left"/>
              <w:rPr>
                <w:kern w:val="0"/>
                <w:sz w:val="18"/>
                <w:szCs w:val="18"/>
              </w:rPr>
            </w:pPr>
            <w:r>
              <w:rPr>
                <w:rFonts w:hint="eastAsia" w:ascii="宋体" w:hAnsi="宋体"/>
                <w:kern w:val="0"/>
                <w:sz w:val="18"/>
                <w:szCs w:val="18"/>
              </w:rPr>
              <w:t>②</w:t>
            </w:r>
            <w:r>
              <w:rPr>
                <w:kern w:val="0"/>
                <w:sz w:val="18"/>
                <w:szCs w:val="18"/>
              </w:rPr>
              <w:t>均质含水层；</w:t>
            </w:r>
          </w:p>
          <w:p w14:paraId="492A9FD8">
            <w:pPr>
              <w:spacing w:line="240" w:lineRule="auto"/>
              <w:jc w:val="left"/>
              <w:rPr>
                <w:kern w:val="0"/>
                <w:sz w:val="18"/>
                <w:szCs w:val="18"/>
              </w:rPr>
            </w:pPr>
            <w:r>
              <w:rPr>
                <w:rFonts w:hint="eastAsia" w:ascii="宋体" w:hAnsi="宋体"/>
                <w:kern w:val="0"/>
                <w:sz w:val="18"/>
                <w:szCs w:val="18"/>
              </w:rPr>
              <w:t>③</w:t>
            </w:r>
            <w:r>
              <w:rPr>
                <w:kern w:val="0"/>
                <w:sz w:val="18"/>
                <w:szCs w:val="18"/>
              </w:rPr>
              <w:t>基坑远离边界</w:t>
            </w:r>
            <w:r>
              <w:rPr>
                <w:rFonts w:hint="eastAsia"/>
                <w:kern w:val="0"/>
                <w:sz w:val="18"/>
                <w:szCs w:val="18"/>
              </w:rPr>
              <w:t>。</w:t>
            </w:r>
          </w:p>
        </w:tc>
      </w:tr>
      <w:tr w14:paraId="2A58B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1AECD9C4">
            <w:pPr>
              <w:spacing w:line="240" w:lineRule="auto"/>
              <w:jc w:val="center"/>
              <w:rPr>
                <w:kern w:val="0"/>
                <w:sz w:val="18"/>
                <w:szCs w:val="18"/>
              </w:rPr>
            </w:pPr>
            <w:r>
              <w:rPr>
                <w:kern w:val="0"/>
                <w:sz w:val="18"/>
                <w:szCs w:val="18"/>
              </w:rPr>
              <w:t>2</w:t>
            </w:r>
          </w:p>
        </w:tc>
        <w:tc>
          <w:tcPr>
            <w:tcW w:w="3129" w:type="dxa"/>
            <w:vAlign w:val="center"/>
          </w:tcPr>
          <w:p w14:paraId="09C8EE5D">
            <w:pPr>
              <w:pStyle w:val="254"/>
              <w:widowControl w:val="0"/>
              <w:spacing w:before="0" w:after="0" w:line="240" w:lineRule="auto"/>
              <w:ind w:left="0" w:leftChars="0" w:right="0" w:rightChars="0"/>
              <w:rPr>
                <w:rFonts w:ascii="Times New Roman" w:hAnsi="Times New Roman"/>
                <w:kern w:val="0"/>
                <w:sz w:val="18"/>
                <w:szCs w:val="18"/>
              </w:rPr>
            </w:pPr>
            <w:r>
              <w:object>
                <v:shape id="_x0000_i1026" o:spt="75" type="#_x0000_t75" style="height:64.55pt;width:136.55pt;" o:ole="t" filled="f" coordsize="21600,21600">
                  <v:path/>
                  <v:fill on="f" focussize="0,0"/>
                  <v:stroke/>
                  <v:imagedata r:id="rId47" croptop="8611f" cropright="13681f" cropbottom="22244f" o:title=""/>
                  <o:lock v:ext="edit" aspectratio="t"/>
                  <w10:wrap type="none"/>
                  <w10:anchorlock/>
                </v:shape>
                <o:OLEObject Type="Embed" ProgID="AcroExch.Document.11" ShapeID="_x0000_i1026" DrawAspect="Content" ObjectID="_1468075726" r:id="rId46">
                  <o:LockedField>false</o:LockedField>
                </o:OLEObject>
              </w:object>
            </w:r>
          </w:p>
        </w:tc>
        <w:tc>
          <w:tcPr>
            <w:tcW w:w="3945" w:type="dxa"/>
            <w:vAlign w:val="center"/>
          </w:tcPr>
          <w:p w14:paraId="4F8B1B7E">
            <w:pPr>
              <w:spacing w:line="240" w:lineRule="auto"/>
              <w:ind w:firstLine="480"/>
              <w:jc w:val="center"/>
              <w:rPr>
                <w:kern w:val="0"/>
                <w:sz w:val="18"/>
                <w:szCs w:val="18"/>
              </w:rPr>
            </w:pPr>
            <m:oMathPara>
              <m:oMath>
                <m:r>
                  <m:rPr/>
                  <w:rPr>
                    <w:rFonts w:ascii="Cambria Math" w:hAnsi="Cambria Math"/>
                    <w:kern w:val="0"/>
                    <w:sz w:val="15"/>
                    <w:szCs w:val="15"/>
                  </w:rPr>
                  <m:t>Q=1.366K</m:t>
                </m:r>
                <m:f>
                  <m:fPr>
                    <m:ctrlPr>
                      <w:rPr>
                        <w:rFonts w:ascii="Cambria Math" w:hAnsi="Cambria Math"/>
                        <w:i/>
                        <w:kern w:val="0"/>
                        <w:sz w:val="15"/>
                        <w:szCs w:val="15"/>
                      </w:rPr>
                    </m:ctrlPr>
                  </m:fPr>
                  <m:num>
                    <m:d>
                      <m:dPr>
                        <m:begChr m:val="（"/>
                        <m:endChr m:val="）"/>
                        <m:ctrlPr>
                          <w:rPr>
                            <w:rFonts w:ascii="Cambria Math" w:hAnsi="Cambria Math"/>
                            <w:i/>
                            <w:kern w:val="0"/>
                            <w:sz w:val="15"/>
                            <w:szCs w:val="15"/>
                          </w:rPr>
                        </m:ctrlPr>
                      </m:dPr>
                      <m:e>
                        <m:r>
                          <m:rPr/>
                          <w:rPr>
                            <w:rFonts w:ascii="Cambria Math" w:hAnsi="Cambria Math"/>
                            <w:kern w:val="0"/>
                            <w:sz w:val="15"/>
                            <w:szCs w:val="15"/>
                          </w:rPr>
                          <m:t>2H−S</m:t>
                        </m:r>
                        <m:ctrlPr>
                          <w:rPr>
                            <w:rFonts w:ascii="Cambria Math" w:hAnsi="Cambria Math"/>
                            <w:i/>
                            <w:kern w:val="0"/>
                            <w:sz w:val="15"/>
                            <w:szCs w:val="15"/>
                          </w:rPr>
                        </m:ctrlPr>
                      </m:e>
                    </m:d>
                    <m:r>
                      <m:rPr/>
                      <w:rPr>
                        <w:rFonts w:ascii="Cambria Math" w:hAnsi="Cambria Math"/>
                        <w:kern w:val="0"/>
                        <w:sz w:val="15"/>
                        <w:szCs w:val="15"/>
                      </w:rPr>
                      <m:t>S</m:t>
                    </m:r>
                    <m:ctrlPr>
                      <w:rPr>
                        <w:rFonts w:ascii="Cambria Math" w:hAnsi="Cambria Math"/>
                        <w:i/>
                        <w:kern w:val="0"/>
                        <w:sz w:val="15"/>
                        <w:szCs w:val="15"/>
                      </w:rPr>
                    </m:ctrlPr>
                  </m:num>
                  <m:den>
                    <m:func>
                      <m:funcPr>
                        <m:ctrlPr>
                          <w:rPr>
                            <w:rFonts w:ascii="Cambria Math" w:hAnsi="Cambria Math"/>
                            <w:i/>
                            <w:kern w:val="0"/>
                            <w:sz w:val="15"/>
                            <w:szCs w:val="15"/>
                          </w:rPr>
                        </m:ctrlPr>
                      </m:funcPr>
                      <m:fName>
                        <m:r>
                          <m:rPr>
                            <m:sty m:val="p"/>
                          </m:rPr>
                          <w:rPr>
                            <w:rFonts w:ascii="Cambria Math" w:hAnsi="Cambria Math"/>
                            <w:kern w:val="0"/>
                            <w:sz w:val="15"/>
                            <w:szCs w:val="15"/>
                          </w:rPr>
                          <m:t>lg</m:t>
                        </m:r>
                        <m:ctrlPr>
                          <w:rPr>
                            <w:rFonts w:ascii="Cambria Math" w:hAnsi="Cambria Math"/>
                            <w:i/>
                            <w:kern w:val="0"/>
                            <w:sz w:val="15"/>
                            <w:szCs w:val="15"/>
                          </w:rPr>
                        </m:ctrlPr>
                      </m:fName>
                      <m:e>
                        <m:r>
                          <m:rPr/>
                          <w:rPr>
                            <w:rFonts w:ascii="Cambria Math" w:hAnsi="Cambria Math"/>
                            <w:kern w:val="0"/>
                            <w:sz w:val="15"/>
                            <w:szCs w:val="15"/>
                          </w:rPr>
                          <m:t>2b</m:t>
                        </m:r>
                        <m:ctrlPr>
                          <w:rPr>
                            <w:rFonts w:ascii="Cambria Math" w:hAnsi="Cambria Math"/>
                            <w:i/>
                            <w:kern w:val="0"/>
                            <w:sz w:val="15"/>
                            <w:szCs w:val="15"/>
                          </w:rPr>
                        </m:ctrlPr>
                      </m:e>
                    </m:func>
                    <m:r>
                      <m:rPr/>
                      <w:rPr>
                        <w:rFonts w:ascii="Cambria Math" w:hAnsi="Cambria Math"/>
                        <w:kern w:val="0"/>
                        <w:sz w:val="15"/>
                        <w:szCs w:val="15"/>
                      </w:rPr>
                      <m:t>−</m:t>
                    </m:r>
                    <m:func>
                      <m:funcPr>
                        <m:ctrlPr>
                          <w:rPr>
                            <w:rFonts w:ascii="Cambria Math" w:hAnsi="Cambria Math"/>
                            <w:i/>
                            <w:kern w:val="0"/>
                            <w:sz w:val="15"/>
                            <w:szCs w:val="15"/>
                          </w:rPr>
                        </m:ctrlPr>
                      </m:funcPr>
                      <m:fName>
                        <m:r>
                          <m:rPr>
                            <m:sty m:val="p"/>
                          </m:rPr>
                          <w:rPr>
                            <w:rFonts w:ascii="Cambria Math" w:hAnsi="Cambria Math"/>
                            <w:kern w:val="0"/>
                            <w:sz w:val="15"/>
                            <w:szCs w:val="15"/>
                          </w:rPr>
                          <m:t>lg</m:t>
                        </m:r>
                        <m:ctrlPr>
                          <w:rPr>
                            <w:rFonts w:ascii="Cambria Math" w:hAnsi="Cambria Math"/>
                            <w:i/>
                            <w:kern w:val="0"/>
                            <w:sz w:val="15"/>
                            <w:szCs w:val="15"/>
                          </w:rPr>
                        </m:ctrlPr>
                      </m:fName>
                      <m:e>
                        <m:sSub>
                          <m:sSubPr>
                            <m:ctrlPr>
                              <w:rPr>
                                <w:rFonts w:ascii="Cambria Math" w:hAnsi="Cambria Math"/>
                                <w:i/>
                                <w:kern w:val="0"/>
                                <w:sz w:val="15"/>
                                <w:szCs w:val="15"/>
                              </w:rPr>
                            </m:ctrlPr>
                          </m:sSubPr>
                          <m:e>
                            <m:r>
                              <m:rPr/>
                              <w:rPr>
                                <w:rFonts w:ascii="Cambria Math" w:hAnsi="Cambria Math"/>
                                <w:kern w:val="0"/>
                                <w:sz w:val="15"/>
                                <w:szCs w:val="15"/>
                              </w:rPr>
                              <m:t>r</m:t>
                            </m:r>
                            <m:ctrlPr>
                              <w:rPr>
                                <w:rFonts w:ascii="Cambria Math" w:hAnsi="Cambria Math"/>
                                <w:i/>
                                <w:kern w:val="0"/>
                                <w:sz w:val="15"/>
                                <w:szCs w:val="15"/>
                              </w:rPr>
                            </m:ctrlPr>
                          </m:e>
                          <m:sub>
                            <m:r>
                              <m:rPr/>
                              <w:rPr>
                                <w:rFonts w:ascii="Cambria Math" w:hAnsi="Cambria Math"/>
                                <w:kern w:val="0"/>
                                <w:sz w:val="15"/>
                                <w:szCs w:val="15"/>
                              </w:rPr>
                              <m:t>0</m:t>
                            </m:r>
                            <m:ctrlPr>
                              <w:rPr>
                                <w:rFonts w:ascii="Cambria Math" w:hAnsi="Cambria Math"/>
                                <w:i/>
                                <w:kern w:val="0"/>
                                <w:sz w:val="15"/>
                                <w:szCs w:val="15"/>
                              </w:rPr>
                            </m:ctrlPr>
                          </m:sub>
                        </m:sSub>
                        <m:ctrlPr>
                          <w:rPr>
                            <w:rFonts w:ascii="Cambria Math" w:hAnsi="Cambria Math"/>
                            <w:i/>
                            <w:kern w:val="0"/>
                            <w:sz w:val="15"/>
                            <w:szCs w:val="15"/>
                          </w:rPr>
                        </m:ctrlPr>
                      </m:e>
                    </m:func>
                    <m:ctrlPr>
                      <w:rPr>
                        <w:rFonts w:ascii="Cambria Math" w:hAnsi="Cambria Math"/>
                        <w:i/>
                        <w:kern w:val="0"/>
                        <w:sz w:val="15"/>
                        <w:szCs w:val="15"/>
                      </w:rPr>
                    </m:ctrlPr>
                  </m:den>
                </m:f>
              </m:oMath>
            </m:oMathPara>
          </w:p>
        </w:tc>
        <w:tc>
          <w:tcPr>
            <w:tcW w:w="1485" w:type="dxa"/>
            <w:vAlign w:val="center"/>
          </w:tcPr>
          <w:p w14:paraId="034BAD10">
            <w:pPr>
              <w:spacing w:line="240" w:lineRule="auto"/>
              <w:jc w:val="left"/>
              <w:rPr>
                <w:kern w:val="0"/>
                <w:sz w:val="18"/>
                <w:szCs w:val="18"/>
              </w:rPr>
            </w:pPr>
            <w:r>
              <w:rPr>
                <w:rFonts w:hint="eastAsia" w:ascii="宋体" w:hAnsi="宋体"/>
                <w:kern w:val="0"/>
                <w:sz w:val="18"/>
                <w:szCs w:val="18"/>
              </w:rPr>
              <w:t>①②</w:t>
            </w:r>
            <w:r>
              <w:rPr>
                <w:rFonts w:hint="eastAsia"/>
                <w:kern w:val="0"/>
                <w:sz w:val="18"/>
                <w:szCs w:val="18"/>
              </w:rPr>
              <w:t>条</w:t>
            </w:r>
            <w:r>
              <w:rPr>
                <w:kern w:val="0"/>
                <w:sz w:val="18"/>
                <w:szCs w:val="18"/>
              </w:rPr>
              <w:t>同上；</w:t>
            </w:r>
          </w:p>
          <w:p w14:paraId="609BB8AD">
            <w:pPr>
              <w:spacing w:line="240" w:lineRule="auto"/>
              <w:jc w:val="left"/>
              <w:rPr>
                <w:kern w:val="0"/>
                <w:sz w:val="18"/>
                <w:szCs w:val="18"/>
              </w:rPr>
            </w:pPr>
            <w:r>
              <w:rPr>
                <w:rFonts w:hint="eastAsia" w:ascii="宋体" w:hAnsi="宋体"/>
                <w:kern w:val="0"/>
                <w:sz w:val="18"/>
                <w:szCs w:val="18"/>
              </w:rPr>
              <w:t>③</w:t>
            </w:r>
            <w:r>
              <w:rPr>
                <w:kern w:val="0"/>
                <w:sz w:val="18"/>
                <w:szCs w:val="18"/>
              </w:rPr>
              <w:t>岸边降水；</w:t>
            </w:r>
          </w:p>
          <w:p w14:paraId="396765B8">
            <w:pPr>
              <w:spacing w:line="240" w:lineRule="auto"/>
              <w:jc w:val="left"/>
              <w:rPr>
                <w:kern w:val="0"/>
                <w:sz w:val="18"/>
                <w:szCs w:val="18"/>
              </w:rPr>
            </w:pPr>
            <w:r>
              <w:rPr>
                <w:rFonts w:hint="eastAsia" w:ascii="宋体" w:hAnsi="宋体"/>
                <w:kern w:val="0"/>
                <w:sz w:val="18"/>
                <w:szCs w:val="18"/>
              </w:rPr>
              <w:t>④</w:t>
            </w:r>
            <m:oMath>
              <m:r>
                <m:rPr>
                  <m:sty m:val="p"/>
                </m:rPr>
                <w:rPr>
                  <w:rFonts w:ascii="Cambria Math" w:hAnsi="Cambria Math"/>
                  <w:kern w:val="0"/>
                  <w:sz w:val="18"/>
                  <w:szCs w:val="18"/>
                </w:rPr>
                <m:t>b</m:t>
              </m:r>
              <m:r>
                <m:rPr/>
                <w:rPr>
                  <w:rFonts w:ascii="Cambria Math" w:hAnsi="Cambria Math"/>
                  <w:kern w:val="0"/>
                  <w:sz w:val="18"/>
                  <w:szCs w:val="18"/>
                </w:rPr>
                <m:t>&lt;0.5R</m:t>
              </m:r>
            </m:oMath>
            <w:r>
              <w:rPr>
                <w:rFonts w:hint="eastAsia" w:ascii="宋体" w:hAnsi="宋体"/>
                <w:kern w:val="0"/>
                <w:sz w:val="18"/>
                <w:szCs w:val="18"/>
              </w:rPr>
              <w:t>。</w:t>
            </w:r>
          </w:p>
        </w:tc>
      </w:tr>
      <w:tr w14:paraId="12E13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6FCEF640">
            <w:pPr>
              <w:spacing w:line="240" w:lineRule="auto"/>
              <w:jc w:val="center"/>
              <w:rPr>
                <w:iCs/>
                <w:kern w:val="0"/>
                <w:sz w:val="18"/>
                <w:szCs w:val="18"/>
              </w:rPr>
            </w:pPr>
            <w:r>
              <w:rPr>
                <w:iCs/>
                <w:kern w:val="0"/>
                <w:sz w:val="18"/>
                <w:szCs w:val="18"/>
              </w:rPr>
              <w:t>3</w:t>
            </w:r>
          </w:p>
        </w:tc>
        <w:tc>
          <w:tcPr>
            <w:tcW w:w="3129" w:type="dxa"/>
            <w:vAlign w:val="center"/>
          </w:tcPr>
          <w:p w14:paraId="43AE9662">
            <w:pPr>
              <w:pStyle w:val="254"/>
              <w:widowControl w:val="0"/>
              <w:spacing w:before="0" w:after="0" w:line="240" w:lineRule="auto"/>
              <w:ind w:left="0" w:leftChars="0" w:right="0" w:rightChars="0"/>
              <w:rPr>
                <w:rFonts w:ascii="Times New Roman" w:hAnsi="Times New Roman"/>
                <w:iCs/>
                <w:kern w:val="0"/>
                <w:sz w:val="18"/>
                <w:szCs w:val="18"/>
              </w:rPr>
            </w:pPr>
            <w:r>
              <w:rPr>
                <w:iCs/>
              </w:rPr>
              <w:object>
                <v:shape id="_x0000_i1027" o:spt="75" type="#_x0000_t75" style="height:64.55pt;width:136.55pt;" o:ole="t" filled="f" coordsize="21600,21600">
                  <v:path/>
                  <v:fill on="f" focussize="0,0"/>
                  <v:stroke/>
                  <v:imagedata r:id="rId49" croptop="8822f" cropright="15009f" cropbottom="22475f" o:title=""/>
                  <o:lock v:ext="edit" aspectratio="t"/>
                  <w10:wrap type="none"/>
                  <w10:anchorlock/>
                </v:shape>
                <o:OLEObject Type="Embed" ProgID="AcroExch.Document.11" ShapeID="_x0000_i1027" DrawAspect="Content" ObjectID="_1468075727" r:id="rId48">
                  <o:LockedField>false</o:LockedField>
                </o:OLEObject>
              </w:object>
            </w:r>
          </w:p>
        </w:tc>
        <w:tc>
          <w:tcPr>
            <w:tcW w:w="3945" w:type="dxa"/>
            <w:vAlign w:val="center"/>
          </w:tcPr>
          <w:p w14:paraId="3C5EEB54">
            <w:pPr>
              <w:spacing w:line="240" w:lineRule="auto"/>
              <w:ind w:firstLine="480"/>
              <w:jc w:val="center"/>
              <w:rPr>
                <w:i/>
                <w:iCs/>
                <w:kern w:val="0"/>
                <w:sz w:val="18"/>
                <w:szCs w:val="18"/>
              </w:rPr>
            </w:pPr>
            <m:oMathPara>
              <m:oMath>
                <m:r>
                  <m:rPr/>
                  <w:rPr>
                    <w:rFonts w:ascii="Cambria Math" w:hAnsi="Cambria Math"/>
                    <w:kern w:val="0"/>
                    <w:sz w:val="15"/>
                    <w:szCs w:val="15"/>
                  </w:rPr>
                  <m:t>Q=1.366K</m:t>
                </m:r>
                <m:f>
                  <m:fPr>
                    <m:ctrlPr>
                      <w:rPr>
                        <w:rFonts w:ascii="Cambria Math" w:hAnsi="Cambria Math"/>
                        <w:i/>
                        <w:iCs/>
                        <w:kern w:val="0"/>
                        <w:sz w:val="15"/>
                        <w:szCs w:val="15"/>
                      </w:rPr>
                    </m:ctrlPr>
                  </m:fPr>
                  <m:num>
                    <m:d>
                      <m:dPr>
                        <m:ctrlPr>
                          <w:rPr>
                            <w:rFonts w:ascii="Cambria Math" w:hAnsi="Cambria Math"/>
                            <w:i/>
                            <w:iCs/>
                            <w:kern w:val="0"/>
                            <w:sz w:val="15"/>
                            <w:szCs w:val="15"/>
                          </w:rPr>
                        </m:ctrlPr>
                      </m:dPr>
                      <m:e>
                        <m:r>
                          <m:rPr/>
                          <w:rPr>
                            <w:rFonts w:ascii="Cambria Math" w:hAnsi="Cambria Math"/>
                            <w:kern w:val="0"/>
                            <w:sz w:val="15"/>
                            <w:szCs w:val="15"/>
                          </w:rPr>
                          <m:t>2H−S</m:t>
                        </m:r>
                        <m:ctrlPr>
                          <w:rPr>
                            <w:rFonts w:ascii="Cambria Math" w:hAnsi="Cambria Math"/>
                            <w:i/>
                            <w:iCs/>
                            <w:kern w:val="0"/>
                            <w:sz w:val="15"/>
                            <w:szCs w:val="15"/>
                          </w:rPr>
                        </m:ctrlPr>
                      </m:e>
                    </m:d>
                    <m:r>
                      <m:rPr/>
                      <w:rPr>
                        <w:rFonts w:ascii="Cambria Math" w:hAnsi="Cambria Math"/>
                        <w:kern w:val="0"/>
                        <w:sz w:val="15"/>
                        <w:szCs w:val="15"/>
                      </w:rPr>
                      <m:t>S</m:t>
                    </m:r>
                    <m:ctrlPr>
                      <w:rPr>
                        <w:rFonts w:ascii="Cambria Math" w:hAnsi="Cambria Math"/>
                        <w:i/>
                        <w:iCs/>
                        <w:kern w:val="0"/>
                        <w:sz w:val="15"/>
                        <w:szCs w:val="15"/>
                      </w:rPr>
                    </m:ctrlPr>
                  </m:num>
                  <m:den>
                    <m:func>
                      <m:funcPr>
                        <m:ctrlPr>
                          <w:rPr>
                            <w:rFonts w:ascii="Cambria Math" w:hAnsi="Cambria Math"/>
                            <w:i/>
                            <w:iCs/>
                            <w:kern w:val="0"/>
                            <w:sz w:val="15"/>
                            <w:szCs w:val="15"/>
                          </w:rPr>
                        </m:ctrlPr>
                      </m:funcPr>
                      <m:fName>
                        <m:r>
                          <m:rPr>
                            <m:sty m:val="p"/>
                          </m:rPr>
                          <w:rPr>
                            <w:rFonts w:ascii="Cambria Math" w:hAnsi="Cambria Math"/>
                            <w:kern w:val="0"/>
                            <w:sz w:val="15"/>
                            <w:szCs w:val="15"/>
                          </w:rPr>
                          <m:t>lg</m:t>
                        </m:r>
                        <m:ctrlPr>
                          <w:rPr>
                            <w:rFonts w:ascii="Cambria Math" w:hAnsi="Cambria Math"/>
                            <w:i/>
                            <w:iCs/>
                            <w:kern w:val="0"/>
                            <w:sz w:val="15"/>
                            <w:szCs w:val="15"/>
                          </w:rPr>
                        </m:ctrlPr>
                      </m:fName>
                      <m:e>
                        <m:d>
                          <m:dPr>
                            <m:begChr m:val="["/>
                            <m:endChr m:val="]"/>
                            <m:ctrlPr>
                              <w:rPr>
                                <w:rFonts w:ascii="Cambria Math" w:hAnsi="Cambria Math"/>
                                <w:i/>
                                <w:iCs/>
                                <w:kern w:val="0"/>
                                <w:sz w:val="15"/>
                                <w:szCs w:val="15"/>
                              </w:rPr>
                            </m:ctrlPr>
                          </m:dPr>
                          <m:e>
                            <m:f>
                              <m:fPr>
                                <m:ctrlPr>
                                  <w:rPr>
                                    <w:rFonts w:ascii="Cambria Math" w:hAnsi="Cambria Math"/>
                                    <w:i/>
                                    <w:iCs/>
                                    <w:kern w:val="0"/>
                                    <w:sz w:val="15"/>
                                    <w:szCs w:val="15"/>
                                  </w:rPr>
                                </m:ctrlPr>
                              </m:fPr>
                              <m:num>
                                <m:r>
                                  <m:rPr/>
                                  <w:rPr>
                                    <w:rFonts w:ascii="Cambria Math" w:hAnsi="Cambria Math"/>
                                    <w:kern w:val="0"/>
                                    <w:sz w:val="15"/>
                                    <w:szCs w:val="15"/>
                                  </w:rPr>
                                  <m:t>2</m:t>
                                </m:r>
                                <m:sSup>
                                  <m:sSupPr>
                                    <m:ctrlPr>
                                      <w:rPr>
                                        <w:rFonts w:ascii="Cambria Math" w:hAnsi="Cambria Math"/>
                                        <w:i/>
                                        <w:iCs/>
                                        <w:kern w:val="0"/>
                                        <w:sz w:val="15"/>
                                        <w:szCs w:val="15"/>
                                      </w:rPr>
                                    </m:ctrlPr>
                                  </m:sSupPr>
                                  <m:e>
                                    <m:r>
                                      <m:rPr/>
                                      <w:rPr>
                                        <w:rFonts w:ascii="Cambria Math" w:hAnsi="Cambria Math"/>
                                        <w:kern w:val="0"/>
                                        <w:sz w:val="15"/>
                                        <w:szCs w:val="15"/>
                                      </w:rPr>
                                      <m:t>b</m:t>
                                    </m:r>
                                    <m:ctrlPr>
                                      <w:rPr>
                                        <w:rFonts w:ascii="Cambria Math" w:hAnsi="Cambria Math"/>
                                        <w:i/>
                                        <w:iCs/>
                                        <w:kern w:val="0"/>
                                        <w:sz w:val="15"/>
                                        <w:szCs w:val="15"/>
                                      </w:rPr>
                                    </m:ctrlPr>
                                  </m:e>
                                  <m:sup>
                                    <m:r>
                                      <m:rPr/>
                                      <w:rPr>
                                        <w:rFonts w:ascii="Cambria Math" w:hAnsi="Cambria Math"/>
                                        <w:kern w:val="0"/>
                                        <w:sz w:val="15"/>
                                        <w:szCs w:val="15"/>
                                      </w:rPr>
                                      <m:t>'</m:t>
                                    </m:r>
                                    <m:ctrlPr>
                                      <w:rPr>
                                        <w:rFonts w:ascii="Cambria Math" w:hAnsi="Cambria Math"/>
                                        <w:i/>
                                        <w:iCs/>
                                        <w:kern w:val="0"/>
                                        <w:sz w:val="15"/>
                                        <w:szCs w:val="15"/>
                                      </w:rPr>
                                    </m:ctrlPr>
                                  </m:sup>
                                </m:sSup>
                                <m:ctrlPr>
                                  <w:rPr>
                                    <w:rFonts w:ascii="Cambria Math" w:hAnsi="Cambria Math"/>
                                    <w:i/>
                                    <w:iCs/>
                                    <w:kern w:val="0"/>
                                    <w:sz w:val="15"/>
                                    <w:szCs w:val="15"/>
                                  </w:rPr>
                                </m:ctrlPr>
                              </m:num>
                              <m:den>
                                <m:r>
                                  <m:rPr>
                                    <m:sty m:val="p"/>
                                  </m:rPr>
                                  <w:rPr>
                                    <w:rFonts w:ascii="Cambria Math" w:hAnsi="Cambria Math"/>
                                    <w:kern w:val="0"/>
                                    <w:sz w:val="15"/>
                                    <w:szCs w:val="15"/>
                                  </w:rPr>
                                  <m:t>π</m:t>
                                </m:r>
                                <m:sSub>
                                  <m:sSubPr>
                                    <m:ctrlPr>
                                      <w:rPr>
                                        <w:rFonts w:ascii="Cambria Math" w:hAnsi="Cambria Math"/>
                                        <w:i/>
                                        <w:iCs/>
                                        <w:kern w:val="0"/>
                                        <w:sz w:val="15"/>
                                        <w:szCs w:val="15"/>
                                      </w:rPr>
                                    </m:ctrlPr>
                                  </m:sSubPr>
                                  <m:e>
                                    <m:r>
                                      <m:rPr/>
                                      <w:rPr>
                                        <w:rFonts w:ascii="Cambria Math" w:hAnsi="Cambria Math"/>
                                        <w:kern w:val="0"/>
                                        <w:sz w:val="15"/>
                                        <w:szCs w:val="15"/>
                                      </w:rPr>
                                      <m:t>r</m:t>
                                    </m:r>
                                    <m:ctrlPr>
                                      <w:rPr>
                                        <w:rFonts w:ascii="Cambria Math" w:hAnsi="Cambria Math"/>
                                        <w:i/>
                                        <w:iCs/>
                                        <w:kern w:val="0"/>
                                        <w:sz w:val="15"/>
                                        <w:szCs w:val="15"/>
                                      </w:rPr>
                                    </m:ctrlPr>
                                  </m:e>
                                  <m:sub>
                                    <m:r>
                                      <m:rPr/>
                                      <w:rPr>
                                        <w:rFonts w:ascii="Cambria Math" w:hAnsi="Cambria Math"/>
                                        <w:kern w:val="0"/>
                                        <w:sz w:val="15"/>
                                        <w:szCs w:val="15"/>
                                      </w:rPr>
                                      <m:t>0</m:t>
                                    </m:r>
                                    <m:ctrlPr>
                                      <w:rPr>
                                        <w:rFonts w:ascii="Cambria Math" w:hAnsi="Cambria Math"/>
                                        <w:i/>
                                        <w:iCs/>
                                        <w:kern w:val="0"/>
                                        <w:sz w:val="15"/>
                                        <w:szCs w:val="15"/>
                                      </w:rPr>
                                    </m:ctrlPr>
                                  </m:sub>
                                </m:sSub>
                                <m:ctrlPr>
                                  <w:rPr>
                                    <w:rFonts w:ascii="Cambria Math" w:hAnsi="Cambria Math"/>
                                    <w:i/>
                                    <w:iCs/>
                                    <w:kern w:val="0"/>
                                    <w:sz w:val="15"/>
                                    <w:szCs w:val="15"/>
                                  </w:rPr>
                                </m:ctrlPr>
                              </m:den>
                            </m:f>
                            <m:func>
                              <m:funcPr>
                                <m:ctrlPr>
                                  <w:rPr>
                                    <w:rFonts w:ascii="Cambria Math" w:hAnsi="Cambria Math"/>
                                    <w:i/>
                                    <w:iCs/>
                                    <w:kern w:val="0"/>
                                    <w:sz w:val="15"/>
                                    <w:szCs w:val="15"/>
                                  </w:rPr>
                                </m:ctrlPr>
                              </m:funcPr>
                              <m:fName>
                                <m:r>
                                  <m:rPr>
                                    <m:sty m:val="p"/>
                                  </m:rPr>
                                  <w:rPr>
                                    <w:rFonts w:ascii="Cambria Math" w:hAnsi="Cambria Math"/>
                                    <w:kern w:val="0"/>
                                    <w:sz w:val="15"/>
                                    <w:szCs w:val="15"/>
                                  </w:rPr>
                                  <m:t>cos</m:t>
                                </m:r>
                                <m:ctrlPr>
                                  <w:rPr>
                                    <w:rFonts w:ascii="Cambria Math" w:hAnsi="Cambria Math"/>
                                    <w:i/>
                                    <w:iCs/>
                                    <w:kern w:val="0"/>
                                    <w:sz w:val="15"/>
                                    <w:szCs w:val="15"/>
                                  </w:rPr>
                                </m:ctrlPr>
                              </m:fName>
                              <m:e>
                                <m:f>
                                  <m:fPr>
                                    <m:ctrlPr>
                                      <w:rPr>
                                        <w:rFonts w:ascii="Cambria Math" w:hAnsi="Cambria Math"/>
                                        <w:i/>
                                        <w:iCs/>
                                        <w:kern w:val="0"/>
                                        <w:sz w:val="15"/>
                                        <w:szCs w:val="15"/>
                                      </w:rPr>
                                    </m:ctrlPr>
                                  </m:fPr>
                                  <m:num>
                                    <m:r>
                                      <m:rPr>
                                        <m:sty m:val="p"/>
                                      </m:rPr>
                                      <w:rPr>
                                        <w:rFonts w:ascii="Cambria Math" w:hAnsi="Cambria Math"/>
                                        <w:kern w:val="0"/>
                                        <w:sz w:val="15"/>
                                        <w:szCs w:val="15"/>
                                      </w:rPr>
                                      <m:t>π</m:t>
                                    </m:r>
                                    <m:d>
                                      <m:dPr>
                                        <m:ctrlPr>
                                          <w:rPr>
                                            <w:rFonts w:ascii="Cambria Math" w:hAnsi="Cambria Math"/>
                                            <w:i/>
                                            <w:iCs/>
                                            <w:kern w:val="0"/>
                                            <w:sz w:val="15"/>
                                            <w:szCs w:val="15"/>
                                          </w:rPr>
                                        </m:ctrlPr>
                                      </m:dPr>
                                      <m:e>
                                        <m:sSub>
                                          <m:sSubPr>
                                            <m:ctrlPr>
                                              <w:rPr>
                                                <w:rFonts w:ascii="Cambria Math" w:hAnsi="Cambria Math"/>
                                                <w:i/>
                                                <w:iCs/>
                                                <w:kern w:val="0"/>
                                                <w:sz w:val="15"/>
                                                <w:szCs w:val="15"/>
                                              </w:rPr>
                                            </m:ctrlPr>
                                          </m:sSubPr>
                                          <m:e>
                                            <m:r>
                                              <m:rPr/>
                                              <w:rPr>
                                                <w:rFonts w:ascii="Cambria Math" w:hAnsi="Cambria Math"/>
                                                <w:kern w:val="0"/>
                                                <w:sz w:val="15"/>
                                                <w:szCs w:val="15"/>
                                              </w:rPr>
                                              <m:t>b</m:t>
                                            </m:r>
                                            <m:ctrlPr>
                                              <w:rPr>
                                                <w:rFonts w:ascii="Cambria Math" w:hAnsi="Cambria Math"/>
                                                <w:i/>
                                                <w:iCs/>
                                                <w:kern w:val="0"/>
                                                <w:sz w:val="15"/>
                                                <w:szCs w:val="15"/>
                                              </w:rPr>
                                            </m:ctrlPr>
                                          </m:e>
                                          <m:sub>
                                            <m:r>
                                              <m:rPr/>
                                              <w:rPr>
                                                <w:rFonts w:ascii="Cambria Math" w:hAnsi="Cambria Math"/>
                                                <w:kern w:val="0"/>
                                                <w:sz w:val="15"/>
                                                <w:szCs w:val="15"/>
                                              </w:rPr>
                                              <m:t>1</m:t>
                                            </m:r>
                                            <m:ctrlPr>
                                              <w:rPr>
                                                <w:rFonts w:ascii="Cambria Math" w:hAnsi="Cambria Math"/>
                                                <w:i/>
                                                <w:iCs/>
                                                <w:kern w:val="0"/>
                                                <w:sz w:val="15"/>
                                                <w:szCs w:val="15"/>
                                              </w:rPr>
                                            </m:ctrlPr>
                                          </m:sub>
                                        </m:sSub>
                                        <m:r>
                                          <m:rPr/>
                                          <w:rPr>
                                            <w:rFonts w:ascii="Cambria Math" w:hAnsi="Cambria Math"/>
                                            <w:kern w:val="0"/>
                                            <w:sz w:val="15"/>
                                            <w:szCs w:val="15"/>
                                          </w:rPr>
                                          <m:t>−</m:t>
                                        </m:r>
                                        <m:sSub>
                                          <m:sSubPr>
                                            <m:ctrlPr>
                                              <w:rPr>
                                                <w:rFonts w:ascii="Cambria Math" w:hAnsi="Cambria Math"/>
                                                <w:i/>
                                                <w:iCs/>
                                                <w:kern w:val="0"/>
                                                <w:sz w:val="15"/>
                                                <w:szCs w:val="15"/>
                                              </w:rPr>
                                            </m:ctrlPr>
                                          </m:sSubPr>
                                          <m:e>
                                            <m:r>
                                              <m:rPr/>
                                              <w:rPr>
                                                <w:rFonts w:ascii="Cambria Math" w:hAnsi="Cambria Math"/>
                                                <w:kern w:val="0"/>
                                                <w:sz w:val="15"/>
                                                <w:szCs w:val="15"/>
                                              </w:rPr>
                                              <m:t>b</m:t>
                                            </m:r>
                                            <m:ctrlPr>
                                              <w:rPr>
                                                <w:rFonts w:ascii="Cambria Math" w:hAnsi="Cambria Math"/>
                                                <w:i/>
                                                <w:iCs/>
                                                <w:kern w:val="0"/>
                                                <w:sz w:val="15"/>
                                                <w:szCs w:val="15"/>
                                              </w:rPr>
                                            </m:ctrlPr>
                                          </m:e>
                                          <m:sub>
                                            <m:r>
                                              <m:rPr/>
                                              <w:rPr>
                                                <w:rFonts w:ascii="Cambria Math" w:hAnsi="Cambria Math"/>
                                                <w:kern w:val="0"/>
                                                <w:sz w:val="15"/>
                                                <w:szCs w:val="15"/>
                                              </w:rPr>
                                              <m:t>2</m:t>
                                            </m:r>
                                            <m:ctrlPr>
                                              <w:rPr>
                                                <w:rFonts w:ascii="Cambria Math" w:hAnsi="Cambria Math"/>
                                                <w:i/>
                                                <w:iCs/>
                                                <w:kern w:val="0"/>
                                                <w:sz w:val="15"/>
                                                <w:szCs w:val="15"/>
                                              </w:rPr>
                                            </m:ctrlPr>
                                          </m:sub>
                                        </m:sSub>
                                        <m:ctrlPr>
                                          <w:rPr>
                                            <w:rFonts w:ascii="Cambria Math" w:hAnsi="Cambria Math"/>
                                            <w:i/>
                                            <w:iCs/>
                                            <w:kern w:val="0"/>
                                            <w:sz w:val="15"/>
                                            <w:szCs w:val="15"/>
                                          </w:rPr>
                                        </m:ctrlPr>
                                      </m:e>
                                    </m:d>
                                    <m:ctrlPr>
                                      <w:rPr>
                                        <w:rFonts w:ascii="Cambria Math" w:hAnsi="Cambria Math"/>
                                        <w:i/>
                                        <w:iCs/>
                                        <w:kern w:val="0"/>
                                        <w:sz w:val="15"/>
                                        <w:szCs w:val="15"/>
                                      </w:rPr>
                                    </m:ctrlPr>
                                  </m:num>
                                  <m:den>
                                    <m:r>
                                      <m:rPr/>
                                      <w:rPr>
                                        <w:rFonts w:ascii="Cambria Math" w:hAnsi="Cambria Math"/>
                                        <w:kern w:val="0"/>
                                        <w:sz w:val="15"/>
                                        <w:szCs w:val="15"/>
                                      </w:rPr>
                                      <m:t>2</m:t>
                                    </m:r>
                                    <m:sSup>
                                      <m:sSupPr>
                                        <m:ctrlPr>
                                          <w:rPr>
                                            <w:rFonts w:ascii="Cambria Math" w:hAnsi="Cambria Math"/>
                                            <w:i/>
                                            <w:iCs/>
                                            <w:kern w:val="0"/>
                                            <w:sz w:val="15"/>
                                            <w:szCs w:val="15"/>
                                          </w:rPr>
                                        </m:ctrlPr>
                                      </m:sSupPr>
                                      <m:e>
                                        <m:r>
                                          <m:rPr/>
                                          <w:rPr>
                                            <w:rFonts w:ascii="Cambria Math" w:hAnsi="Cambria Math"/>
                                            <w:kern w:val="0"/>
                                            <w:sz w:val="15"/>
                                            <w:szCs w:val="15"/>
                                          </w:rPr>
                                          <m:t>b</m:t>
                                        </m:r>
                                        <m:ctrlPr>
                                          <w:rPr>
                                            <w:rFonts w:ascii="Cambria Math" w:hAnsi="Cambria Math"/>
                                            <w:i/>
                                            <w:iCs/>
                                            <w:kern w:val="0"/>
                                            <w:sz w:val="15"/>
                                            <w:szCs w:val="15"/>
                                          </w:rPr>
                                        </m:ctrlPr>
                                      </m:e>
                                      <m:sup>
                                        <m:r>
                                          <m:rPr/>
                                          <w:rPr>
                                            <w:rFonts w:ascii="Cambria Math" w:hAnsi="Cambria Math"/>
                                            <w:kern w:val="0"/>
                                            <w:sz w:val="15"/>
                                            <w:szCs w:val="15"/>
                                          </w:rPr>
                                          <m:t>'</m:t>
                                        </m:r>
                                        <m:ctrlPr>
                                          <w:rPr>
                                            <w:rFonts w:ascii="Cambria Math" w:hAnsi="Cambria Math"/>
                                            <w:i/>
                                            <w:iCs/>
                                            <w:kern w:val="0"/>
                                            <w:sz w:val="15"/>
                                            <w:szCs w:val="15"/>
                                          </w:rPr>
                                        </m:ctrlPr>
                                      </m:sup>
                                    </m:sSup>
                                    <m:ctrlPr>
                                      <w:rPr>
                                        <w:rFonts w:ascii="Cambria Math" w:hAnsi="Cambria Math"/>
                                        <w:i/>
                                        <w:iCs/>
                                        <w:kern w:val="0"/>
                                        <w:sz w:val="15"/>
                                        <w:szCs w:val="15"/>
                                      </w:rPr>
                                    </m:ctrlPr>
                                  </m:den>
                                </m:f>
                                <m:ctrlPr>
                                  <w:rPr>
                                    <w:rFonts w:ascii="Cambria Math" w:hAnsi="Cambria Math"/>
                                    <w:i/>
                                    <w:iCs/>
                                    <w:kern w:val="0"/>
                                    <w:sz w:val="15"/>
                                    <w:szCs w:val="15"/>
                                  </w:rPr>
                                </m:ctrlPr>
                              </m:e>
                            </m:func>
                            <m:ctrlPr>
                              <w:rPr>
                                <w:rFonts w:ascii="Cambria Math" w:hAnsi="Cambria Math"/>
                                <w:i/>
                                <w:iCs/>
                                <w:kern w:val="0"/>
                                <w:sz w:val="15"/>
                                <w:szCs w:val="15"/>
                              </w:rPr>
                            </m:ctrlPr>
                          </m:e>
                        </m:d>
                        <m:ctrlPr>
                          <w:rPr>
                            <w:rFonts w:ascii="Cambria Math" w:hAnsi="Cambria Math"/>
                            <w:i/>
                            <w:iCs/>
                            <w:kern w:val="0"/>
                            <w:sz w:val="15"/>
                            <w:szCs w:val="15"/>
                          </w:rPr>
                        </m:ctrlPr>
                      </m:e>
                    </m:func>
                    <m:ctrlPr>
                      <w:rPr>
                        <w:rFonts w:ascii="Cambria Math" w:hAnsi="Cambria Math"/>
                        <w:i/>
                        <w:iCs/>
                        <w:kern w:val="0"/>
                        <w:sz w:val="15"/>
                        <w:szCs w:val="15"/>
                      </w:rPr>
                    </m:ctrlPr>
                  </m:den>
                </m:f>
              </m:oMath>
            </m:oMathPara>
          </w:p>
          <w:p w14:paraId="5EE2667B">
            <w:pPr>
              <w:spacing w:line="240" w:lineRule="auto"/>
              <w:ind w:firstLine="480"/>
              <w:jc w:val="center"/>
              <w:rPr>
                <w:i/>
                <w:iCs/>
                <w:kern w:val="0"/>
                <w:sz w:val="18"/>
                <w:szCs w:val="18"/>
              </w:rPr>
            </w:pPr>
            <m:oMathPara>
              <m:oMath>
                <m:sSup>
                  <m:sSupPr>
                    <m:ctrlPr>
                      <w:rPr>
                        <w:rFonts w:ascii="Cambria Math" w:hAnsi="Cambria Math"/>
                        <w:i/>
                        <w:iCs/>
                        <w:kern w:val="0"/>
                        <w:sz w:val="18"/>
                        <w:szCs w:val="18"/>
                      </w:rPr>
                    </m:ctrlPr>
                  </m:sSupPr>
                  <m:e>
                    <m:r>
                      <m:rPr/>
                      <w:rPr>
                        <w:rFonts w:ascii="Cambria Math" w:hAnsi="Cambria Math"/>
                        <w:kern w:val="0"/>
                        <w:sz w:val="18"/>
                        <w:szCs w:val="18"/>
                      </w:rPr>
                      <m:t>b</m:t>
                    </m:r>
                    <m:ctrlPr>
                      <w:rPr>
                        <w:rFonts w:ascii="Cambria Math" w:hAnsi="Cambria Math"/>
                        <w:i/>
                        <w:iCs/>
                        <w:kern w:val="0"/>
                        <w:sz w:val="18"/>
                        <w:szCs w:val="18"/>
                      </w:rPr>
                    </m:ctrlPr>
                  </m:e>
                  <m:sup>
                    <m:r>
                      <m:rPr/>
                      <w:rPr>
                        <w:rFonts w:ascii="Cambria Math" w:hAnsi="Cambria Math"/>
                        <w:kern w:val="0"/>
                        <w:sz w:val="18"/>
                        <w:szCs w:val="18"/>
                      </w:rPr>
                      <m:t>'</m:t>
                    </m:r>
                    <m:ctrlPr>
                      <w:rPr>
                        <w:rFonts w:ascii="Cambria Math" w:hAnsi="Cambria Math"/>
                        <w:i/>
                        <w:iCs/>
                        <w:kern w:val="0"/>
                        <w:sz w:val="18"/>
                        <w:szCs w:val="18"/>
                      </w:rPr>
                    </m:ctrlPr>
                  </m:sup>
                </m:sSup>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1</m:t>
                    </m:r>
                    <m:ctrlPr>
                      <w:rPr>
                        <w:rFonts w:ascii="Cambria Math" w:hAnsi="Cambria Math"/>
                        <w:i/>
                        <w:iCs/>
                        <w:kern w:val="0"/>
                        <w:sz w:val="18"/>
                        <w:szCs w:val="18"/>
                      </w:rPr>
                    </m:ctrlPr>
                  </m:sub>
                </m:sSub>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2</m:t>
                    </m:r>
                    <m:ctrlPr>
                      <w:rPr>
                        <w:rFonts w:ascii="Cambria Math" w:hAnsi="Cambria Math"/>
                        <w:i/>
                        <w:iCs/>
                        <w:kern w:val="0"/>
                        <w:sz w:val="18"/>
                        <w:szCs w:val="18"/>
                      </w:rPr>
                    </m:ctrlPr>
                  </m:sub>
                </m:sSub>
              </m:oMath>
            </m:oMathPara>
          </w:p>
        </w:tc>
        <w:tc>
          <w:tcPr>
            <w:tcW w:w="1485" w:type="dxa"/>
            <w:vAlign w:val="center"/>
          </w:tcPr>
          <w:p w14:paraId="08DEC10E">
            <w:pPr>
              <w:spacing w:line="240" w:lineRule="auto"/>
              <w:jc w:val="left"/>
              <w:rPr>
                <w:iCs/>
                <w:kern w:val="0"/>
                <w:sz w:val="18"/>
                <w:szCs w:val="18"/>
              </w:rPr>
            </w:pPr>
            <w:r>
              <w:rPr>
                <w:rFonts w:hint="eastAsia" w:ascii="宋体" w:hAnsi="宋体"/>
                <w:iCs/>
                <w:kern w:val="0"/>
                <w:sz w:val="18"/>
                <w:szCs w:val="18"/>
              </w:rPr>
              <w:t>①②</w:t>
            </w:r>
            <w:r>
              <w:rPr>
                <w:rFonts w:hint="eastAsia"/>
                <w:iCs/>
                <w:kern w:val="0"/>
                <w:sz w:val="18"/>
                <w:szCs w:val="18"/>
              </w:rPr>
              <w:t>条</w:t>
            </w:r>
            <w:r>
              <w:rPr>
                <w:iCs/>
                <w:kern w:val="0"/>
                <w:sz w:val="18"/>
                <w:szCs w:val="18"/>
              </w:rPr>
              <w:t>同上；</w:t>
            </w:r>
          </w:p>
          <w:p w14:paraId="58D54B78">
            <w:pPr>
              <w:spacing w:line="240" w:lineRule="auto"/>
              <w:jc w:val="left"/>
              <w:rPr>
                <w:iCs/>
                <w:kern w:val="0"/>
                <w:sz w:val="18"/>
                <w:szCs w:val="18"/>
              </w:rPr>
            </w:pPr>
            <w:r>
              <w:rPr>
                <w:rFonts w:hint="eastAsia" w:ascii="宋体" w:hAnsi="宋体"/>
                <w:iCs/>
                <w:kern w:val="0"/>
                <w:sz w:val="18"/>
                <w:szCs w:val="18"/>
              </w:rPr>
              <w:t>③</w:t>
            </w:r>
            <w:r>
              <w:rPr>
                <w:iCs/>
                <w:kern w:val="0"/>
                <w:sz w:val="18"/>
                <w:szCs w:val="18"/>
              </w:rPr>
              <w:t>位于两个地表水体之间（或位于补给区与排泄区之间）</w:t>
            </w:r>
            <w:r>
              <w:rPr>
                <w:rFonts w:hint="eastAsia"/>
                <w:iCs/>
                <w:kern w:val="0"/>
                <w:sz w:val="18"/>
                <w:szCs w:val="18"/>
              </w:rPr>
              <w:t>。</w:t>
            </w:r>
          </w:p>
        </w:tc>
      </w:tr>
      <w:tr w14:paraId="00EEF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30F4505F">
            <w:pPr>
              <w:spacing w:line="240" w:lineRule="auto"/>
              <w:jc w:val="center"/>
              <w:rPr>
                <w:kern w:val="0"/>
                <w:sz w:val="18"/>
                <w:szCs w:val="18"/>
              </w:rPr>
            </w:pPr>
            <w:r>
              <w:rPr>
                <w:kern w:val="0"/>
                <w:sz w:val="18"/>
                <w:szCs w:val="18"/>
              </w:rPr>
              <w:t>4</w:t>
            </w:r>
          </w:p>
        </w:tc>
        <w:tc>
          <w:tcPr>
            <w:tcW w:w="3129" w:type="dxa"/>
            <w:vAlign w:val="center"/>
          </w:tcPr>
          <w:p w14:paraId="5C6822F4">
            <w:pPr>
              <w:pStyle w:val="254"/>
              <w:widowControl w:val="0"/>
              <w:spacing w:before="0" w:after="0" w:line="240" w:lineRule="auto"/>
              <w:ind w:left="0" w:leftChars="0" w:right="0" w:rightChars="0"/>
              <w:rPr>
                <w:rFonts w:ascii="Times New Roman" w:hAnsi="Times New Roman"/>
                <w:kern w:val="0"/>
                <w:sz w:val="18"/>
                <w:szCs w:val="18"/>
              </w:rPr>
            </w:pPr>
            <w:r>
              <w:rPr>
                <w:rFonts w:ascii="Times New Roman" w:hAnsi="Times New Roman"/>
                <w:kern w:val="0"/>
                <w:sz w:val="18"/>
                <w:szCs w:val="18"/>
              </w:rPr>
              <w:object>
                <v:shape id="_x0000_i1028" o:spt="75" type="#_x0000_t75" style="height:64.55pt;width:136.55pt;" o:ole="t" filled="f" coordsize="21600,21600">
                  <v:path/>
                  <v:fill on="f" focussize="0,0"/>
                  <v:stroke/>
                  <v:imagedata r:id="rId51" croptop="9049f" cropright="13185f" cropbottom="22485f" o:title=""/>
                  <o:lock v:ext="edit" aspectratio="t"/>
                  <w10:wrap type="none"/>
                  <w10:anchorlock/>
                </v:shape>
                <o:OLEObject Type="Embed" ProgID="AcroExch.Document.11" ShapeID="_x0000_i1028" DrawAspect="Content" ObjectID="_1468075728" r:id="rId50">
                  <o:LockedField>false</o:LockedField>
                </o:OLEObject>
              </w:object>
            </w:r>
          </w:p>
        </w:tc>
        <w:tc>
          <w:tcPr>
            <w:tcW w:w="3945" w:type="dxa"/>
            <w:vAlign w:val="center"/>
          </w:tcPr>
          <w:p w14:paraId="24C4E618">
            <w:pPr>
              <w:spacing w:line="240" w:lineRule="auto"/>
              <w:ind w:firstLine="480"/>
              <w:jc w:val="center"/>
              <w:rPr>
                <w:kern w:val="0"/>
                <w:sz w:val="18"/>
                <w:szCs w:val="18"/>
              </w:rPr>
            </w:pPr>
            <m:oMathPara>
              <m:oMath>
                <m:r>
                  <m:rPr/>
                  <w:rPr>
                    <w:rFonts w:ascii="Cambria Math" w:hAnsi="Cambria Math"/>
                    <w:kern w:val="0"/>
                    <w:sz w:val="18"/>
                    <w:szCs w:val="18"/>
                  </w:rPr>
                  <m:t>Q=1.366K</m:t>
                </m:r>
                <m:f>
                  <m:fPr>
                    <m:ctrlPr>
                      <w:rPr>
                        <w:rFonts w:ascii="Cambria Math" w:hAnsi="Cambria Math"/>
                        <w:i/>
                        <w:kern w:val="0"/>
                        <w:sz w:val="18"/>
                        <w:szCs w:val="18"/>
                      </w:rPr>
                    </m:ctrlPr>
                  </m:fPr>
                  <m:num>
                    <m:d>
                      <m:dPr>
                        <m:begChr m:val="（"/>
                        <m:endChr m:val="）"/>
                        <m:ctrlPr>
                          <w:rPr>
                            <w:rFonts w:ascii="Cambria Math" w:hAnsi="Cambria Math"/>
                            <w:i/>
                            <w:kern w:val="0"/>
                            <w:sz w:val="18"/>
                            <w:szCs w:val="18"/>
                          </w:rPr>
                        </m:ctrlPr>
                      </m:dPr>
                      <m:e>
                        <m:r>
                          <m:rPr/>
                          <w:rPr>
                            <w:rFonts w:ascii="Cambria Math" w:hAnsi="Cambria Math"/>
                            <w:kern w:val="0"/>
                            <w:sz w:val="18"/>
                            <w:szCs w:val="18"/>
                          </w:rPr>
                          <m:t>2H−S</m:t>
                        </m:r>
                        <m:ctrlPr>
                          <w:rPr>
                            <w:rFonts w:ascii="Cambria Math" w:hAnsi="Cambria Math"/>
                            <w:i/>
                            <w:kern w:val="0"/>
                            <w:sz w:val="18"/>
                            <w:szCs w:val="18"/>
                          </w:rPr>
                        </m:ctrlPr>
                      </m:e>
                    </m:d>
                    <m:r>
                      <m:rPr/>
                      <w:rPr>
                        <w:rFonts w:ascii="Cambria Math" w:hAnsi="Cambria Math"/>
                        <w:kern w:val="0"/>
                        <w:sz w:val="18"/>
                        <w:szCs w:val="18"/>
                      </w:rPr>
                      <m:t>S</m:t>
                    </m:r>
                    <m:ctrlPr>
                      <w:rPr>
                        <w:rFonts w:ascii="Cambria Math" w:hAnsi="Cambria Math"/>
                        <w:i/>
                        <w:kern w:val="0"/>
                        <w:sz w:val="18"/>
                        <w:szCs w:val="18"/>
                      </w:rPr>
                    </m:ctrlPr>
                  </m:num>
                  <m:den>
                    <m:func>
                      <m:funcPr>
                        <m:ctrlPr>
                          <w:rPr>
                            <w:rFonts w:ascii="Cambria Math" w:hAnsi="Cambria Math"/>
                            <w:i/>
                            <w:kern w:val="0"/>
                            <w:sz w:val="18"/>
                            <w:szCs w:val="18"/>
                          </w:rPr>
                        </m:ctrlPr>
                      </m:funcPr>
                      <m:fName>
                        <m:r>
                          <m:rPr/>
                          <w:rPr>
                            <w:rFonts w:ascii="Cambria Math" w:hAnsi="Cambria Math"/>
                            <w:kern w:val="0"/>
                            <w:sz w:val="18"/>
                            <w:szCs w:val="18"/>
                          </w:rPr>
                          <m:t>2</m:t>
                        </m:r>
                        <m:r>
                          <m:rPr>
                            <m:sty m:val="p"/>
                          </m:rPr>
                          <w:rPr>
                            <w:rFonts w:ascii="Cambria Math" w:hAnsi="Cambria Math"/>
                            <w:kern w:val="0"/>
                            <w:sz w:val="18"/>
                            <w:szCs w:val="18"/>
                          </w:rPr>
                          <m:t>lg</m:t>
                        </m:r>
                        <m:ctrlPr>
                          <w:rPr>
                            <w:rFonts w:ascii="Cambria Math" w:hAnsi="Cambria Math"/>
                            <w:i/>
                            <w:kern w:val="0"/>
                            <w:sz w:val="18"/>
                            <w:szCs w:val="18"/>
                          </w:rPr>
                        </m:ctrlPr>
                      </m:fName>
                      <m:e>
                        <m:d>
                          <m:dPr>
                            <m:begChr m:val="（"/>
                            <m:endChr m:val="）"/>
                            <m:ctrlPr>
                              <w:rPr>
                                <w:rFonts w:ascii="Cambria Math" w:hAnsi="Cambria Math"/>
                                <w:i/>
                                <w:kern w:val="0"/>
                                <w:sz w:val="18"/>
                                <w:szCs w:val="18"/>
                              </w:rPr>
                            </m:ctrlPr>
                          </m:dPr>
                          <m:e>
                            <m:r>
                              <m:rPr/>
                              <w:rPr>
                                <w:rFonts w:ascii="Cambria Math" w:hAnsi="Cambria Math"/>
                                <w:kern w:val="0"/>
                                <w:sz w:val="18"/>
                                <w:szCs w:val="18"/>
                              </w:rPr>
                              <m:t>R+</m:t>
                            </m:r>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ctrlPr>
                              <w:rPr>
                                <w:rFonts w:ascii="Cambria Math" w:hAnsi="Cambria Math"/>
                                <w:i/>
                                <w:kern w:val="0"/>
                                <w:sz w:val="18"/>
                                <w:szCs w:val="18"/>
                              </w:rPr>
                            </m:ctrlPr>
                          </m:e>
                        </m:d>
                        <m:ctrlPr>
                          <w:rPr>
                            <w:rFonts w:ascii="Cambria Math" w:hAnsi="Cambria Math"/>
                            <w:i/>
                            <w:kern w:val="0"/>
                            <w:sz w:val="18"/>
                            <w:szCs w:val="18"/>
                          </w:rPr>
                        </m:ctrlPr>
                      </m:e>
                    </m:func>
                    <m:r>
                      <m:rPr/>
                      <w:rPr>
                        <w:rFonts w:ascii="Cambria Math" w:hAnsi="Cambria Math"/>
                        <w:kern w:val="0"/>
                        <w:sz w:val="18"/>
                        <w:szCs w:val="18"/>
                      </w:rPr>
                      <m:t>−</m:t>
                    </m:r>
                    <m:func>
                      <m:funcPr>
                        <m:ctrlPr>
                          <w:rPr>
                            <w:rFonts w:ascii="Cambria Math" w:hAnsi="Cambria Math"/>
                            <w:i/>
                            <w:kern w:val="0"/>
                            <w:sz w:val="18"/>
                            <w:szCs w:val="18"/>
                          </w:rPr>
                        </m:ctrlPr>
                      </m:funcPr>
                      <m:fName>
                        <m:r>
                          <m:rPr>
                            <m:sty m:val="p"/>
                          </m:rPr>
                          <w:rPr>
                            <w:rFonts w:ascii="Cambria Math" w:hAnsi="Cambria Math"/>
                            <w:kern w:val="0"/>
                            <w:sz w:val="18"/>
                            <w:szCs w:val="18"/>
                          </w:rPr>
                          <m:t>lg</m:t>
                        </m:r>
                        <m:ctrlPr>
                          <w:rPr>
                            <w:rFonts w:ascii="Cambria Math" w:hAnsi="Cambria Math"/>
                            <w:i/>
                            <w:kern w:val="0"/>
                            <w:sz w:val="18"/>
                            <w:szCs w:val="18"/>
                          </w:rPr>
                        </m:ctrlPr>
                      </m:fName>
                      <m:e>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d>
                          <m:dPr>
                            <m:begChr m:val="（"/>
                            <m:endChr m:val="）"/>
                            <m:ctrlPr>
                              <w:rPr>
                                <w:rFonts w:ascii="Cambria Math" w:hAnsi="Cambria Math"/>
                                <w:i/>
                                <w:kern w:val="0"/>
                                <w:sz w:val="18"/>
                                <w:szCs w:val="18"/>
                              </w:rPr>
                            </m:ctrlPr>
                          </m:dPr>
                          <m:e>
                            <m:r>
                              <m:rPr/>
                              <w:rPr>
                                <w:rFonts w:ascii="Cambria Math" w:hAnsi="Cambria Math"/>
                                <w:kern w:val="0"/>
                                <w:sz w:val="18"/>
                                <w:szCs w:val="18"/>
                              </w:rPr>
                              <m:t>2</m:t>
                            </m:r>
                            <m:sSup>
                              <m:sSupPr>
                                <m:ctrlPr>
                                  <w:rPr>
                                    <w:rFonts w:ascii="Cambria Math" w:hAnsi="Cambria Math"/>
                                    <w:i/>
                                    <w:kern w:val="0"/>
                                    <w:sz w:val="18"/>
                                    <w:szCs w:val="18"/>
                                  </w:rPr>
                                </m:ctrlPr>
                              </m:sSupPr>
                              <m:e>
                                <m:r>
                                  <m:rPr/>
                                  <w:rPr>
                                    <w:rFonts w:ascii="Cambria Math" w:hAnsi="Cambria Math"/>
                                    <w:kern w:val="0"/>
                                    <w:sz w:val="18"/>
                                    <w:szCs w:val="18"/>
                                  </w:rPr>
                                  <m:t>b</m:t>
                                </m:r>
                                <m:ctrlPr>
                                  <w:rPr>
                                    <w:rFonts w:ascii="Cambria Math" w:hAnsi="Cambria Math"/>
                                    <w:i/>
                                    <w:kern w:val="0"/>
                                    <w:sz w:val="18"/>
                                    <w:szCs w:val="18"/>
                                  </w:rPr>
                                </m:ctrlPr>
                              </m:e>
                              <m:sup>
                                <m:r>
                                  <m:rPr/>
                                  <w:rPr>
                                    <w:rFonts w:ascii="Cambria Math" w:hAnsi="Cambria Math"/>
                                    <w:kern w:val="0"/>
                                    <w:sz w:val="18"/>
                                    <w:szCs w:val="18"/>
                                  </w:rPr>
                                  <m:t>''</m:t>
                                </m:r>
                                <m:ctrlPr>
                                  <w:rPr>
                                    <w:rFonts w:ascii="Cambria Math" w:hAnsi="Cambria Math"/>
                                    <w:i/>
                                    <w:kern w:val="0"/>
                                    <w:sz w:val="18"/>
                                    <w:szCs w:val="18"/>
                                  </w:rPr>
                                </m:ctrlPr>
                              </m:sup>
                            </m:sSup>
                            <m:r>
                              <m:rPr/>
                              <w:rPr>
                                <w:rFonts w:ascii="Cambria Math" w:hAnsi="Cambria Math"/>
                                <w:kern w:val="0"/>
                                <w:sz w:val="18"/>
                                <w:szCs w:val="18"/>
                              </w:rPr>
                              <m:t>+</m:t>
                            </m:r>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ctrlPr>
                              <w:rPr>
                                <w:rFonts w:ascii="Cambria Math" w:hAnsi="Cambria Math"/>
                                <w:i/>
                                <w:kern w:val="0"/>
                                <w:sz w:val="18"/>
                                <w:szCs w:val="18"/>
                              </w:rPr>
                            </m:ctrlPr>
                          </m:e>
                        </m:d>
                        <m:ctrlPr>
                          <w:rPr>
                            <w:rFonts w:ascii="Cambria Math" w:hAnsi="Cambria Math"/>
                            <w:i/>
                            <w:kern w:val="0"/>
                            <w:sz w:val="18"/>
                            <w:szCs w:val="18"/>
                          </w:rPr>
                        </m:ctrlPr>
                      </m:e>
                    </m:func>
                    <m:ctrlPr>
                      <w:rPr>
                        <w:rFonts w:ascii="Cambria Math" w:hAnsi="Cambria Math"/>
                        <w:i/>
                        <w:kern w:val="0"/>
                        <w:sz w:val="18"/>
                        <w:szCs w:val="18"/>
                      </w:rPr>
                    </m:ctrlPr>
                  </m:den>
                </m:f>
              </m:oMath>
            </m:oMathPara>
          </w:p>
        </w:tc>
        <w:tc>
          <w:tcPr>
            <w:tcW w:w="1485" w:type="dxa"/>
            <w:vAlign w:val="center"/>
          </w:tcPr>
          <w:p w14:paraId="7B64E7FD">
            <w:pPr>
              <w:pStyle w:val="241"/>
              <w:numPr>
                <w:ilvl w:val="255"/>
                <w:numId w:val="0"/>
              </w:numPr>
              <w:jc w:val="left"/>
              <w:rPr>
                <w:kern w:val="0"/>
                <w:sz w:val="18"/>
                <w:szCs w:val="18"/>
              </w:rPr>
            </w:pPr>
            <w:r>
              <w:rPr>
                <w:rFonts w:hint="eastAsia" w:ascii="宋体" w:hAnsi="宋体"/>
                <w:kern w:val="0"/>
                <w:sz w:val="18"/>
                <w:szCs w:val="18"/>
              </w:rPr>
              <w:t>①②</w:t>
            </w:r>
            <w:r>
              <w:rPr>
                <w:rFonts w:hint="eastAsia"/>
                <w:kern w:val="0"/>
                <w:sz w:val="18"/>
                <w:szCs w:val="18"/>
              </w:rPr>
              <w:t>条</w:t>
            </w:r>
            <w:r>
              <w:rPr>
                <w:kern w:val="0"/>
                <w:sz w:val="18"/>
                <w:szCs w:val="18"/>
              </w:rPr>
              <w:t>同上；</w:t>
            </w:r>
          </w:p>
          <w:p w14:paraId="4CF3DE8E">
            <w:pPr>
              <w:spacing w:line="240" w:lineRule="auto"/>
              <w:jc w:val="left"/>
              <w:rPr>
                <w:kern w:val="0"/>
                <w:sz w:val="18"/>
                <w:szCs w:val="18"/>
              </w:rPr>
            </w:pPr>
            <w:r>
              <w:rPr>
                <w:rFonts w:hint="eastAsia" w:ascii="宋体" w:hAnsi="宋体"/>
                <w:kern w:val="0"/>
                <w:sz w:val="18"/>
                <w:szCs w:val="18"/>
              </w:rPr>
              <w:t>③</w:t>
            </w:r>
            <w:r>
              <w:rPr>
                <w:kern w:val="0"/>
                <w:sz w:val="18"/>
                <w:szCs w:val="18"/>
              </w:rPr>
              <w:t>基坑靠近隔水边界</w:t>
            </w:r>
            <w:r>
              <w:rPr>
                <w:rFonts w:hint="eastAsia"/>
                <w:kern w:val="0"/>
                <w:sz w:val="18"/>
                <w:szCs w:val="18"/>
              </w:rPr>
              <w:t>；</w:t>
            </w:r>
            <w:r>
              <w:rPr>
                <w:rFonts w:hint="eastAsia" w:ascii="宋体" w:hAnsi="宋体"/>
                <w:kern w:val="0"/>
                <w:sz w:val="18"/>
                <w:szCs w:val="18"/>
              </w:rPr>
              <w:t>④</w:t>
            </w:r>
            <m:oMath>
              <m:sSup>
                <m:sSupPr>
                  <m:ctrlPr>
                    <w:rPr>
                      <w:rFonts w:ascii="Cambria Math" w:hAnsi="Cambria Math"/>
                      <w:kern w:val="0"/>
                      <w:sz w:val="18"/>
                      <w:szCs w:val="18"/>
                    </w:rPr>
                  </m:ctrlPr>
                </m:sSupPr>
                <m:e>
                  <m:r>
                    <m:rPr/>
                    <w:rPr>
                      <w:rFonts w:ascii="Cambria Math" w:hAnsi="Cambria Math"/>
                      <w:kern w:val="0"/>
                      <w:sz w:val="18"/>
                      <w:szCs w:val="18"/>
                    </w:rPr>
                    <m:t>b</m:t>
                  </m:r>
                  <m:ctrlPr>
                    <w:rPr>
                      <w:rFonts w:ascii="Cambria Math" w:hAnsi="Cambria Math"/>
                      <w:kern w:val="0"/>
                      <w:sz w:val="18"/>
                      <w:szCs w:val="18"/>
                    </w:rPr>
                  </m:ctrlPr>
                </m:e>
                <m:sup>
                  <m:r>
                    <m:rPr>
                      <m:sty m:val="p"/>
                    </m:rPr>
                    <w:rPr>
                      <w:rFonts w:ascii="Cambria Math" w:hAnsi="Cambria Math"/>
                      <w:kern w:val="0"/>
                      <w:sz w:val="18"/>
                      <w:szCs w:val="18"/>
                    </w:rPr>
                    <m:t>''</m:t>
                  </m:r>
                  <m:ctrlPr>
                    <w:rPr>
                      <w:rFonts w:ascii="Cambria Math" w:hAnsi="Cambria Math"/>
                      <w:kern w:val="0"/>
                      <w:sz w:val="18"/>
                      <w:szCs w:val="18"/>
                    </w:rPr>
                  </m:ctrlPr>
                </m:sup>
              </m:sSup>
              <m:r>
                <m:rPr>
                  <m:sty m:val="p"/>
                </m:rPr>
                <w:rPr>
                  <w:rFonts w:ascii="Cambria Math" w:hAnsi="Cambria Math"/>
                  <w:kern w:val="0"/>
                  <w:sz w:val="18"/>
                  <w:szCs w:val="18"/>
                </w:rPr>
                <m:t>&lt;</m:t>
              </m:r>
              <m:r>
                <m:rPr/>
                <w:rPr>
                  <w:rFonts w:ascii="Cambria Math" w:hAnsi="Cambria Math"/>
                  <w:kern w:val="0"/>
                  <w:sz w:val="18"/>
                  <w:szCs w:val="18"/>
                </w:rPr>
                <m:t>0.5R</m:t>
              </m:r>
            </m:oMath>
            <w:r>
              <w:rPr>
                <w:rFonts w:hint="eastAsia" w:hAnsi="Cambria Math"/>
                <w:kern w:val="0"/>
                <w:sz w:val="18"/>
                <w:szCs w:val="18"/>
              </w:rPr>
              <w:t>。</w:t>
            </w:r>
          </w:p>
        </w:tc>
      </w:tr>
      <w:tr w14:paraId="7FF11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2BA38970">
            <w:pPr>
              <w:spacing w:line="240" w:lineRule="auto"/>
              <w:jc w:val="center"/>
              <w:rPr>
                <w:kern w:val="0"/>
                <w:sz w:val="18"/>
                <w:szCs w:val="18"/>
              </w:rPr>
            </w:pPr>
            <w:r>
              <w:rPr>
                <w:kern w:val="0"/>
                <w:sz w:val="18"/>
                <w:szCs w:val="18"/>
              </w:rPr>
              <w:t>5</w:t>
            </w:r>
          </w:p>
        </w:tc>
        <w:tc>
          <w:tcPr>
            <w:tcW w:w="3129" w:type="dxa"/>
            <w:vAlign w:val="center"/>
          </w:tcPr>
          <w:p w14:paraId="4A76B3AC">
            <w:pPr>
              <w:pStyle w:val="254"/>
              <w:widowControl w:val="0"/>
              <w:spacing w:before="0" w:after="0" w:line="240" w:lineRule="auto"/>
              <w:ind w:left="0" w:leftChars="0" w:right="0" w:rightChars="0"/>
              <w:rPr>
                <w:rFonts w:ascii="Times New Roman" w:hAnsi="Times New Roman"/>
                <w:kern w:val="0"/>
                <w:sz w:val="18"/>
                <w:szCs w:val="18"/>
              </w:rPr>
            </w:pPr>
            <w:r>
              <w:object>
                <v:shape id="_x0000_i1029" o:spt="75" type="#_x0000_t75" style="height:64.55pt;width:136.55pt;" o:ole="t" filled="f" coordsize="21600,21600">
                  <v:path/>
                  <v:fill on="f" focussize="0,0"/>
                  <v:stroke/>
                  <v:imagedata r:id="rId53" croptop="9575f" cropright="13378f" cropbottom="22129f" o:title=""/>
                  <o:lock v:ext="edit" aspectratio="t"/>
                  <w10:wrap type="none"/>
                  <w10:anchorlock/>
                </v:shape>
                <o:OLEObject Type="Embed" ProgID="AcroExch.Document.11" ShapeID="_x0000_i1029" DrawAspect="Content" ObjectID="_1468075729" r:id="rId52">
                  <o:LockedField>false</o:LockedField>
                </o:OLEObject>
              </w:object>
            </w:r>
          </w:p>
        </w:tc>
        <w:tc>
          <w:tcPr>
            <w:tcW w:w="3945" w:type="dxa"/>
            <w:vAlign w:val="center"/>
          </w:tcPr>
          <w:p w14:paraId="01C895C4">
            <w:pPr>
              <w:spacing w:line="240" w:lineRule="auto"/>
              <w:ind w:firstLine="480"/>
              <w:jc w:val="center"/>
              <w:rPr>
                <w:i/>
                <w:kern w:val="0"/>
                <w:sz w:val="18"/>
                <w:szCs w:val="18"/>
              </w:rPr>
            </w:pPr>
            <m:oMathPara>
              <m:oMath>
                <m:r>
                  <m:rPr/>
                  <w:rPr>
                    <w:rFonts w:ascii="Cambria Math" w:hAnsi="Cambria Math"/>
                    <w:kern w:val="0"/>
                    <w:sz w:val="18"/>
                    <w:szCs w:val="18"/>
                  </w:rPr>
                  <m:t>Q=1.366K</m:t>
                </m:r>
                <m:f>
                  <m:fPr>
                    <m:ctrlPr>
                      <w:rPr>
                        <w:rFonts w:ascii="Cambria Math" w:hAnsi="Cambria Math"/>
                        <w:i/>
                        <w:kern w:val="0"/>
                        <w:sz w:val="18"/>
                        <w:szCs w:val="18"/>
                      </w:rPr>
                    </m:ctrlPr>
                  </m:fPr>
                  <m:num>
                    <m:d>
                      <m:dPr>
                        <m:ctrlPr>
                          <w:rPr>
                            <w:rFonts w:ascii="Cambria Math" w:hAnsi="Cambria Math"/>
                            <w:i/>
                            <w:kern w:val="0"/>
                            <w:sz w:val="18"/>
                            <w:szCs w:val="18"/>
                          </w:rPr>
                        </m:ctrlPr>
                      </m:dPr>
                      <m:e>
                        <m:sSup>
                          <m:sSupPr>
                            <m:ctrlPr>
                              <w:rPr>
                                <w:rFonts w:ascii="Cambria Math" w:hAnsi="Cambria Math"/>
                                <w:i/>
                                <w:kern w:val="0"/>
                                <w:sz w:val="18"/>
                                <w:szCs w:val="18"/>
                              </w:rPr>
                            </m:ctrlPr>
                          </m:sSupPr>
                          <m:e>
                            <m:r>
                              <m:rPr/>
                              <w:rPr>
                                <w:rFonts w:ascii="Cambria Math" w:hAnsi="Cambria Math"/>
                                <w:kern w:val="0"/>
                                <w:sz w:val="18"/>
                                <w:szCs w:val="18"/>
                              </w:rPr>
                              <m:t>H</m:t>
                            </m:r>
                            <m:ctrlPr>
                              <w:rPr>
                                <w:rFonts w:ascii="Cambria Math" w:hAnsi="Cambria Math"/>
                                <w:i/>
                                <w:kern w:val="0"/>
                                <w:sz w:val="18"/>
                                <w:szCs w:val="18"/>
                              </w:rPr>
                            </m:ctrlPr>
                          </m:e>
                          <m:sup>
                            <m:r>
                              <m:rPr/>
                              <w:rPr>
                                <w:rFonts w:ascii="Cambria Math" w:hAnsi="Cambria Math"/>
                                <w:kern w:val="0"/>
                                <w:sz w:val="18"/>
                                <w:szCs w:val="18"/>
                              </w:rPr>
                              <m:t>2</m:t>
                            </m:r>
                            <m:ctrlPr>
                              <w:rPr>
                                <w:rFonts w:ascii="Cambria Math" w:hAnsi="Cambria Math"/>
                                <w:i/>
                                <w:kern w:val="0"/>
                                <w:sz w:val="18"/>
                                <w:szCs w:val="18"/>
                              </w:rPr>
                            </m:ctrlPr>
                          </m:sup>
                        </m:sSup>
                        <m:r>
                          <m:rPr/>
                          <w:rPr>
                            <w:rFonts w:ascii="Cambria Math" w:hAnsi="Cambria Math"/>
                            <w:kern w:val="0"/>
                            <w:sz w:val="18"/>
                            <w:szCs w:val="18"/>
                          </w:rPr>
                          <m:t>−</m:t>
                        </m:r>
                        <m:sSup>
                          <m:sSupPr>
                            <m:ctrlPr>
                              <w:rPr>
                                <w:rFonts w:ascii="Cambria Math" w:hAnsi="Cambria Math"/>
                                <w:i/>
                                <w:kern w:val="0"/>
                                <w:sz w:val="18"/>
                                <w:szCs w:val="18"/>
                              </w:rPr>
                            </m:ctrlPr>
                          </m:sSupPr>
                          <m:e>
                            <m:r>
                              <m:rPr/>
                              <w:rPr>
                                <w:rFonts w:ascii="Cambria Math" w:hAnsi="Cambria Math"/>
                                <w:kern w:val="0"/>
                                <w:sz w:val="18"/>
                                <w:szCs w:val="18"/>
                              </w:rPr>
                              <m:t>h</m:t>
                            </m:r>
                            <m:ctrlPr>
                              <w:rPr>
                                <w:rFonts w:ascii="Cambria Math" w:hAnsi="Cambria Math"/>
                                <w:i/>
                                <w:kern w:val="0"/>
                                <w:sz w:val="18"/>
                                <w:szCs w:val="18"/>
                              </w:rPr>
                            </m:ctrlPr>
                          </m:e>
                          <m:sup>
                            <m:r>
                              <m:rPr/>
                              <w:rPr>
                                <w:rFonts w:ascii="Cambria Math" w:hAnsi="Cambria Math"/>
                                <w:kern w:val="0"/>
                                <w:sz w:val="18"/>
                                <w:szCs w:val="18"/>
                              </w:rPr>
                              <m:t>2</m:t>
                            </m:r>
                            <m:ctrlPr>
                              <w:rPr>
                                <w:rFonts w:ascii="Cambria Math" w:hAnsi="Cambria Math"/>
                                <w:i/>
                                <w:kern w:val="0"/>
                                <w:sz w:val="18"/>
                                <w:szCs w:val="18"/>
                              </w:rPr>
                            </m:ctrlPr>
                          </m:sup>
                        </m:sSup>
                        <m:ctrlPr>
                          <w:rPr>
                            <w:rFonts w:ascii="Cambria Math" w:hAnsi="Cambria Math"/>
                            <w:i/>
                            <w:kern w:val="0"/>
                            <w:sz w:val="18"/>
                            <w:szCs w:val="18"/>
                          </w:rPr>
                        </m:ctrlPr>
                      </m:e>
                    </m:d>
                    <m:ctrlPr>
                      <w:rPr>
                        <w:rFonts w:ascii="Cambria Math" w:hAnsi="Cambria Math"/>
                        <w:i/>
                        <w:kern w:val="0"/>
                        <w:sz w:val="18"/>
                        <w:szCs w:val="18"/>
                      </w:rPr>
                    </m:ctrlPr>
                  </m:num>
                  <m:den>
                    <m:func>
                      <m:funcPr>
                        <m:ctrlPr>
                          <w:rPr>
                            <w:rFonts w:ascii="Cambria Math" w:hAnsi="Cambria Math"/>
                            <w:i/>
                            <w:kern w:val="0"/>
                            <w:sz w:val="18"/>
                            <w:szCs w:val="18"/>
                          </w:rPr>
                        </m:ctrlPr>
                      </m:funcPr>
                      <m:fName>
                        <m:r>
                          <m:rPr>
                            <m:sty m:val="p"/>
                          </m:rPr>
                          <w:rPr>
                            <w:rFonts w:ascii="Cambria Math" w:hAnsi="Cambria Math"/>
                            <w:kern w:val="0"/>
                            <w:sz w:val="18"/>
                            <w:szCs w:val="18"/>
                          </w:rPr>
                          <m:t>lg</m:t>
                        </m:r>
                        <m:ctrlPr>
                          <w:rPr>
                            <w:rFonts w:ascii="Cambria Math" w:hAnsi="Cambria Math"/>
                            <w:i/>
                            <w:kern w:val="0"/>
                            <w:sz w:val="18"/>
                            <w:szCs w:val="18"/>
                          </w:rPr>
                        </m:ctrlPr>
                      </m:fName>
                      <m:e>
                        <m:f>
                          <m:fPr>
                            <m:ctrlPr>
                              <w:rPr>
                                <w:rFonts w:ascii="Cambria Math" w:hAnsi="Cambria Math"/>
                                <w:i/>
                                <w:kern w:val="0"/>
                                <w:sz w:val="18"/>
                                <w:szCs w:val="18"/>
                              </w:rPr>
                            </m:ctrlPr>
                          </m:fPr>
                          <m:num>
                            <m:d>
                              <m:dPr>
                                <m:ctrlPr>
                                  <w:rPr>
                                    <w:rFonts w:ascii="Cambria Math" w:hAnsi="Cambria Math"/>
                                    <w:i/>
                                    <w:kern w:val="0"/>
                                    <w:sz w:val="18"/>
                                    <w:szCs w:val="18"/>
                                  </w:rPr>
                                </m:ctrlPr>
                              </m:dPr>
                              <m:e>
                                <m:r>
                                  <m:rPr/>
                                  <w:rPr>
                                    <w:rFonts w:ascii="Cambria Math" w:hAnsi="Cambria Math"/>
                                    <w:kern w:val="0"/>
                                    <w:sz w:val="18"/>
                                    <w:szCs w:val="18"/>
                                  </w:rPr>
                                  <m:t>R+</m:t>
                                </m:r>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ctrlPr>
                                  <w:rPr>
                                    <w:rFonts w:ascii="Cambria Math" w:hAnsi="Cambria Math"/>
                                    <w:i/>
                                    <w:kern w:val="0"/>
                                    <w:sz w:val="18"/>
                                    <w:szCs w:val="18"/>
                                  </w:rPr>
                                </m:ctrlPr>
                              </m:e>
                            </m:d>
                            <m:ctrlPr>
                              <w:rPr>
                                <w:rFonts w:ascii="Cambria Math" w:hAnsi="Cambria Math"/>
                                <w:i/>
                                <w:kern w:val="0"/>
                                <w:sz w:val="18"/>
                                <w:szCs w:val="18"/>
                              </w:rPr>
                            </m:ctrlPr>
                          </m:num>
                          <m:den>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ctrlPr>
                              <w:rPr>
                                <w:rFonts w:ascii="Cambria Math" w:hAnsi="Cambria Math"/>
                                <w:i/>
                                <w:kern w:val="0"/>
                                <w:sz w:val="18"/>
                                <w:szCs w:val="18"/>
                              </w:rPr>
                            </m:ctrlPr>
                          </m:den>
                        </m:f>
                        <m:ctrlPr>
                          <w:rPr>
                            <w:rFonts w:ascii="Cambria Math" w:hAnsi="Cambria Math"/>
                            <w:i/>
                            <w:kern w:val="0"/>
                            <w:sz w:val="18"/>
                            <w:szCs w:val="18"/>
                          </w:rPr>
                        </m:ctrlPr>
                      </m:e>
                    </m:func>
                    <m:r>
                      <m:rPr/>
                      <w:rPr>
                        <w:rFonts w:ascii="Cambria Math" w:hAnsi="Cambria Math"/>
                        <w:kern w:val="0"/>
                        <w:sz w:val="18"/>
                        <w:szCs w:val="18"/>
                      </w:rPr>
                      <m:t>+</m:t>
                    </m:r>
                    <m:f>
                      <m:fPr>
                        <m:ctrlPr>
                          <w:rPr>
                            <w:rFonts w:ascii="Cambria Math" w:hAnsi="Cambria Math"/>
                            <w:i/>
                            <w:kern w:val="0"/>
                            <w:sz w:val="18"/>
                            <w:szCs w:val="18"/>
                          </w:rPr>
                        </m:ctrlPr>
                      </m:fPr>
                      <m:num>
                        <m:acc>
                          <m:accPr>
                            <m:chr m:val="̅"/>
                            <m:ctrlPr>
                              <w:rPr>
                                <w:rFonts w:ascii="Cambria Math" w:hAnsi="Cambria Math"/>
                                <w:i/>
                                <w:kern w:val="0"/>
                                <w:sz w:val="18"/>
                                <w:szCs w:val="18"/>
                              </w:rPr>
                            </m:ctrlPr>
                          </m:accPr>
                          <m:e>
                            <m:r>
                              <m:rPr/>
                              <w:rPr>
                                <w:rFonts w:ascii="Cambria Math" w:hAnsi="Cambria Math"/>
                                <w:kern w:val="0"/>
                                <w:sz w:val="18"/>
                                <w:szCs w:val="18"/>
                              </w:rPr>
                              <m:t>h</m:t>
                            </m:r>
                            <m:ctrlPr>
                              <w:rPr>
                                <w:rFonts w:ascii="Cambria Math" w:hAnsi="Cambria Math"/>
                                <w:i/>
                                <w:kern w:val="0"/>
                                <w:sz w:val="18"/>
                                <w:szCs w:val="18"/>
                              </w:rPr>
                            </m:ctrlPr>
                          </m:e>
                        </m:acc>
                        <m:r>
                          <m:rPr/>
                          <w:rPr>
                            <w:rFonts w:ascii="Cambria Math" w:hAnsi="Cambria Math"/>
                            <w:kern w:val="0"/>
                            <w:sz w:val="18"/>
                            <w:szCs w:val="18"/>
                          </w:rPr>
                          <m:t>−l</m:t>
                        </m:r>
                        <m:ctrlPr>
                          <w:rPr>
                            <w:rFonts w:ascii="Cambria Math" w:hAnsi="Cambria Math"/>
                            <w:i/>
                            <w:kern w:val="0"/>
                            <w:sz w:val="18"/>
                            <w:szCs w:val="18"/>
                          </w:rPr>
                        </m:ctrlPr>
                      </m:num>
                      <m:den>
                        <m:r>
                          <m:rPr/>
                          <w:rPr>
                            <w:rFonts w:ascii="Cambria Math" w:hAnsi="Cambria Math"/>
                            <w:kern w:val="0"/>
                            <w:sz w:val="18"/>
                            <w:szCs w:val="18"/>
                          </w:rPr>
                          <m:t>l</m:t>
                        </m:r>
                        <m:ctrlPr>
                          <w:rPr>
                            <w:rFonts w:ascii="Cambria Math" w:hAnsi="Cambria Math"/>
                            <w:i/>
                            <w:kern w:val="0"/>
                            <w:sz w:val="18"/>
                            <w:szCs w:val="18"/>
                          </w:rPr>
                        </m:ctrlPr>
                      </m:den>
                    </m:f>
                    <m:func>
                      <m:funcPr>
                        <m:ctrlPr>
                          <w:rPr>
                            <w:rFonts w:ascii="Cambria Math" w:hAnsi="Cambria Math"/>
                            <w:i/>
                            <w:kern w:val="0"/>
                            <w:sz w:val="18"/>
                            <w:szCs w:val="18"/>
                          </w:rPr>
                        </m:ctrlPr>
                      </m:funcPr>
                      <m:fName>
                        <m:r>
                          <m:rPr>
                            <m:sty m:val="p"/>
                          </m:rPr>
                          <w:rPr>
                            <w:rFonts w:ascii="Cambria Math" w:hAnsi="Cambria Math"/>
                            <w:kern w:val="0"/>
                            <w:sz w:val="18"/>
                            <w:szCs w:val="18"/>
                          </w:rPr>
                          <m:t>lg</m:t>
                        </m:r>
                        <m:ctrlPr>
                          <w:rPr>
                            <w:rFonts w:ascii="Cambria Math" w:hAnsi="Cambria Math"/>
                            <w:i/>
                            <w:kern w:val="0"/>
                            <w:sz w:val="18"/>
                            <w:szCs w:val="18"/>
                          </w:rPr>
                        </m:ctrlPr>
                      </m:fName>
                      <m:e>
                        <m:d>
                          <m:dPr>
                            <m:ctrlPr>
                              <w:rPr>
                                <w:rFonts w:ascii="Cambria Math" w:hAnsi="Cambria Math"/>
                                <w:i/>
                                <w:kern w:val="0"/>
                                <w:sz w:val="18"/>
                                <w:szCs w:val="18"/>
                              </w:rPr>
                            </m:ctrlPr>
                          </m:dPr>
                          <m:e>
                            <m:r>
                              <m:rPr/>
                              <w:rPr>
                                <w:rFonts w:ascii="Cambria Math" w:hAnsi="Cambria Math"/>
                                <w:kern w:val="0"/>
                                <w:sz w:val="18"/>
                                <w:szCs w:val="18"/>
                              </w:rPr>
                              <m:t>1+0.2</m:t>
                            </m:r>
                            <m:f>
                              <m:fPr>
                                <m:ctrlPr>
                                  <w:rPr>
                                    <w:rFonts w:ascii="Cambria Math" w:hAnsi="Cambria Math"/>
                                    <w:i/>
                                    <w:kern w:val="0"/>
                                    <w:sz w:val="18"/>
                                    <w:szCs w:val="18"/>
                                  </w:rPr>
                                </m:ctrlPr>
                              </m:fPr>
                              <m:num>
                                <m:acc>
                                  <m:accPr>
                                    <m:chr m:val="̅"/>
                                    <m:ctrlPr>
                                      <w:rPr>
                                        <w:rFonts w:ascii="Cambria Math" w:hAnsi="Cambria Math"/>
                                        <w:i/>
                                        <w:kern w:val="0"/>
                                        <w:sz w:val="18"/>
                                        <w:szCs w:val="18"/>
                                      </w:rPr>
                                    </m:ctrlPr>
                                  </m:accPr>
                                  <m:e>
                                    <m:r>
                                      <m:rPr/>
                                      <w:rPr>
                                        <w:rFonts w:ascii="Cambria Math" w:hAnsi="Cambria Math"/>
                                        <w:kern w:val="0"/>
                                        <w:sz w:val="18"/>
                                        <w:szCs w:val="18"/>
                                      </w:rPr>
                                      <m:t>h</m:t>
                                    </m:r>
                                    <m:ctrlPr>
                                      <w:rPr>
                                        <w:rFonts w:ascii="Cambria Math" w:hAnsi="Cambria Math"/>
                                        <w:i/>
                                        <w:kern w:val="0"/>
                                        <w:sz w:val="18"/>
                                        <w:szCs w:val="18"/>
                                      </w:rPr>
                                    </m:ctrlPr>
                                  </m:e>
                                </m:acc>
                                <m:ctrlPr>
                                  <w:rPr>
                                    <w:rFonts w:ascii="Cambria Math" w:hAnsi="Cambria Math"/>
                                    <w:i/>
                                    <w:kern w:val="0"/>
                                    <w:sz w:val="18"/>
                                    <w:szCs w:val="18"/>
                                  </w:rPr>
                                </m:ctrlPr>
                              </m:num>
                              <m:den>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ctrlPr>
                                  <w:rPr>
                                    <w:rFonts w:ascii="Cambria Math" w:hAnsi="Cambria Math"/>
                                    <w:i/>
                                    <w:kern w:val="0"/>
                                    <w:sz w:val="18"/>
                                    <w:szCs w:val="18"/>
                                  </w:rPr>
                                </m:ctrlPr>
                              </m:den>
                            </m:f>
                            <m:ctrlPr>
                              <w:rPr>
                                <w:rFonts w:ascii="Cambria Math" w:hAnsi="Cambria Math"/>
                                <w:i/>
                                <w:kern w:val="0"/>
                                <w:sz w:val="18"/>
                                <w:szCs w:val="18"/>
                              </w:rPr>
                            </m:ctrlPr>
                          </m:e>
                        </m:d>
                        <m:ctrlPr>
                          <w:rPr>
                            <w:rFonts w:ascii="Cambria Math" w:hAnsi="Cambria Math"/>
                            <w:i/>
                            <w:kern w:val="0"/>
                            <w:sz w:val="18"/>
                            <w:szCs w:val="18"/>
                          </w:rPr>
                        </m:ctrlPr>
                      </m:e>
                    </m:func>
                    <m:ctrlPr>
                      <w:rPr>
                        <w:rFonts w:ascii="Cambria Math" w:hAnsi="Cambria Math"/>
                        <w:i/>
                        <w:kern w:val="0"/>
                        <w:sz w:val="18"/>
                        <w:szCs w:val="18"/>
                      </w:rPr>
                    </m:ctrlPr>
                  </m:den>
                </m:f>
              </m:oMath>
            </m:oMathPara>
          </w:p>
          <w:p w14:paraId="7E6B9A4E">
            <w:pPr>
              <w:spacing w:line="240" w:lineRule="auto"/>
              <w:ind w:firstLine="480"/>
              <w:jc w:val="left"/>
              <w:rPr>
                <w:rFonts w:ascii="Cambria Math" w:hAnsi="Cambria Math"/>
                <w:kern w:val="0"/>
                <w:sz w:val="18"/>
                <w:szCs w:val="18"/>
                <w:oMath/>
              </w:rPr>
            </w:pPr>
            <m:oMathPara>
              <m:oMath>
                <m:acc>
                  <m:accPr>
                    <m:chr m:val="̅"/>
                    <m:ctrlPr>
                      <w:rPr>
                        <w:rFonts w:ascii="Cambria Math" w:hAnsi="Cambria Math"/>
                        <w:i/>
                        <w:iCs/>
                        <w:kern w:val="0"/>
                        <w:sz w:val="18"/>
                        <w:szCs w:val="18"/>
                      </w:rPr>
                    </m:ctrlPr>
                  </m:accPr>
                  <m:e>
                    <m:r>
                      <m:rPr/>
                      <w:rPr>
                        <w:rFonts w:ascii="Cambria Math" w:hAnsi="Cambria Math"/>
                        <w:kern w:val="0"/>
                        <w:sz w:val="18"/>
                        <w:szCs w:val="18"/>
                      </w:rPr>
                      <m:t>h</m:t>
                    </m:r>
                    <m:ctrlPr>
                      <w:rPr>
                        <w:rFonts w:ascii="Cambria Math" w:hAnsi="Cambria Math"/>
                        <w:i/>
                        <w:iCs/>
                        <w:kern w:val="0"/>
                        <w:sz w:val="18"/>
                        <w:szCs w:val="18"/>
                      </w:rPr>
                    </m:ctrlPr>
                  </m:e>
                </m:acc>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H+h</m:t>
                    </m:r>
                    <m:ctrlPr>
                      <w:rPr>
                        <w:rFonts w:ascii="Cambria Math" w:hAnsi="Cambria Math"/>
                        <w:i/>
                        <w:iCs/>
                        <w:kern w:val="0"/>
                        <w:sz w:val="18"/>
                        <w:szCs w:val="18"/>
                      </w:rPr>
                    </m:ctrlPr>
                  </m:num>
                  <m:den>
                    <m:r>
                      <m:rPr/>
                      <w:rPr>
                        <w:rFonts w:ascii="Cambria Math" w:hAnsi="Cambria Math"/>
                        <w:kern w:val="0"/>
                        <w:sz w:val="18"/>
                        <w:szCs w:val="18"/>
                      </w:rPr>
                      <m:t>2</m:t>
                    </m:r>
                    <m:ctrlPr>
                      <w:rPr>
                        <w:rFonts w:ascii="Cambria Math" w:hAnsi="Cambria Math"/>
                        <w:i/>
                        <w:iCs/>
                        <w:kern w:val="0"/>
                        <w:sz w:val="18"/>
                        <w:szCs w:val="18"/>
                      </w:rPr>
                    </m:ctrlPr>
                  </m:den>
                </m:f>
              </m:oMath>
            </m:oMathPara>
          </w:p>
        </w:tc>
        <w:tc>
          <w:tcPr>
            <w:tcW w:w="1485" w:type="dxa"/>
            <w:vAlign w:val="center"/>
          </w:tcPr>
          <w:p w14:paraId="50C8E14E">
            <w:pPr>
              <w:spacing w:line="240" w:lineRule="auto"/>
              <w:jc w:val="left"/>
              <w:rPr>
                <w:kern w:val="0"/>
                <w:sz w:val="18"/>
                <w:szCs w:val="18"/>
              </w:rPr>
            </w:pPr>
            <w:r>
              <w:rPr>
                <w:rFonts w:hint="eastAsia" w:ascii="宋体" w:hAnsi="宋体"/>
                <w:kern w:val="0"/>
                <w:sz w:val="18"/>
                <w:szCs w:val="18"/>
              </w:rPr>
              <w:t>①</w:t>
            </w:r>
            <w:r>
              <w:rPr>
                <w:kern w:val="0"/>
                <w:sz w:val="18"/>
                <w:szCs w:val="18"/>
              </w:rPr>
              <w:t>潜水非完整井</w:t>
            </w:r>
            <w:r>
              <w:rPr>
                <w:rFonts w:hint="eastAsia"/>
                <w:kern w:val="0"/>
                <w:sz w:val="18"/>
                <w:szCs w:val="18"/>
              </w:rPr>
              <w:t>；</w:t>
            </w:r>
          </w:p>
          <w:p w14:paraId="5ABD8945">
            <w:pPr>
              <w:spacing w:line="240" w:lineRule="auto"/>
              <w:jc w:val="left"/>
              <w:rPr>
                <w:kern w:val="0"/>
                <w:sz w:val="18"/>
                <w:szCs w:val="18"/>
              </w:rPr>
            </w:pPr>
            <w:r>
              <w:rPr>
                <w:rFonts w:hint="eastAsia" w:ascii="宋体" w:hAnsi="宋体"/>
                <w:kern w:val="0"/>
                <w:sz w:val="18"/>
                <w:szCs w:val="18"/>
              </w:rPr>
              <w:t>②</w:t>
            </w:r>
            <w:r>
              <w:rPr>
                <w:kern w:val="0"/>
                <w:sz w:val="18"/>
                <w:szCs w:val="18"/>
              </w:rPr>
              <w:t>均质含水层</w:t>
            </w:r>
            <w:r>
              <w:rPr>
                <w:rFonts w:hint="eastAsia"/>
                <w:kern w:val="0"/>
                <w:sz w:val="18"/>
                <w:szCs w:val="18"/>
              </w:rPr>
              <w:t>；</w:t>
            </w:r>
          </w:p>
          <w:p w14:paraId="03548F84">
            <w:pPr>
              <w:spacing w:line="240" w:lineRule="auto"/>
              <w:jc w:val="left"/>
              <w:rPr>
                <w:rFonts w:hint="eastAsia" w:ascii="宋体" w:hAnsi="宋体"/>
                <w:kern w:val="0"/>
                <w:sz w:val="18"/>
                <w:szCs w:val="18"/>
              </w:rPr>
            </w:pPr>
            <w:r>
              <w:rPr>
                <w:rFonts w:hint="eastAsia" w:ascii="宋体" w:hAnsi="宋体"/>
                <w:kern w:val="0"/>
                <w:sz w:val="18"/>
                <w:szCs w:val="18"/>
              </w:rPr>
              <w:t>③</w:t>
            </w:r>
            <w:r>
              <w:rPr>
                <w:kern w:val="0"/>
                <w:sz w:val="18"/>
                <w:szCs w:val="18"/>
              </w:rPr>
              <w:t>基坑远离边界</w:t>
            </w:r>
            <w:r>
              <w:rPr>
                <w:rFonts w:hint="eastAsia"/>
                <w:kern w:val="0"/>
                <w:sz w:val="18"/>
                <w:szCs w:val="18"/>
              </w:rPr>
              <w:t>。</w:t>
            </w:r>
          </w:p>
        </w:tc>
      </w:tr>
      <w:tr w14:paraId="3779D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18BC5BAF">
            <w:pPr>
              <w:spacing w:line="240" w:lineRule="auto"/>
              <w:jc w:val="center"/>
              <w:rPr>
                <w:kern w:val="0"/>
                <w:sz w:val="18"/>
                <w:szCs w:val="18"/>
              </w:rPr>
            </w:pPr>
            <w:r>
              <w:rPr>
                <w:rFonts w:hint="eastAsia"/>
                <w:iCs/>
                <w:kern w:val="0"/>
                <w:sz w:val="18"/>
                <w:szCs w:val="18"/>
              </w:rPr>
              <w:t>6</w:t>
            </w:r>
          </w:p>
        </w:tc>
        <w:tc>
          <w:tcPr>
            <w:tcW w:w="3129" w:type="dxa"/>
            <w:vAlign w:val="center"/>
          </w:tcPr>
          <w:p w14:paraId="24D1E5C9">
            <w:pPr>
              <w:pStyle w:val="254"/>
              <w:widowControl w:val="0"/>
              <w:spacing w:before="0" w:after="0" w:line="240" w:lineRule="auto"/>
              <w:ind w:left="0" w:leftChars="0" w:right="0" w:rightChars="0"/>
              <w:rPr>
                <w:rFonts w:hint="eastAsia"/>
              </w:rPr>
            </w:pPr>
            <w:r>
              <w:rPr>
                <w:iCs/>
              </w:rPr>
              <w:object>
                <v:shape id="_x0000_i1030" o:spt="75" type="#_x0000_t75" style="height:65.1pt;width:144pt;" o:ole="t" filled="f" coordsize="21600,21600">
                  <v:path/>
                  <v:fill on="f" focussize="0,0"/>
                  <v:stroke/>
                  <v:imagedata r:id="rId55" cropleft="1509f" croptop="10176f" cropright="14372f" cropbottom="22795f" o:title=""/>
                  <o:lock v:ext="edit" aspectratio="t"/>
                  <w10:wrap type="none"/>
                  <w10:anchorlock/>
                </v:shape>
                <o:OLEObject Type="Embed" ProgID="AcroExch.Document.11" ShapeID="_x0000_i1030" DrawAspect="Content" ObjectID="_1468075730" r:id="rId54">
                  <o:LockedField>false</o:LockedField>
                </o:OLEObject>
              </w:object>
            </w:r>
          </w:p>
        </w:tc>
        <w:tc>
          <w:tcPr>
            <w:tcW w:w="3945" w:type="dxa"/>
            <w:vAlign w:val="center"/>
          </w:tcPr>
          <w:p w14:paraId="4453F8A1">
            <w:pPr>
              <w:spacing w:line="240" w:lineRule="auto"/>
              <w:rPr>
                <w:i/>
                <w:iCs/>
                <w:kern w:val="0"/>
                <w:sz w:val="18"/>
                <w:szCs w:val="18"/>
              </w:rPr>
            </w:pPr>
            <m:oMathPara>
              <m:oMath>
                <m:r>
                  <m:rPr/>
                  <w:rPr>
                    <w:rFonts w:ascii="Cambria Math" w:hAnsi="Cambria Math"/>
                    <w:kern w:val="0"/>
                    <w:sz w:val="18"/>
                    <w:szCs w:val="18"/>
                  </w:rPr>
                  <m:t>Q=1.366KS</m:t>
                </m:r>
                <m:d>
                  <m:dPr>
                    <m:begChr m:val="["/>
                    <m:endChr m:val="]"/>
                    <m:ctrlPr>
                      <w:rPr>
                        <w:rFonts w:ascii="Cambria Math" w:hAnsi="Cambria Math"/>
                        <w:i/>
                        <w:iCs/>
                        <w:kern w:val="0"/>
                        <w:sz w:val="18"/>
                        <w:szCs w:val="18"/>
                      </w:rPr>
                    </m:ctrlPr>
                  </m:dPr>
                  <m:e>
                    <m:f>
                      <m:fPr>
                        <m:ctrlPr>
                          <w:rPr>
                            <w:rFonts w:ascii="Cambria Math" w:hAnsi="Cambria Math"/>
                            <w:i/>
                            <w:iCs/>
                            <w:kern w:val="0"/>
                            <w:sz w:val="18"/>
                            <w:szCs w:val="18"/>
                          </w:rPr>
                        </m:ctrlPr>
                      </m:fPr>
                      <m:num>
                        <m:r>
                          <m:rPr/>
                          <w:rPr>
                            <w:rFonts w:ascii="Cambria Math" w:hAnsi="Cambria Math"/>
                            <w:kern w:val="0"/>
                            <w:sz w:val="18"/>
                            <w:szCs w:val="18"/>
                          </w:rPr>
                          <m:t>l+S</m:t>
                        </m:r>
                        <m:ctrlPr>
                          <w:rPr>
                            <w:rFonts w:ascii="Cambria Math" w:hAnsi="Cambria Math"/>
                            <w:i/>
                            <w:iCs/>
                            <w:kern w:val="0"/>
                            <w:sz w:val="18"/>
                            <w:szCs w:val="18"/>
                          </w:rPr>
                        </m:ctrlPr>
                      </m:num>
                      <m:den>
                        <m:r>
                          <m:rPr>
                            <m:sty m:val="p"/>
                          </m:rPr>
                          <w:rPr>
                            <w:rFonts w:ascii="Cambria Math" w:hAnsi="Cambria Math"/>
                            <w:kern w:val="0"/>
                            <w:sz w:val="18"/>
                            <w:szCs w:val="18"/>
                          </w:rPr>
                          <m:t>lg</m:t>
                        </m:r>
                        <m:f>
                          <m:fPr>
                            <m:ctrlPr>
                              <w:rPr>
                                <w:rFonts w:ascii="Cambria Math" w:hAnsi="Cambria Math"/>
                                <w:i/>
                                <w:iCs/>
                                <w:kern w:val="0"/>
                                <w:sz w:val="18"/>
                                <w:szCs w:val="18"/>
                              </w:rPr>
                            </m:ctrlPr>
                          </m:fPr>
                          <m:num>
                            <m:r>
                              <m:rPr/>
                              <w:rPr>
                                <w:rFonts w:ascii="Cambria Math" w:hAnsi="Cambria Math"/>
                                <w:kern w:val="0"/>
                                <w:sz w:val="18"/>
                                <w:szCs w:val="18"/>
                              </w:rPr>
                              <m:t>2b</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den>
                    </m:f>
                    <m:r>
                      <m:rPr/>
                      <w:rPr>
                        <w:rFonts w:ascii="Cambria Math" w:hAnsi="Cambria Math"/>
                        <w:kern w:val="0"/>
                        <w:sz w:val="18"/>
                        <w:szCs w:val="18"/>
                      </w:rPr>
                      <m:t xml:space="preserve">     +</m:t>
                    </m:r>
                    <m:f>
                      <m:fPr>
                        <m:ctrlPr>
                          <w:rPr>
                            <w:rFonts w:ascii="Cambria Math" w:hAnsi="Cambria Math"/>
                            <w:i/>
                            <w:iCs/>
                            <w:kern w:val="0"/>
                            <w:sz w:val="18"/>
                            <w:szCs w:val="18"/>
                          </w:rPr>
                        </m:ctrlPr>
                      </m:fPr>
                      <m:num>
                        <m:r>
                          <m:rPr/>
                          <w:rPr>
                            <w:rFonts w:ascii="Cambria Math" w:hAnsi="Cambria Math"/>
                            <w:kern w:val="0"/>
                            <w:sz w:val="18"/>
                            <w:szCs w:val="18"/>
                          </w:rPr>
                          <m:t>l</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f>
                              <m:fPr>
                                <m:ctrlPr>
                                  <w:rPr>
                                    <w:rFonts w:ascii="Cambria Math" w:hAnsi="Cambria Math"/>
                                    <w:i/>
                                    <w:iCs/>
                                    <w:kern w:val="0"/>
                                    <w:sz w:val="18"/>
                                    <w:szCs w:val="18"/>
                                  </w:rPr>
                                </m:ctrlPr>
                              </m:fPr>
                              <m:num>
                                <m:r>
                                  <m:rPr/>
                                  <w:rPr>
                                    <w:rFonts w:ascii="Cambria Math" w:hAnsi="Cambria Math"/>
                                    <w:kern w:val="0"/>
                                    <w:sz w:val="18"/>
                                    <w:szCs w:val="18"/>
                                  </w:rPr>
                                  <m:t>0.66l</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e>
                        </m:func>
                        <m:r>
                          <m:rPr/>
                          <w:rPr>
                            <w:rFonts w:ascii="Cambria Math" w:hAnsi="Cambria Math"/>
                            <w:kern w:val="0"/>
                            <w:sz w:val="18"/>
                            <w:szCs w:val="18"/>
                          </w:rPr>
                          <m:t>+0.25</m:t>
                        </m:r>
                        <m:f>
                          <m:fPr>
                            <m:ctrlPr>
                              <w:rPr>
                                <w:rFonts w:ascii="Cambria Math" w:hAnsi="Cambria Math"/>
                                <w:i/>
                                <w:iCs/>
                                <w:kern w:val="0"/>
                                <w:sz w:val="18"/>
                                <w:szCs w:val="18"/>
                              </w:rPr>
                            </m:ctrlPr>
                          </m:fPr>
                          <m:num>
                            <m:r>
                              <m:rPr/>
                              <w:rPr>
                                <w:rFonts w:ascii="Cambria Math" w:hAnsi="Cambria Math"/>
                                <w:kern w:val="0"/>
                                <w:sz w:val="18"/>
                                <w:szCs w:val="18"/>
                              </w:rPr>
                              <m:t>l</m:t>
                            </m:r>
                            <m:ctrlPr>
                              <w:rPr>
                                <w:rFonts w:ascii="Cambria Math" w:hAnsi="Cambria Math"/>
                                <w:i/>
                                <w:iCs/>
                                <w:kern w:val="0"/>
                                <w:sz w:val="18"/>
                                <w:szCs w:val="18"/>
                              </w:rPr>
                            </m:ctrlPr>
                          </m:num>
                          <m:den>
                            <m:r>
                              <m:rPr/>
                              <w:rPr>
                                <w:rFonts w:ascii="Cambria Math" w:hAnsi="Cambria Math"/>
                                <w:kern w:val="0"/>
                                <w:sz w:val="18"/>
                                <w:szCs w:val="18"/>
                              </w:rPr>
                              <m:t>m</m:t>
                            </m:r>
                            <m:ctrlPr>
                              <w:rPr>
                                <w:rFonts w:ascii="Cambria Math" w:hAnsi="Cambria Math"/>
                                <w:i/>
                                <w:iCs/>
                                <w:kern w:val="0"/>
                                <w:sz w:val="18"/>
                                <w:szCs w:val="18"/>
                              </w:rPr>
                            </m:ctrlPr>
                          </m:den>
                        </m:f>
                        <m:r>
                          <m:rPr>
                            <m:sty m:val="p"/>
                          </m:rPr>
                          <w:rPr>
                            <w:rFonts w:ascii="Cambria Math" w:hAnsi="Cambria Math"/>
                            <w:kern w:val="0"/>
                            <w:sz w:val="18"/>
                            <w:szCs w:val="18"/>
                          </w:rPr>
                          <m:t>lg</m:t>
                        </m:r>
                        <m:f>
                          <m:fPr>
                            <m:ctrlPr>
                              <w:rPr>
                                <w:rFonts w:ascii="Cambria Math" w:hAnsi="Cambria Math"/>
                                <w:i/>
                                <w:iCs/>
                                <w:kern w:val="0"/>
                                <w:sz w:val="18"/>
                                <w:szCs w:val="18"/>
                              </w:rPr>
                            </m:ctrlPr>
                          </m:fPr>
                          <m:num>
                            <m:sSup>
                              <m:sSupPr>
                                <m:ctrlPr>
                                  <w:rPr>
                                    <w:rFonts w:ascii="Cambria Math" w:hAnsi="Cambria Math"/>
                                    <w:i/>
                                    <w:iCs/>
                                    <w:kern w:val="0"/>
                                    <w:sz w:val="18"/>
                                    <w:szCs w:val="18"/>
                                  </w:rPr>
                                </m:ctrlPr>
                              </m:sSupPr>
                              <m:e>
                                <m:r>
                                  <m:rPr/>
                                  <w:rPr>
                                    <w:rFonts w:ascii="Cambria Math" w:hAnsi="Cambria Math"/>
                                    <w:kern w:val="0"/>
                                    <w:sz w:val="18"/>
                                    <w:szCs w:val="18"/>
                                  </w:rPr>
                                  <m:t>b</m:t>
                                </m:r>
                                <m:ctrlPr>
                                  <w:rPr>
                                    <w:rFonts w:ascii="Cambria Math" w:hAnsi="Cambria Math"/>
                                    <w:i/>
                                    <w:iCs/>
                                    <w:kern w:val="0"/>
                                    <w:sz w:val="18"/>
                                    <w:szCs w:val="18"/>
                                  </w:rPr>
                                </m:ctrlPr>
                              </m:e>
                              <m:sup>
                                <m:r>
                                  <m:rPr/>
                                  <w:rPr>
                                    <w:rFonts w:ascii="Cambria Math" w:hAnsi="Cambria Math"/>
                                    <w:kern w:val="0"/>
                                    <w:sz w:val="18"/>
                                    <w:szCs w:val="18"/>
                                  </w:rPr>
                                  <m:t>2</m:t>
                                </m:r>
                                <m:ctrlPr>
                                  <w:rPr>
                                    <w:rFonts w:ascii="Cambria Math" w:hAnsi="Cambria Math"/>
                                    <w:i/>
                                    <w:iCs/>
                                    <w:kern w:val="0"/>
                                    <w:sz w:val="18"/>
                                    <w:szCs w:val="18"/>
                                  </w:rPr>
                                </m:ctrlPr>
                              </m:sup>
                            </m:sSup>
                            <m:ctrlPr>
                              <w:rPr>
                                <w:rFonts w:ascii="Cambria Math" w:hAnsi="Cambria Math"/>
                                <w:i/>
                                <w:iCs/>
                                <w:kern w:val="0"/>
                                <w:sz w:val="18"/>
                                <w:szCs w:val="18"/>
                              </w:rPr>
                            </m:ctrlPr>
                          </m:num>
                          <m:den>
                            <m:sSup>
                              <m:sSupPr>
                                <m:ctrlPr>
                                  <w:rPr>
                                    <w:rFonts w:ascii="Cambria Math" w:hAnsi="Cambria Math"/>
                                    <w:i/>
                                    <w:iCs/>
                                    <w:kern w:val="0"/>
                                    <w:sz w:val="18"/>
                                    <w:szCs w:val="18"/>
                                  </w:rPr>
                                </m:ctrlPr>
                              </m:sSupPr>
                              <m:e>
                                <m:r>
                                  <m:rPr/>
                                  <w:rPr>
                                    <w:rFonts w:ascii="Cambria Math" w:hAnsi="Cambria Math"/>
                                    <w:kern w:val="0"/>
                                    <w:sz w:val="18"/>
                                    <w:szCs w:val="18"/>
                                  </w:rPr>
                                  <m:t>m</m:t>
                                </m:r>
                                <m:ctrlPr>
                                  <w:rPr>
                                    <w:rFonts w:ascii="Cambria Math" w:hAnsi="Cambria Math"/>
                                    <w:i/>
                                    <w:iCs/>
                                    <w:kern w:val="0"/>
                                    <w:sz w:val="18"/>
                                    <w:szCs w:val="18"/>
                                  </w:rPr>
                                </m:ctrlPr>
                              </m:e>
                              <m:sup>
                                <m:r>
                                  <m:rPr/>
                                  <w:rPr>
                                    <w:rFonts w:ascii="Cambria Math" w:hAnsi="Cambria Math"/>
                                    <w:kern w:val="0"/>
                                    <w:sz w:val="18"/>
                                    <w:szCs w:val="18"/>
                                  </w:rPr>
                                  <m:t>2</m:t>
                                </m:r>
                                <m:ctrlPr>
                                  <w:rPr>
                                    <w:rFonts w:ascii="Cambria Math" w:hAnsi="Cambria Math"/>
                                    <w:i/>
                                    <w:iCs/>
                                    <w:kern w:val="0"/>
                                    <w:sz w:val="18"/>
                                    <w:szCs w:val="18"/>
                                  </w:rPr>
                                </m:ctrlPr>
                              </m:sup>
                            </m:sSup>
                            <m:r>
                              <m:rPr/>
                              <w:rPr>
                                <w:rFonts w:ascii="Cambria Math" w:hAnsi="Cambria Math"/>
                                <w:kern w:val="0"/>
                                <w:sz w:val="18"/>
                                <w:szCs w:val="18"/>
                              </w:rPr>
                              <m:t>−0.14</m:t>
                            </m:r>
                            <m:sSup>
                              <m:sSupPr>
                                <m:ctrlPr>
                                  <w:rPr>
                                    <w:rFonts w:ascii="Cambria Math" w:hAnsi="Cambria Math"/>
                                    <w:i/>
                                    <w:iCs/>
                                    <w:kern w:val="0"/>
                                    <w:sz w:val="18"/>
                                    <w:szCs w:val="18"/>
                                  </w:rPr>
                                </m:ctrlPr>
                              </m:sSupPr>
                              <m:e>
                                <m:r>
                                  <m:rPr/>
                                  <w:rPr>
                                    <w:rFonts w:ascii="Cambria Math" w:hAnsi="Cambria Math"/>
                                    <w:kern w:val="0"/>
                                    <w:sz w:val="18"/>
                                    <w:szCs w:val="18"/>
                                  </w:rPr>
                                  <m:t>l</m:t>
                                </m:r>
                                <m:ctrlPr>
                                  <w:rPr>
                                    <w:rFonts w:ascii="Cambria Math" w:hAnsi="Cambria Math"/>
                                    <w:i/>
                                    <w:iCs/>
                                    <w:kern w:val="0"/>
                                    <w:sz w:val="18"/>
                                    <w:szCs w:val="18"/>
                                  </w:rPr>
                                </m:ctrlPr>
                              </m:e>
                              <m:sup>
                                <m:r>
                                  <m:rPr/>
                                  <w:rPr>
                                    <w:rFonts w:ascii="Cambria Math" w:hAnsi="Cambria Math"/>
                                    <w:kern w:val="0"/>
                                    <w:sz w:val="18"/>
                                    <w:szCs w:val="18"/>
                                  </w:rPr>
                                  <m:t>2</m:t>
                                </m:r>
                                <m:ctrlPr>
                                  <w:rPr>
                                    <w:rFonts w:ascii="Cambria Math" w:hAnsi="Cambria Math"/>
                                    <w:i/>
                                    <w:iCs/>
                                    <w:kern w:val="0"/>
                                    <w:sz w:val="18"/>
                                    <w:szCs w:val="18"/>
                                  </w:rPr>
                                </m:ctrlPr>
                              </m:sup>
                            </m:sSup>
                            <m:ctrlPr>
                              <w:rPr>
                                <w:rFonts w:ascii="Cambria Math" w:hAnsi="Cambria Math"/>
                                <w:i/>
                                <w:iCs/>
                                <w:kern w:val="0"/>
                                <w:sz w:val="18"/>
                                <w:szCs w:val="18"/>
                              </w:rPr>
                            </m:ctrlPr>
                          </m:den>
                        </m:f>
                        <m:ctrlPr>
                          <w:rPr>
                            <w:rFonts w:ascii="Cambria Math" w:hAnsi="Cambria Math"/>
                            <w:i/>
                            <w:iCs/>
                            <w:kern w:val="0"/>
                            <w:sz w:val="18"/>
                            <w:szCs w:val="18"/>
                          </w:rPr>
                        </m:ctrlPr>
                      </m:den>
                    </m:f>
                    <m:ctrlPr>
                      <w:rPr>
                        <w:rFonts w:ascii="Cambria Math" w:hAnsi="Cambria Math"/>
                        <w:i/>
                        <w:iCs/>
                        <w:kern w:val="0"/>
                        <w:sz w:val="18"/>
                        <w:szCs w:val="18"/>
                      </w:rPr>
                    </m:ctrlPr>
                  </m:e>
                </m:d>
              </m:oMath>
            </m:oMathPara>
          </w:p>
          <w:p w14:paraId="0686E74F">
            <w:pPr>
              <w:spacing w:line="240" w:lineRule="auto"/>
              <w:ind w:firstLine="480"/>
              <w:jc w:val="center"/>
              <w:rPr>
                <w:rFonts w:ascii="Cambria Math" w:hAnsi="Cambria Math"/>
                <w:kern w:val="0"/>
                <w:sz w:val="18"/>
                <w:szCs w:val="18"/>
                <w:oMath/>
              </w:rPr>
            </w:pPr>
            <w:r>
              <w:rPr>
                <w:iCs/>
                <w:kern w:val="0"/>
                <w:sz w:val="18"/>
                <w:szCs w:val="18"/>
              </w:rPr>
              <w:t>（</w:t>
            </w:r>
            <m:oMath>
              <m:r>
                <m:rPr/>
                <w:rPr>
                  <w:rFonts w:ascii="Cambria Math" w:hAnsi="Cambria Math"/>
                  <w:kern w:val="0"/>
                  <w:sz w:val="18"/>
                  <w:szCs w:val="18"/>
                </w:rPr>
                <m:t>m</m:t>
              </m:r>
            </m:oMath>
            <w:r>
              <w:rPr>
                <w:iCs/>
                <w:kern w:val="0"/>
                <w:sz w:val="18"/>
                <w:szCs w:val="18"/>
              </w:rPr>
              <w:t>为由含水层底板到过滤器有效工作部分中点的长度）</w:t>
            </w:r>
          </w:p>
        </w:tc>
        <w:tc>
          <w:tcPr>
            <w:tcW w:w="1485" w:type="dxa"/>
            <w:vAlign w:val="center"/>
          </w:tcPr>
          <w:p w14:paraId="50B261B6">
            <w:pPr>
              <w:spacing w:line="240" w:lineRule="auto"/>
              <w:jc w:val="left"/>
              <w:rPr>
                <w:iCs/>
                <w:kern w:val="0"/>
                <w:sz w:val="18"/>
                <w:szCs w:val="18"/>
              </w:rPr>
            </w:pPr>
            <w:r>
              <w:rPr>
                <w:rFonts w:hint="eastAsia" w:ascii="宋体" w:hAnsi="宋体"/>
                <w:iCs/>
                <w:kern w:val="0"/>
                <w:sz w:val="18"/>
                <w:szCs w:val="18"/>
              </w:rPr>
              <w:t>①②</w:t>
            </w:r>
            <w:r>
              <w:rPr>
                <w:rFonts w:hint="eastAsia"/>
                <w:iCs/>
                <w:kern w:val="0"/>
                <w:sz w:val="18"/>
                <w:szCs w:val="18"/>
              </w:rPr>
              <w:t>条</w:t>
            </w:r>
            <w:r>
              <w:rPr>
                <w:iCs/>
                <w:kern w:val="0"/>
                <w:sz w:val="18"/>
                <w:szCs w:val="18"/>
              </w:rPr>
              <w:t>同上；</w:t>
            </w:r>
          </w:p>
          <w:p w14:paraId="64EFE3A0">
            <w:pPr>
              <w:spacing w:line="240" w:lineRule="auto"/>
              <w:jc w:val="left"/>
              <w:rPr>
                <w:iCs/>
                <w:kern w:val="0"/>
                <w:sz w:val="18"/>
                <w:szCs w:val="18"/>
              </w:rPr>
            </w:pPr>
            <w:r>
              <w:rPr>
                <w:rFonts w:hint="eastAsia" w:ascii="宋体" w:hAnsi="宋体"/>
                <w:iCs/>
                <w:kern w:val="0"/>
                <w:sz w:val="18"/>
                <w:szCs w:val="18"/>
              </w:rPr>
              <w:t>③</w:t>
            </w:r>
            <w:r>
              <w:rPr>
                <w:iCs/>
                <w:kern w:val="0"/>
                <w:sz w:val="18"/>
                <w:szCs w:val="18"/>
              </w:rPr>
              <w:t>近河基坑降水</w:t>
            </w:r>
            <w:r>
              <w:rPr>
                <w:rFonts w:hint="eastAsia"/>
                <w:iCs/>
                <w:kern w:val="0"/>
                <w:sz w:val="18"/>
                <w:szCs w:val="18"/>
              </w:rPr>
              <w:t>；</w:t>
            </w:r>
          </w:p>
          <w:p w14:paraId="0351FFD9">
            <w:pPr>
              <w:spacing w:line="240" w:lineRule="auto"/>
              <w:jc w:val="left"/>
              <w:rPr>
                <w:rFonts w:hint="eastAsia" w:ascii="宋体" w:hAnsi="宋体"/>
                <w:kern w:val="0"/>
                <w:sz w:val="18"/>
                <w:szCs w:val="18"/>
              </w:rPr>
            </w:pPr>
            <w:r>
              <w:rPr>
                <w:rFonts w:hint="eastAsia" w:ascii="宋体" w:hAnsi="宋体"/>
                <w:iCs/>
                <w:kern w:val="0"/>
                <w:sz w:val="18"/>
                <w:szCs w:val="18"/>
              </w:rPr>
              <w:t>④</w:t>
            </w:r>
            <w:r>
              <w:rPr>
                <w:iCs/>
                <w:kern w:val="0"/>
                <w:sz w:val="18"/>
                <w:szCs w:val="18"/>
              </w:rPr>
              <w:t>含水层厚度不大；</w:t>
            </w:r>
            <w:r>
              <w:rPr>
                <w:rFonts w:hint="eastAsia" w:ascii="宋体" w:hAnsi="宋体"/>
                <w:iCs/>
                <w:kern w:val="0"/>
                <w:sz w:val="18"/>
                <w:szCs w:val="18"/>
              </w:rPr>
              <w:t>⑤</w:t>
            </w:r>
            <m:oMath>
              <m:r>
                <m:rPr/>
                <w:rPr>
                  <w:rFonts w:ascii="Cambria Math" w:hAnsi="Cambria Math"/>
                  <w:kern w:val="0"/>
                  <w:sz w:val="18"/>
                  <w:szCs w:val="18"/>
                </w:rPr>
                <m:t>b&gt;</m:t>
              </m:r>
              <m:f>
                <m:fPr>
                  <m:ctrlPr>
                    <w:rPr>
                      <w:rFonts w:ascii="Cambria Math" w:hAnsi="Cambria Math"/>
                      <w:iCs/>
                      <w:kern w:val="0"/>
                      <w:sz w:val="18"/>
                      <w:szCs w:val="18"/>
                    </w:rPr>
                  </m:ctrlPr>
                </m:fPr>
                <m:num>
                  <m:r>
                    <m:rPr>
                      <m:sty m:val="p"/>
                    </m:rPr>
                    <w:rPr>
                      <w:rFonts w:ascii="Cambria Math" w:hAnsi="Cambria Math"/>
                      <w:kern w:val="0"/>
                      <w:sz w:val="18"/>
                      <w:szCs w:val="18"/>
                    </w:rPr>
                    <m:t>m</m:t>
                  </m:r>
                  <m:ctrlPr>
                    <w:rPr>
                      <w:rFonts w:ascii="Cambria Math" w:hAnsi="Cambria Math"/>
                      <w:iCs/>
                      <w:kern w:val="0"/>
                      <w:sz w:val="18"/>
                      <w:szCs w:val="18"/>
                    </w:rPr>
                  </m:ctrlPr>
                </m:num>
                <m:den>
                  <m:r>
                    <m:rPr>
                      <m:sty m:val="p"/>
                    </m:rPr>
                    <w:rPr>
                      <w:rFonts w:ascii="Cambria Math" w:hAnsi="Cambria Math"/>
                      <w:kern w:val="0"/>
                      <w:sz w:val="18"/>
                      <w:szCs w:val="18"/>
                    </w:rPr>
                    <m:t>2</m:t>
                  </m:r>
                  <m:ctrlPr>
                    <w:rPr>
                      <w:rFonts w:ascii="Cambria Math" w:hAnsi="Cambria Math"/>
                      <w:iCs/>
                      <w:kern w:val="0"/>
                      <w:sz w:val="18"/>
                      <w:szCs w:val="18"/>
                    </w:rPr>
                  </m:ctrlPr>
                </m:den>
              </m:f>
            </m:oMath>
            <w:r>
              <w:rPr>
                <w:rFonts w:hint="eastAsia" w:ascii="宋体" w:hAnsi="宋体"/>
                <w:iCs/>
                <w:kern w:val="0"/>
                <w:sz w:val="18"/>
                <w:szCs w:val="18"/>
              </w:rPr>
              <w:t>。</w:t>
            </w:r>
          </w:p>
        </w:tc>
      </w:tr>
      <w:tr w14:paraId="3A980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14B0CA5F">
            <w:pPr>
              <w:spacing w:line="240" w:lineRule="auto"/>
              <w:jc w:val="center"/>
              <w:rPr>
                <w:iCs/>
                <w:kern w:val="0"/>
                <w:sz w:val="18"/>
                <w:szCs w:val="18"/>
              </w:rPr>
            </w:pPr>
            <w:r>
              <w:rPr>
                <w:rFonts w:hint="eastAsia"/>
                <w:kern w:val="0"/>
                <w:sz w:val="18"/>
                <w:szCs w:val="18"/>
              </w:rPr>
              <w:t>7</w:t>
            </w:r>
          </w:p>
        </w:tc>
        <w:tc>
          <w:tcPr>
            <w:tcW w:w="3129" w:type="dxa"/>
            <w:vAlign w:val="center"/>
          </w:tcPr>
          <w:p w14:paraId="69030937">
            <w:pPr>
              <w:pStyle w:val="254"/>
              <w:widowControl w:val="0"/>
              <w:spacing w:before="0" w:after="0" w:line="240" w:lineRule="auto"/>
              <w:ind w:left="0" w:leftChars="0" w:right="0" w:rightChars="0"/>
              <w:rPr>
                <w:rFonts w:hint="eastAsia"/>
                <w:iCs/>
              </w:rPr>
            </w:pPr>
            <w:r>
              <w:object>
                <v:shape id="_x0000_i1031" o:spt="75" type="#_x0000_t75" style="height:86.35pt;width:137.6pt;" o:ole="t" filled="f" coordsize="21600,21600">
                  <v:path/>
                  <v:fill on="f" focussize="0,0"/>
                  <v:stroke/>
                  <v:imagedata r:id="rId57" cropleft="995f" croptop="5365f" cropright="13976f" cropbottom="15522f" o:title=""/>
                  <o:lock v:ext="edit" aspectratio="t"/>
                  <w10:wrap type="none"/>
                  <w10:anchorlock/>
                </v:shape>
                <o:OLEObject Type="Embed" ProgID="AcroExch.Document.11" ShapeID="_x0000_i1031" DrawAspect="Content" ObjectID="_1468075731" r:id="rId56">
                  <o:LockedField>false</o:LockedField>
                </o:OLEObject>
              </w:object>
            </w:r>
          </w:p>
        </w:tc>
        <w:tc>
          <w:tcPr>
            <w:tcW w:w="3945" w:type="dxa"/>
            <w:vAlign w:val="center"/>
          </w:tcPr>
          <w:p w14:paraId="670CA055">
            <w:pPr>
              <w:spacing w:line="240" w:lineRule="auto"/>
              <w:jc w:val="center"/>
              <w:rPr>
                <w:iCs/>
                <w:kern w:val="0"/>
                <w:sz w:val="18"/>
                <w:szCs w:val="18"/>
              </w:rPr>
            </w:pPr>
            <m:oMathPara>
              <m:oMath>
                <m:r>
                  <m:rPr/>
                  <w:rPr>
                    <w:rFonts w:ascii="Cambria Math" w:hAnsi="Cambria Math"/>
                    <w:kern w:val="0"/>
                    <w:sz w:val="18"/>
                    <w:szCs w:val="18"/>
                  </w:rPr>
                  <m:t>Q=1.366KS</m:t>
                </m:r>
                <m:d>
                  <m:dPr>
                    <m:begChr m:val="["/>
                    <m:endChr m:val="]"/>
                    <m:ctrlPr>
                      <w:rPr>
                        <w:rFonts w:ascii="Cambria Math" w:hAnsi="Cambria Math"/>
                        <w:i/>
                        <w:iCs/>
                        <w:kern w:val="0"/>
                        <w:sz w:val="18"/>
                        <w:szCs w:val="18"/>
                      </w:rPr>
                    </m:ctrlPr>
                  </m:dPr>
                  <m:e>
                    <m:f>
                      <m:fPr>
                        <m:ctrlPr>
                          <w:rPr>
                            <w:rFonts w:ascii="Cambria Math" w:hAnsi="Cambria Math"/>
                            <w:i/>
                            <w:iCs/>
                            <w:kern w:val="0"/>
                            <w:sz w:val="18"/>
                            <w:szCs w:val="18"/>
                          </w:rPr>
                        </m:ctrlPr>
                      </m:fPr>
                      <m:num>
                        <m:r>
                          <m:rPr/>
                          <w:rPr>
                            <w:rFonts w:ascii="Cambria Math" w:hAnsi="Cambria Math"/>
                            <w:kern w:val="0"/>
                            <w:sz w:val="18"/>
                            <w:szCs w:val="18"/>
                          </w:rPr>
                          <m:t>l+S</m:t>
                        </m:r>
                        <m:ctrlPr>
                          <w:rPr>
                            <w:rFonts w:ascii="Cambria Math" w:hAnsi="Cambria Math"/>
                            <w:i/>
                            <w:iCs/>
                            <w:kern w:val="0"/>
                            <w:sz w:val="18"/>
                            <w:szCs w:val="18"/>
                          </w:rPr>
                        </m:ctrlPr>
                      </m:num>
                      <m:den>
                        <m:r>
                          <m:rPr>
                            <m:sty m:val="p"/>
                          </m:rPr>
                          <w:rPr>
                            <w:rFonts w:ascii="Cambria Math" w:hAnsi="Cambria Math"/>
                            <w:kern w:val="0"/>
                            <w:sz w:val="18"/>
                            <w:szCs w:val="18"/>
                          </w:rPr>
                          <m:t>lg</m:t>
                        </m:r>
                        <m:f>
                          <m:fPr>
                            <m:ctrlPr>
                              <w:rPr>
                                <w:rFonts w:ascii="Cambria Math" w:hAnsi="Cambria Math"/>
                                <w:i/>
                                <w:iCs/>
                                <w:kern w:val="0"/>
                                <w:sz w:val="18"/>
                                <w:szCs w:val="18"/>
                              </w:rPr>
                            </m:ctrlPr>
                          </m:fPr>
                          <m:num>
                            <m:r>
                              <m:rPr/>
                              <w:rPr>
                                <w:rFonts w:ascii="Cambria Math" w:hAnsi="Cambria Math"/>
                                <w:kern w:val="0"/>
                                <w:sz w:val="18"/>
                                <w:szCs w:val="18"/>
                              </w:rPr>
                              <m:t>2b</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den>
                    </m:f>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l</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f>
                              <m:fPr>
                                <m:ctrlPr>
                                  <w:rPr>
                                    <w:rFonts w:ascii="Cambria Math" w:hAnsi="Cambria Math"/>
                                    <w:i/>
                                    <w:iCs/>
                                    <w:kern w:val="0"/>
                                    <w:sz w:val="18"/>
                                    <w:szCs w:val="18"/>
                                  </w:rPr>
                                </m:ctrlPr>
                              </m:fPr>
                              <m:num>
                                <m:r>
                                  <m:rPr/>
                                  <w:rPr>
                                    <w:rFonts w:ascii="Cambria Math" w:hAnsi="Cambria Math"/>
                                    <w:kern w:val="0"/>
                                    <w:sz w:val="18"/>
                                    <w:szCs w:val="18"/>
                                  </w:rPr>
                                  <m:t>0.66l</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e>
                        </m:func>
                        <m:r>
                          <m:rPr/>
                          <w:rPr>
                            <w:rFonts w:ascii="Cambria Math" w:hAnsi="Cambria Math"/>
                            <w:kern w:val="0"/>
                            <w:sz w:val="18"/>
                            <w:szCs w:val="18"/>
                          </w:rPr>
                          <m:t>−0.22</m:t>
                        </m:r>
                        <m:r>
                          <m:rPr>
                            <m:sty m:val="p"/>
                          </m:rPr>
                          <w:rPr>
                            <w:rFonts w:ascii="Cambria Math" w:hAnsi="Cambria Math"/>
                            <w:kern w:val="0"/>
                            <w:sz w:val="18"/>
                            <w:szCs w:val="18"/>
                          </w:rPr>
                          <m:t>arsh</m:t>
                        </m:r>
                        <m:f>
                          <m:fPr>
                            <m:ctrlPr>
                              <w:rPr>
                                <w:rFonts w:ascii="Cambria Math" w:hAnsi="Cambria Math"/>
                                <w:i/>
                                <w:iCs/>
                                <w:kern w:val="0"/>
                                <w:sz w:val="18"/>
                                <w:szCs w:val="18"/>
                              </w:rPr>
                            </m:ctrlPr>
                          </m:fPr>
                          <m:num>
                            <m:r>
                              <m:rPr/>
                              <w:rPr>
                                <w:rFonts w:ascii="Cambria Math" w:hAnsi="Cambria Math"/>
                                <w:kern w:val="0"/>
                                <w:sz w:val="18"/>
                                <w:szCs w:val="18"/>
                              </w:rPr>
                              <m:t>0.44l</m:t>
                            </m:r>
                            <m:ctrlPr>
                              <w:rPr>
                                <w:rFonts w:ascii="Cambria Math" w:hAnsi="Cambria Math"/>
                                <w:i/>
                                <w:iCs/>
                                <w:kern w:val="0"/>
                                <w:sz w:val="18"/>
                                <w:szCs w:val="18"/>
                              </w:rPr>
                            </m:ctrlPr>
                          </m:num>
                          <m:den>
                            <m:r>
                              <m:rPr/>
                              <w:rPr>
                                <w:rFonts w:ascii="Cambria Math" w:hAnsi="Cambria Math"/>
                                <w:kern w:val="0"/>
                                <w:sz w:val="18"/>
                                <w:szCs w:val="18"/>
                              </w:rPr>
                              <m:t>b</m:t>
                            </m:r>
                            <m:ctrlPr>
                              <w:rPr>
                                <w:rFonts w:ascii="Cambria Math" w:hAnsi="Cambria Math"/>
                                <w:i/>
                                <w:iCs/>
                                <w:kern w:val="0"/>
                                <w:sz w:val="18"/>
                                <w:szCs w:val="18"/>
                              </w:rPr>
                            </m:ctrlPr>
                          </m:den>
                        </m:f>
                        <m:ctrlPr>
                          <w:rPr>
                            <w:rFonts w:ascii="Cambria Math" w:hAnsi="Cambria Math"/>
                            <w:i/>
                            <w:iCs/>
                            <w:kern w:val="0"/>
                            <w:sz w:val="18"/>
                            <w:szCs w:val="18"/>
                          </w:rPr>
                        </m:ctrlPr>
                      </m:den>
                    </m:f>
                    <m:ctrlPr>
                      <w:rPr>
                        <w:rFonts w:ascii="Cambria Math" w:hAnsi="Cambria Math"/>
                        <w:i/>
                        <w:iCs/>
                        <w:kern w:val="0"/>
                        <w:sz w:val="18"/>
                        <w:szCs w:val="18"/>
                      </w:rPr>
                    </m:ctrlPr>
                  </m:e>
                </m:d>
              </m:oMath>
            </m:oMathPara>
          </w:p>
        </w:tc>
        <w:tc>
          <w:tcPr>
            <w:tcW w:w="1485" w:type="dxa"/>
            <w:vAlign w:val="center"/>
          </w:tcPr>
          <w:p w14:paraId="6535F7D4">
            <w:pPr>
              <w:spacing w:line="240" w:lineRule="auto"/>
              <w:jc w:val="left"/>
              <w:rPr>
                <w:kern w:val="0"/>
                <w:sz w:val="18"/>
                <w:szCs w:val="18"/>
              </w:rPr>
            </w:pPr>
            <w:r>
              <w:rPr>
                <w:rFonts w:hint="eastAsia" w:ascii="宋体" w:hAnsi="宋体"/>
                <w:kern w:val="0"/>
                <w:sz w:val="18"/>
                <w:szCs w:val="18"/>
              </w:rPr>
              <w:t>①②</w:t>
            </w:r>
            <w:r>
              <w:rPr>
                <w:rFonts w:hint="eastAsia"/>
                <w:kern w:val="0"/>
                <w:sz w:val="18"/>
                <w:szCs w:val="18"/>
              </w:rPr>
              <w:t>条</w:t>
            </w:r>
            <w:r>
              <w:rPr>
                <w:kern w:val="0"/>
                <w:sz w:val="18"/>
                <w:szCs w:val="18"/>
              </w:rPr>
              <w:t>同上；</w:t>
            </w:r>
          </w:p>
          <w:p w14:paraId="1A8B62A6">
            <w:pPr>
              <w:spacing w:line="240" w:lineRule="auto"/>
              <w:jc w:val="left"/>
              <w:rPr>
                <w:kern w:val="0"/>
                <w:sz w:val="18"/>
                <w:szCs w:val="18"/>
              </w:rPr>
            </w:pPr>
            <w:r>
              <w:rPr>
                <w:rFonts w:hint="eastAsia" w:ascii="宋体" w:hAnsi="宋体"/>
                <w:kern w:val="0"/>
                <w:sz w:val="18"/>
                <w:szCs w:val="18"/>
              </w:rPr>
              <w:t>③</w:t>
            </w:r>
            <w:r>
              <w:rPr>
                <w:kern w:val="0"/>
                <w:sz w:val="18"/>
                <w:szCs w:val="18"/>
              </w:rPr>
              <w:t>近河基坑降水</w:t>
            </w:r>
            <w:r>
              <w:rPr>
                <w:rFonts w:hint="eastAsia"/>
                <w:kern w:val="0"/>
                <w:sz w:val="18"/>
                <w:szCs w:val="18"/>
              </w:rPr>
              <w:t>；</w:t>
            </w:r>
          </w:p>
          <w:p w14:paraId="4F38E56C">
            <w:pPr>
              <w:spacing w:line="240" w:lineRule="auto"/>
              <w:jc w:val="left"/>
              <w:rPr>
                <w:rFonts w:hint="eastAsia" w:ascii="宋体" w:hAnsi="宋体"/>
                <w:iCs/>
                <w:kern w:val="0"/>
                <w:sz w:val="18"/>
                <w:szCs w:val="18"/>
              </w:rPr>
            </w:pPr>
            <w:r>
              <w:rPr>
                <w:rFonts w:hint="eastAsia" w:ascii="宋体" w:hAnsi="宋体"/>
                <w:kern w:val="0"/>
                <w:sz w:val="18"/>
                <w:szCs w:val="18"/>
              </w:rPr>
              <w:t>④</w:t>
            </w:r>
            <w:r>
              <w:rPr>
                <w:kern w:val="0"/>
                <w:sz w:val="18"/>
                <w:szCs w:val="18"/>
              </w:rPr>
              <w:t>含水层厚度很大；</w:t>
            </w:r>
            <w:r>
              <w:rPr>
                <w:rFonts w:hint="eastAsia" w:ascii="宋体" w:hAnsi="宋体"/>
                <w:kern w:val="0"/>
                <w:sz w:val="18"/>
                <w:szCs w:val="18"/>
              </w:rPr>
              <w:t>⑤</w:t>
            </w:r>
            <m:oMath>
              <m:r>
                <m:rPr/>
                <w:rPr>
                  <w:rFonts w:ascii="Cambria Math" w:hAnsi="Cambria Math"/>
                  <w:kern w:val="0"/>
                  <w:sz w:val="18"/>
                  <w:szCs w:val="18"/>
                </w:rPr>
                <m:t>b&gt;l</m:t>
              </m:r>
            </m:oMath>
            <w:r>
              <w:rPr>
                <w:rFonts w:hint="eastAsia" w:ascii="宋体" w:hAnsi="宋体"/>
                <w:kern w:val="0"/>
                <w:sz w:val="18"/>
                <w:szCs w:val="18"/>
              </w:rPr>
              <w:t>。</w:t>
            </w:r>
          </w:p>
        </w:tc>
      </w:tr>
      <w:tr w14:paraId="6C96E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1" w:type="dxa"/>
            <w:vAlign w:val="center"/>
          </w:tcPr>
          <w:p w14:paraId="32618C17">
            <w:pPr>
              <w:spacing w:line="240" w:lineRule="auto"/>
              <w:jc w:val="center"/>
              <w:rPr>
                <w:iCs/>
                <w:kern w:val="0"/>
                <w:sz w:val="18"/>
                <w:szCs w:val="18"/>
              </w:rPr>
            </w:pPr>
            <w:r>
              <w:rPr>
                <w:rFonts w:hint="eastAsia"/>
                <w:iCs/>
                <w:kern w:val="0"/>
                <w:sz w:val="18"/>
                <w:szCs w:val="18"/>
              </w:rPr>
              <w:t>8</w:t>
            </w:r>
          </w:p>
        </w:tc>
        <w:tc>
          <w:tcPr>
            <w:tcW w:w="3129" w:type="dxa"/>
            <w:vAlign w:val="center"/>
          </w:tcPr>
          <w:p w14:paraId="511512CC">
            <w:pPr>
              <w:pStyle w:val="254"/>
              <w:widowControl w:val="0"/>
              <w:spacing w:before="0" w:after="0" w:line="240" w:lineRule="auto"/>
              <w:ind w:left="0" w:leftChars="0" w:right="0" w:rightChars="0"/>
              <w:rPr>
                <w:rFonts w:hint="eastAsia"/>
                <w:iCs/>
              </w:rPr>
            </w:pPr>
            <w:r>
              <w:rPr>
                <w:iCs/>
              </w:rPr>
              <w:object>
                <v:shape id="_x0000_i1032" o:spt="75" type="#_x0000_t75" style="height:93.3pt;width:137.6pt;" o:ole="t" filled="f" coordsize="21600,21600">
                  <v:path/>
                  <v:fill on="f" focussize="0,0"/>
                  <v:stroke/>
                  <v:imagedata r:id="rId59" cropleft="2295f" croptop="3773f" cropright="14803f" cropbottom="18010f" o:title=""/>
                  <o:lock v:ext="edit" aspectratio="t"/>
                  <w10:wrap type="none"/>
                  <w10:anchorlock/>
                </v:shape>
                <o:OLEObject Type="Embed" ProgID="AcroExch.Document.11" ShapeID="_x0000_i1032" DrawAspect="Content" ObjectID="_1468075732" r:id="rId58">
                  <o:LockedField>false</o:LockedField>
                </o:OLEObject>
              </w:object>
            </w:r>
          </w:p>
        </w:tc>
        <w:tc>
          <w:tcPr>
            <w:tcW w:w="3945" w:type="dxa"/>
            <w:vAlign w:val="center"/>
          </w:tcPr>
          <w:p w14:paraId="3A97317B">
            <w:pPr>
              <w:spacing w:line="240" w:lineRule="auto"/>
              <w:ind w:firstLine="480"/>
              <w:jc w:val="center"/>
              <w:rPr>
                <w:iCs/>
                <w:kern w:val="0"/>
                <w:sz w:val="18"/>
                <w:szCs w:val="18"/>
              </w:rPr>
            </w:pPr>
            <m:oMathPara>
              <m:oMath>
                <m:r>
                  <m:rPr/>
                  <w:rPr>
                    <w:rFonts w:ascii="Cambria Math" w:hAnsi="Cambria Math"/>
                    <w:kern w:val="0"/>
                    <w:sz w:val="18"/>
                    <w:szCs w:val="18"/>
                  </w:rPr>
                  <m:t>Q=1.366KS</m:t>
                </m:r>
                <m:d>
                  <m:dPr>
                    <m:begChr m:val="["/>
                    <m:endChr m:val="]"/>
                    <m:ctrlPr>
                      <w:rPr>
                        <w:rFonts w:ascii="Cambria Math" w:hAnsi="Cambria Math"/>
                        <w:i/>
                        <w:iCs/>
                        <w:kern w:val="0"/>
                        <w:sz w:val="18"/>
                        <w:szCs w:val="18"/>
                      </w:rPr>
                    </m:ctrlPr>
                  </m:dPr>
                  <m:e>
                    <m:f>
                      <m:fPr>
                        <m:ctrlPr>
                          <w:rPr>
                            <w:rFonts w:ascii="Cambria Math" w:hAnsi="Cambria Math"/>
                            <w:i/>
                            <w:iCs/>
                            <w:kern w:val="0"/>
                            <w:sz w:val="18"/>
                            <w:szCs w:val="18"/>
                          </w:rPr>
                        </m:ctrlPr>
                      </m:fPr>
                      <m:num>
                        <m:r>
                          <m:rPr/>
                          <w:rPr>
                            <w:rFonts w:ascii="Cambria Math" w:hAnsi="Cambria Math"/>
                            <w:kern w:val="0"/>
                            <w:sz w:val="18"/>
                            <w:szCs w:val="18"/>
                          </w:rPr>
                          <m:t>l+S</m:t>
                        </m:r>
                        <m:ctrlPr>
                          <w:rPr>
                            <w:rFonts w:ascii="Cambria Math" w:hAnsi="Cambria Math"/>
                            <w:i/>
                            <w:iCs/>
                            <w:kern w:val="0"/>
                            <w:sz w:val="18"/>
                            <w:szCs w:val="18"/>
                          </w:rPr>
                        </m:ctrlPr>
                      </m:num>
                      <m:den>
                        <m:r>
                          <m:rPr>
                            <m:sty m:val="p"/>
                          </m:rPr>
                          <w:rPr>
                            <w:rFonts w:ascii="Cambria Math" w:hAnsi="Cambria Math"/>
                            <w:kern w:val="0"/>
                            <w:sz w:val="18"/>
                            <w:szCs w:val="18"/>
                          </w:rPr>
                          <m:t>lg</m:t>
                        </m:r>
                        <m:f>
                          <m:fPr>
                            <m:ctrlPr>
                              <w:rPr>
                                <w:rFonts w:ascii="Cambria Math" w:hAnsi="Cambria Math"/>
                                <w:i/>
                                <w:iCs/>
                                <w:kern w:val="0"/>
                                <w:sz w:val="18"/>
                                <w:szCs w:val="18"/>
                              </w:rPr>
                            </m:ctrlPr>
                          </m:fPr>
                          <m:num>
                            <m:r>
                              <m:rPr/>
                              <w:rPr>
                                <w:rFonts w:ascii="Cambria Math" w:hAnsi="Cambria Math"/>
                                <w:kern w:val="0"/>
                                <w:sz w:val="18"/>
                                <w:szCs w:val="18"/>
                              </w:rPr>
                              <m:t>2b</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den>
                    </m:f>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l</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f>
                              <m:fPr>
                                <m:ctrlPr>
                                  <w:rPr>
                                    <w:rFonts w:ascii="Cambria Math" w:hAnsi="Cambria Math"/>
                                    <w:i/>
                                    <w:iCs/>
                                    <w:kern w:val="0"/>
                                    <w:sz w:val="18"/>
                                    <w:szCs w:val="18"/>
                                  </w:rPr>
                                </m:ctrlPr>
                              </m:fPr>
                              <m:num>
                                <m:r>
                                  <m:rPr/>
                                  <w:rPr>
                                    <w:rFonts w:ascii="Cambria Math" w:hAnsi="Cambria Math"/>
                                    <w:kern w:val="0"/>
                                    <w:sz w:val="18"/>
                                    <w:szCs w:val="18"/>
                                  </w:rPr>
                                  <m:t>0.66l</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e>
                        </m:func>
                        <m:r>
                          <m:rPr/>
                          <w:rPr>
                            <w:rFonts w:ascii="Cambria Math" w:hAnsi="Cambria Math"/>
                            <w:kern w:val="0"/>
                            <w:sz w:val="18"/>
                            <w:szCs w:val="18"/>
                          </w:rPr>
                          <m:t>+0.11</m:t>
                        </m:r>
                        <m:f>
                          <m:fPr>
                            <m:ctrlPr>
                              <w:rPr>
                                <w:rFonts w:ascii="Cambria Math" w:hAnsi="Cambria Math"/>
                                <w:i/>
                                <w:iCs/>
                                <w:kern w:val="0"/>
                                <w:sz w:val="18"/>
                                <w:szCs w:val="18"/>
                              </w:rPr>
                            </m:ctrlPr>
                          </m:fPr>
                          <m:num>
                            <m:r>
                              <m:rPr/>
                              <w:rPr>
                                <w:rFonts w:ascii="Cambria Math" w:hAnsi="Cambria Math"/>
                                <w:kern w:val="0"/>
                                <w:sz w:val="18"/>
                                <w:szCs w:val="18"/>
                              </w:rPr>
                              <m:t>l</m:t>
                            </m:r>
                            <m:ctrlPr>
                              <w:rPr>
                                <w:rFonts w:ascii="Cambria Math" w:hAnsi="Cambria Math"/>
                                <w:i/>
                                <w:iCs/>
                                <w:kern w:val="0"/>
                                <w:sz w:val="18"/>
                                <w:szCs w:val="18"/>
                              </w:rPr>
                            </m:ctrlPr>
                          </m:num>
                          <m:den>
                            <m:r>
                              <m:rPr/>
                              <w:rPr>
                                <w:rFonts w:ascii="Cambria Math" w:hAnsi="Cambria Math"/>
                                <w:kern w:val="0"/>
                                <w:sz w:val="18"/>
                                <w:szCs w:val="18"/>
                              </w:rPr>
                              <m:t>b</m:t>
                            </m:r>
                            <m:ctrlPr>
                              <w:rPr>
                                <w:rFonts w:ascii="Cambria Math" w:hAnsi="Cambria Math"/>
                                <w:i/>
                                <w:iCs/>
                                <w:kern w:val="0"/>
                                <w:sz w:val="18"/>
                                <w:szCs w:val="18"/>
                              </w:rPr>
                            </m:ctrlPr>
                          </m:den>
                        </m:f>
                        <m:ctrlPr>
                          <w:rPr>
                            <w:rFonts w:ascii="Cambria Math" w:hAnsi="Cambria Math"/>
                            <w:i/>
                            <w:iCs/>
                            <w:kern w:val="0"/>
                            <w:sz w:val="18"/>
                            <w:szCs w:val="18"/>
                          </w:rPr>
                        </m:ctrlPr>
                      </m:den>
                    </m:f>
                    <m:ctrlPr>
                      <w:rPr>
                        <w:rFonts w:ascii="Cambria Math" w:hAnsi="Cambria Math"/>
                        <w:i/>
                        <w:iCs/>
                        <w:kern w:val="0"/>
                        <w:sz w:val="18"/>
                        <w:szCs w:val="18"/>
                      </w:rPr>
                    </m:ctrlPr>
                  </m:e>
                </m:d>
              </m:oMath>
            </m:oMathPara>
          </w:p>
        </w:tc>
        <w:tc>
          <w:tcPr>
            <w:tcW w:w="1485" w:type="dxa"/>
            <w:vAlign w:val="center"/>
          </w:tcPr>
          <w:p w14:paraId="75024AC9">
            <w:pPr>
              <w:pStyle w:val="241"/>
              <w:numPr>
                <w:ilvl w:val="255"/>
                <w:numId w:val="0"/>
              </w:numPr>
              <w:jc w:val="left"/>
              <w:rPr>
                <w:iCs/>
                <w:kern w:val="0"/>
                <w:sz w:val="18"/>
                <w:szCs w:val="18"/>
              </w:rPr>
            </w:pPr>
            <w:r>
              <w:rPr>
                <w:rFonts w:hint="eastAsia" w:ascii="宋体" w:hAnsi="宋体"/>
                <w:iCs/>
                <w:kern w:val="0"/>
                <w:sz w:val="18"/>
                <w:szCs w:val="18"/>
              </w:rPr>
              <w:t>①②③④</w:t>
            </w:r>
            <w:r>
              <w:rPr>
                <w:rFonts w:hint="eastAsia"/>
                <w:iCs/>
                <w:kern w:val="0"/>
                <w:sz w:val="18"/>
                <w:szCs w:val="18"/>
              </w:rPr>
              <w:t>条</w:t>
            </w:r>
            <w:r>
              <w:rPr>
                <w:iCs/>
                <w:kern w:val="0"/>
                <w:sz w:val="18"/>
                <w:szCs w:val="18"/>
              </w:rPr>
              <w:t>同上；</w:t>
            </w:r>
          </w:p>
          <w:p w14:paraId="5033DEF8">
            <w:pPr>
              <w:pStyle w:val="241"/>
              <w:numPr>
                <w:ilvl w:val="255"/>
                <w:numId w:val="0"/>
              </w:numPr>
              <w:jc w:val="left"/>
              <w:rPr>
                <w:rFonts w:hint="eastAsia" w:ascii="宋体" w:hAnsi="宋体"/>
                <w:iCs/>
                <w:kern w:val="0"/>
                <w:sz w:val="18"/>
                <w:szCs w:val="18"/>
              </w:rPr>
            </w:pPr>
            <w:r>
              <w:rPr>
                <w:rFonts w:hint="eastAsia" w:ascii="宋体" w:hAnsi="宋体"/>
                <w:iCs/>
                <w:kern w:val="0"/>
                <w:sz w:val="18"/>
                <w:szCs w:val="18"/>
              </w:rPr>
              <w:fldChar w:fldCharType="begin"/>
            </w:r>
            <w:r>
              <w:rPr>
                <w:rFonts w:hint="eastAsia" w:ascii="宋体" w:hAnsi="宋体"/>
                <w:iCs/>
                <w:kern w:val="0"/>
                <w:sz w:val="18"/>
                <w:szCs w:val="18"/>
              </w:rPr>
              <w:instrText xml:space="preserve"> = 5 \* GB3 \* MERGEFORMAT </w:instrText>
            </w:r>
            <w:r>
              <w:rPr>
                <w:rFonts w:hint="eastAsia" w:ascii="宋体" w:hAnsi="宋体"/>
                <w:iCs/>
                <w:kern w:val="0"/>
                <w:sz w:val="18"/>
                <w:szCs w:val="18"/>
              </w:rPr>
              <w:fldChar w:fldCharType="separate"/>
            </w:r>
            <w:r>
              <w:rPr>
                <w:rFonts w:hint="eastAsia" w:ascii="宋体" w:hAnsi="宋体"/>
                <w:iCs/>
                <w:kern w:val="0"/>
                <w:sz w:val="18"/>
                <w:szCs w:val="18"/>
              </w:rPr>
              <w:t>⑤</w:t>
            </w:r>
            <w:r>
              <w:rPr>
                <w:rFonts w:hint="eastAsia" w:ascii="宋体" w:hAnsi="宋体"/>
                <w:iCs/>
                <w:kern w:val="0"/>
                <w:sz w:val="18"/>
                <w:szCs w:val="18"/>
              </w:rPr>
              <w:fldChar w:fldCharType="end"/>
            </w:r>
            <m:oMath>
              <m:r>
                <m:rPr/>
                <w:rPr>
                  <w:rFonts w:ascii="Cambria Math" w:hAnsi="Cambria Math"/>
                  <w:kern w:val="0"/>
                  <w:sz w:val="18"/>
                  <w:szCs w:val="18"/>
                </w:rPr>
                <m:t>b&lt;l</m:t>
              </m:r>
            </m:oMath>
            <w:r>
              <w:rPr>
                <w:rFonts w:hint="eastAsia" w:ascii="宋体" w:hAnsi="宋体"/>
                <w:iCs/>
                <w:kern w:val="0"/>
                <w:sz w:val="18"/>
                <w:szCs w:val="18"/>
              </w:rPr>
              <w:t>。</w:t>
            </w:r>
          </w:p>
        </w:tc>
      </w:tr>
    </w:tbl>
    <w:p w14:paraId="74ED5228">
      <w:pPr>
        <w:pStyle w:val="15"/>
        <w:tabs>
          <w:tab w:val="left" w:pos="925"/>
          <w:tab w:val="left" w:pos="1613"/>
        </w:tabs>
        <w:spacing w:after="0" w:line="240" w:lineRule="auto"/>
        <w:ind w:left="630" w:leftChars="300"/>
        <w:jc w:val="left"/>
        <w:rPr>
          <w:rFonts w:hint="eastAsia" w:ascii="宋体" w:hAnsi="宋体" w:cs="宋体"/>
          <w:w w:val="105"/>
        </w:rPr>
      </w:pPr>
      <w:r>
        <w:rPr>
          <w:rFonts w:hint="eastAsia" w:ascii="宋体" w:hAnsi="宋体" w:cs="宋体"/>
          <w:w w:val="105"/>
        </w:rPr>
        <w:t>式中：</w:t>
      </w:r>
    </w:p>
    <w:p w14:paraId="6DDF4612">
      <w:pPr>
        <w:pStyle w:val="15"/>
        <w:tabs>
          <w:tab w:val="left" w:pos="925"/>
          <w:tab w:val="left" w:pos="1613"/>
        </w:tabs>
        <w:spacing w:after="0" w:line="240" w:lineRule="auto"/>
        <w:ind w:left="630" w:leftChars="300"/>
        <w:jc w:val="left"/>
        <w:rPr>
          <w:rFonts w:hint="eastAsia" w:ascii="宋体" w:hAnsi="宋体" w:cs="宋体"/>
          <w:w w:val="105"/>
        </w:rPr>
      </w:pPr>
      <m:oMath>
        <m:r>
          <m:rPr/>
          <w:rPr>
            <w:rFonts w:hint="eastAsia" w:ascii="Cambria Math" w:hAnsi="Cambria Math" w:cs="宋体"/>
            <w:w w:val="105"/>
          </w:rPr>
          <m:t>Q</m:t>
        </m:r>
      </m:oMath>
      <w:r>
        <w:rPr>
          <w:rFonts w:hint="eastAsia" w:ascii="宋体" w:hAnsi="宋体" w:cs="宋体"/>
        </w:rPr>
        <w:t>——基坑计算涌水量，m</w:t>
      </w:r>
      <w:r>
        <w:rPr>
          <w:rFonts w:hint="eastAsia" w:ascii="宋体" w:hAnsi="宋体" w:cs="宋体"/>
          <w:vertAlign w:val="superscript"/>
        </w:rPr>
        <w:t>3</w:t>
      </w:r>
      <w:r>
        <w:rPr>
          <w:rFonts w:hint="eastAsia" w:ascii="宋体" w:hAnsi="宋体" w:cs="宋体"/>
        </w:rPr>
        <w:t>/d；</w:t>
      </w:r>
    </w:p>
    <w:p w14:paraId="70B705E7">
      <w:pPr>
        <w:pStyle w:val="15"/>
        <w:tabs>
          <w:tab w:val="left" w:pos="925"/>
          <w:tab w:val="left" w:pos="1613"/>
        </w:tabs>
        <w:spacing w:after="0" w:line="240" w:lineRule="auto"/>
        <w:ind w:left="630" w:leftChars="300"/>
        <w:jc w:val="left"/>
        <w:rPr>
          <w:rFonts w:hint="eastAsia" w:ascii="宋体" w:hAnsi="宋体" w:cs="宋体"/>
          <w:w w:val="105"/>
        </w:rPr>
      </w:pPr>
      <m:oMath>
        <m:r>
          <m:rPr/>
          <w:rPr>
            <w:rFonts w:hint="eastAsia" w:ascii="Cambria Math" w:hAnsi="Cambria Math" w:cs="宋体"/>
            <w:w w:val="105"/>
          </w:rPr>
          <m:t>K</m:t>
        </m:r>
      </m:oMath>
      <w:r>
        <w:rPr>
          <w:rFonts w:hint="eastAsia" w:ascii="宋体" w:hAnsi="宋体" w:cs="宋体"/>
        </w:rPr>
        <w:t>——渗透系数，m/d；</w:t>
      </w:r>
    </w:p>
    <w:p w14:paraId="605B8C6C">
      <w:pPr>
        <w:pStyle w:val="15"/>
        <w:tabs>
          <w:tab w:val="left" w:pos="925"/>
          <w:tab w:val="left" w:pos="1613"/>
        </w:tabs>
        <w:spacing w:after="0" w:line="240" w:lineRule="auto"/>
        <w:ind w:left="630" w:leftChars="300"/>
        <w:jc w:val="left"/>
        <w:rPr>
          <w:rFonts w:hint="eastAsia" w:ascii="宋体" w:hAnsi="宋体" w:cs="宋体"/>
        </w:rPr>
      </w:pPr>
      <m:oMath>
        <m:r>
          <m:rPr/>
          <w:rPr>
            <w:rFonts w:hint="eastAsia" w:ascii="Cambria Math" w:hAnsi="Cambria Math" w:cs="宋体"/>
            <w:w w:val="105"/>
          </w:rPr>
          <m:t>H</m:t>
        </m:r>
      </m:oMath>
      <w:r>
        <w:rPr>
          <w:rFonts w:hint="eastAsia" w:ascii="宋体" w:hAnsi="宋体" w:cs="宋体"/>
        </w:rPr>
        <w:t>——任意点处隔水底板到降水前静水位的高度，m；</w:t>
      </w:r>
    </w:p>
    <w:p w14:paraId="185FB9F2">
      <w:pPr>
        <w:spacing w:line="240" w:lineRule="auto"/>
        <w:ind w:left="630" w:leftChars="300"/>
        <w:jc w:val="left"/>
        <w:rPr>
          <w:rFonts w:hint="eastAsia" w:ascii="宋体" w:hAnsi="宋体" w:cs="宋体"/>
          <w:w w:val="105"/>
        </w:rPr>
      </w:pPr>
      <m:oMath>
        <m:r>
          <m:rPr/>
          <w:rPr>
            <w:rFonts w:hint="eastAsia" w:ascii="Cambria Math" w:hAnsi="Cambria Math" w:cs="宋体"/>
            <w:w w:val="105"/>
          </w:rPr>
          <m:t>S</m:t>
        </m:r>
      </m:oMath>
      <w:r>
        <w:rPr>
          <w:rFonts w:hint="eastAsia" w:ascii="宋体" w:hAnsi="宋体" w:cs="宋体"/>
        </w:rPr>
        <w:t>——水位降深</w:t>
      </w:r>
      <w:r>
        <w:rPr>
          <w:rFonts w:hint="eastAsia" w:ascii="宋体" w:hAnsi="宋体" w:cs="宋体"/>
          <w:spacing w:val="5"/>
          <w:w w:val="105"/>
        </w:rPr>
        <w:t>，m</w:t>
      </w:r>
      <w:r>
        <w:rPr>
          <w:rFonts w:hint="eastAsia" w:ascii="宋体" w:hAnsi="宋体" w:cs="宋体"/>
          <w:w w:val="105"/>
        </w:rPr>
        <w:t>；</w:t>
      </w:r>
    </w:p>
    <w:p w14:paraId="7248A9DE">
      <w:pPr>
        <w:spacing w:line="240" w:lineRule="auto"/>
        <w:ind w:left="630" w:leftChars="300"/>
        <w:jc w:val="left"/>
        <w:rPr>
          <w:rFonts w:hint="eastAsia" w:ascii="宋体" w:hAnsi="宋体" w:cs="宋体"/>
        </w:rPr>
      </w:pPr>
      <m:oMath>
        <m:r>
          <m:rPr/>
          <w:rPr>
            <w:rFonts w:hint="eastAsia" w:ascii="Cambria Math" w:hAnsi="Cambria Math" w:cs="宋体"/>
            <w:w w:val="105"/>
          </w:rPr>
          <m:t>R</m:t>
        </m:r>
      </m:oMath>
      <w:r>
        <w:rPr>
          <w:rFonts w:hint="eastAsia" w:ascii="宋体" w:hAnsi="宋体" w:cs="宋体"/>
        </w:rPr>
        <w:t>——抽水影响半径</w:t>
      </w:r>
      <w:r>
        <w:rPr>
          <w:rFonts w:hint="eastAsia" w:ascii="宋体" w:hAnsi="宋体" w:cs="宋体"/>
          <w:spacing w:val="5"/>
          <w:w w:val="105"/>
        </w:rPr>
        <w:t>，m</w:t>
      </w:r>
      <w:r>
        <w:rPr>
          <w:rFonts w:hint="eastAsia" w:ascii="宋体" w:hAnsi="宋体" w:cs="宋体"/>
          <w:w w:val="105"/>
        </w:rPr>
        <w:t>；</w:t>
      </w:r>
    </w:p>
    <w:p w14:paraId="6F4F6D37">
      <w:pPr>
        <w:spacing w:line="240" w:lineRule="auto"/>
        <w:ind w:left="630" w:leftChars="300"/>
        <w:jc w:val="left"/>
        <w:rPr>
          <w:rFonts w:hint="eastAsia" w:ascii="宋体" w:hAnsi="宋体" w:cs="宋体"/>
        </w:rPr>
      </w:pPr>
      <m:oMath>
        <m:sSub>
          <m:sSubPr>
            <m:ctrlPr>
              <w:rPr>
                <w:rFonts w:hint="eastAsia" w:ascii="Cambria Math" w:hAnsi="Cambria Math" w:cs="宋体"/>
                <w:i/>
                <w:iCs/>
              </w:rPr>
            </m:ctrlPr>
          </m:sSubPr>
          <m:e>
            <m:r>
              <m:rPr/>
              <w:rPr>
                <w:rFonts w:hint="eastAsia" w:ascii="Cambria Math" w:hAnsi="Cambria Math" w:cs="宋体"/>
              </w:rPr>
              <m:t>r</m:t>
            </m:r>
            <m:ctrlPr>
              <w:rPr>
                <w:rFonts w:hint="eastAsia" w:ascii="Cambria Math" w:hAnsi="Cambria Math" w:cs="宋体"/>
                <w:i/>
                <w:iCs/>
              </w:rPr>
            </m:ctrlPr>
          </m:e>
          <m:sub>
            <m:r>
              <m:rPr/>
              <w:rPr>
                <w:rFonts w:hint="eastAsia" w:ascii="Cambria Math" w:hAnsi="Cambria Math" w:cs="宋体"/>
              </w:rPr>
              <m:t>0</m:t>
            </m:r>
            <m:ctrlPr>
              <w:rPr>
                <w:rFonts w:hint="eastAsia" w:ascii="Cambria Math" w:hAnsi="Cambria Math" w:cs="宋体"/>
                <w:i/>
                <w:iCs/>
              </w:rPr>
            </m:ctrlPr>
          </m:sub>
        </m:sSub>
      </m:oMath>
      <w:r>
        <w:rPr>
          <w:rFonts w:hint="eastAsia" w:ascii="宋体" w:hAnsi="宋体" w:cs="宋体"/>
        </w:rPr>
        <w:t>——基坑等效半径</w:t>
      </w:r>
      <w:r>
        <w:rPr>
          <w:rFonts w:hint="eastAsia" w:ascii="宋体" w:hAnsi="宋体" w:cs="宋体"/>
          <w:w w:val="105"/>
        </w:rPr>
        <w:t>，m</w:t>
      </w:r>
      <w:r>
        <w:rPr>
          <w:rFonts w:hint="eastAsia" w:ascii="宋体" w:hAnsi="宋体" w:cs="宋体"/>
          <w:spacing w:val="-60"/>
        </w:rPr>
        <w:t> ；</w:t>
      </w:r>
    </w:p>
    <w:p w14:paraId="4A9BFB2A">
      <w:pPr>
        <w:spacing w:line="240" w:lineRule="auto"/>
        <w:ind w:left="630" w:leftChars="300"/>
        <w:jc w:val="left"/>
        <w:rPr>
          <w:rFonts w:hint="eastAsia" w:ascii="宋体" w:hAnsi="宋体" w:cs="宋体"/>
        </w:rPr>
      </w:pPr>
      <m:oMath>
        <m:r>
          <m:rPr/>
          <w:rPr>
            <w:rFonts w:hint="eastAsia" w:ascii="Cambria Math" w:hAnsi="Cambria Math" w:cs="宋体"/>
          </w:rPr>
          <m:t>b</m:t>
        </m:r>
      </m:oMath>
      <w:r>
        <w:rPr>
          <w:rFonts w:hint="eastAsia" w:ascii="宋体" w:hAnsi="宋体" w:cs="宋体"/>
        </w:rPr>
        <w:t>——基坑中心至岸边的距离，m；</w:t>
      </w:r>
    </w:p>
    <w:p w14:paraId="1674AD51">
      <w:pPr>
        <w:spacing w:line="240" w:lineRule="auto"/>
        <w:ind w:left="630" w:leftChars="300"/>
        <w:jc w:val="left"/>
        <w:rPr>
          <w:rFonts w:hint="eastAsia" w:ascii="宋体" w:hAnsi="宋体" w:cs="宋体"/>
        </w:rPr>
      </w:pPr>
      <m:oMath>
        <m:sSub>
          <m:sSubPr>
            <m:ctrlPr>
              <w:rPr>
                <w:rFonts w:hint="eastAsia" w:ascii="Cambria Math" w:hAnsi="Cambria Math" w:cs="宋体"/>
                <w:i/>
                <w:iCs/>
              </w:rPr>
            </m:ctrlPr>
          </m:sSubPr>
          <m:e>
            <m:r>
              <m:rPr/>
              <w:rPr>
                <w:rFonts w:hint="eastAsia" w:ascii="Cambria Math" w:hAnsi="Cambria Math" w:cs="宋体"/>
              </w:rPr>
              <m:t>b</m:t>
            </m:r>
            <m:ctrlPr>
              <w:rPr>
                <w:rFonts w:hint="eastAsia" w:ascii="Cambria Math" w:hAnsi="Cambria Math" w:cs="宋体"/>
                <w:i/>
                <w:iCs/>
              </w:rPr>
            </m:ctrlPr>
          </m:e>
          <m:sub>
            <m:r>
              <m:rPr/>
              <w:rPr>
                <w:rFonts w:hint="eastAsia" w:ascii="Cambria Math" w:hAnsi="Cambria Math" w:cs="宋体"/>
              </w:rPr>
              <m:t>1</m:t>
            </m:r>
            <m:ctrlPr>
              <w:rPr>
                <w:rFonts w:hint="eastAsia" w:ascii="Cambria Math" w:hAnsi="Cambria Math" w:cs="宋体"/>
                <w:i/>
                <w:iCs/>
              </w:rPr>
            </m:ctrlPr>
          </m:sub>
        </m:sSub>
      </m:oMath>
      <w:r>
        <w:rPr>
          <w:rFonts w:hint="eastAsia" w:ascii="宋体" w:hAnsi="宋体" w:cs="宋体"/>
        </w:rPr>
        <w:t>——基坑中心至A河岸边的距离，m；</w:t>
      </w:r>
    </w:p>
    <w:p w14:paraId="75EF1838">
      <w:pPr>
        <w:spacing w:line="240" w:lineRule="auto"/>
        <w:ind w:left="630" w:leftChars="300"/>
        <w:jc w:val="left"/>
        <w:rPr>
          <w:rFonts w:hint="eastAsia" w:ascii="宋体" w:hAnsi="宋体" w:cs="宋体"/>
        </w:rPr>
      </w:pPr>
      <m:oMath>
        <m:sSub>
          <m:sSubPr>
            <m:ctrlPr>
              <w:rPr>
                <w:rFonts w:hint="eastAsia" w:ascii="Cambria Math" w:hAnsi="Cambria Math" w:cs="宋体"/>
                <w:i/>
                <w:iCs/>
              </w:rPr>
            </m:ctrlPr>
          </m:sSubPr>
          <m:e>
            <m:r>
              <m:rPr/>
              <w:rPr>
                <w:rFonts w:hint="eastAsia" w:ascii="Cambria Math" w:hAnsi="Cambria Math" w:cs="宋体"/>
              </w:rPr>
              <m:t>b</m:t>
            </m:r>
            <m:ctrlPr>
              <w:rPr>
                <w:rFonts w:hint="eastAsia" w:ascii="Cambria Math" w:hAnsi="Cambria Math" w:cs="宋体"/>
                <w:i/>
                <w:iCs/>
              </w:rPr>
            </m:ctrlPr>
          </m:e>
          <m:sub>
            <m:r>
              <m:rPr/>
              <w:rPr>
                <w:rFonts w:hint="eastAsia" w:ascii="Cambria Math" w:hAnsi="Cambria Math" w:cs="宋体"/>
              </w:rPr>
              <m:t>2</m:t>
            </m:r>
            <m:ctrlPr>
              <w:rPr>
                <w:rFonts w:hint="eastAsia" w:ascii="Cambria Math" w:hAnsi="Cambria Math" w:cs="宋体"/>
                <w:i/>
                <w:iCs/>
              </w:rPr>
            </m:ctrlPr>
          </m:sub>
        </m:sSub>
      </m:oMath>
      <w:r>
        <w:rPr>
          <w:rFonts w:hint="eastAsia" w:ascii="宋体" w:hAnsi="宋体" w:cs="宋体"/>
        </w:rPr>
        <w:t>——基坑中心至B河岸边的距离，m；</w:t>
      </w:r>
    </w:p>
    <w:p w14:paraId="6FF2BBB3">
      <w:pPr>
        <w:spacing w:line="240" w:lineRule="auto"/>
        <w:ind w:left="630" w:leftChars="300"/>
        <w:jc w:val="left"/>
        <w:rPr>
          <w:rFonts w:hint="eastAsia" w:ascii="宋体" w:hAnsi="宋体" w:cs="宋体"/>
          <w:spacing w:val="-2"/>
        </w:rPr>
      </w:pPr>
      <m:oMath>
        <m:r>
          <m:rPr/>
          <w:rPr>
            <w:rFonts w:ascii="Cambria Math" w:hAnsi="Cambria Math" w:cs="宋体"/>
            <w:spacing w:val="-2"/>
          </w:rPr>
          <m:t>h</m:t>
        </m:r>
      </m:oMath>
      <w:r>
        <w:rPr>
          <w:rFonts w:hint="eastAsia" w:ascii="宋体" w:hAnsi="宋体" w:cs="宋体"/>
        </w:rPr>
        <w:t>——基坑动水位至含水层底板的深度，m</w:t>
      </w:r>
      <w:r>
        <w:rPr>
          <w:rFonts w:hint="eastAsia" w:ascii="宋体" w:hAnsi="宋体" w:cs="宋体"/>
          <w:spacing w:val="-2"/>
        </w:rPr>
        <w:t>；</w:t>
      </w:r>
    </w:p>
    <w:p w14:paraId="740562F6">
      <w:pPr>
        <w:spacing w:line="240" w:lineRule="auto"/>
        <w:ind w:left="630" w:leftChars="300"/>
        <w:jc w:val="left"/>
        <w:rPr>
          <w:rFonts w:hint="eastAsia" w:ascii="宋体" w:hAnsi="宋体" w:cs="宋体"/>
          <w:spacing w:val="-2"/>
        </w:rPr>
      </w:pPr>
      <m:oMath>
        <m:r>
          <m:rPr/>
          <w:rPr>
            <w:rFonts w:ascii="Cambria Math" w:hAnsi="Cambria Math" w:cs="宋体"/>
            <w:spacing w:val="-2"/>
          </w:rPr>
          <m:t>h</m:t>
        </m:r>
      </m:oMath>
      <w:r>
        <w:rPr>
          <w:rFonts w:hint="eastAsia" w:ascii="宋体" w:hAnsi="宋体" w:cs="宋体"/>
        </w:rPr>
        <w:t>——</w:t>
      </w:r>
      <w:r>
        <w:rPr>
          <w:rFonts w:hint="eastAsia" w:ascii="宋体" w:hAnsi="宋体" w:cs="宋体"/>
          <w:spacing w:val="-2"/>
        </w:rPr>
        <w:t>潜水含水层厚度与动水位以下的含水层厚度的平均值</w:t>
      </w:r>
      <w:r>
        <w:rPr>
          <w:rFonts w:hint="eastAsia" w:ascii="宋体" w:hAnsi="宋体" w:cs="宋体"/>
        </w:rPr>
        <w:t>，m</w:t>
      </w:r>
      <w:r>
        <w:rPr>
          <w:rFonts w:hint="eastAsia" w:ascii="宋体" w:hAnsi="宋体" w:cs="宋体"/>
          <w:spacing w:val="-2"/>
        </w:rPr>
        <w:t>；</w:t>
      </w:r>
    </w:p>
    <w:p w14:paraId="5B591D7F">
      <w:pPr>
        <w:spacing w:line="240" w:lineRule="auto"/>
        <w:ind w:left="630" w:leftChars="300"/>
        <w:jc w:val="left"/>
        <w:rPr>
          <w:rFonts w:hint="eastAsia" w:ascii="宋体" w:hAnsi="宋体" w:cs="宋体"/>
        </w:rPr>
      </w:pPr>
      <m:oMath>
        <m:r>
          <m:rPr/>
          <w:rPr>
            <w:rFonts w:hint="eastAsia" w:ascii="Cambria Math" w:hAnsi="Cambria Math" w:cs="宋体"/>
          </w:rPr>
          <m:t>l</m:t>
        </m:r>
      </m:oMath>
      <w:r>
        <w:rPr>
          <w:rFonts w:hint="eastAsia" w:ascii="宋体" w:hAnsi="宋体" w:cs="宋体"/>
        </w:rPr>
        <w:t>——过滤器工作部分长度</w:t>
      </w:r>
      <w:r>
        <w:rPr>
          <w:rFonts w:hint="eastAsia" w:ascii="宋体" w:hAnsi="宋体" w:cs="宋体"/>
          <w:spacing w:val="7"/>
        </w:rPr>
        <w:t>，m</w:t>
      </w:r>
      <w:r>
        <w:rPr>
          <w:rFonts w:hint="eastAsia" w:ascii="宋体" w:hAnsi="宋体" w:cs="宋体"/>
        </w:rPr>
        <w:t>；</w:t>
      </w:r>
    </w:p>
    <w:p w14:paraId="06BDEE5F">
      <w:pPr>
        <w:spacing w:line="240" w:lineRule="auto"/>
        <w:ind w:left="630" w:leftChars="300"/>
        <w:jc w:val="left"/>
        <w:rPr>
          <w:rFonts w:hint="eastAsia" w:ascii="宋体" w:hAnsi="宋体" w:cs="宋体"/>
          <w:spacing w:val="-2"/>
        </w:rPr>
      </w:pPr>
      <m:oMath>
        <m:sSup>
          <m:sSupPr>
            <m:ctrlPr>
              <w:rPr>
                <w:rFonts w:hint="eastAsia" w:ascii="Cambria Math" w:hAnsi="Cambria Math" w:cs="宋体"/>
                <w:i/>
                <w:iCs/>
                <w:spacing w:val="-2"/>
              </w:rPr>
            </m:ctrlPr>
          </m:sSupPr>
          <m:e>
            <m:r>
              <m:rPr/>
              <w:rPr>
                <w:rFonts w:hint="eastAsia" w:ascii="Cambria Math" w:hAnsi="Cambria Math" w:cs="宋体"/>
                <w:spacing w:val="-2"/>
              </w:rPr>
              <m:t>b</m:t>
            </m:r>
            <m:ctrlPr>
              <w:rPr>
                <w:rFonts w:hint="eastAsia" w:ascii="Cambria Math" w:hAnsi="Cambria Math" w:cs="宋体"/>
                <w:i/>
                <w:iCs/>
                <w:spacing w:val="-2"/>
              </w:rPr>
            </m:ctrlPr>
          </m:e>
          <m:sup>
            <m:r>
              <m:rPr>
                <m:sty m:val="p"/>
              </m:rPr>
              <w:rPr>
                <w:rFonts w:hint="eastAsia" w:ascii="Cambria Math" w:hAnsi="Cambria Math" w:cs="宋体"/>
                <w:spacing w:val="-2"/>
              </w:rPr>
              <m:t>''</m:t>
            </m:r>
            <m:ctrlPr>
              <w:rPr>
                <w:rFonts w:hint="eastAsia" w:ascii="Cambria Math" w:hAnsi="Cambria Math" w:cs="宋体"/>
                <w:i/>
                <w:iCs/>
                <w:spacing w:val="-2"/>
              </w:rPr>
            </m:ctrlPr>
          </m:sup>
        </m:sSup>
      </m:oMath>
      <w:r>
        <w:rPr>
          <w:rFonts w:hint="eastAsia" w:ascii="宋体" w:hAnsi="宋体" w:cs="宋体"/>
        </w:rPr>
        <w:t>——</w:t>
      </w:r>
      <w:r>
        <w:rPr>
          <w:rFonts w:hint="eastAsia" w:ascii="宋体" w:hAnsi="宋体" w:cs="宋体"/>
          <w:spacing w:val="-2"/>
        </w:rPr>
        <w:t>基坑中心至隔水边界的距离，m。</w:t>
      </w:r>
    </w:p>
    <w:p w14:paraId="7E3B0F67">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表12  承压含水层基坑涌水量计算公式与适用条件</w:t>
      </w:r>
    </w:p>
    <w:tbl>
      <w:tblPr>
        <w:tblStyle w:val="34"/>
        <w:tblW w:w="89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4"/>
        <w:gridCol w:w="3585"/>
        <w:gridCol w:w="3024"/>
        <w:gridCol w:w="1593"/>
      </w:tblGrid>
      <w:tr w14:paraId="73E6C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tcBorders>
              <w:top w:val="single" w:color="auto" w:sz="12" w:space="0"/>
              <w:bottom w:val="single" w:color="auto" w:sz="12" w:space="0"/>
            </w:tcBorders>
            <w:vAlign w:val="center"/>
          </w:tcPr>
          <w:p w14:paraId="020EB7A1">
            <w:pPr>
              <w:spacing w:line="240" w:lineRule="auto"/>
              <w:jc w:val="center"/>
              <w:rPr>
                <w:kern w:val="0"/>
                <w:sz w:val="18"/>
                <w:szCs w:val="18"/>
              </w:rPr>
            </w:pPr>
            <w:r>
              <w:rPr>
                <w:kern w:val="0"/>
                <w:sz w:val="18"/>
                <w:szCs w:val="18"/>
              </w:rPr>
              <w:t>序号</w:t>
            </w:r>
          </w:p>
        </w:tc>
        <w:tc>
          <w:tcPr>
            <w:tcW w:w="3585" w:type="dxa"/>
            <w:tcBorders>
              <w:top w:val="single" w:color="auto" w:sz="12" w:space="0"/>
              <w:bottom w:val="single" w:color="auto" w:sz="12" w:space="0"/>
            </w:tcBorders>
            <w:vAlign w:val="center"/>
          </w:tcPr>
          <w:p w14:paraId="75E861D0">
            <w:pPr>
              <w:spacing w:line="240" w:lineRule="auto"/>
              <w:jc w:val="center"/>
              <w:rPr>
                <w:kern w:val="0"/>
                <w:sz w:val="18"/>
                <w:szCs w:val="18"/>
              </w:rPr>
            </w:pPr>
            <w:r>
              <w:rPr>
                <w:kern w:val="0"/>
                <w:sz w:val="18"/>
                <w:szCs w:val="18"/>
              </w:rPr>
              <w:t>图形</w:t>
            </w:r>
          </w:p>
        </w:tc>
        <w:tc>
          <w:tcPr>
            <w:tcW w:w="3024" w:type="dxa"/>
            <w:tcBorders>
              <w:top w:val="single" w:color="auto" w:sz="12" w:space="0"/>
              <w:bottom w:val="single" w:color="auto" w:sz="12" w:space="0"/>
            </w:tcBorders>
            <w:vAlign w:val="center"/>
          </w:tcPr>
          <w:p w14:paraId="797AEFC7">
            <w:pPr>
              <w:spacing w:line="240" w:lineRule="auto"/>
              <w:jc w:val="center"/>
              <w:rPr>
                <w:kern w:val="0"/>
                <w:sz w:val="18"/>
                <w:szCs w:val="18"/>
              </w:rPr>
            </w:pPr>
            <w:r>
              <w:rPr>
                <w:kern w:val="0"/>
                <w:sz w:val="18"/>
                <w:szCs w:val="18"/>
              </w:rPr>
              <w:t>计算公式</w:t>
            </w:r>
          </w:p>
        </w:tc>
        <w:tc>
          <w:tcPr>
            <w:tcW w:w="1593" w:type="dxa"/>
            <w:tcBorders>
              <w:top w:val="single" w:color="auto" w:sz="12" w:space="0"/>
              <w:bottom w:val="single" w:color="auto" w:sz="12" w:space="0"/>
            </w:tcBorders>
            <w:vAlign w:val="center"/>
          </w:tcPr>
          <w:p w14:paraId="10B18FD3">
            <w:pPr>
              <w:spacing w:line="240" w:lineRule="auto"/>
              <w:jc w:val="center"/>
              <w:rPr>
                <w:kern w:val="0"/>
                <w:sz w:val="18"/>
                <w:szCs w:val="18"/>
              </w:rPr>
            </w:pPr>
            <w:r>
              <w:rPr>
                <w:kern w:val="0"/>
                <w:sz w:val="18"/>
                <w:szCs w:val="18"/>
              </w:rPr>
              <w:t>适用条件</w:t>
            </w:r>
          </w:p>
        </w:tc>
      </w:tr>
      <w:tr w14:paraId="0F394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tcBorders>
              <w:top w:val="single" w:color="auto" w:sz="12" w:space="0"/>
            </w:tcBorders>
            <w:vAlign w:val="center"/>
          </w:tcPr>
          <w:p w14:paraId="71A44161">
            <w:pPr>
              <w:spacing w:line="240" w:lineRule="auto"/>
              <w:jc w:val="center"/>
              <w:rPr>
                <w:kern w:val="0"/>
                <w:sz w:val="18"/>
                <w:szCs w:val="18"/>
              </w:rPr>
            </w:pPr>
            <w:r>
              <w:rPr>
                <w:kern w:val="0"/>
                <w:sz w:val="18"/>
                <w:szCs w:val="18"/>
              </w:rPr>
              <w:t>1</w:t>
            </w:r>
          </w:p>
        </w:tc>
        <w:tc>
          <w:tcPr>
            <w:tcW w:w="3585" w:type="dxa"/>
            <w:tcBorders>
              <w:top w:val="single" w:color="auto" w:sz="12" w:space="0"/>
            </w:tcBorders>
            <w:vAlign w:val="center"/>
          </w:tcPr>
          <w:p w14:paraId="1E86B864">
            <w:pPr>
              <w:pStyle w:val="254"/>
              <w:widowControl w:val="0"/>
              <w:spacing w:before="0" w:after="0" w:line="240" w:lineRule="auto"/>
              <w:ind w:left="0" w:leftChars="0" w:right="0" w:rightChars="0"/>
              <w:rPr>
                <w:rFonts w:ascii="Times New Roman" w:hAnsi="Times New Roman"/>
                <w:kern w:val="0"/>
                <w:sz w:val="18"/>
                <w:szCs w:val="18"/>
              </w:rPr>
            </w:pPr>
            <w:r>
              <w:rPr>
                <w:rFonts w:ascii="黑体" w:hAnsi="黑体" w:eastAsia="黑体" w:cs="宋体"/>
              </w:rPr>
              <w:object>
                <v:shape id="_x0000_i1033" o:spt="75" type="#_x0000_t75" style="height:72pt;width:151.45pt;" o:ole="t" filled="f" coordsize="21600,21600">
                  <v:path/>
                  <v:fill on="f" focussize="0,0"/>
                  <v:stroke/>
                  <v:imagedata r:id="rId61" croptop="9339f" cropright="14122f" cropbottom="22851f" o:title=""/>
                  <o:lock v:ext="edit" aspectratio="t"/>
                  <w10:wrap type="none"/>
                  <w10:anchorlock/>
                </v:shape>
                <o:OLEObject Type="Embed" ProgID="AcroExch.Document.11" ShapeID="_x0000_i1033" DrawAspect="Content" ObjectID="_1468075733" r:id="rId60">
                  <o:LockedField>false</o:LockedField>
                </o:OLEObject>
              </w:object>
            </w:r>
          </w:p>
        </w:tc>
        <w:tc>
          <w:tcPr>
            <w:tcW w:w="3024" w:type="dxa"/>
            <w:tcBorders>
              <w:top w:val="single" w:color="auto" w:sz="12" w:space="0"/>
            </w:tcBorders>
            <w:vAlign w:val="center"/>
          </w:tcPr>
          <w:p w14:paraId="49C8023B">
            <w:pPr>
              <w:spacing w:line="240" w:lineRule="auto"/>
              <w:ind w:firstLine="480"/>
              <w:jc w:val="center"/>
              <w:rPr>
                <w:i/>
                <w:iCs/>
                <w:kern w:val="0"/>
                <w:sz w:val="18"/>
                <w:szCs w:val="18"/>
              </w:rPr>
            </w:pPr>
            <m:oMathPara>
              <m:oMath>
                <m:r>
                  <m:rPr/>
                  <w:rPr>
                    <w:rFonts w:ascii="Cambria Math" w:hAnsi="Cambria Math"/>
                    <w:kern w:val="0"/>
                    <w:sz w:val="18"/>
                    <w:szCs w:val="18"/>
                  </w:rPr>
                  <m:t>Q=</m:t>
                </m:r>
                <m:f>
                  <m:fPr>
                    <m:ctrlPr>
                      <w:rPr>
                        <w:rFonts w:ascii="Cambria Math" w:hAnsi="Cambria Math"/>
                        <w:i/>
                        <w:iCs/>
                        <w:kern w:val="0"/>
                        <w:sz w:val="18"/>
                        <w:szCs w:val="18"/>
                      </w:rPr>
                    </m:ctrlPr>
                  </m:fPr>
                  <m:num>
                    <m:r>
                      <m:rPr/>
                      <w:rPr>
                        <w:rFonts w:ascii="Cambria Math" w:hAnsi="Cambria Math"/>
                        <w:kern w:val="0"/>
                        <w:sz w:val="18"/>
                        <w:szCs w:val="18"/>
                      </w:rPr>
                      <m:t>2.73KMS</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d>
                          <m:dPr>
                            <m:begChr m:val="（"/>
                            <m:endChr m:val="）"/>
                            <m:ctrlPr>
                              <w:rPr>
                                <w:rFonts w:ascii="Cambria Math" w:hAnsi="Cambria Math"/>
                                <w:i/>
                                <w:iCs/>
                                <w:kern w:val="0"/>
                                <w:sz w:val="18"/>
                                <w:szCs w:val="18"/>
                              </w:rPr>
                            </m:ctrlPr>
                          </m:dPr>
                          <m:e>
                            <m:r>
                              <m:rPr/>
                              <w:rPr>
                                <w:rFonts w:ascii="Cambria Math" w:hAnsi="Cambria Math"/>
                                <w:kern w:val="0"/>
                                <w:sz w:val="18"/>
                                <w:szCs w:val="18"/>
                              </w:rPr>
                              <m:t>R+</m:t>
                            </m:r>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e>
                        </m:d>
                        <m:ctrlPr>
                          <w:rPr>
                            <w:rFonts w:ascii="Cambria Math" w:hAnsi="Cambria Math"/>
                            <w:i/>
                            <w:iCs/>
                            <w:kern w:val="0"/>
                            <w:sz w:val="18"/>
                            <w:szCs w:val="18"/>
                          </w:rPr>
                        </m:ctrlPr>
                      </m:e>
                    </m:func>
                    <m:r>
                      <m:rPr/>
                      <w:rPr>
                        <w:rFonts w:ascii="Cambria Math" w:hAnsi="Cambria Math"/>
                        <w:kern w:val="0"/>
                        <w:sz w:val="18"/>
                        <w:szCs w:val="18"/>
                      </w:rPr>
                      <m:t>−</m:t>
                    </m:r>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e>
                    </m:func>
                    <m:ctrlPr>
                      <w:rPr>
                        <w:rFonts w:ascii="Cambria Math" w:hAnsi="Cambria Math"/>
                        <w:i/>
                        <w:iCs/>
                        <w:kern w:val="0"/>
                        <w:sz w:val="18"/>
                        <w:szCs w:val="18"/>
                      </w:rPr>
                    </m:ctrlPr>
                  </m:den>
                </m:f>
              </m:oMath>
            </m:oMathPara>
          </w:p>
        </w:tc>
        <w:tc>
          <w:tcPr>
            <w:tcW w:w="1593" w:type="dxa"/>
            <w:tcBorders>
              <w:top w:val="single" w:color="auto" w:sz="12" w:space="0"/>
            </w:tcBorders>
            <w:vAlign w:val="center"/>
          </w:tcPr>
          <w:p w14:paraId="5016478A">
            <w:pPr>
              <w:spacing w:line="240" w:lineRule="auto"/>
              <w:jc w:val="left"/>
              <w:rPr>
                <w:kern w:val="0"/>
                <w:sz w:val="18"/>
                <w:szCs w:val="18"/>
              </w:rPr>
            </w:pPr>
            <w:r>
              <w:rPr>
                <w:rFonts w:hint="eastAsia" w:ascii="宋体" w:hAnsi="宋体"/>
                <w:kern w:val="0"/>
                <w:sz w:val="18"/>
                <w:szCs w:val="18"/>
              </w:rPr>
              <w:t>①</w:t>
            </w:r>
            <w:r>
              <w:rPr>
                <w:kern w:val="0"/>
                <w:sz w:val="18"/>
                <w:szCs w:val="18"/>
              </w:rPr>
              <w:t>承压水完整井</w:t>
            </w:r>
            <w:r>
              <w:rPr>
                <w:rFonts w:hint="eastAsia"/>
                <w:kern w:val="0"/>
                <w:sz w:val="18"/>
                <w:szCs w:val="18"/>
              </w:rPr>
              <w:t>；</w:t>
            </w:r>
          </w:p>
          <w:p w14:paraId="41DD5DF2">
            <w:pPr>
              <w:spacing w:line="240" w:lineRule="auto"/>
              <w:jc w:val="left"/>
              <w:rPr>
                <w:kern w:val="0"/>
                <w:sz w:val="18"/>
                <w:szCs w:val="18"/>
              </w:rPr>
            </w:pPr>
            <w:r>
              <w:rPr>
                <w:rFonts w:hint="eastAsia" w:ascii="宋体" w:hAnsi="宋体"/>
                <w:kern w:val="0"/>
                <w:sz w:val="18"/>
                <w:szCs w:val="18"/>
              </w:rPr>
              <w:t>②</w:t>
            </w:r>
            <w:r>
              <w:rPr>
                <w:kern w:val="0"/>
                <w:sz w:val="18"/>
                <w:szCs w:val="18"/>
              </w:rPr>
              <w:t>均质含水层</w:t>
            </w:r>
            <w:r>
              <w:rPr>
                <w:rFonts w:hint="eastAsia"/>
                <w:kern w:val="0"/>
                <w:sz w:val="18"/>
                <w:szCs w:val="18"/>
              </w:rPr>
              <w:t>；</w:t>
            </w:r>
          </w:p>
          <w:p w14:paraId="3F7662AE">
            <w:pPr>
              <w:spacing w:line="240" w:lineRule="auto"/>
              <w:jc w:val="left"/>
              <w:rPr>
                <w:kern w:val="0"/>
                <w:sz w:val="18"/>
                <w:szCs w:val="18"/>
              </w:rPr>
            </w:pPr>
            <w:r>
              <w:rPr>
                <w:rFonts w:hint="eastAsia" w:ascii="宋体" w:hAnsi="宋体"/>
                <w:kern w:val="0"/>
                <w:sz w:val="18"/>
                <w:szCs w:val="18"/>
              </w:rPr>
              <w:t>③</w:t>
            </w:r>
            <w:r>
              <w:rPr>
                <w:kern w:val="0"/>
                <w:sz w:val="18"/>
                <w:szCs w:val="18"/>
              </w:rPr>
              <w:t>基坑远离边界</w:t>
            </w:r>
            <w:r>
              <w:rPr>
                <w:rFonts w:hint="eastAsia"/>
                <w:kern w:val="0"/>
                <w:sz w:val="18"/>
                <w:szCs w:val="18"/>
              </w:rPr>
              <w:t>。</w:t>
            </w:r>
          </w:p>
        </w:tc>
      </w:tr>
      <w:tr w14:paraId="25E47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vAlign w:val="center"/>
          </w:tcPr>
          <w:p w14:paraId="7B294333">
            <w:pPr>
              <w:spacing w:line="240" w:lineRule="auto"/>
              <w:jc w:val="center"/>
              <w:rPr>
                <w:kern w:val="0"/>
                <w:sz w:val="18"/>
                <w:szCs w:val="18"/>
              </w:rPr>
            </w:pPr>
            <w:r>
              <w:rPr>
                <w:kern w:val="0"/>
                <w:sz w:val="18"/>
                <w:szCs w:val="18"/>
              </w:rPr>
              <w:t>2</w:t>
            </w:r>
          </w:p>
        </w:tc>
        <w:tc>
          <w:tcPr>
            <w:tcW w:w="3585" w:type="dxa"/>
            <w:vAlign w:val="center"/>
          </w:tcPr>
          <w:p w14:paraId="70F6C2CF">
            <w:pPr>
              <w:pStyle w:val="254"/>
              <w:widowControl w:val="0"/>
              <w:spacing w:before="0" w:after="0" w:line="240" w:lineRule="auto"/>
              <w:ind w:left="0" w:leftChars="0" w:right="0" w:rightChars="0"/>
              <w:rPr>
                <w:rFonts w:ascii="Times New Roman" w:hAnsi="Times New Roman"/>
                <w:kern w:val="0"/>
                <w:sz w:val="18"/>
                <w:szCs w:val="18"/>
              </w:rPr>
            </w:pPr>
            <w:r>
              <w:rPr>
                <w:rFonts w:ascii="黑体" w:hAnsi="黑体" w:eastAsia="黑体" w:cs="宋体"/>
              </w:rPr>
              <w:object>
                <v:shape id="_x0000_i1034" o:spt="75" type="#_x0000_t75" style="height:72pt;width:157.85pt;" o:ole="t" filled="f" coordsize="21600,21600">
                  <v:path/>
                  <v:fill on="f" focussize="0,0"/>
                  <v:stroke/>
                  <v:imagedata r:id="rId63" croptop="8317f" cropright="13429f" cropbottom="22897f" o:title=""/>
                  <o:lock v:ext="edit" aspectratio="t"/>
                  <w10:wrap type="none"/>
                  <w10:anchorlock/>
                </v:shape>
                <o:OLEObject Type="Embed" ProgID="AcroExch.Document.11" ShapeID="_x0000_i1034" DrawAspect="Content" ObjectID="_1468075734" r:id="rId62">
                  <o:LockedField>false</o:LockedField>
                </o:OLEObject>
              </w:object>
            </w:r>
          </w:p>
        </w:tc>
        <w:tc>
          <w:tcPr>
            <w:tcW w:w="3024" w:type="dxa"/>
            <w:vAlign w:val="center"/>
          </w:tcPr>
          <w:p w14:paraId="4C9604C6">
            <w:pPr>
              <w:spacing w:line="240" w:lineRule="auto"/>
              <w:ind w:firstLine="480"/>
              <w:jc w:val="center"/>
              <w:rPr>
                <w:i/>
                <w:iCs/>
                <w:kern w:val="0"/>
                <w:sz w:val="18"/>
                <w:szCs w:val="18"/>
              </w:rPr>
            </w:pPr>
            <m:oMathPara>
              <m:oMath>
                <m:r>
                  <m:rPr/>
                  <w:rPr>
                    <w:rFonts w:ascii="Cambria Math" w:hAnsi="Cambria Math"/>
                    <w:kern w:val="0"/>
                    <w:sz w:val="18"/>
                    <w:szCs w:val="18"/>
                  </w:rPr>
                  <m:t>Q=</m:t>
                </m:r>
                <m:f>
                  <m:fPr>
                    <m:ctrlPr>
                      <w:rPr>
                        <w:rFonts w:ascii="Cambria Math" w:hAnsi="Cambria Math"/>
                        <w:i/>
                        <w:iCs/>
                        <w:kern w:val="0"/>
                        <w:sz w:val="18"/>
                        <w:szCs w:val="18"/>
                      </w:rPr>
                    </m:ctrlPr>
                  </m:fPr>
                  <m:num>
                    <m:r>
                      <m:rPr/>
                      <w:rPr>
                        <w:rFonts w:ascii="Cambria Math" w:hAnsi="Cambria Math"/>
                        <w:kern w:val="0"/>
                        <w:sz w:val="18"/>
                        <w:szCs w:val="18"/>
                      </w:rPr>
                      <m:t>2.73KMS</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r>
                          <m:rPr/>
                          <w:rPr>
                            <w:rFonts w:ascii="Cambria Math" w:hAnsi="Cambria Math"/>
                            <w:kern w:val="0"/>
                            <w:sz w:val="18"/>
                            <w:szCs w:val="18"/>
                          </w:rPr>
                          <m:t>2b</m:t>
                        </m:r>
                        <m:ctrlPr>
                          <w:rPr>
                            <w:rFonts w:ascii="Cambria Math" w:hAnsi="Cambria Math"/>
                            <w:i/>
                            <w:iCs/>
                            <w:kern w:val="0"/>
                            <w:sz w:val="18"/>
                            <w:szCs w:val="18"/>
                          </w:rPr>
                        </m:ctrlPr>
                      </m:e>
                    </m:func>
                    <m:r>
                      <m:rPr/>
                      <w:rPr>
                        <w:rFonts w:ascii="Cambria Math" w:hAnsi="Cambria Math"/>
                        <w:kern w:val="0"/>
                        <w:sz w:val="18"/>
                        <w:szCs w:val="18"/>
                      </w:rPr>
                      <m:t>−</m:t>
                    </m:r>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e>
                    </m:func>
                    <m:ctrlPr>
                      <w:rPr>
                        <w:rFonts w:ascii="Cambria Math" w:hAnsi="Cambria Math"/>
                        <w:i/>
                        <w:iCs/>
                        <w:kern w:val="0"/>
                        <w:sz w:val="18"/>
                        <w:szCs w:val="18"/>
                      </w:rPr>
                    </m:ctrlPr>
                  </m:den>
                </m:f>
              </m:oMath>
            </m:oMathPara>
          </w:p>
        </w:tc>
        <w:tc>
          <w:tcPr>
            <w:tcW w:w="1593" w:type="dxa"/>
            <w:vAlign w:val="center"/>
          </w:tcPr>
          <w:p w14:paraId="1F215B08">
            <w:pPr>
              <w:spacing w:line="240" w:lineRule="auto"/>
              <w:jc w:val="left"/>
              <w:rPr>
                <w:kern w:val="0"/>
                <w:sz w:val="18"/>
                <w:szCs w:val="18"/>
              </w:rPr>
            </w:pPr>
            <w:r>
              <w:rPr>
                <w:rFonts w:hint="eastAsia" w:ascii="宋体" w:hAnsi="宋体"/>
                <w:kern w:val="0"/>
                <w:sz w:val="18"/>
                <w:szCs w:val="18"/>
              </w:rPr>
              <w:t>①②</w:t>
            </w:r>
            <w:r>
              <w:rPr>
                <w:rFonts w:hint="eastAsia"/>
                <w:kern w:val="0"/>
                <w:sz w:val="18"/>
                <w:szCs w:val="18"/>
              </w:rPr>
              <w:t>条</w:t>
            </w:r>
            <w:r>
              <w:rPr>
                <w:kern w:val="0"/>
                <w:sz w:val="18"/>
                <w:szCs w:val="18"/>
              </w:rPr>
              <w:t>同上；</w:t>
            </w:r>
          </w:p>
          <w:p w14:paraId="4846C86E">
            <w:pPr>
              <w:spacing w:line="240" w:lineRule="auto"/>
              <w:jc w:val="left"/>
              <w:rPr>
                <w:kern w:val="0"/>
                <w:sz w:val="18"/>
                <w:szCs w:val="18"/>
              </w:rPr>
            </w:pPr>
            <w:r>
              <w:rPr>
                <w:rFonts w:hint="eastAsia" w:ascii="宋体" w:hAnsi="宋体"/>
                <w:kern w:val="0"/>
                <w:sz w:val="18"/>
                <w:szCs w:val="18"/>
              </w:rPr>
              <w:t>③</w:t>
            </w:r>
            <w:r>
              <w:rPr>
                <w:kern w:val="0"/>
                <w:sz w:val="18"/>
                <w:szCs w:val="18"/>
              </w:rPr>
              <w:t>基坑位于河岸旁；</w:t>
            </w:r>
          </w:p>
          <w:p w14:paraId="093622E4">
            <w:pPr>
              <w:spacing w:line="240" w:lineRule="auto"/>
              <w:jc w:val="left"/>
              <w:rPr>
                <w:kern w:val="0"/>
                <w:sz w:val="18"/>
                <w:szCs w:val="18"/>
              </w:rPr>
            </w:pPr>
            <w:r>
              <w:rPr>
                <w:rFonts w:hint="eastAsia" w:ascii="宋体" w:hAnsi="宋体"/>
                <w:kern w:val="0"/>
                <w:sz w:val="18"/>
                <w:szCs w:val="18"/>
              </w:rPr>
              <w:t>④</w:t>
            </w:r>
            <m:oMath>
              <m:r>
                <m:rPr>
                  <m:sty m:val="p"/>
                </m:rPr>
                <w:rPr>
                  <w:rFonts w:ascii="Cambria Math" w:hAnsi="Cambria Math"/>
                  <w:kern w:val="0"/>
                  <w:sz w:val="18"/>
                  <w:szCs w:val="18"/>
                </w:rPr>
                <m:t>b</m:t>
              </m:r>
              <m:r>
                <m:rPr/>
                <w:rPr>
                  <w:rFonts w:ascii="Cambria Math" w:hAnsi="Cambria Math"/>
                  <w:kern w:val="0"/>
                  <w:sz w:val="18"/>
                  <w:szCs w:val="18"/>
                </w:rPr>
                <m:t>&lt;0.5</m:t>
              </m:r>
              <m:r>
                <m:rPr>
                  <m:sty m:val="p"/>
                </m:rPr>
                <w:rPr>
                  <w:rFonts w:ascii="Cambria Math" w:hAnsi="Cambria Math"/>
                  <w:kern w:val="0"/>
                  <w:sz w:val="18"/>
                  <w:szCs w:val="18"/>
                </w:rPr>
                <m:t>R</m:t>
              </m:r>
            </m:oMath>
            <w:r>
              <w:rPr>
                <w:rFonts w:hint="eastAsia" w:hAnsi="Cambria Math"/>
                <w:kern w:val="0"/>
                <w:sz w:val="18"/>
                <w:szCs w:val="18"/>
              </w:rPr>
              <w:t>。</w:t>
            </w:r>
          </w:p>
        </w:tc>
      </w:tr>
      <w:tr w14:paraId="41104C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vAlign w:val="center"/>
          </w:tcPr>
          <w:p w14:paraId="35C2FCC6">
            <w:pPr>
              <w:spacing w:line="240" w:lineRule="auto"/>
              <w:jc w:val="center"/>
              <w:rPr>
                <w:iCs/>
                <w:kern w:val="0"/>
                <w:sz w:val="18"/>
                <w:szCs w:val="18"/>
              </w:rPr>
            </w:pPr>
            <w:r>
              <w:rPr>
                <w:iCs/>
                <w:kern w:val="0"/>
                <w:sz w:val="18"/>
                <w:szCs w:val="18"/>
              </w:rPr>
              <w:t>3</w:t>
            </w:r>
          </w:p>
        </w:tc>
        <w:tc>
          <w:tcPr>
            <w:tcW w:w="3585" w:type="dxa"/>
            <w:vAlign w:val="center"/>
          </w:tcPr>
          <w:p w14:paraId="037971DD">
            <w:pPr>
              <w:pStyle w:val="254"/>
              <w:widowControl w:val="0"/>
              <w:spacing w:before="0" w:after="0" w:line="240" w:lineRule="auto"/>
              <w:ind w:left="0" w:leftChars="0" w:right="0" w:rightChars="0"/>
              <w:rPr>
                <w:rFonts w:ascii="Times New Roman" w:hAnsi="Times New Roman"/>
                <w:iCs/>
                <w:kern w:val="0"/>
                <w:sz w:val="18"/>
                <w:szCs w:val="18"/>
              </w:rPr>
            </w:pPr>
            <w:r>
              <w:rPr>
                <w:rFonts w:ascii="黑体" w:hAnsi="黑体" w:eastAsia="黑体" w:cs="宋体"/>
                <w:iCs/>
              </w:rPr>
              <w:object>
                <v:shape id="_x0000_i1035" o:spt="75" type="#_x0000_t75" style="height:72pt;width:157.85pt;" o:ole="t" filled="f" coordsize="21600,21600">
                  <v:path/>
                  <v:fill on="f" focussize="0,0"/>
                  <v:stroke/>
                  <v:imagedata r:id="rId65" croptop="9210f" cropright="14347f" cropbottom="22294f" o:title=""/>
                  <o:lock v:ext="edit" aspectratio="t"/>
                  <w10:wrap type="none"/>
                  <w10:anchorlock/>
                </v:shape>
                <o:OLEObject Type="Embed" ProgID="AcroExch.Document.11" ShapeID="_x0000_i1035" DrawAspect="Content" ObjectID="_1468075735" r:id="rId64">
                  <o:LockedField>false</o:LockedField>
                </o:OLEObject>
              </w:object>
            </w:r>
          </w:p>
        </w:tc>
        <w:tc>
          <w:tcPr>
            <w:tcW w:w="3024" w:type="dxa"/>
            <w:vAlign w:val="center"/>
          </w:tcPr>
          <w:p w14:paraId="47E9DA83">
            <w:pPr>
              <w:spacing w:line="240" w:lineRule="auto"/>
              <w:ind w:firstLine="480"/>
              <w:jc w:val="center"/>
              <w:rPr>
                <w:i/>
                <w:iCs/>
                <w:kern w:val="0"/>
                <w:sz w:val="18"/>
                <w:szCs w:val="18"/>
              </w:rPr>
            </w:pPr>
            <m:oMathPara>
              <m:oMath>
                <m:r>
                  <m:rPr/>
                  <w:rPr>
                    <w:rFonts w:ascii="Cambria Math" w:hAnsi="Cambria Math"/>
                    <w:kern w:val="0"/>
                    <w:sz w:val="18"/>
                    <w:szCs w:val="18"/>
                  </w:rPr>
                  <m:t>Q=</m:t>
                </m:r>
                <m:f>
                  <m:fPr>
                    <m:ctrlPr>
                      <w:rPr>
                        <w:rFonts w:ascii="Cambria Math" w:hAnsi="Cambria Math"/>
                        <w:i/>
                        <w:iCs/>
                        <w:kern w:val="0"/>
                        <w:sz w:val="18"/>
                        <w:szCs w:val="18"/>
                      </w:rPr>
                    </m:ctrlPr>
                  </m:fPr>
                  <m:num>
                    <m:r>
                      <m:rPr/>
                      <w:rPr>
                        <w:rFonts w:ascii="Cambria Math" w:hAnsi="Cambria Math"/>
                        <w:kern w:val="0"/>
                        <w:sz w:val="18"/>
                        <w:szCs w:val="18"/>
                      </w:rPr>
                      <m:t>2.73KMS</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d>
                          <m:dPr>
                            <m:begChr m:val="["/>
                            <m:endChr m:val="]"/>
                            <m:ctrlPr>
                              <w:rPr>
                                <w:rFonts w:ascii="Cambria Math" w:hAnsi="Cambria Math"/>
                                <w:i/>
                                <w:iCs/>
                                <w:kern w:val="0"/>
                                <w:sz w:val="18"/>
                                <w:szCs w:val="18"/>
                              </w:rPr>
                            </m:ctrlPr>
                          </m:dPr>
                          <m:e>
                            <m:f>
                              <m:fPr>
                                <m:ctrlPr>
                                  <w:rPr>
                                    <w:rFonts w:ascii="Cambria Math" w:hAnsi="Cambria Math"/>
                                    <w:i/>
                                    <w:iCs/>
                                    <w:kern w:val="0"/>
                                    <w:sz w:val="18"/>
                                    <w:szCs w:val="18"/>
                                  </w:rPr>
                                </m:ctrlPr>
                              </m:fPr>
                              <m:num>
                                <m:r>
                                  <m:rPr/>
                                  <w:rPr>
                                    <w:rFonts w:ascii="Cambria Math" w:hAnsi="Cambria Math"/>
                                    <w:kern w:val="0"/>
                                    <w:sz w:val="18"/>
                                    <w:szCs w:val="18"/>
                                  </w:rPr>
                                  <m:t>2</m:t>
                                </m:r>
                                <m:sSup>
                                  <m:sSupPr>
                                    <m:ctrlPr>
                                      <w:rPr>
                                        <w:rFonts w:ascii="Cambria Math" w:hAnsi="Cambria Math"/>
                                        <w:i/>
                                        <w:iCs/>
                                        <w:kern w:val="0"/>
                                        <w:sz w:val="18"/>
                                        <w:szCs w:val="18"/>
                                      </w:rPr>
                                    </m:ctrlPr>
                                  </m:sSupPr>
                                  <m:e>
                                    <m:r>
                                      <m:rPr/>
                                      <w:rPr>
                                        <w:rFonts w:ascii="Cambria Math" w:hAnsi="Cambria Math"/>
                                        <w:kern w:val="0"/>
                                        <w:sz w:val="18"/>
                                        <w:szCs w:val="18"/>
                                      </w:rPr>
                                      <m:t>b</m:t>
                                    </m:r>
                                    <m:ctrlPr>
                                      <w:rPr>
                                        <w:rFonts w:ascii="Cambria Math" w:hAnsi="Cambria Math"/>
                                        <w:i/>
                                        <w:iCs/>
                                        <w:kern w:val="0"/>
                                        <w:sz w:val="18"/>
                                        <w:szCs w:val="18"/>
                                      </w:rPr>
                                    </m:ctrlPr>
                                  </m:e>
                                  <m:sup>
                                    <m:r>
                                      <m:rPr/>
                                      <w:rPr>
                                        <w:rFonts w:ascii="Cambria Math" w:hAnsi="Cambria Math"/>
                                        <w:kern w:val="0"/>
                                        <w:sz w:val="18"/>
                                        <w:szCs w:val="18"/>
                                      </w:rPr>
                                      <m:t>'</m:t>
                                    </m:r>
                                    <m:ctrlPr>
                                      <w:rPr>
                                        <w:rFonts w:ascii="Cambria Math" w:hAnsi="Cambria Math"/>
                                        <w:i/>
                                        <w:iCs/>
                                        <w:kern w:val="0"/>
                                        <w:sz w:val="18"/>
                                        <w:szCs w:val="18"/>
                                      </w:rPr>
                                    </m:ctrlPr>
                                  </m:sup>
                                </m:sSup>
                                <m:ctrlPr>
                                  <w:rPr>
                                    <w:rFonts w:ascii="Cambria Math" w:hAnsi="Cambria Math"/>
                                    <w:i/>
                                    <w:iCs/>
                                    <w:kern w:val="0"/>
                                    <w:sz w:val="18"/>
                                    <w:szCs w:val="18"/>
                                  </w:rPr>
                                </m:ctrlPr>
                              </m:num>
                              <m:den>
                                <m:r>
                                  <m:rPr>
                                    <m:sty m:val="p"/>
                                  </m:rPr>
                                  <w:rPr>
                                    <w:rFonts w:ascii="Cambria Math" w:hAnsi="Cambria Math"/>
                                    <w:kern w:val="0"/>
                                    <w:sz w:val="18"/>
                                    <w:szCs w:val="18"/>
                                  </w:rPr>
                                  <m:t>π</m:t>
                                </m:r>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func>
                              <m:funcPr>
                                <m:ctrlPr>
                                  <w:rPr>
                                    <w:rFonts w:ascii="Cambria Math" w:hAnsi="Cambria Math"/>
                                    <w:i/>
                                    <w:iCs/>
                                    <w:kern w:val="0"/>
                                    <w:sz w:val="18"/>
                                    <w:szCs w:val="18"/>
                                  </w:rPr>
                                </m:ctrlPr>
                              </m:funcPr>
                              <m:fName>
                                <m:r>
                                  <m:rPr>
                                    <m:sty m:val="p"/>
                                  </m:rPr>
                                  <w:rPr>
                                    <w:rFonts w:ascii="Cambria Math" w:hAnsi="Cambria Math"/>
                                    <w:kern w:val="0"/>
                                    <w:sz w:val="18"/>
                                    <w:szCs w:val="18"/>
                                  </w:rPr>
                                  <m:t>cos</m:t>
                                </m:r>
                                <m:ctrlPr>
                                  <w:rPr>
                                    <w:rFonts w:ascii="Cambria Math" w:hAnsi="Cambria Math"/>
                                    <w:i/>
                                    <w:iCs/>
                                    <w:kern w:val="0"/>
                                    <w:sz w:val="18"/>
                                    <w:szCs w:val="18"/>
                                  </w:rPr>
                                </m:ctrlPr>
                              </m:fName>
                              <m:e>
                                <m:f>
                                  <m:fPr>
                                    <m:ctrlPr>
                                      <w:rPr>
                                        <w:rFonts w:ascii="Cambria Math" w:hAnsi="Cambria Math"/>
                                        <w:i/>
                                        <w:iCs/>
                                        <w:kern w:val="0"/>
                                        <w:sz w:val="18"/>
                                        <w:szCs w:val="18"/>
                                      </w:rPr>
                                    </m:ctrlPr>
                                  </m:fPr>
                                  <m:num>
                                    <m:r>
                                      <m:rPr>
                                        <m:sty m:val="p"/>
                                      </m:rPr>
                                      <w:rPr>
                                        <w:rFonts w:ascii="Cambria Math" w:hAnsi="Cambria Math"/>
                                        <w:kern w:val="0"/>
                                        <w:sz w:val="18"/>
                                        <w:szCs w:val="18"/>
                                      </w:rPr>
                                      <m:t>π</m:t>
                                    </m:r>
                                    <m:d>
                                      <m:dPr>
                                        <m:ctrlPr>
                                          <w:rPr>
                                            <w:rFonts w:ascii="Cambria Math" w:hAnsi="Cambria Math"/>
                                            <w:i/>
                                            <w:iCs/>
                                            <w:kern w:val="0"/>
                                            <w:sz w:val="18"/>
                                            <w:szCs w:val="18"/>
                                          </w:rPr>
                                        </m:ctrlPr>
                                      </m:dPr>
                                      <m:e>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2</m:t>
                                            </m:r>
                                            <m:ctrlPr>
                                              <w:rPr>
                                                <w:rFonts w:ascii="Cambria Math" w:hAnsi="Cambria Math"/>
                                                <w:i/>
                                                <w:iCs/>
                                                <w:kern w:val="0"/>
                                                <w:sz w:val="18"/>
                                                <w:szCs w:val="18"/>
                                              </w:rPr>
                                            </m:ctrlPr>
                                          </m:sub>
                                        </m:sSub>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1</m:t>
                                            </m:r>
                                            <m:ctrlPr>
                                              <w:rPr>
                                                <w:rFonts w:ascii="Cambria Math" w:hAnsi="Cambria Math"/>
                                                <w:i/>
                                                <w:iCs/>
                                                <w:kern w:val="0"/>
                                                <w:sz w:val="18"/>
                                                <w:szCs w:val="18"/>
                                              </w:rPr>
                                            </m:ctrlPr>
                                          </m:sub>
                                        </m:sSub>
                                        <m:ctrlPr>
                                          <w:rPr>
                                            <w:rFonts w:ascii="Cambria Math" w:hAnsi="Cambria Math"/>
                                            <w:i/>
                                            <w:iCs/>
                                            <w:kern w:val="0"/>
                                            <w:sz w:val="18"/>
                                            <w:szCs w:val="18"/>
                                          </w:rPr>
                                        </m:ctrlPr>
                                      </m:e>
                                    </m:d>
                                    <m:ctrlPr>
                                      <w:rPr>
                                        <w:rFonts w:ascii="Cambria Math" w:hAnsi="Cambria Math"/>
                                        <w:i/>
                                        <w:iCs/>
                                        <w:kern w:val="0"/>
                                        <w:sz w:val="18"/>
                                        <w:szCs w:val="18"/>
                                      </w:rPr>
                                    </m:ctrlPr>
                                  </m:num>
                                  <m:den>
                                    <m:r>
                                      <m:rPr/>
                                      <w:rPr>
                                        <w:rFonts w:ascii="Cambria Math" w:hAnsi="Cambria Math"/>
                                        <w:kern w:val="0"/>
                                        <w:sz w:val="18"/>
                                        <w:szCs w:val="18"/>
                                      </w:rPr>
                                      <m:t>2</m:t>
                                    </m:r>
                                    <m:sSup>
                                      <m:sSupPr>
                                        <m:ctrlPr>
                                          <w:rPr>
                                            <w:rFonts w:ascii="Cambria Math" w:hAnsi="Cambria Math"/>
                                            <w:i/>
                                            <w:iCs/>
                                            <w:kern w:val="0"/>
                                            <w:sz w:val="18"/>
                                            <w:szCs w:val="18"/>
                                          </w:rPr>
                                        </m:ctrlPr>
                                      </m:sSupPr>
                                      <m:e>
                                        <m:r>
                                          <m:rPr/>
                                          <w:rPr>
                                            <w:rFonts w:ascii="Cambria Math" w:hAnsi="Cambria Math"/>
                                            <w:kern w:val="0"/>
                                            <w:sz w:val="18"/>
                                            <w:szCs w:val="18"/>
                                          </w:rPr>
                                          <m:t>b</m:t>
                                        </m:r>
                                        <m:ctrlPr>
                                          <w:rPr>
                                            <w:rFonts w:ascii="Cambria Math" w:hAnsi="Cambria Math"/>
                                            <w:i/>
                                            <w:iCs/>
                                            <w:kern w:val="0"/>
                                            <w:sz w:val="18"/>
                                            <w:szCs w:val="18"/>
                                          </w:rPr>
                                        </m:ctrlPr>
                                      </m:e>
                                      <m:sup>
                                        <m:r>
                                          <m:rPr/>
                                          <w:rPr>
                                            <w:rFonts w:ascii="Cambria Math" w:hAnsi="Cambria Math"/>
                                            <w:kern w:val="0"/>
                                            <w:sz w:val="18"/>
                                            <w:szCs w:val="18"/>
                                          </w:rPr>
                                          <m:t>'</m:t>
                                        </m:r>
                                        <m:ctrlPr>
                                          <w:rPr>
                                            <w:rFonts w:ascii="Cambria Math" w:hAnsi="Cambria Math"/>
                                            <w:i/>
                                            <w:iCs/>
                                            <w:kern w:val="0"/>
                                            <w:sz w:val="18"/>
                                            <w:szCs w:val="18"/>
                                          </w:rPr>
                                        </m:ctrlPr>
                                      </m:sup>
                                    </m:sSup>
                                    <m:ctrlPr>
                                      <w:rPr>
                                        <w:rFonts w:ascii="Cambria Math" w:hAnsi="Cambria Math"/>
                                        <w:i/>
                                        <w:iCs/>
                                        <w:kern w:val="0"/>
                                        <w:sz w:val="18"/>
                                        <w:szCs w:val="18"/>
                                      </w:rPr>
                                    </m:ctrlPr>
                                  </m:den>
                                </m:f>
                                <m:ctrlPr>
                                  <w:rPr>
                                    <w:rFonts w:ascii="Cambria Math" w:hAnsi="Cambria Math"/>
                                    <w:i/>
                                    <w:iCs/>
                                    <w:kern w:val="0"/>
                                    <w:sz w:val="18"/>
                                    <w:szCs w:val="18"/>
                                  </w:rPr>
                                </m:ctrlPr>
                              </m:e>
                            </m:func>
                            <m:ctrlPr>
                              <w:rPr>
                                <w:rFonts w:ascii="Cambria Math" w:hAnsi="Cambria Math"/>
                                <w:i/>
                                <w:iCs/>
                                <w:kern w:val="0"/>
                                <w:sz w:val="18"/>
                                <w:szCs w:val="18"/>
                              </w:rPr>
                            </m:ctrlPr>
                          </m:e>
                        </m:d>
                        <m:ctrlPr>
                          <w:rPr>
                            <w:rFonts w:ascii="Cambria Math" w:hAnsi="Cambria Math"/>
                            <w:i/>
                            <w:iCs/>
                            <w:kern w:val="0"/>
                            <w:sz w:val="18"/>
                            <w:szCs w:val="18"/>
                          </w:rPr>
                        </m:ctrlPr>
                      </m:e>
                    </m:func>
                    <m:ctrlPr>
                      <w:rPr>
                        <w:rFonts w:ascii="Cambria Math" w:hAnsi="Cambria Math"/>
                        <w:i/>
                        <w:iCs/>
                        <w:kern w:val="0"/>
                        <w:sz w:val="18"/>
                        <w:szCs w:val="18"/>
                      </w:rPr>
                    </m:ctrlPr>
                  </m:den>
                </m:f>
              </m:oMath>
            </m:oMathPara>
          </w:p>
          <w:p w14:paraId="5860E44F">
            <w:pPr>
              <w:spacing w:line="240" w:lineRule="auto"/>
              <w:ind w:firstLine="480"/>
              <w:jc w:val="center"/>
              <w:rPr>
                <w:i/>
                <w:iCs/>
                <w:kern w:val="0"/>
                <w:sz w:val="18"/>
                <w:szCs w:val="18"/>
              </w:rPr>
            </w:pPr>
            <m:oMathPara>
              <m:oMath>
                <m:sSup>
                  <m:sSupPr>
                    <m:ctrlPr>
                      <w:rPr>
                        <w:rFonts w:ascii="Cambria Math" w:hAnsi="Cambria Math"/>
                        <w:i/>
                        <w:iCs/>
                        <w:kern w:val="0"/>
                        <w:sz w:val="18"/>
                        <w:szCs w:val="18"/>
                      </w:rPr>
                    </m:ctrlPr>
                  </m:sSupPr>
                  <m:e>
                    <m:r>
                      <m:rPr/>
                      <w:rPr>
                        <w:rFonts w:ascii="Cambria Math" w:hAnsi="Cambria Math"/>
                        <w:kern w:val="0"/>
                        <w:sz w:val="18"/>
                        <w:szCs w:val="18"/>
                      </w:rPr>
                      <m:t>b</m:t>
                    </m:r>
                    <m:ctrlPr>
                      <w:rPr>
                        <w:rFonts w:ascii="Cambria Math" w:hAnsi="Cambria Math"/>
                        <w:i/>
                        <w:iCs/>
                        <w:kern w:val="0"/>
                        <w:sz w:val="18"/>
                        <w:szCs w:val="18"/>
                      </w:rPr>
                    </m:ctrlPr>
                  </m:e>
                  <m:sup>
                    <m:r>
                      <m:rPr/>
                      <w:rPr>
                        <w:rFonts w:ascii="Cambria Math" w:hAnsi="Cambria Math"/>
                        <w:kern w:val="0"/>
                        <w:sz w:val="18"/>
                        <w:szCs w:val="18"/>
                      </w:rPr>
                      <m:t>'</m:t>
                    </m:r>
                    <m:ctrlPr>
                      <w:rPr>
                        <w:rFonts w:ascii="Cambria Math" w:hAnsi="Cambria Math"/>
                        <w:i/>
                        <w:iCs/>
                        <w:kern w:val="0"/>
                        <w:sz w:val="18"/>
                        <w:szCs w:val="18"/>
                      </w:rPr>
                    </m:ctrlPr>
                  </m:sup>
                </m:sSup>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1</m:t>
                    </m:r>
                    <m:ctrlPr>
                      <w:rPr>
                        <w:rFonts w:ascii="Cambria Math" w:hAnsi="Cambria Math"/>
                        <w:i/>
                        <w:iCs/>
                        <w:kern w:val="0"/>
                        <w:sz w:val="18"/>
                        <w:szCs w:val="18"/>
                      </w:rPr>
                    </m:ctrlPr>
                  </m:sub>
                </m:sSub>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b</m:t>
                    </m:r>
                    <m:ctrlPr>
                      <w:rPr>
                        <w:rFonts w:ascii="Cambria Math" w:hAnsi="Cambria Math"/>
                        <w:i/>
                        <w:iCs/>
                        <w:kern w:val="0"/>
                        <w:sz w:val="18"/>
                        <w:szCs w:val="18"/>
                      </w:rPr>
                    </m:ctrlPr>
                  </m:e>
                  <m:sub>
                    <m:r>
                      <m:rPr/>
                      <w:rPr>
                        <w:rFonts w:ascii="Cambria Math" w:hAnsi="Cambria Math"/>
                        <w:kern w:val="0"/>
                        <w:sz w:val="18"/>
                        <w:szCs w:val="18"/>
                      </w:rPr>
                      <m:t>2</m:t>
                    </m:r>
                    <m:ctrlPr>
                      <w:rPr>
                        <w:rFonts w:ascii="Cambria Math" w:hAnsi="Cambria Math"/>
                        <w:i/>
                        <w:iCs/>
                        <w:kern w:val="0"/>
                        <w:sz w:val="18"/>
                        <w:szCs w:val="18"/>
                      </w:rPr>
                    </m:ctrlPr>
                  </m:sub>
                </m:sSub>
              </m:oMath>
            </m:oMathPara>
          </w:p>
        </w:tc>
        <w:tc>
          <w:tcPr>
            <w:tcW w:w="1593" w:type="dxa"/>
            <w:vAlign w:val="center"/>
          </w:tcPr>
          <w:p w14:paraId="35CC5CDB">
            <w:pPr>
              <w:spacing w:line="240" w:lineRule="auto"/>
              <w:jc w:val="left"/>
              <w:rPr>
                <w:iCs/>
                <w:kern w:val="0"/>
                <w:sz w:val="18"/>
                <w:szCs w:val="18"/>
              </w:rPr>
            </w:pPr>
            <w:r>
              <w:rPr>
                <w:rFonts w:hint="eastAsia" w:ascii="宋体" w:hAnsi="宋体"/>
                <w:iCs/>
                <w:kern w:val="0"/>
                <w:sz w:val="18"/>
                <w:szCs w:val="18"/>
              </w:rPr>
              <w:t>①②</w:t>
            </w:r>
            <w:r>
              <w:rPr>
                <w:rFonts w:hint="eastAsia"/>
                <w:iCs/>
                <w:kern w:val="0"/>
                <w:sz w:val="18"/>
                <w:szCs w:val="18"/>
              </w:rPr>
              <w:t>条</w:t>
            </w:r>
            <w:r>
              <w:rPr>
                <w:iCs/>
                <w:kern w:val="0"/>
                <w:sz w:val="18"/>
                <w:szCs w:val="18"/>
              </w:rPr>
              <w:t>同上；</w:t>
            </w:r>
          </w:p>
          <w:p w14:paraId="279B85C0">
            <w:pPr>
              <w:spacing w:line="240" w:lineRule="auto"/>
              <w:jc w:val="left"/>
              <w:rPr>
                <w:iCs/>
                <w:kern w:val="0"/>
                <w:sz w:val="18"/>
                <w:szCs w:val="18"/>
              </w:rPr>
            </w:pPr>
            <w:r>
              <w:rPr>
                <w:rFonts w:hint="eastAsia" w:ascii="宋体" w:hAnsi="宋体"/>
                <w:iCs/>
                <w:kern w:val="0"/>
                <w:sz w:val="18"/>
                <w:szCs w:val="18"/>
              </w:rPr>
              <w:t>③</w:t>
            </w:r>
            <w:r>
              <w:rPr>
                <w:iCs/>
                <w:kern w:val="0"/>
                <w:sz w:val="18"/>
                <w:szCs w:val="18"/>
              </w:rPr>
              <w:t>基坑位于两个地表水体之间（或位于补给区与排泄区之间）</w:t>
            </w:r>
            <w:r>
              <w:rPr>
                <w:rFonts w:hint="eastAsia"/>
                <w:iCs/>
                <w:kern w:val="0"/>
                <w:sz w:val="18"/>
                <w:szCs w:val="18"/>
              </w:rPr>
              <w:t>。</w:t>
            </w:r>
          </w:p>
        </w:tc>
      </w:tr>
      <w:tr w14:paraId="6FD9B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vAlign w:val="center"/>
          </w:tcPr>
          <w:p w14:paraId="514507C4">
            <w:pPr>
              <w:spacing w:line="240" w:lineRule="auto"/>
              <w:jc w:val="center"/>
              <w:rPr>
                <w:kern w:val="0"/>
                <w:sz w:val="18"/>
                <w:szCs w:val="18"/>
              </w:rPr>
            </w:pPr>
            <w:r>
              <w:rPr>
                <w:kern w:val="0"/>
                <w:sz w:val="18"/>
                <w:szCs w:val="18"/>
              </w:rPr>
              <w:t>4</w:t>
            </w:r>
          </w:p>
        </w:tc>
        <w:tc>
          <w:tcPr>
            <w:tcW w:w="3585" w:type="dxa"/>
            <w:vAlign w:val="center"/>
          </w:tcPr>
          <w:p w14:paraId="0840DB3B">
            <w:pPr>
              <w:pStyle w:val="254"/>
              <w:widowControl w:val="0"/>
              <w:spacing w:before="0" w:after="0" w:line="240" w:lineRule="auto"/>
              <w:ind w:left="0" w:leftChars="0" w:right="0" w:rightChars="0"/>
              <w:rPr>
                <w:rFonts w:ascii="Times New Roman" w:hAnsi="Times New Roman"/>
                <w:kern w:val="0"/>
                <w:sz w:val="18"/>
                <w:szCs w:val="18"/>
              </w:rPr>
            </w:pPr>
            <w:r>
              <w:rPr>
                <w:rFonts w:ascii="黑体" w:hAnsi="黑体" w:eastAsia="黑体" w:cs="宋体"/>
              </w:rPr>
              <w:object>
                <v:shape id="_x0000_i1036" o:spt="75" type="#_x0000_t75" style="height:72pt;width:157.85pt;" o:ole="t" filled="f" coordsize="21600,21600">
                  <v:path/>
                  <v:fill on="f" focussize="0,0"/>
                  <v:stroke/>
                  <v:imagedata r:id="rId67" croptop="9446f" cropright="14156f" cropbottom="23692f" o:title=""/>
                  <o:lock v:ext="edit" aspectratio="t"/>
                  <w10:wrap type="none"/>
                  <w10:anchorlock/>
                </v:shape>
                <o:OLEObject Type="Embed" ProgID="AcroExch.Document.11" ShapeID="_x0000_i1036" DrawAspect="Content" ObjectID="_1468075736" r:id="rId66">
                  <o:LockedField>false</o:LockedField>
                </o:OLEObject>
              </w:object>
            </w:r>
          </w:p>
        </w:tc>
        <w:tc>
          <w:tcPr>
            <w:tcW w:w="3024" w:type="dxa"/>
            <w:vAlign w:val="center"/>
          </w:tcPr>
          <w:p w14:paraId="1A4DB859">
            <w:pPr>
              <w:spacing w:line="240" w:lineRule="auto"/>
              <w:ind w:left="-28" w:leftChars="-95" w:hanging="171" w:hangingChars="95"/>
              <w:jc w:val="center"/>
              <w:rPr>
                <w:i/>
                <w:iCs/>
                <w:kern w:val="0"/>
                <w:sz w:val="18"/>
                <w:szCs w:val="18"/>
              </w:rPr>
            </w:pPr>
            <m:oMathPara>
              <m:oMath>
                <m:r>
                  <m:rPr/>
                  <w:rPr>
                    <w:rFonts w:ascii="Cambria Math" w:hAnsi="Cambria Math"/>
                    <w:kern w:val="0"/>
                    <w:sz w:val="18"/>
                    <w:szCs w:val="18"/>
                  </w:rPr>
                  <m:t>Q=</m:t>
                </m:r>
                <m:f>
                  <m:fPr>
                    <m:ctrlPr>
                      <w:rPr>
                        <w:rFonts w:ascii="Cambria Math" w:hAnsi="Cambria Math"/>
                        <w:i/>
                        <w:iCs/>
                        <w:kern w:val="0"/>
                        <w:sz w:val="18"/>
                        <w:szCs w:val="18"/>
                      </w:rPr>
                    </m:ctrlPr>
                  </m:fPr>
                  <m:num>
                    <m:r>
                      <m:rPr/>
                      <w:rPr>
                        <w:rFonts w:ascii="Cambria Math" w:hAnsi="Cambria Math"/>
                        <w:kern w:val="0"/>
                        <w:sz w:val="18"/>
                        <w:szCs w:val="18"/>
                      </w:rPr>
                      <m:t>2.73KMS</m:t>
                    </m:r>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f>
                          <m:fPr>
                            <m:ctrlPr>
                              <w:rPr>
                                <w:rFonts w:ascii="Cambria Math" w:hAnsi="Cambria Math"/>
                                <w:i/>
                                <w:iCs/>
                                <w:kern w:val="0"/>
                                <w:sz w:val="18"/>
                                <w:szCs w:val="18"/>
                              </w:rPr>
                            </m:ctrlPr>
                          </m:fPr>
                          <m:num>
                            <m:r>
                              <m:rPr/>
                              <w:rPr>
                                <w:rFonts w:ascii="Cambria Math" w:hAnsi="Cambria Math"/>
                                <w:kern w:val="0"/>
                                <w:sz w:val="18"/>
                                <w:szCs w:val="18"/>
                              </w:rPr>
                              <m:t>R+</m:t>
                            </m:r>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e>
                    </m:func>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M−l</m:t>
                        </m:r>
                        <m:ctrlPr>
                          <w:rPr>
                            <w:rFonts w:ascii="Cambria Math" w:hAnsi="Cambria Math"/>
                            <w:i/>
                            <w:iCs/>
                            <w:kern w:val="0"/>
                            <w:sz w:val="18"/>
                            <w:szCs w:val="18"/>
                          </w:rPr>
                        </m:ctrlPr>
                      </m:num>
                      <m:den>
                        <m:r>
                          <m:rPr/>
                          <w:rPr>
                            <w:rFonts w:ascii="Cambria Math" w:hAnsi="Cambria Math"/>
                            <w:kern w:val="0"/>
                            <w:sz w:val="18"/>
                            <w:szCs w:val="18"/>
                          </w:rPr>
                          <m:t>l</m:t>
                        </m:r>
                        <m:ctrlPr>
                          <w:rPr>
                            <w:rFonts w:ascii="Cambria Math" w:hAnsi="Cambria Math"/>
                            <w:i/>
                            <w:iCs/>
                            <w:kern w:val="0"/>
                            <w:sz w:val="18"/>
                            <w:szCs w:val="18"/>
                          </w:rPr>
                        </m:ctrlPr>
                      </m:den>
                    </m:f>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d>
                          <m:dPr>
                            <m:begChr m:val="（"/>
                            <m:endChr m:val="）"/>
                            <m:ctrlPr>
                              <w:rPr>
                                <w:rFonts w:ascii="Cambria Math" w:hAnsi="Cambria Math"/>
                                <w:i/>
                                <w:iCs/>
                                <w:kern w:val="0"/>
                                <w:sz w:val="18"/>
                                <w:szCs w:val="18"/>
                              </w:rPr>
                            </m:ctrlPr>
                          </m:dPr>
                          <m:e>
                            <m:r>
                              <m:rPr/>
                              <w:rPr>
                                <w:rFonts w:ascii="Cambria Math" w:hAnsi="Cambria Math"/>
                                <w:kern w:val="0"/>
                                <w:sz w:val="18"/>
                                <w:szCs w:val="18"/>
                              </w:rPr>
                              <m:t>1+0.2</m:t>
                            </m:r>
                            <m:f>
                              <m:fPr>
                                <m:ctrlPr>
                                  <w:rPr>
                                    <w:rFonts w:ascii="Cambria Math" w:hAnsi="Cambria Math"/>
                                    <w:i/>
                                    <w:iCs/>
                                    <w:kern w:val="0"/>
                                    <w:sz w:val="18"/>
                                    <w:szCs w:val="18"/>
                                  </w:rPr>
                                </m:ctrlPr>
                              </m:fPr>
                              <m:num>
                                <m:r>
                                  <m:rPr/>
                                  <w:rPr>
                                    <w:rFonts w:ascii="Cambria Math" w:hAnsi="Cambria Math"/>
                                    <w:kern w:val="0"/>
                                    <w:sz w:val="18"/>
                                    <w:szCs w:val="18"/>
                                  </w:rPr>
                                  <m:t>M</m:t>
                                </m:r>
                                <m:ctrlPr>
                                  <w:rPr>
                                    <w:rFonts w:ascii="Cambria Math" w:hAnsi="Cambria Math"/>
                                    <w:i/>
                                    <w:iCs/>
                                    <w:kern w:val="0"/>
                                    <w:sz w:val="18"/>
                                    <w:szCs w:val="18"/>
                                  </w:rPr>
                                </m:ctrlPr>
                              </m:num>
                              <m:den>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den>
                            </m:f>
                            <m:ctrlPr>
                              <w:rPr>
                                <w:rFonts w:ascii="Cambria Math" w:hAnsi="Cambria Math"/>
                                <w:i/>
                                <w:iCs/>
                                <w:kern w:val="0"/>
                                <w:sz w:val="18"/>
                                <w:szCs w:val="18"/>
                              </w:rPr>
                            </m:ctrlPr>
                          </m:e>
                        </m:d>
                        <m:ctrlPr>
                          <w:rPr>
                            <w:rFonts w:ascii="Cambria Math" w:hAnsi="Cambria Math"/>
                            <w:i/>
                            <w:iCs/>
                            <w:kern w:val="0"/>
                            <w:sz w:val="18"/>
                            <w:szCs w:val="18"/>
                          </w:rPr>
                        </m:ctrlPr>
                      </m:e>
                    </m:func>
                    <m:ctrlPr>
                      <w:rPr>
                        <w:rFonts w:ascii="Cambria Math" w:hAnsi="Cambria Math"/>
                        <w:i/>
                        <w:iCs/>
                        <w:kern w:val="0"/>
                        <w:sz w:val="18"/>
                        <w:szCs w:val="18"/>
                      </w:rPr>
                    </m:ctrlPr>
                  </m:den>
                </m:f>
              </m:oMath>
            </m:oMathPara>
          </w:p>
        </w:tc>
        <w:tc>
          <w:tcPr>
            <w:tcW w:w="1593" w:type="dxa"/>
            <w:vAlign w:val="center"/>
          </w:tcPr>
          <w:p w14:paraId="52CE93E0">
            <w:pPr>
              <w:spacing w:line="240" w:lineRule="auto"/>
              <w:jc w:val="left"/>
              <w:rPr>
                <w:kern w:val="0"/>
                <w:sz w:val="18"/>
                <w:szCs w:val="18"/>
              </w:rPr>
            </w:pPr>
            <w:r>
              <w:rPr>
                <w:rFonts w:hint="eastAsia" w:ascii="宋体" w:hAnsi="宋体"/>
                <w:kern w:val="0"/>
                <w:sz w:val="18"/>
                <w:szCs w:val="18"/>
              </w:rPr>
              <w:t>①</w:t>
            </w:r>
            <w:r>
              <w:rPr>
                <w:kern w:val="0"/>
                <w:sz w:val="18"/>
                <w:szCs w:val="18"/>
              </w:rPr>
              <w:t>承压水非完整井</w:t>
            </w:r>
            <w:r>
              <w:rPr>
                <w:rFonts w:hint="eastAsia"/>
                <w:kern w:val="0"/>
                <w:sz w:val="18"/>
                <w:szCs w:val="18"/>
              </w:rPr>
              <w:t>；</w:t>
            </w:r>
          </w:p>
          <w:p w14:paraId="1F3CEDFE">
            <w:pPr>
              <w:spacing w:line="240" w:lineRule="auto"/>
              <w:jc w:val="left"/>
              <w:rPr>
                <w:kern w:val="0"/>
                <w:sz w:val="18"/>
                <w:szCs w:val="18"/>
              </w:rPr>
            </w:pPr>
            <w:r>
              <w:rPr>
                <w:rFonts w:hint="eastAsia" w:ascii="宋体" w:hAnsi="宋体"/>
                <w:kern w:val="0"/>
                <w:sz w:val="18"/>
                <w:szCs w:val="18"/>
              </w:rPr>
              <w:t>②</w:t>
            </w:r>
            <w:r>
              <w:rPr>
                <w:kern w:val="0"/>
                <w:sz w:val="18"/>
                <w:szCs w:val="18"/>
              </w:rPr>
              <w:t>均质含水层</w:t>
            </w:r>
            <w:r>
              <w:rPr>
                <w:rFonts w:hint="eastAsia"/>
                <w:kern w:val="0"/>
                <w:sz w:val="18"/>
                <w:szCs w:val="18"/>
              </w:rPr>
              <w:t>。</w:t>
            </w:r>
          </w:p>
        </w:tc>
      </w:tr>
      <w:tr w14:paraId="2A00F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94" w:type="dxa"/>
            <w:vAlign w:val="center"/>
          </w:tcPr>
          <w:p w14:paraId="5910E13D">
            <w:pPr>
              <w:spacing w:line="240" w:lineRule="auto"/>
              <w:jc w:val="center"/>
              <w:rPr>
                <w:iCs/>
                <w:kern w:val="0"/>
                <w:sz w:val="18"/>
                <w:szCs w:val="18"/>
              </w:rPr>
            </w:pPr>
            <w:r>
              <w:rPr>
                <w:iCs/>
                <w:kern w:val="0"/>
                <w:sz w:val="18"/>
                <w:szCs w:val="18"/>
              </w:rPr>
              <w:t>5</w:t>
            </w:r>
          </w:p>
        </w:tc>
        <w:tc>
          <w:tcPr>
            <w:tcW w:w="3585" w:type="dxa"/>
            <w:vAlign w:val="center"/>
          </w:tcPr>
          <w:p w14:paraId="58599C75">
            <w:pPr>
              <w:pStyle w:val="254"/>
              <w:widowControl w:val="0"/>
              <w:spacing w:before="0" w:after="0" w:line="240" w:lineRule="auto"/>
              <w:ind w:left="0" w:leftChars="0" w:right="0" w:rightChars="0"/>
              <w:rPr>
                <w:rFonts w:ascii="Times New Roman" w:hAnsi="Times New Roman"/>
                <w:iCs/>
                <w:kern w:val="0"/>
                <w:sz w:val="18"/>
                <w:szCs w:val="18"/>
              </w:rPr>
            </w:pPr>
            <w:r>
              <w:rPr>
                <w:rFonts w:ascii="黑体" w:hAnsi="黑体" w:eastAsia="黑体" w:cs="宋体"/>
                <w:iCs/>
              </w:rPr>
              <w:object>
                <v:shape id="_x0000_i1037" o:spt="75" type="#_x0000_t75" style="height:72pt;width:157.85pt;" o:ole="t" filled="f" coordsize="21600,21600">
                  <v:path/>
                  <v:fill on="f" focussize="0,0"/>
                  <v:stroke/>
                  <v:imagedata r:id="rId69" croptop="8141f" cropright="14200f" cropbottom="24551f" o:title=""/>
                  <o:lock v:ext="edit" aspectratio="t"/>
                  <w10:wrap type="none"/>
                  <w10:anchorlock/>
                </v:shape>
                <o:OLEObject Type="Embed" ProgID="AcroExch.Document.11" ShapeID="_x0000_i1037" DrawAspect="Content" ObjectID="_1468075737" r:id="rId68">
                  <o:LockedField>false</o:LockedField>
                </o:OLEObject>
              </w:object>
            </w:r>
          </w:p>
        </w:tc>
        <w:tc>
          <w:tcPr>
            <w:tcW w:w="3024" w:type="dxa"/>
            <w:vAlign w:val="center"/>
          </w:tcPr>
          <w:p w14:paraId="513AE28C">
            <w:pPr>
              <w:spacing w:line="240" w:lineRule="auto"/>
              <w:ind w:firstLine="480"/>
              <w:jc w:val="center"/>
              <w:rPr>
                <w:i/>
                <w:iCs/>
                <w:kern w:val="0"/>
                <w:sz w:val="18"/>
                <w:szCs w:val="18"/>
              </w:rPr>
            </w:pPr>
            <m:oMathPara>
              <m:oMath>
                <m:r>
                  <m:rPr/>
                  <w:rPr>
                    <w:rFonts w:ascii="Cambria Math" w:hAnsi="Cambria Math"/>
                    <w:kern w:val="0"/>
                    <w:sz w:val="18"/>
                    <w:szCs w:val="18"/>
                  </w:rPr>
                  <m:t>Q=</m:t>
                </m:r>
                <m:f>
                  <m:fPr>
                    <m:ctrlPr>
                      <w:rPr>
                        <w:rFonts w:ascii="Cambria Math" w:hAnsi="Cambria Math"/>
                        <w:i/>
                        <w:iCs/>
                        <w:kern w:val="0"/>
                        <w:sz w:val="18"/>
                        <w:szCs w:val="18"/>
                      </w:rPr>
                    </m:ctrlPr>
                  </m:fPr>
                  <m:num>
                    <m:r>
                      <m:rPr/>
                      <w:rPr>
                        <w:rFonts w:ascii="Cambria Math" w:hAnsi="Cambria Math"/>
                        <w:kern w:val="0"/>
                        <w:sz w:val="18"/>
                        <w:szCs w:val="18"/>
                      </w:rPr>
                      <m:t>1.366K</m:t>
                    </m:r>
                    <m:d>
                      <m:dPr>
                        <m:begChr m:val="["/>
                        <m:endChr m:val="]"/>
                        <m:ctrlPr>
                          <w:rPr>
                            <w:rFonts w:ascii="Cambria Math" w:hAnsi="Cambria Math"/>
                            <w:i/>
                            <w:iCs/>
                            <w:kern w:val="0"/>
                            <w:sz w:val="18"/>
                            <w:szCs w:val="18"/>
                          </w:rPr>
                        </m:ctrlPr>
                      </m:dPr>
                      <m:e>
                        <m:d>
                          <m:dPr>
                            <m:ctrlPr>
                              <w:rPr>
                                <w:rFonts w:ascii="Cambria Math" w:hAnsi="Cambria Math"/>
                                <w:i/>
                                <w:iCs/>
                                <w:kern w:val="0"/>
                                <w:sz w:val="18"/>
                                <w:szCs w:val="18"/>
                              </w:rPr>
                            </m:ctrlPr>
                          </m:dPr>
                          <m:e>
                            <m:r>
                              <m:rPr/>
                              <w:rPr>
                                <w:rFonts w:ascii="Cambria Math" w:hAnsi="Cambria Math"/>
                                <w:kern w:val="0"/>
                                <w:sz w:val="18"/>
                                <w:szCs w:val="18"/>
                              </w:rPr>
                              <m:t>2H−M</m:t>
                            </m:r>
                            <m:ctrlPr>
                              <w:rPr>
                                <w:rFonts w:ascii="Cambria Math" w:hAnsi="Cambria Math"/>
                                <w:i/>
                                <w:iCs/>
                                <w:kern w:val="0"/>
                                <w:sz w:val="18"/>
                                <w:szCs w:val="18"/>
                              </w:rPr>
                            </m:ctrlPr>
                          </m:e>
                        </m:d>
                        <m:r>
                          <m:rPr/>
                          <w:rPr>
                            <w:rFonts w:ascii="Cambria Math" w:hAnsi="Cambria Math"/>
                            <w:kern w:val="0"/>
                            <w:sz w:val="18"/>
                            <w:szCs w:val="18"/>
                          </w:rPr>
                          <m:t>M−</m:t>
                        </m:r>
                        <m:sSup>
                          <m:sSupPr>
                            <m:ctrlPr>
                              <w:rPr>
                                <w:rFonts w:ascii="Cambria Math" w:hAnsi="Cambria Math"/>
                                <w:i/>
                                <w:iCs/>
                                <w:kern w:val="0"/>
                                <w:sz w:val="18"/>
                                <w:szCs w:val="18"/>
                              </w:rPr>
                            </m:ctrlPr>
                          </m:sSupPr>
                          <m:e>
                            <m:r>
                              <m:rPr/>
                              <w:rPr>
                                <w:rFonts w:ascii="Cambria Math" w:hAnsi="Cambria Math"/>
                                <w:kern w:val="0"/>
                                <w:sz w:val="18"/>
                                <w:szCs w:val="18"/>
                              </w:rPr>
                              <m:t>h</m:t>
                            </m:r>
                            <m:ctrlPr>
                              <w:rPr>
                                <w:rFonts w:ascii="Cambria Math" w:hAnsi="Cambria Math"/>
                                <w:i/>
                                <w:iCs/>
                                <w:kern w:val="0"/>
                                <w:sz w:val="18"/>
                                <w:szCs w:val="18"/>
                              </w:rPr>
                            </m:ctrlPr>
                          </m:e>
                          <m:sup>
                            <m:r>
                              <m:rPr/>
                              <w:rPr>
                                <w:rFonts w:ascii="Cambria Math" w:hAnsi="Cambria Math"/>
                                <w:kern w:val="0"/>
                                <w:sz w:val="18"/>
                                <w:szCs w:val="18"/>
                              </w:rPr>
                              <m:t>2</m:t>
                            </m:r>
                            <m:ctrlPr>
                              <w:rPr>
                                <w:rFonts w:ascii="Cambria Math" w:hAnsi="Cambria Math"/>
                                <w:i/>
                                <w:iCs/>
                                <w:kern w:val="0"/>
                                <w:sz w:val="18"/>
                                <w:szCs w:val="18"/>
                              </w:rPr>
                            </m:ctrlPr>
                          </m:sup>
                        </m:sSup>
                        <m:ctrlPr>
                          <w:rPr>
                            <w:rFonts w:ascii="Cambria Math" w:hAnsi="Cambria Math"/>
                            <w:i/>
                            <w:iCs/>
                            <w:kern w:val="0"/>
                            <w:sz w:val="18"/>
                            <w:szCs w:val="18"/>
                          </w:rPr>
                        </m:ctrlPr>
                      </m:e>
                    </m:d>
                    <m:ctrlPr>
                      <w:rPr>
                        <w:rFonts w:ascii="Cambria Math" w:hAnsi="Cambria Math"/>
                        <w:i/>
                        <w:iCs/>
                        <w:kern w:val="0"/>
                        <w:sz w:val="18"/>
                        <w:szCs w:val="18"/>
                      </w:rPr>
                    </m:ctrlPr>
                  </m:num>
                  <m:den>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d>
                          <m:dPr>
                            <m:begChr m:val="（"/>
                            <m:endChr m:val="）"/>
                            <m:ctrlPr>
                              <w:rPr>
                                <w:rFonts w:ascii="Cambria Math" w:hAnsi="Cambria Math"/>
                                <w:i/>
                                <w:iCs/>
                                <w:kern w:val="0"/>
                                <w:sz w:val="18"/>
                                <w:szCs w:val="18"/>
                              </w:rPr>
                            </m:ctrlPr>
                          </m:dPr>
                          <m:e>
                            <m:r>
                              <m:rPr/>
                              <w:rPr>
                                <w:rFonts w:ascii="Cambria Math" w:hAnsi="Cambria Math"/>
                                <w:kern w:val="0"/>
                                <w:sz w:val="18"/>
                                <w:szCs w:val="18"/>
                              </w:rPr>
                              <m:t>R+</m:t>
                            </m:r>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e>
                        </m:d>
                        <m:ctrlPr>
                          <w:rPr>
                            <w:rFonts w:ascii="Cambria Math" w:hAnsi="Cambria Math"/>
                            <w:i/>
                            <w:iCs/>
                            <w:kern w:val="0"/>
                            <w:sz w:val="18"/>
                            <w:szCs w:val="18"/>
                          </w:rPr>
                        </m:ctrlPr>
                      </m:e>
                    </m:func>
                    <m:r>
                      <m:rPr/>
                      <w:rPr>
                        <w:rFonts w:ascii="Cambria Math" w:hAnsi="Cambria Math"/>
                        <w:kern w:val="0"/>
                        <w:sz w:val="18"/>
                        <w:szCs w:val="18"/>
                      </w:rPr>
                      <m:t>−</m:t>
                    </m:r>
                    <m:func>
                      <m:funcPr>
                        <m:ctrlPr>
                          <w:rPr>
                            <w:rFonts w:ascii="Cambria Math" w:hAnsi="Cambria Math"/>
                            <w:i/>
                            <w:iCs/>
                            <w:kern w:val="0"/>
                            <w:sz w:val="18"/>
                            <w:szCs w:val="18"/>
                          </w:rPr>
                        </m:ctrlPr>
                      </m:funcPr>
                      <m:fName>
                        <m:r>
                          <m:rPr>
                            <m:sty m:val="p"/>
                          </m:rPr>
                          <w:rPr>
                            <w:rFonts w:ascii="Cambria Math" w:hAnsi="Cambria Math"/>
                            <w:kern w:val="0"/>
                            <w:sz w:val="18"/>
                            <w:szCs w:val="18"/>
                          </w:rPr>
                          <m:t>lg</m:t>
                        </m:r>
                        <m:ctrlPr>
                          <w:rPr>
                            <w:rFonts w:ascii="Cambria Math" w:hAnsi="Cambria Math"/>
                            <w:i/>
                            <w:iCs/>
                            <w:kern w:val="0"/>
                            <w:sz w:val="18"/>
                            <w:szCs w:val="18"/>
                          </w:rPr>
                        </m:ctrlPr>
                      </m:fName>
                      <m:e>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ctrlPr>
                          <w:rPr>
                            <w:rFonts w:ascii="Cambria Math" w:hAnsi="Cambria Math"/>
                            <w:i/>
                            <w:iCs/>
                            <w:kern w:val="0"/>
                            <w:sz w:val="18"/>
                            <w:szCs w:val="18"/>
                          </w:rPr>
                        </m:ctrlPr>
                      </m:e>
                    </m:func>
                    <m:ctrlPr>
                      <w:rPr>
                        <w:rFonts w:ascii="Cambria Math" w:hAnsi="Cambria Math"/>
                        <w:i/>
                        <w:iCs/>
                        <w:kern w:val="0"/>
                        <w:sz w:val="18"/>
                        <w:szCs w:val="18"/>
                      </w:rPr>
                    </m:ctrlPr>
                  </m:den>
                </m:f>
              </m:oMath>
            </m:oMathPara>
          </w:p>
        </w:tc>
        <w:tc>
          <w:tcPr>
            <w:tcW w:w="1593" w:type="dxa"/>
            <w:vAlign w:val="center"/>
          </w:tcPr>
          <w:p w14:paraId="6391A40B">
            <w:pPr>
              <w:spacing w:line="240" w:lineRule="auto"/>
              <w:jc w:val="left"/>
              <w:rPr>
                <w:iCs/>
                <w:kern w:val="0"/>
                <w:sz w:val="18"/>
                <w:szCs w:val="18"/>
              </w:rPr>
            </w:pPr>
            <w:r>
              <w:rPr>
                <w:rFonts w:hint="eastAsia" w:ascii="宋体" w:hAnsi="宋体"/>
                <w:iCs/>
                <w:kern w:val="0"/>
                <w:sz w:val="18"/>
                <w:szCs w:val="18"/>
              </w:rPr>
              <w:t>①</w:t>
            </w:r>
            <w:r>
              <w:rPr>
                <w:iCs/>
                <w:kern w:val="0"/>
                <w:sz w:val="18"/>
                <w:szCs w:val="18"/>
              </w:rPr>
              <w:t>承压—潜水完整井</w:t>
            </w:r>
            <w:r>
              <w:rPr>
                <w:rFonts w:hint="eastAsia"/>
                <w:iCs/>
                <w:kern w:val="0"/>
                <w:sz w:val="18"/>
                <w:szCs w:val="18"/>
              </w:rPr>
              <w:t>；</w:t>
            </w:r>
          </w:p>
          <w:p w14:paraId="5FB95A7E">
            <w:pPr>
              <w:spacing w:line="240" w:lineRule="auto"/>
              <w:jc w:val="left"/>
              <w:rPr>
                <w:iCs/>
                <w:kern w:val="0"/>
                <w:sz w:val="18"/>
                <w:szCs w:val="18"/>
              </w:rPr>
            </w:pPr>
            <w:r>
              <w:rPr>
                <w:rFonts w:hint="eastAsia" w:ascii="宋体" w:hAnsi="宋体"/>
                <w:iCs/>
                <w:kern w:val="0"/>
                <w:sz w:val="18"/>
                <w:szCs w:val="18"/>
              </w:rPr>
              <w:t>②</w:t>
            </w:r>
            <w:r>
              <w:rPr>
                <w:iCs/>
                <w:kern w:val="0"/>
                <w:sz w:val="18"/>
                <w:szCs w:val="18"/>
              </w:rPr>
              <w:t>均质含水层</w:t>
            </w:r>
            <w:r>
              <w:rPr>
                <w:rFonts w:hint="eastAsia"/>
                <w:iCs/>
                <w:kern w:val="0"/>
                <w:sz w:val="18"/>
                <w:szCs w:val="18"/>
              </w:rPr>
              <w:t>。</w:t>
            </w:r>
          </w:p>
        </w:tc>
      </w:tr>
    </w:tbl>
    <w:p w14:paraId="7B71665D">
      <w:pPr>
        <w:pStyle w:val="15"/>
        <w:tabs>
          <w:tab w:val="left" w:pos="925"/>
          <w:tab w:val="left" w:pos="1613"/>
        </w:tabs>
        <w:spacing w:after="0" w:line="240" w:lineRule="auto"/>
        <w:ind w:left="630" w:leftChars="300"/>
        <w:jc w:val="left"/>
        <w:rPr>
          <w:w w:val="105"/>
        </w:rPr>
      </w:pPr>
    </w:p>
    <w:p w14:paraId="23C7974C">
      <w:pPr>
        <w:pStyle w:val="15"/>
        <w:tabs>
          <w:tab w:val="left" w:pos="925"/>
          <w:tab w:val="left" w:pos="1613"/>
        </w:tabs>
        <w:spacing w:after="0" w:line="240" w:lineRule="auto"/>
        <w:ind w:left="630" w:leftChars="300"/>
        <w:jc w:val="left"/>
        <w:rPr>
          <w:rFonts w:hint="eastAsia" w:ascii="宋体" w:hAnsi="宋体" w:cs="宋体"/>
          <w:w w:val="105"/>
        </w:rPr>
      </w:pPr>
      <w:r>
        <w:rPr>
          <w:rFonts w:hint="eastAsia" w:ascii="宋体" w:hAnsi="宋体" w:cs="宋体"/>
          <w:w w:val="105"/>
        </w:rPr>
        <w:t>式中：</w:t>
      </w:r>
    </w:p>
    <w:p w14:paraId="52D53BCE">
      <w:pPr>
        <w:spacing w:line="240" w:lineRule="auto"/>
        <w:ind w:left="630" w:leftChars="300"/>
        <w:jc w:val="left"/>
        <w:rPr>
          <w:rFonts w:hint="eastAsia" w:ascii="宋体" w:hAnsi="宋体" w:cs="宋体"/>
        </w:rPr>
      </w:pPr>
      <m:oMath>
        <m:r>
          <m:rPr/>
          <w:rPr>
            <w:rFonts w:hint="eastAsia" w:ascii="Cambria Math" w:hAnsi="Cambria Math" w:cs="宋体"/>
          </w:rPr>
          <m:t>Q</m:t>
        </m:r>
      </m:oMath>
      <w:r>
        <w:rPr>
          <w:rFonts w:hint="eastAsia" w:ascii="宋体" w:hAnsi="宋体" w:cs="宋体"/>
        </w:rPr>
        <w:t>——基坑计算涌水量，m</w:t>
      </w:r>
      <w:r>
        <w:rPr>
          <w:rFonts w:hint="eastAsia" w:ascii="宋体" w:hAnsi="宋体" w:cs="宋体"/>
          <w:vertAlign w:val="superscript"/>
        </w:rPr>
        <w:t>3</w:t>
      </w:r>
      <w:r>
        <w:rPr>
          <w:rFonts w:hint="eastAsia" w:ascii="宋体" w:hAnsi="宋体" w:cs="宋体"/>
        </w:rPr>
        <w:t>/d；</w:t>
      </w:r>
    </w:p>
    <w:p w14:paraId="6E269CE2">
      <w:pPr>
        <w:spacing w:line="240" w:lineRule="auto"/>
        <w:ind w:left="630" w:leftChars="300"/>
        <w:jc w:val="left"/>
        <w:rPr>
          <w:rFonts w:hint="eastAsia" w:ascii="宋体" w:hAnsi="宋体" w:cs="宋体"/>
        </w:rPr>
      </w:pPr>
      <m:oMath>
        <m:r>
          <m:rPr/>
          <w:rPr>
            <w:rFonts w:hint="eastAsia" w:ascii="Cambria Math" w:hAnsi="Cambria Math" w:cs="宋体"/>
          </w:rPr>
          <m:t>K</m:t>
        </m:r>
      </m:oMath>
      <w:r>
        <w:rPr>
          <w:rFonts w:hint="eastAsia" w:ascii="宋体" w:hAnsi="宋体" w:cs="宋体"/>
        </w:rPr>
        <w:t>——渗透系数，m/d；</w:t>
      </w:r>
    </w:p>
    <w:p w14:paraId="69E4271C">
      <w:pPr>
        <w:spacing w:line="240" w:lineRule="auto"/>
        <w:ind w:left="630" w:leftChars="300"/>
        <w:jc w:val="left"/>
        <w:rPr>
          <w:rFonts w:hint="eastAsia" w:ascii="宋体" w:hAnsi="宋体" w:cs="宋体"/>
        </w:rPr>
      </w:pPr>
      <m:oMath>
        <m:r>
          <m:rPr/>
          <w:rPr>
            <w:rFonts w:hint="eastAsia" w:ascii="Cambria Math" w:hAnsi="Cambria Math" w:cs="宋体"/>
          </w:rPr>
          <m:t>S</m:t>
        </m:r>
      </m:oMath>
      <w:r>
        <w:rPr>
          <w:rFonts w:hint="eastAsia" w:ascii="宋体" w:hAnsi="宋体" w:cs="宋体"/>
        </w:rPr>
        <w:t>——水位降深，m；</w:t>
      </w:r>
    </w:p>
    <w:p w14:paraId="4E447298">
      <w:pPr>
        <w:spacing w:line="240" w:lineRule="auto"/>
        <w:ind w:left="630" w:leftChars="300"/>
        <w:jc w:val="left"/>
        <w:rPr>
          <w:rFonts w:hint="eastAsia" w:ascii="宋体" w:hAnsi="宋体" w:cs="宋体"/>
        </w:rPr>
      </w:pPr>
      <m:oMath>
        <m:r>
          <m:rPr/>
          <w:rPr>
            <w:rFonts w:hint="eastAsia" w:ascii="Cambria Math" w:hAnsi="Cambria Math" w:cs="宋体"/>
          </w:rPr>
          <m:t>M</m:t>
        </m:r>
      </m:oMath>
      <w:r>
        <w:rPr>
          <w:rFonts w:hint="eastAsia" w:ascii="宋体" w:hAnsi="宋体" w:cs="宋体"/>
        </w:rPr>
        <w:t>——含水层厚度，m；</w:t>
      </w:r>
    </w:p>
    <w:p w14:paraId="1D339E30">
      <w:pPr>
        <w:spacing w:line="240" w:lineRule="auto"/>
        <w:ind w:left="630" w:leftChars="300"/>
        <w:jc w:val="left"/>
        <w:rPr>
          <w:rFonts w:hint="eastAsia" w:ascii="宋体" w:hAnsi="宋体" w:cs="宋体"/>
        </w:rPr>
      </w:pPr>
      <m:oMath>
        <m:r>
          <m:rPr/>
          <w:rPr>
            <w:rFonts w:hint="eastAsia" w:ascii="Cambria Math" w:hAnsi="Cambria Math" w:cs="宋体"/>
          </w:rPr>
          <m:t>R</m:t>
        </m:r>
      </m:oMath>
      <w:r>
        <w:rPr>
          <w:rFonts w:hint="eastAsia" w:ascii="宋体" w:hAnsi="宋体" w:cs="宋体"/>
        </w:rPr>
        <w:t>——抽水影响半径，m；</w:t>
      </w:r>
    </w:p>
    <w:p w14:paraId="74E31BC8">
      <w:pPr>
        <w:spacing w:line="240" w:lineRule="auto"/>
        <w:ind w:left="630" w:leftChars="300"/>
        <w:jc w:val="left"/>
        <w:rPr>
          <w:rFonts w:hint="eastAsia" w:ascii="宋体" w:hAnsi="宋体" w:cs="宋体"/>
        </w:rPr>
      </w:pPr>
      <m:oMath>
        <m:sSub>
          <m:sSubPr>
            <m:ctrlPr>
              <w:rPr>
                <w:rFonts w:hint="eastAsia" w:ascii="Cambria Math" w:hAnsi="Cambria Math" w:cs="宋体"/>
              </w:rPr>
            </m:ctrlPr>
          </m:sSubPr>
          <m:e>
            <m:r>
              <m:rPr/>
              <w:rPr>
                <w:rFonts w:hint="eastAsia" w:ascii="Cambria Math" w:hAnsi="Cambria Math" w:cs="宋体"/>
              </w:rPr>
              <m:t>r</m:t>
            </m:r>
            <m:ctrlPr>
              <w:rPr>
                <w:rFonts w:hint="eastAsia" w:ascii="Cambria Math" w:hAnsi="Cambria Math" w:cs="宋体"/>
              </w:rPr>
            </m:ctrlPr>
          </m:e>
          <m:sub>
            <m:r>
              <m:rPr>
                <m:sty m:val="p"/>
              </m:rPr>
              <w:rPr>
                <w:rFonts w:hint="eastAsia" w:ascii="Cambria Math" w:hAnsi="Cambria Math" w:cs="宋体"/>
              </w:rPr>
              <m:t>0</m:t>
            </m:r>
            <m:ctrlPr>
              <w:rPr>
                <w:rFonts w:hint="eastAsia" w:ascii="Cambria Math" w:hAnsi="Cambria Math" w:cs="宋体"/>
              </w:rPr>
            </m:ctrlPr>
          </m:sub>
        </m:sSub>
      </m:oMath>
      <w:r>
        <w:rPr>
          <w:rFonts w:hint="eastAsia" w:ascii="宋体" w:hAnsi="宋体" w:cs="宋体"/>
        </w:rPr>
        <w:t>——基坑等效半径，m；</w:t>
      </w:r>
    </w:p>
    <w:p w14:paraId="508BECE8">
      <w:pPr>
        <w:spacing w:line="240" w:lineRule="auto"/>
        <w:ind w:left="630" w:leftChars="300"/>
        <w:jc w:val="left"/>
        <w:rPr>
          <w:rFonts w:hint="eastAsia" w:ascii="宋体" w:hAnsi="宋体" w:cs="宋体"/>
        </w:rPr>
      </w:pPr>
      <m:oMath>
        <m:r>
          <m:rPr/>
          <w:rPr>
            <w:rFonts w:hint="eastAsia" w:ascii="Cambria Math" w:hAnsi="Cambria Math" w:cs="宋体"/>
          </w:rPr>
          <m:t>l</m:t>
        </m:r>
      </m:oMath>
      <w:r>
        <w:rPr>
          <w:rFonts w:hint="eastAsia" w:ascii="宋体" w:hAnsi="宋体" w:cs="宋体"/>
        </w:rPr>
        <w:t>——过滤器工作部分长度</w:t>
      </w:r>
      <w:r>
        <w:rPr>
          <w:rFonts w:hint="eastAsia" w:ascii="宋体" w:hAnsi="宋体" w:cs="宋体"/>
          <w:w w:val="105"/>
        </w:rPr>
        <w:t>，</w:t>
      </w:r>
      <w:r>
        <w:rPr>
          <w:rFonts w:hint="eastAsia" w:ascii="宋体" w:hAnsi="宋体" w:cs="宋体"/>
        </w:rPr>
        <w:t>m</w:t>
      </w:r>
      <w:r>
        <w:rPr>
          <w:rFonts w:hint="eastAsia" w:ascii="宋体" w:hAnsi="宋体" w:cs="宋体"/>
          <w:spacing w:val="-60"/>
        </w:rPr>
        <w:t> ；</w:t>
      </w:r>
    </w:p>
    <w:p w14:paraId="1FF00D95">
      <w:pPr>
        <w:spacing w:line="240" w:lineRule="auto"/>
        <w:ind w:left="630" w:leftChars="300"/>
        <w:jc w:val="left"/>
        <w:rPr>
          <w:rFonts w:hint="eastAsia" w:ascii="宋体" w:hAnsi="宋体" w:cs="宋体"/>
        </w:rPr>
      </w:pPr>
      <m:oMath>
        <m:r>
          <m:rPr/>
          <w:rPr>
            <w:rFonts w:hint="eastAsia" w:ascii="Cambria Math" w:hAnsi="Cambria Math" w:cs="宋体"/>
          </w:rPr>
          <m:t>b</m:t>
        </m:r>
      </m:oMath>
      <w:r>
        <w:rPr>
          <w:rFonts w:hint="eastAsia" w:ascii="宋体" w:hAnsi="宋体" w:cs="宋体"/>
        </w:rPr>
        <w:t>——基坑中心至岸边的距离，m；</w:t>
      </w:r>
    </w:p>
    <w:p w14:paraId="5A711A43">
      <w:pPr>
        <w:spacing w:line="240" w:lineRule="auto"/>
        <w:ind w:left="630" w:leftChars="300"/>
        <w:jc w:val="left"/>
        <w:rPr>
          <w:rFonts w:hint="eastAsia" w:ascii="宋体" w:hAnsi="宋体" w:cs="宋体"/>
        </w:rPr>
      </w:pPr>
      <m:oMath>
        <m:sSub>
          <m:sSubPr>
            <m:ctrlPr>
              <w:rPr>
                <w:rFonts w:hint="eastAsia" w:ascii="Cambria Math" w:hAnsi="Cambria Math" w:cs="宋体"/>
                <w:i/>
                <w:iCs/>
              </w:rPr>
            </m:ctrlPr>
          </m:sSubPr>
          <m:e>
            <m:r>
              <m:rPr/>
              <w:rPr>
                <w:rFonts w:hint="eastAsia" w:ascii="Cambria Math" w:hAnsi="Cambria Math" w:cs="宋体"/>
              </w:rPr>
              <m:t>b</m:t>
            </m:r>
            <m:ctrlPr>
              <w:rPr>
                <w:rFonts w:hint="eastAsia" w:ascii="Cambria Math" w:hAnsi="Cambria Math" w:cs="宋体"/>
                <w:i/>
                <w:iCs/>
              </w:rPr>
            </m:ctrlPr>
          </m:e>
          <m:sub>
            <m:r>
              <m:rPr/>
              <w:rPr>
                <w:rFonts w:hint="eastAsia" w:ascii="Cambria Math" w:hAnsi="Cambria Math" w:cs="宋体"/>
              </w:rPr>
              <m:t>1</m:t>
            </m:r>
            <m:ctrlPr>
              <w:rPr>
                <w:rFonts w:hint="eastAsia" w:ascii="Cambria Math" w:hAnsi="Cambria Math" w:cs="宋体"/>
                <w:i/>
                <w:iCs/>
              </w:rPr>
            </m:ctrlPr>
          </m:sub>
        </m:sSub>
      </m:oMath>
      <w:r>
        <w:rPr>
          <w:rFonts w:hint="eastAsia" w:ascii="宋体" w:hAnsi="宋体" w:cs="宋体"/>
        </w:rPr>
        <w:t>——基坑中心至A河岸边的距离，m；</w:t>
      </w:r>
    </w:p>
    <w:p w14:paraId="538A1A27">
      <w:pPr>
        <w:spacing w:line="240" w:lineRule="auto"/>
        <w:ind w:left="630" w:leftChars="300"/>
        <w:jc w:val="left"/>
        <w:rPr>
          <w:rFonts w:hint="eastAsia" w:ascii="宋体" w:hAnsi="宋体" w:cs="宋体"/>
        </w:rPr>
      </w:pPr>
      <m:oMath>
        <m:sSub>
          <m:sSubPr>
            <m:ctrlPr>
              <w:rPr>
                <w:rFonts w:hint="eastAsia" w:ascii="Cambria Math" w:hAnsi="Cambria Math" w:cs="宋体"/>
                <w:i/>
                <w:iCs/>
              </w:rPr>
            </m:ctrlPr>
          </m:sSubPr>
          <m:e>
            <m:r>
              <m:rPr/>
              <w:rPr>
                <w:rFonts w:hint="eastAsia" w:ascii="Cambria Math" w:hAnsi="Cambria Math" w:cs="宋体"/>
              </w:rPr>
              <m:t>b</m:t>
            </m:r>
            <m:ctrlPr>
              <w:rPr>
                <w:rFonts w:hint="eastAsia" w:ascii="Cambria Math" w:hAnsi="Cambria Math" w:cs="宋体"/>
                <w:i/>
                <w:iCs/>
              </w:rPr>
            </m:ctrlPr>
          </m:e>
          <m:sub>
            <m:r>
              <m:rPr/>
              <w:rPr>
                <w:rFonts w:hint="eastAsia" w:ascii="Cambria Math" w:hAnsi="Cambria Math" w:cs="宋体"/>
              </w:rPr>
              <m:t>2</m:t>
            </m:r>
            <m:ctrlPr>
              <w:rPr>
                <w:rFonts w:hint="eastAsia" w:ascii="Cambria Math" w:hAnsi="Cambria Math" w:cs="宋体"/>
                <w:i/>
                <w:iCs/>
              </w:rPr>
            </m:ctrlPr>
          </m:sub>
        </m:sSub>
      </m:oMath>
      <w:r>
        <w:rPr>
          <w:rFonts w:hint="eastAsia" w:ascii="宋体" w:hAnsi="宋体" w:cs="宋体"/>
        </w:rPr>
        <w:t>——基坑中心至B河岸边的距离，m；</w:t>
      </w:r>
    </w:p>
    <w:p w14:paraId="4B525916">
      <w:pPr>
        <w:spacing w:line="240" w:lineRule="auto"/>
        <w:ind w:left="630" w:leftChars="300"/>
        <w:jc w:val="left"/>
        <w:rPr>
          <w:rFonts w:hint="eastAsia" w:ascii="宋体" w:hAnsi="宋体" w:cs="宋体"/>
          <w:spacing w:val="-2"/>
        </w:rPr>
      </w:pPr>
      <m:oMath>
        <m:r>
          <m:rPr/>
          <w:rPr>
            <w:rFonts w:ascii="Cambria Math" w:hAnsi="Cambria Math" w:eastAsia="MS Gothic" w:cs="MS Gothic"/>
          </w:rPr>
          <m:t>h</m:t>
        </m:r>
      </m:oMath>
      <w:r>
        <w:rPr>
          <w:rFonts w:hint="eastAsia" w:ascii="宋体" w:hAnsi="宋体" w:cs="宋体"/>
        </w:rPr>
        <w:t>——基坑动水位至含水层底板的深度，m</w:t>
      </w:r>
      <w:r>
        <w:rPr>
          <w:rFonts w:hint="eastAsia" w:ascii="宋体" w:hAnsi="宋体" w:cs="宋体"/>
          <w:spacing w:val="-2"/>
        </w:rPr>
        <w:t>；</w:t>
      </w:r>
    </w:p>
    <w:p w14:paraId="3C0CE159">
      <w:pPr>
        <w:spacing w:line="240" w:lineRule="auto"/>
        <w:ind w:left="630" w:leftChars="300"/>
        <w:jc w:val="left"/>
        <w:rPr>
          <w:rFonts w:hint="eastAsia" w:ascii="宋体" w:hAnsi="宋体" w:cs="宋体"/>
        </w:rPr>
      </w:pPr>
      <m:oMath>
        <m:r>
          <m:rPr/>
          <w:rPr>
            <w:rFonts w:hint="eastAsia" w:ascii="Cambria Math" w:hAnsi="Cambria Math" w:cs="宋体"/>
          </w:rPr>
          <m:t>H</m:t>
        </m:r>
      </m:oMath>
      <w:r>
        <w:rPr>
          <w:rFonts w:hint="eastAsia" w:ascii="宋体" w:hAnsi="宋体" w:cs="宋体"/>
        </w:rPr>
        <w:t>——任意点处隔水底板到降水前静水位的高度，m。</w:t>
      </w:r>
    </w:p>
    <w:p w14:paraId="144D11E8">
      <w:pPr>
        <w:spacing w:line="240" w:lineRule="auto"/>
        <w:ind w:left="630" w:leftChars="300"/>
        <w:jc w:val="left"/>
        <w:rPr>
          <w:rFonts w:hint="eastAsia" w:ascii="宋体" w:hAnsi="宋体" w:cs="宋体"/>
        </w:rPr>
      </w:pPr>
    </w:p>
    <w:p w14:paraId="031133E1">
      <w:pPr>
        <w:pStyle w:val="182"/>
        <w:numPr>
          <w:ilvl w:val="0"/>
          <w:numId w:val="68"/>
        </w:numPr>
        <w:ind w:left="845" w:hanging="425"/>
        <w:rPr>
          <w:szCs w:val="22"/>
        </w:rPr>
      </w:pPr>
      <w:r>
        <w:rPr>
          <w:rFonts w:hint="eastAsia"/>
          <w:szCs w:val="22"/>
        </w:rPr>
        <w:t>悬挂式帷幕条件下（如图6），</w:t>
      </w:r>
      <w:r>
        <w:rPr>
          <w:rFonts w:hint="eastAsia"/>
        </w:rPr>
        <w:t>可建立三维渗流模型通过数值方法计算。</w:t>
      </w:r>
    </w:p>
    <w:p w14:paraId="53B0D969">
      <w:pPr>
        <w:spacing w:line="240" w:lineRule="auto"/>
        <w:jc w:val="center"/>
        <w:rPr>
          <w:rFonts w:hint="eastAsia" w:ascii="仿宋" w:hAnsi="仿宋" w:eastAsia="仿宋" w:cs="仿宋"/>
          <w:color w:val="0000FF"/>
          <w:kern w:val="0"/>
          <w:sz w:val="30"/>
          <w:szCs w:val="30"/>
        </w:rPr>
      </w:pPr>
      <w:r>
        <w:rPr>
          <w:color w:val="0000FF"/>
        </w:rPr>
        <w:drawing>
          <wp:inline distT="0" distB="0" distL="114300" distR="114300">
            <wp:extent cx="4319905" cy="1834515"/>
            <wp:effectExtent l="0" t="0" r="4445" b="1333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70"/>
                    <a:stretch>
                      <a:fillRect/>
                    </a:stretch>
                  </pic:blipFill>
                  <pic:spPr>
                    <a:xfrm>
                      <a:off x="0" y="0"/>
                      <a:ext cx="4319905" cy="1834515"/>
                    </a:xfrm>
                    <a:prstGeom prst="rect">
                      <a:avLst/>
                    </a:prstGeom>
                    <a:noFill/>
                    <a:ln>
                      <a:noFill/>
                    </a:ln>
                  </pic:spPr>
                </pic:pic>
              </a:graphicData>
            </a:graphic>
          </wp:inline>
        </w:drawing>
      </w:r>
    </w:p>
    <w:p w14:paraId="2608FE97">
      <w:pPr>
        <w:pStyle w:val="253"/>
        <w:spacing w:line="240" w:lineRule="auto"/>
        <w:ind w:firstLine="356" w:firstLineChars="198"/>
        <w:jc w:val="center"/>
        <w:rPr>
          <w:rFonts w:hAnsi="Cambria Math"/>
          <w:color w:val="auto"/>
        </w:rPr>
      </w:pPr>
      <w:r>
        <w:rPr>
          <w:rFonts w:ascii="Times New Roman" w:hAnsi="Times New Roman"/>
          <w:sz w:val="18"/>
          <w:szCs w:val="18"/>
        </w:rPr>
        <w:t>（</w:t>
      </w:r>
      <w:r>
        <w:rPr>
          <w:rFonts w:hint="eastAsia" w:ascii="Times New Roman" w:hAnsi="Times New Roman"/>
          <w:sz w:val="18"/>
          <w:szCs w:val="18"/>
        </w:rPr>
        <w:t>6-</w:t>
      </w:r>
      <w:r>
        <w:rPr>
          <w:rFonts w:ascii="Times New Roman" w:hAnsi="Times New Roman"/>
          <w:sz w:val="18"/>
          <w:szCs w:val="18"/>
        </w:rPr>
        <w:t>a）</w:t>
      </w:r>
      <w:r>
        <w:rPr>
          <w:rFonts w:hint="eastAsia" w:ascii="Times New Roman" w:hAnsi="Times New Roman"/>
          <w:sz w:val="18"/>
          <w:szCs w:val="18"/>
        </w:rPr>
        <w:t>悬挂式帷幕+减压降水</w:t>
      </w:r>
    </w:p>
    <w:p w14:paraId="767CAF7C">
      <w:pPr>
        <w:keepNext/>
        <w:spacing w:before="156" w:beforeLines="50" w:after="156" w:afterLines="50" w:line="240" w:lineRule="auto"/>
        <w:jc w:val="center"/>
        <w:rPr>
          <w:color w:val="0000FF"/>
        </w:rPr>
      </w:pPr>
      <w:r>
        <w:rPr>
          <w:rFonts w:hint="eastAsia"/>
          <w:color w:val="0000FF"/>
        </w:rPr>
        <w:t>.</w:t>
      </w:r>
      <w:r>
        <w:rPr>
          <w:color w:val="0000FF"/>
        </w:rPr>
        <w:drawing>
          <wp:inline distT="0" distB="0" distL="114300" distR="114300">
            <wp:extent cx="4416425" cy="1990090"/>
            <wp:effectExtent l="0" t="0" r="3175" b="1016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71"/>
                    <a:srcRect l="3012" r="2619"/>
                    <a:stretch>
                      <a:fillRect/>
                    </a:stretch>
                  </pic:blipFill>
                  <pic:spPr>
                    <a:xfrm>
                      <a:off x="0" y="0"/>
                      <a:ext cx="4416425" cy="1990090"/>
                    </a:xfrm>
                    <a:prstGeom prst="rect">
                      <a:avLst/>
                    </a:prstGeom>
                    <a:noFill/>
                    <a:ln>
                      <a:noFill/>
                    </a:ln>
                  </pic:spPr>
                </pic:pic>
              </a:graphicData>
            </a:graphic>
          </wp:inline>
        </w:drawing>
      </w:r>
    </w:p>
    <w:p w14:paraId="4FA88E96">
      <w:pPr>
        <w:keepNext/>
        <w:spacing w:before="156" w:beforeLines="50" w:after="156" w:afterLines="50" w:line="240" w:lineRule="auto"/>
        <w:jc w:val="center"/>
      </w:pPr>
      <w:r>
        <w:rPr>
          <w:rFonts w:ascii="Times New Roman" w:hAnsi="Times New Roman"/>
          <w:sz w:val="18"/>
          <w:szCs w:val="18"/>
        </w:rPr>
        <w:t>（</w:t>
      </w:r>
      <w:r>
        <w:rPr>
          <w:rFonts w:hint="eastAsia" w:ascii="Times New Roman" w:hAnsi="Times New Roman"/>
          <w:sz w:val="18"/>
          <w:szCs w:val="18"/>
        </w:rPr>
        <w:t>6-</w:t>
      </w:r>
      <w:r>
        <w:rPr>
          <w:rFonts w:ascii="Times New Roman" w:hAnsi="Times New Roman"/>
          <w:sz w:val="18"/>
          <w:szCs w:val="18"/>
        </w:rPr>
        <w:t>b）</w:t>
      </w:r>
      <w:r>
        <w:rPr>
          <w:rFonts w:hint="eastAsia" w:ascii="Times New Roman" w:hAnsi="Times New Roman"/>
          <w:sz w:val="18"/>
          <w:szCs w:val="18"/>
        </w:rPr>
        <w:t xml:space="preserve">悬挂式帷幕+疏干降水 </w:t>
      </w:r>
    </w:p>
    <w:p w14:paraId="393FAD4B">
      <w:pPr>
        <w:pStyle w:val="13"/>
        <w:spacing w:before="156" w:beforeLines="50" w:after="156" w:afterLines="50" w:line="240" w:lineRule="auto"/>
        <w:rPr>
          <w:rFonts w:ascii="Times New Roman" w:hAnsi="Times New Roman" w:eastAsia="宋体"/>
          <w:sz w:val="18"/>
          <w:szCs w:val="18"/>
        </w:rPr>
      </w:pPr>
      <w:r>
        <w:rPr>
          <w:rFonts w:hint="eastAsia" w:ascii="黑体" w:hAnsi="黑体" w:cs="宋体"/>
        </w:rPr>
        <w:t xml:space="preserve">图6  悬挂式帷幕降水示意图     </w:t>
      </w:r>
      <w:r>
        <w:rPr>
          <w:rFonts w:hint="eastAsia" w:ascii="Times New Roman" w:hAnsi="Times New Roman" w:eastAsia="宋体"/>
          <w:sz w:val="18"/>
          <w:szCs w:val="18"/>
        </w:rPr>
        <w:t xml:space="preserve">         </w:t>
      </w:r>
    </w:p>
    <w:p w14:paraId="216E3151">
      <w:pPr>
        <w:pStyle w:val="182"/>
        <w:numPr>
          <w:ilvl w:val="0"/>
          <w:numId w:val="68"/>
        </w:numPr>
        <w:ind w:left="845" w:hanging="425"/>
      </w:pPr>
      <w:r>
        <w:rPr>
          <w:rFonts w:hint="eastAsia"/>
          <w:szCs w:val="22"/>
        </w:rPr>
        <w:t>落底式帷幕条件下（如图7），按下列公式计算：</w:t>
      </w:r>
    </w:p>
    <w:p w14:paraId="0A574A4E">
      <w:pPr>
        <w:pStyle w:val="253"/>
        <w:spacing w:line="240" w:lineRule="auto"/>
        <w:ind w:firstLine="0"/>
        <w:jc w:val="center"/>
        <w:rPr>
          <w:rFonts w:ascii="Times New Roman" w:hAnsi="Times New Roman" w:cs="Times New Roman"/>
          <w:color w:val="auto"/>
          <w:sz w:val="21"/>
        </w:rPr>
      </w:pPr>
      <w:r>
        <w:rPr>
          <w:color w:val="auto"/>
        </w:rPr>
        <w:drawing>
          <wp:inline distT="0" distB="0" distL="0" distR="0">
            <wp:extent cx="2584450" cy="1619885"/>
            <wp:effectExtent l="0" t="0" r="6350" b="18415"/>
            <wp:docPr id="12" name="图片 12" descr="C:\Users\2526\AppData\Local\Temp\企业微信截图_16800671509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2526\AppData\Local\Temp\企业微信截图_1680067150906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84800" cy="1620000"/>
                    </a:xfrm>
                    <a:prstGeom prst="rect">
                      <a:avLst/>
                    </a:prstGeom>
                    <a:noFill/>
                    <a:ln>
                      <a:noFill/>
                    </a:ln>
                  </pic:spPr>
                </pic:pic>
              </a:graphicData>
            </a:graphic>
          </wp:inline>
        </w:drawing>
      </w:r>
      <w:r>
        <w:rPr>
          <w:rFonts w:hint="eastAsia"/>
          <w:color w:val="auto"/>
        </w:rPr>
        <w:t> </w:t>
      </w:r>
      <w:r>
        <w:rPr>
          <w:color w:val="auto"/>
        </w:rPr>
        <w:drawing>
          <wp:inline distT="0" distB="0" distL="0" distR="0">
            <wp:extent cx="2487295" cy="1619885"/>
            <wp:effectExtent l="0" t="0" r="8255" b="18415"/>
            <wp:docPr id="30" name="图片 30" descr="C:\Users\2526\AppData\Local\Temp\企业微信截图_16800671804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2526\AppData\Local\Temp\企业微信截图_16800671804347.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487600" cy="1620000"/>
                    </a:xfrm>
                    <a:prstGeom prst="rect">
                      <a:avLst/>
                    </a:prstGeom>
                    <a:noFill/>
                    <a:ln>
                      <a:noFill/>
                    </a:ln>
                  </pic:spPr>
                </pic:pic>
              </a:graphicData>
            </a:graphic>
          </wp:inline>
        </w:drawing>
      </w:r>
    </w:p>
    <w:p w14:paraId="3B204694">
      <w:pPr>
        <w:pStyle w:val="13"/>
        <w:spacing w:line="240" w:lineRule="auto"/>
        <w:rPr>
          <w:rFonts w:ascii="Times New Roman" w:hAnsi="Times New Roman" w:eastAsia="宋体"/>
          <w:sz w:val="18"/>
          <w:szCs w:val="18"/>
        </w:rPr>
      </w:pPr>
      <w:r>
        <w:rPr>
          <w:rFonts w:ascii="Times New Roman" w:hAnsi="Times New Roman" w:eastAsia="宋体"/>
          <w:sz w:val="18"/>
          <w:szCs w:val="18"/>
        </w:rPr>
        <w:t>（</w:t>
      </w:r>
      <w:r>
        <w:rPr>
          <w:rFonts w:hint="eastAsia" w:ascii="Times New Roman" w:hAnsi="Times New Roman" w:eastAsia="宋体"/>
          <w:sz w:val="18"/>
          <w:szCs w:val="18"/>
        </w:rPr>
        <w:t>7-</w:t>
      </w:r>
      <w:r>
        <w:rPr>
          <w:rFonts w:ascii="Times New Roman" w:hAnsi="Times New Roman" w:eastAsia="宋体"/>
          <w:sz w:val="18"/>
          <w:szCs w:val="18"/>
        </w:rPr>
        <w:t>a）潜水含水层落底式帷幕+坑内降水</w:t>
      </w:r>
      <w:r>
        <w:rPr>
          <w:rFonts w:hint="eastAsia" w:ascii="Times New Roman" w:hAnsi="Times New Roman" w:eastAsia="宋体"/>
          <w:sz w:val="18"/>
          <w:szCs w:val="18"/>
        </w:rPr>
        <w:t>      </w:t>
      </w:r>
      <w:r>
        <w:rPr>
          <w:rFonts w:ascii="Times New Roman" w:hAnsi="Times New Roman" w:eastAsia="宋体"/>
          <w:sz w:val="18"/>
          <w:szCs w:val="18"/>
        </w:rPr>
        <w:t>（</w:t>
      </w:r>
      <w:r>
        <w:rPr>
          <w:rFonts w:hint="eastAsia" w:ascii="Times New Roman" w:hAnsi="Times New Roman" w:eastAsia="宋体"/>
          <w:sz w:val="18"/>
          <w:szCs w:val="18"/>
        </w:rPr>
        <w:t>7-</w:t>
      </w:r>
      <w:r>
        <w:rPr>
          <w:rFonts w:ascii="Times New Roman" w:hAnsi="Times New Roman" w:eastAsia="宋体"/>
          <w:sz w:val="18"/>
          <w:szCs w:val="18"/>
        </w:rPr>
        <w:t>b）承压含水层落底式帷幕+坑内降水</w:t>
      </w:r>
    </w:p>
    <w:p w14:paraId="650E4DD7">
      <w:pPr>
        <w:keepNext/>
        <w:spacing w:before="156" w:beforeLines="50" w:after="156" w:afterLines="50" w:line="240" w:lineRule="auto"/>
        <w:jc w:val="center"/>
        <w:rPr>
          <w:rFonts w:hint="eastAsia" w:ascii="黑体" w:hAnsi="黑体" w:eastAsia="黑体" w:cs="宋体"/>
        </w:rPr>
      </w:pPr>
      <w:r>
        <w:rPr>
          <w:rFonts w:hint="eastAsia" w:ascii="黑体" w:hAnsi="黑体" w:eastAsia="黑体" w:cs="宋体"/>
        </w:rPr>
        <w:t>图7  落底式帷幕+坑内降水示意图</w:t>
      </w:r>
    </w:p>
    <w:p w14:paraId="1F4C2FD6">
      <w:pPr>
        <w:pStyle w:val="13"/>
        <w:spacing w:line="240" w:lineRule="auto"/>
        <w:ind w:left="761" w:leftChars="199" w:hanging="343" w:hangingChars="191"/>
        <w:rPr>
          <w:rFonts w:hint="eastAsia"/>
        </w:rPr>
      </w:pPr>
      <w:r>
        <w:rPr>
          <w:rFonts w:ascii="Times New Roman" w:hAnsi="Times New Roman" w:eastAsia="宋体"/>
          <w:sz w:val="18"/>
          <w:szCs w:val="18"/>
        </w:rPr>
        <w:t>1—降水管井；2—隔渗帷幕；3—潜水含水层；4—隔水层；5—承压含水层</w:t>
      </w:r>
    </w:p>
    <w:p w14:paraId="4560D410">
      <w:pPr>
        <w:pStyle w:val="182"/>
        <w:numPr>
          <w:ilvl w:val="0"/>
          <w:numId w:val="69"/>
        </w:numPr>
        <w:ind w:left="425" w:firstLine="420" w:firstLineChars="200"/>
      </w:pPr>
      <w:r>
        <w:rPr>
          <w:rFonts w:hint="eastAsia"/>
        </w:rPr>
        <w:t> 当基坑内地下水不存在补给源，</w:t>
      </w:r>
      <w:r>
        <w:t>疏干潜水</w:t>
      </w:r>
      <w:r>
        <w:rPr>
          <w:rFonts w:hint="eastAsia"/>
        </w:rPr>
        <w:t>含水层中的地下水</w:t>
      </w:r>
      <w:r>
        <w:t>时</w:t>
      </w:r>
      <w:r>
        <w:rPr>
          <w:rFonts w:hint="eastAsia"/>
        </w:rPr>
        <w:t>，按公式（2）计算。 </w:t>
      </w:r>
    </w:p>
    <w:p w14:paraId="0EEED85E">
      <w:pPr>
        <w:pStyle w:val="253"/>
        <w:adjustRightInd/>
        <w:spacing w:line="240" w:lineRule="auto"/>
        <w:ind w:left="1280" w:leftChars="400" w:hanging="440" w:hangingChars="200"/>
        <w:jc w:val="right"/>
        <w:rPr>
          <w:rFonts w:hint="eastAsia"/>
          <w:color w:val="auto"/>
        </w:rPr>
      </w:pPr>
      <m:oMath>
        <m:r>
          <m:rPr/>
          <w:rPr>
            <w:rFonts w:ascii="Cambria Math" w:hAnsi="Cambria Math"/>
            <w:color w:val="auto"/>
          </w:rPr>
          <m:t>Q=V∙μ</m:t>
        </m:r>
      </m:oMath>
      <w:r>
        <w:rPr>
          <w:rFonts w:hint="eastAsia"/>
          <w:color w:val="auto"/>
        </w:rPr>
        <w:t xml:space="preserve">                             </w:t>
      </w:r>
      <w:r>
        <w:rPr>
          <w:color w:val="auto"/>
        </w:rPr>
        <w:t xml:space="preserve">       </w:t>
      </w:r>
      <w:r>
        <w:rPr>
          <w:rFonts w:hint="eastAsia"/>
          <w:color w:val="auto"/>
        </w:rPr>
        <w:t xml:space="preserve">                      （2）</w:t>
      </w:r>
    </w:p>
    <w:p w14:paraId="6E50DEF0">
      <w:pPr>
        <w:pStyle w:val="182"/>
        <w:numPr>
          <w:ilvl w:val="0"/>
          <w:numId w:val="69"/>
        </w:numPr>
        <w:ind w:left="425" w:firstLine="420" w:firstLineChars="200"/>
      </w:pPr>
      <w:r>
        <w:rPr>
          <w:rFonts w:hint="eastAsia"/>
        </w:rPr>
        <w:t>当基坑内地下水不存在补给源，疏干承压含水层中的地下水时，按公式（3）计算。 </w:t>
      </w:r>
    </w:p>
    <w:p w14:paraId="6A7A8B5B">
      <w:pPr>
        <w:pStyle w:val="253"/>
        <w:adjustRightInd/>
        <w:spacing w:line="240" w:lineRule="auto"/>
        <w:ind w:left="1280" w:leftChars="400" w:hanging="440" w:hangingChars="200"/>
        <w:jc w:val="right"/>
        <w:rPr>
          <w:rFonts w:hint="eastAsia"/>
          <w:color w:val="auto"/>
        </w:rPr>
      </w:pPr>
      <m:oMath>
        <m:r>
          <m:rPr/>
          <w:rPr>
            <w:rFonts w:ascii="Cambria Math" w:hAnsi="Cambria Math"/>
            <w:color w:val="auto"/>
          </w:rPr>
          <m:t>Q=1.05∙F∙S∙μ</m:t>
        </m:r>
      </m:oMath>
      <w:r>
        <w:rPr>
          <w:rFonts w:hint="eastAsia" w:ascii="MS Gothic" w:hAnsi="MS Gothic" w:eastAsia="MS Gothic" w:cs="MS Gothic"/>
          <w:i/>
          <w:iCs/>
          <w:color w:val="auto"/>
        </w:rPr>
        <w:t> </w:t>
      </w:r>
      <w:r>
        <w:rPr>
          <w:rFonts w:hint="eastAsia"/>
          <w:color w:val="auto"/>
        </w:rPr>
        <w:t xml:space="preserve">                              </w:t>
      </w:r>
      <w:r>
        <w:rPr>
          <w:color w:val="auto"/>
        </w:rPr>
        <w:t xml:space="preserve">    </w:t>
      </w:r>
      <w:r>
        <w:rPr>
          <w:rFonts w:hint="eastAsia"/>
          <w:color w:val="auto"/>
        </w:rPr>
        <w:t>                （3）</w:t>
      </w:r>
    </w:p>
    <w:p w14:paraId="5B2DB43B">
      <w:pPr>
        <w:pStyle w:val="15"/>
        <w:tabs>
          <w:tab w:val="left" w:pos="925"/>
          <w:tab w:val="left" w:pos="1613"/>
        </w:tabs>
        <w:spacing w:after="0" w:line="240" w:lineRule="auto"/>
        <w:ind w:left="630" w:leftChars="300"/>
        <w:jc w:val="left"/>
        <w:rPr>
          <w:rFonts w:hint="eastAsia" w:ascii="宋体" w:hAnsi="宋体" w:cs="宋体"/>
        </w:rPr>
      </w:pPr>
      <w:r>
        <w:rPr>
          <w:rFonts w:hint="eastAsia" w:ascii="宋体" w:hAnsi="宋体" w:cs="宋体"/>
        </w:rPr>
        <w:t>式中：</w:t>
      </w:r>
    </w:p>
    <w:p w14:paraId="4CCF9A6B">
      <w:pPr>
        <w:pStyle w:val="15"/>
        <w:tabs>
          <w:tab w:val="left" w:pos="925"/>
          <w:tab w:val="left" w:pos="1613"/>
        </w:tabs>
        <w:spacing w:after="0" w:line="240" w:lineRule="auto"/>
        <w:ind w:left="630" w:leftChars="300"/>
        <w:jc w:val="left"/>
        <w:rPr>
          <w:rFonts w:hint="eastAsia" w:ascii="宋体" w:hAnsi="宋体" w:cs="宋体"/>
        </w:rPr>
      </w:pPr>
      <m:oMath>
        <m:r>
          <m:rPr/>
          <w:rPr>
            <w:rFonts w:hint="eastAsia" w:ascii="Cambria Math" w:hAnsi="Cambria Math" w:cs="宋体"/>
          </w:rPr>
          <m:t>Q</m:t>
        </m:r>
      </m:oMath>
      <w:r>
        <w:rPr>
          <w:rFonts w:hint="eastAsia" w:ascii="宋体" w:hAnsi="宋体" w:cs="宋体"/>
        </w:rPr>
        <w:t>——基坑计算涌水量，m</w:t>
      </w:r>
      <w:r>
        <w:rPr>
          <w:rFonts w:hint="eastAsia" w:ascii="宋体" w:hAnsi="宋体" w:cs="宋体"/>
          <w:vertAlign w:val="superscript"/>
        </w:rPr>
        <w:t>3</w:t>
      </w:r>
      <w:r>
        <w:rPr>
          <w:rFonts w:hint="eastAsia" w:ascii="宋体" w:hAnsi="宋体" w:cs="宋体"/>
        </w:rPr>
        <w:t>；</w:t>
      </w:r>
    </w:p>
    <w:p w14:paraId="742CE915">
      <w:pPr>
        <w:pStyle w:val="15"/>
        <w:tabs>
          <w:tab w:val="left" w:pos="925"/>
          <w:tab w:val="left" w:pos="1613"/>
        </w:tabs>
        <w:spacing w:after="0" w:line="240" w:lineRule="auto"/>
        <w:ind w:left="630" w:leftChars="300"/>
        <w:jc w:val="left"/>
        <w:rPr>
          <w:rFonts w:hint="eastAsia" w:ascii="宋体" w:hAnsi="宋体" w:cs="宋体"/>
        </w:rPr>
      </w:pPr>
      <w:r>
        <w:rPr>
          <w:rFonts w:hint="eastAsia" w:ascii="宋体" w:hAnsi="宋体" w:cs="宋体"/>
          <w:i/>
          <w:iCs/>
        </w:rPr>
        <w:t>V</w:t>
      </w:r>
      <w:r>
        <w:rPr>
          <w:rFonts w:hint="eastAsia" w:ascii="宋体" w:hAnsi="宋体" w:cs="宋体"/>
        </w:rPr>
        <w:t>——基坑内潜水土体的体积，m</w:t>
      </w:r>
      <w:r>
        <w:rPr>
          <w:rFonts w:hint="eastAsia" w:ascii="宋体" w:hAnsi="宋体" w:cs="宋体"/>
          <w:vertAlign w:val="superscript"/>
        </w:rPr>
        <w:t>3</w:t>
      </w:r>
      <w:r>
        <w:rPr>
          <w:rFonts w:hint="eastAsia" w:ascii="宋体" w:hAnsi="宋体" w:cs="宋体"/>
        </w:rPr>
        <w:t>；</w:t>
      </w:r>
    </w:p>
    <w:p w14:paraId="531C5AE8">
      <w:pPr>
        <w:pStyle w:val="15"/>
        <w:tabs>
          <w:tab w:val="left" w:pos="925"/>
          <w:tab w:val="left" w:pos="1613"/>
        </w:tabs>
        <w:spacing w:after="0" w:line="240" w:lineRule="auto"/>
        <w:ind w:left="630" w:leftChars="300"/>
        <w:jc w:val="left"/>
        <w:rPr>
          <w:rFonts w:hint="eastAsia" w:ascii="宋体" w:hAnsi="宋体" w:cs="宋体"/>
        </w:rPr>
      </w:pPr>
      <w:r>
        <w:rPr>
          <w:rFonts w:hint="eastAsia" w:ascii="宋体" w:hAnsi="宋体" w:cs="宋体"/>
          <w:i/>
          <w:iCs/>
        </w:rPr>
        <w:t>μ</w:t>
      </w:r>
      <w:r>
        <w:rPr>
          <w:rFonts w:hint="eastAsia" w:ascii="宋体" w:hAnsi="宋体" w:cs="宋体"/>
        </w:rPr>
        <w:t>——含水层给水度，给水度经试验确定，无试验数据时可按表13选用；</w:t>
      </w:r>
    </w:p>
    <w:p w14:paraId="6071B9AF">
      <w:pPr>
        <w:pStyle w:val="15"/>
        <w:tabs>
          <w:tab w:val="left" w:pos="925"/>
          <w:tab w:val="left" w:pos="1613"/>
        </w:tabs>
        <w:spacing w:after="0" w:line="240" w:lineRule="auto"/>
        <w:ind w:left="630" w:leftChars="300"/>
        <w:jc w:val="left"/>
        <w:rPr>
          <w:rFonts w:hint="eastAsia" w:ascii="宋体" w:hAnsi="宋体" w:cs="宋体"/>
          <w:w w:val="105"/>
        </w:rPr>
      </w:pPr>
      <w:r>
        <w:rPr>
          <w:rFonts w:hint="eastAsia" w:ascii="宋体" w:hAnsi="宋体" w:cs="宋体"/>
          <w:i/>
          <w:iCs/>
        </w:rPr>
        <w:t>F</w:t>
      </w:r>
      <w:r>
        <w:rPr>
          <w:rFonts w:hint="eastAsia" w:ascii="宋体" w:hAnsi="宋体" w:cs="宋体"/>
        </w:rPr>
        <w:t>——基坑面积，m</w:t>
      </w:r>
      <w:r>
        <w:rPr>
          <w:rFonts w:hint="eastAsia" w:ascii="宋体" w:hAnsi="宋体" w:cs="宋体"/>
          <w:vertAlign w:val="superscript"/>
        </w:rPr>
        <w:t>2</w:t>
      </w:r>
      <w:r>
        <w:rPr>
          <w:rFonts w:hint="eastAsia" w:ascii="宋体" w:hAnsi="宋体" w:cs="宋体"/>
          <w:spacing w:val="26"/>
        </w:rPr>
        <w:t>；</w:t>
      </w:r>
    </w:p>
    <w:p w14:paraId="08FDEFCC">
      <w:pPr>
        <w:pStyle w:val="15"/>
        <w:tabs>
          <w:tab w:val="left" w:pos="925"/>
          <w:tab w:val="left" w:pos="1613"/>
        </w:tabs>
        <w:spacing w:after="0" w:line="240" w:lineRule="auto"/>
        <w:ind w:left="630" w:leftChars="300"/>
        <w:jc w:val="left"/>
        <w:rPr>
          <w:rFonts w:hint="eastAsia" w:ascii="宋体" w:hAnsi="宋体" w:cs="宋体"/>
        </w:rPr>
      </w:pPr>
      <w:r>
        <w:rPr>
          <w:rFonts w:hint="eastAsia" w:ascii="宋体" w:hAnsi="宋体" w:cs="宋体"/>
          <w:i/>
          <w:iCs/>
        </w:rPr>
        <w:t>S</w:t>
      </w:r>
      <w:r>
        <w:rPr>
          <w:rFonts w:hint="eastAsia" w:ascii="宋体" w:hAnsi="宋体" w:cs="宋体"/>
        </w:rPr>
        <w:t>——含水层顶板至设计安全水位面的距离，m。</w:t>
      </w:r>
    </w:p>
    <w:p w14:paraId="09A69254">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表13  给水度经验值 </w:t>
      </w:r>
      <m:oMath>
        <m:r>
          <m:rPr>
            <m:sty m:val="p"/>
          </m:rPr>
          <w:rPr>
            <w:rFonts w:hint="eastAsia" w:ascii="Cambria Math" w:hAnsi="Cambria Math" w:eastAsia="黑体" w:cs="宋体"/>
            <w:color w:val="000000"/>
          </w:rPr>
          <m:t>μ</m:t>
        </m:r>
      </m:oMath>
    </w:p>
    <w:tbl>
      <w:tblPr>
        <w:tblStyle w:val="34"/>
        <w:tblW w:w="82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4"/>
        <w:gridCol w:w="2074"/>
        <w:gridCol w:w="2074"/>
        <w:gridCol w:w="2074"/>
      </w:tblGrid>
      <w:tr w14:paraId="47F0C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074" w:type="dxa"/>
            <w:tcBorders>
              <w:top w:val="single" w:color="auto" w:sz="12" w:space="0"/>
              <w:bottom w:val="single" w:color="auto" w:sz="12" w:space="0"/>
            </w:tcBorders>
            <w:vAlign w:val="center"/>
          </w:tcPr>
          <w:p w14:paraId="65BCD120">
            <w:pPr>
              <w:spacing w:line="240" w:lineRule="auto"/>
              <w:ind w:left="16" w:hanging="16" w:hangingChars="9"/>
              <w:jc w:val="center"/>
              <w:rPr>
                <w:kern w:val="0"/>
                <w:sz w:val="18"/>
                <w:szCs w:val="18"/>
              </w:rPr>
            </w:pPr>
            <w:r>
              <w:rPr>
                <w:kern w:val="0"/>
                <w:sz w:val="18"/>
                <w:szCs w:val="18"/>
              </w:rPr>
              <w:t>岩性</w:t>
            </w:r>
          </w:p>
        </w:tc>
        <w:tc>
          <w:tcPr>
            <w:tcW w:w="2074" w:type="dxa"/>
            <w:tcBorders>
              <w:top w:val="single" w:color="auto" w:sz="12" w:space="0"/>
              <w:bottom w:val="single" w:color="auto" w:sz="12" w:space="0"/>
            </w:tcBorders>
            <w:vAlign w:val="center"/>
          </w:tcPr>
          <w:p w14:paraId="077F1D49">
            <w:pPr>
              <w:spacing w:line="240" w:lineRule="auto"/>
              <w:ind w:left="16" w:hanging="16" w:hangingChars="9"/>
              <w:jc w:val="center"/>
              <w:rPr>
                <w:kern w:val="0"/>
                <w:sz w:val="18"/>
                <w:szCs w:val="18"/>
              </w:rPr>
            </w:pPr>
            <w:r>
              <w:rPr>
                <w:kern w:val="0"/>
                <w:sz w:val="18"/>
                <w:szCs w:val="18"/>
              </w:rPr>
              <w:t>给水度</w:t>
            </w:r>
            <m:oMath>
              <m:r>
                <m:rPr/>
                <w:rPr>
                  <w:rFonts w:ascii="Cambria Math" w:hAnsi="Cambria Math"/>
                  <w:kern w:val="0"/>
                  <w:sz w:val="18"/>
                  <w:szCs w:val="18"/>
                </w:rPr>
                <m:t>μ</m:t>
              </m:r>
            </m:oMath>
          </w:p>
        </w:tc>
        <w:tc>
          <w:tcPr>
            <w:tcW w:w="2074" w:type="dxa"/>
            <w:tcBorders>
              <w:top w:val="single" w:color="auto" w:sz="12" w:space="0"/>
              <w:bottom w:val="single" w:color="auto" w:sz="12" w:space="0"/>
            </w:tcBorders>
            <w:vAlign w:val="center"/>
          </w:tcPr>
          <w:p w14:paraId="7BD85227">
            <w:pPr>
              <w:spacing w:line="240" w:lineRule="auto"/>
              <w:ind w:left="16" w:hanging="16" w:hangingChars="9"/>
              <w:jc w:val="center"/>
              <w:rPr>
                <w:kern w:val="0"/>
                <w:sz w:val="18"/>
                <w:szCs w:val="18"/>
              </w:rPr>
            </w:pPr>
            <w:r>
              <w:rPr>
                <w:kern w:val="0"/>
                <w:sz w:val="18"/>
                <w:szCs w:val="18"/>
              </w:rPr>
              <w:t>岩性</w:t>
            </w:r>
          </w:p>
        </w:tc>
        <w:tc>
          <w:tcPr>
            <w:tcW w:w="2074" w:type="dxa"/>
            <w:tcBorders>
              <w:top w:val="single" w:color="auto" w:sz="12" w:space="0"/>
              <w:bottom w:val="single" w:color="auto" w:sz="12" w:space="0"/>
            </w:tcBorders>
            <w:vAlign w:val="center"/>
          </w:tcPr>
          <w:p w14:paraId="27C1BD50">
            <w:pPr>
              <w:spacing w:line="240" w:lineRule="auto"/>
              <w:ind w:left="16" w:hanging="16" w:hangingChars="9"/>
              <w:jc w:val="center"/>
              <w:rPr>
                <w:kern w:val="0"/>
                <w:sz w:val="18"/>
                <w:szCs w:val="18"/>
              </w:rPr>
            </w:pPr>
            <w:r>
              <w:rPr>
                <w:kern w:val="0"/>
                <w:sz w:val="18"/>
                <w:szCs w:val="18"/>
              </w:rPr>
              <w:t>给水度</w:t>
            </w:r>
            <m:oMath>
              <m:r>
                <m:rPr/>
                <w:rPr>
                  <w:rFonts w:ascii="Cambria Math" w:hAnsi="Cambria Math"/>
                  <w:kern w:val="0"/>
                  <w:sz w:val="18"/>
                  <w:szCs w:val="18"/>
                </w:rPr>
                <m:t>μ</m:t>
              </m:r>
            </m:oMath>
          </w:p>
        </w:tc>
      </w:tr>
      <w:tr w14:paraId="49A0A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74" w:type="dxa"/>
            <w:tcBorders>
              <w:top w:val="single" w:color="auto" w:sz="12" w:space="0"/>
            </w:tcBorders>
            <w:vAlign w:val="center"/>
          </w:tcPr>
          <w:p w14:paraId="7433BEFC">
            <w:pPr>
              <w:spacing w:line="240" w:lineRule="auto"/>
              <w:ind w:left="16" w:hanging="16" w:hangingChars="9"/>
              <w:jc w:val="center"/>
              <w:rPr>
                <w:kern w:val="0"/>
                <w:sz w:val="18"/>
                <w:szCs w:val="18"/>
              </w:rPr>
            </w:pPr>
            <w:r>
              <w:rPr>
                <w:kern w:val="0"/>
                <w:sz w:val="18"/>
                <w:szCs w:val="18"/>
              </w:rPr>
              <w:t>黏质粉土</w:t>
            </w:r>
          </w:p>
        </w:tc>
        <w:tc>
          <w:tcPr>
            <w:tcW w:w="2074" w:type="dxa"/>
            <w:tcBorders>
              <w:top w:val="single" w:color="auto" w:sz="12" w:space="0"/>
            </w:tcBorders>
            <w:vAlign w:val="center"/>
          </w:tcPr>
          <w:p w14:paraId="62BD4151">
            <w:pPr>
              <w:spacing w:line="240" w:lineRule="auto"/>
              <w:ind w:left="16" w:hanging="16" w:hangingChars="9"/>
              <w:jc w:val="center"/>
              <w:rPr>
                <w:kern w:val="0"/>
                <w:sz w:val="18"/>
                <w:szCs w:val="18"/>
              </w:rPr>
            </w:pPr>
            <w:r>
              <w:rPr>
                <w:kern w:val="0"/>
                <w:sz w:val="18"/>
                <w:szCs w:val="18"/>
              </w:rPr>
              <w:t>0.04～0.07</w:t>
            </w:r>
          </w:p>
        </w:tc>
        <w:tc>
          <w:tcPr>
            <w:tcW w:w="2074" w:type="dxa"/>
            <w:tcBorders>
              <w:top w:val="single" w:color="auto" w:sz="12" w:space="0"/>
            </w:tcBorders>
            <w:vAlign w:val="center"/>
          </w:tcPr>
          <w:p w14:paraId="2B2A4BE4">
            <w:pPr>
              <w:spacing w:line="240" w:lineRule="auto"/>
              <w:ind w:left="16" w:hanging="16" w:hangingChars="9"/>
              <w:jc w:val="center"/>
              <w:rPr>
                <w:kern w:val="0"/>
                <w:sz w:val="18"/>
                <w:szCs w:val="18"/>
              </w:rPr>
            </w:pPr>
            <w:r>
              <w:rPr>
                <w:kern w:val="0"/>
                <w:sz w:val="18"/>
                <w:szCs w:val="18"/>
              </w:rPr>
              <w:t>中砂</w:t>
            </w:r>
          </w:p>
        </w:tc>
        <w:tc>
          <w:tcPr>
            <w:tcW w:w="2074" w:type="dxa"/>
            <w:tcBorders>
              <w:top w:val="single" w:color="auto" w:sz="12" w:space="0"/>
            </w:tcBorders>
            <w:vAlign w:val="center"/>
          </w:tcPr>
          <w:p w14:paraId="392C8B3F">
            <w:pPr>
              <w:spacing w:line="240" w:lineRule="auto"/>
              <w:ind w:left="16" w:hanging="16" w:hangingChars="9"/>
              <w:jc w:val="center"/>
              <w:rPr>
                <w:kern w:val="0"/>
                <w:sz w:val="18"/>
                <w:szCs w:val="18"/>
              </w:rPr>
            </w:pPr>
            <w:r>
              <w:rPr>
                <w:kern w:val="0"/>
                <w:sz w:val="18"/>
                <w:szCs w:val="18"/>
              </w:rPr>
              <w:t>0.20～0.25</w:t>
            </w:r>
          </w:p>
        </w:tc>
      </w:tr>
      <w:tr w14:paraId="4E2CA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74" w:type="dxa"/>
            <w:vAlign w:val="center"/>
          </w:tcPr>
          <w:p w14:paraId="6FCF6F5F">
            <w:pPr>
              <w:spacing w:line="240" w:lineRule="auto"/>
              <w:ind w:left="16" w:hanging="16" w:hangingChars="9"/>
              <w:jc w:val="center"/>
              <w:rPr>
                <w:kern w:val="0"/>
                <w:sz w:val="18"/>
                <w:szCs w:val="18"/>
              </w:rPr>
            </w:pPr>
            <w:r>
              <w:rPr>
                <w:kern w:val="0"/>
                <w:sz w:val="18"/>
                <w:szCs w:val="18"/>
              </w:rPr>
              <w:t>砂质粉土</w:t>
            </w:r>
          </w:p>
        </w:tc>
        <w:tc>
          <w:tcPr>
            <w:tcW w:w="2074" w:type="dxa"/>
            <w:vAlign w:val="center"/>
          </w:tcPr>
          <w:p w14:paraId="7586C240">
            <w:pPr>
              <w:spacing w:line="240" w:lineRule="auto"/>
              <w:ind w:left="16" w:hanging="16" w:hangingChars="9"/>
              <w:jc w:val="center"/>
              <w:rPr>
                <w:kern w:val="0"/>
                <w:sz w:val="18"/>
                <w:szCs w:val="18"/>
              </w:rPr>
            </w:pPr>
            <w:r>
              <w:rPr>
                <w:kern w:val="0"/>
                <w:sz w:val="18"/>
                <w:szCs w:val="18"/>
              </w:rPr>
              <w:t>0.07～0.10</w:t>
            </w:r>
          </w:p>
        </w:tc>
        <w:tc>
          <w:tcPr>
            <w:tcW w:w="2074" w:type="dxa"/>
            <w:vAlign w:val="center"/>
          </w:tcPr>
          <w:p w14:paraId="271A881B">
            <w:pPr>
              <w:spacing w:line="240" w:lineRule="auto"/>
              <w:ind w:left="16" w:hanging="16" w:hangingChars="9"/>
              <w:jc w:val="center"/>
              <w:rPr>
                <w:kern w:val="0"/>
                <w:sz w:val="18"/>
                <w:szCs w:val="18"/>
              </w:rPr>
            </w:pPr>
            <w:r>
              <w:rPr>
                <w:kern w:val="0"/>
                <w:sz w:val="18"/>
                <w:szCs w:val="18"/>
              </w:rPr>
              <w:t>粗砂及砂砾</w:t>
            </w:r>
          </w:p>
        </w:tc>
        <w:tc>
          <w:tcPr>
            <w:tcW w:w="2074" w:type="dxa"/>
            <w:vAlign w:val="center"/>
          </w:tcPr>
          <w:p w14:paraId="7C83266A">
            <w:pPr>
              <w:spacing w:line="240" w:lineRule="auto"/>
              <w:ind w:left="16" w:hanging="16" w:hangingChars="9"/>
              <w:jc w:val="center"/>
              <w:rPr>
                <w:kern w:val="0"/>
                <w:sz w:val="18"/>
                <w:szCs w:val="18"/>
              </w:rPr>
            </w:pPr>
            <w:r>
              <w:rPr>
                <w:kern w:val="0"/>
                <w:sz w:val="18"/>
                <w:szCs w:val="18"/>
              </w:rPr>
              <w:t>0.25～0.35</w:t>
            </w:r>
          </w:p>
        </w:tc>
      </w:tr>
      <w:tr w14:paraId="7111B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74" w:type="dxa"/>
            <w:vAlign w:val="center"/>
          </w:tcPr>
          <w:p w14:paraId="7B7D0A04">
            <w:pPr>
              <w:spacing w:line="240" w:lineRule="auto"/>
              <w:ind w:left="16" w:hanging="16" w:hangingChars="9"/>
              <w:jc w:val="center"/>
              <w:rPr>
                <w:kern w:val="0"/>
                <w:sz w:val="18"/>
                <w:szCs w:val="18"/>
              </w:rPr>
            </w:pPr>
            <w:r>
              <w:rPr>
                <w:kern w:val="0"/>
                <w:sz w:val="18"/>
                <w:szCs w:val="18"/>
              </w:rPr>
              <w:t>粉</w:t>
            </w:r>
            <w:r>
              <w:rPr>
                <w:rFonts w:hint="eastAsia"/>
                <w:kern w:val="0"/>
                <w:sz w:val="18"/>
                <w:szCs w:val="18"/>
              </w:rPr>
              <w:t>  </w:t>
            </w:r>
            <w:r>
              <w:rPr>
                <w:kern w:val="0"/>
                <w:sz w:val="18"/>
                <w:szCs w:val="18"/>
              </w:rPr>
              <w:t>砂</w:t>
            </w:r>
          </w:p>
        </w:tc>
        <w:tc>
          <w:tcPr>
            <w:tcW w:w="2074" w:type="dxa"/>
            <w:vAlign w:val="center"/>
          </w:tcPr>
          <w:p w14:paraId="7436EF37">
            <w:pPr>
              <w:spacing w:line="240" w:lineRule="auto"/>
              <w:ind w:left="16" w:hanging="16" w:hangingChars="9"/>
              <w:jc w:val="center"/>
              <w:rPr>
                <w:kern w:val="0"/>
                <w:sz w:val="18"/>
                <w:szCs w:val="18"/>
              </w:rPr>
            </w:pPr>
            <w:r>
              <w:rPr>
                <w:kern w:val="0"/>
                <w:sz w:val="18"/>
                <w:szCs w:val="18"/>
              </w:rPr>
              <w:t>0.10～0.15</w:t>
            </w:r>
          </w:p>
        </w:tc>
        <w:tc>
          <w:tcPr>
            <w:tcW w:w="2074" w:type="dxa"/>
            <w:vAlign w:val="center"/>
          </w:tcPr>
          <w:p w14:paraId="6F5F6600">
            <w:pPr>
              <w:spacing w:line="240" w:lineRule="auto"/>
              <w:ind w:left="16" w:hanging="16" w:hangingChars="9"/>
              <w:jc w:val="center"/>
              <w:rPr>
                <w:kern w:val="0"/>
                <w:sz w:val="18"/>
                <w:szCs w:val="18"/>
              </w:rPr>
            </w:pPr>
            <w:r>
              <w:rPr>
                <w:kern w:val="0"/>
                <w:sz w:val="18"/>
                <w:szCs w:val="18"/>
              </w:rPr>
              <w:t>黏土胶结的砂岩</w:t>
            </w:r>
          </w:p>
        </w:tc>
        <w:tc>
          <w:tcPr>
            <w:tcW w:w="2074" w:type="dxa"/>
            <w:vAlign w:val="center"/>
          </w:tcPr>
          <w:p w14:paraId="58E82766">
            <w:pPr>
              <w:spacing w:line="240" w:lineRule="auto"/>
              <w:ind w:left="16" w:hanging="16" w:hangingChars="9"/>
              <w:jc w:val="center"/>
              <w:rPr>
                <w:kern w:val="0"/>
                <w:sz w:val="18"/>
                <w:szCs w:val="18"/>
              </w:rPr>
            </w:pPr>
            <w:r>
              <w:rPr>
                <w:kern w:val="0"/>
                <w:sz w:val="18"/>
                <w:szCs w:val="18"/>
              </w:rPr>
              <w:t>0.02～0.03</w:t>
            </w:r>
          </w:p>
        </w:tc>
      </w:tr>
      <w:tr w14:paraId="44DC9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74" w:type="dxa"/>
            <w:vAlign w:val="center"/>
          </w:tcPr>
          <w:p w14:paraId="5EF86B9A">
            <w:pPr>
              <w:spacing w:line="240" w:lineRule="auto"/>
              <w:ind w:left="16" w:hanging="16" w:hangingChars="9"/>
              <w:jc w:val="center"/>
              <w:rPr>
                <w:kern w:val="0"/>
                <w:sz w:val="18"/>
                <w:szCs w:val="18"/>
              </w:rPr>
            </w:pPr>
            <w:r>
              <w:rPr>
                <w:kern w:val="0"/>
                <w:sz w:val="18"/>
                <w:szCs w:val="18"/>
              </w:rPr>
              <w:t>细砂与泥质砂</w:t>
            </w:r>
          </w:p>
        </w:tc>
        <w:tc>
          <w:tcPr>
            <w:tcW w:w="2074" w:type="dxa"/>
            <w:vAlign w:val="center"/>
          </w:tcPr>
          <w:p w14:paraId="558B5C75">
            <w:pPr>
              <w:spacing w:line="240" w:lineRule="auto"/>
              <w:ind w:left="16" w:hanging="16" w:hangingChars="9"/>
              <w:jc w:val="center"/>
              <w:rPr>
                <w:kern w:val="0"/>
                <w:sz w:val="18"/>
                <w:szCs w:val="18"/>
              </w:rPr>
            </w:pPr>
            <w:r>
              <w:rPr>
                <w:kern w:val="0"/>
                <w:sz w:val="18"/>
                <w:szCs w:val="18"/>
              </w:rPr>
              <w:t>0.15～0.20</w:t>
            </w:r>
          </w:p>
        </w:tc>
        <w:tc>
          <w:tcPr>
            <w:tcW w:w="2074" w:type="dxa"/>
            <w:vAlign w:val="center"/>
          </w:tcPr>
          <w:p w14:paraId="1364CFC8">
            <w:pPr>
              <w:spacing w:line="240" w:lineRule="auto"/>
              <w:ind w:left="16" w:hanging="16" w:hangingChars="9"/>
              <w:jc w:val="center"/>
              <w:rPr>
                <w:kern w:val="0"/>
                <w:sz w:val="18"/>
                <w:szCs w:val="18"/>
              </w:rPr>
            </w:pPr>
            <w:r>
              <w:rPr>
                <w:kern w:val="0"/>
                <w:sz w:val="18"/>
                <w:szCs w:val="18"/>
              </w:rPr>
              <w:t>裂隙灰岩</w:t>
            </w:r>
          </w:p>
        </w:tc>
        <w:tc>
          <w:tcPr>
            <w:tcW w:w="2074" w:type="dxa"/>
            <w:vAlign w:val="center"/>
          </w:tcPr>
          <w:p w14:paraId="60A9D053">
            <w:pPr>
              <w:spacing w:line="240" w:lineRule="auto"/>
              <w:ind w:left="16" w:hanging="16" w:hangingChars="9"/>
              <w:jc w:val="center"/>
              <w:rPr>
                <w:kern w:val="0"/>
                <w:sz w:val="18"/>
                <w:szCs w:val="18"/>
              </w:rPr>
            </w:pPr>
            <w:r>
              <w:rPr>
                <w:kern w:val="0"/>
                <w:sz w:val="18"/>
                <w:szCs w:val="18"/>
              </w:rPr>
              <w:t>0.008～0.10</w:t>
            </w:r>
          </w:p>
        </w:tc>
      </w:tr>
    </w:tbl>
    <w:p w14:paraId="5AB959DE">
      <w:pPr>
        <w:pStyle w:val="182"/>
        <w:ind w:left="420" w:leftChars="200" w:firstLine="0"/>
      </w:pPr>
    </w:p>
    <w:p w14:paraId="1DF45D7C">
      <w:pPr>
        <w:pStyle w:val="182"/>
        <w:numPr>
          <w:ilvl w:val="0"/>
          <w:numId w:val="69"/>
        </w:numPr>
        <w:ind w:left="425" w:firstLine="420" w:firstLineChars="200"/>
      </w:pPr>
      <w:r>
        <w:rPr>
          <w:rFonts w:hint="eastAsia"/>
        </w:rPr>
        <w:t>当基坑内地下水存在补给源时，根据连通性抽水试验的结果，按公式（4）计算：</w:t>
      </w:r>
    </w:p>
    <w:p w14:paraId="621407A1">
      <w:pPr>
        <w:spacing w:line="240" w:lineRule="auto"/>
        <w:jc w:val="right"/>
      </w:pPr>
      <m:oMath>
        <m:r>
          <m:rPr/>
          <w:rPr>
            <w:rFonts w:ascii="Cambria Math" w:hAnsi="Cambria Math"/>
            <w:sz w:val="24"/>
          </w:rPr>
          <m:t>Q=</m:t>
        </m:r>
        <m:f>
          <m:fPr>
            <m:ctrlPr>
              <w:rPr>
                <w:rFonts w:ascii="Cambria Math" w:hAnsi="Cambria Math"/>
                <w:i/>
                <w:iCs/>
                <w:sz w:val="24"/>
              </w:rPr>
            </m:ctrlPr>
          </m:fPr>
          <m:num>
            <m:r>
              <m:rPr/>
              <w:rPr>
                <w:rFonts w:ascii="Cambria Math" w:hAnsi="Cambria Math"/>
                <w:sz w:val="24"/>
              </w:rPr>
              <m:t xml:space="preserve">2.73 </m:t>
            </m:r>
            <m:r>
              <m:rPr/>
              <w:rPr>
                <w:rFonts w:ascii="Cambria Math" w:hAnsi="Cambria Math"/>
              </w:rPr>
              <m:t>K'</m:t>
            </m:r>
            <m:r>
              <m:rPr/>
              <w:rPr>
                <w:rFonts w:ascii="Cambria Math" w:hAnsi="Cambria Math"/>
                <w:sz w:val="24"/>
              </w:rPr>
              <m:t>MS</m:t>
            </m:r>
            <m:ctrlPr>
              <w:rPr>
                <w:rFonts w:ascii="Cambria Math" w:hAnsi="Cambria Math"/>
                <w:i/>
                <w:iCs/>
                <w:sz w:val="24"/>
              </w:rPr>
            </m:ctrlPr>
          </m:num>
          <m:den>
            <m:func>
              <m:funcPr>
                <m:ctrlPr>
                  <w:rPr>
                    <w:rFonts w:ascii="Cambria Math" w:hAnsi="Cambria Math"/>
                    <w:i/>
                    <w:iCs/>
                    <w:kern w:val="0"/>
                    <w:sz w:val="24"/>
                  </w:rPr>
                </m:ctrlPr>
              </m:funcPr>
              <m:fName>
                <m:r>
                  <m:rPr>
                    <m:sty m:val="p"/>
                  </m:rPr>
                  <w:rPr>
                    <w:rFonts w:hint="eastAsia" w:ascii="Cambria Math" w:hAnsi="Cambria Math"/>
                    <w:kern w:val="0"/>
                    <w:sz w:val="24"/>
                  </w:rPr>
                  <m:t>lg</m:t>
                </m:r>
                <m:ctrlPr>
                  <w:rPr>
                    <w:rFonts w:ascii="Cambria Math" w:hAnsi="Cambria Math"/>
                    <w:i/>
                    <w:iCs/>
                    <w:kern w:val="0"/>
                    <w:sz w:val="24"/>
                  </w:rPr>
                </m:ctrlPr>
              </m:fName>
              <m:e>
                <m:d>
                  <m:dPr>
                    <m:begChr m:val="（"/>
                    <m:endChr m:val="）"/>
                    <m:ctrlPr>
                      <w:rPr>
                        <w:rFonts w:ascii="Cambria Math" w:hAnsi="Cambria Math"/>
                        <w:i/>
                        <w:iCs/>
                        <w:kern w:val="0"/>
                        <w:sz w:val="24"/>
                      </w:rPr>
                    </m:ctrlPr>
                  </m:dPr>
                  <m:e>
                    <m:r>
                      <m:rPr/>
                      <w:rPr>
                        <w:rFonts w:ascii="Cambria Math" w:hAnsi="Cambria Math"/>
                      </w:rPr>
                      <m:t>R'</m:t>
                    </m:r>
                    <m:r>
                      <m:rPr/>
                      <w:rPr>
                        <w:rFonts w:ascii="Cambria Math" w:hAnsi="Cambria Math"/>
                        <w:kern w:val="0"/>
                        <w:sz w:val="24"/>
                      </w:rPr>
                      <m:t>+</m:t>
                    </m:r>
                    <m:sSub>
                      <m:sSubPr>
                        <m:ctrlPr>
                          <w:rPr>
                            <w:rFonts w:ascii="Cambria Math" w:hAnsi="Cambria Math"/>
                            <w:i/>
                            <w:iCs/>
                            <w:kern w:val="0"/>
                            <w:sz w:val="24"/>
                          </w:rPr>
                        </m:ctrlPr>
                      </m:sSubPr>
                      <m:e>
                        <m:r>
                          <m:rPr/>
                          <w:rPr>
                            <w:rFonts w:ascii="Cambria Math" w:hAnsi="Cambria Math"/>
                            <w:kern w:val="0"/>
                            <w:sz w:val="24"/>
                          </w:rPr>
                          <m:t>r</m:t>
                        </m:r>
                        <m:ctrlPr>
                          <w:rPr>
                            <w:rFonts w:ascii="Cambria Math" w:hAnsi="Cambria Math"/>
                            <w:i/>
                            <w:iCs/>
                            <w:kern w:val="0"/>
                            <w:sz w:val="24"/>
                          </w:rPr>
                        </m:ctrlPr>
                      </m:e>
                      <m:sub>
                        <m:r>
                          <m:rPr/>
                          <w:rPr>
                            <w:rFonts w:ascii="Cambria Math" w:hAnsi="Cambria Math"/>
                            <w:kern w:val="0"/>
                            <w:sz w:val="24"/>
                          </w:rPr>
                          <m:t>0</m:t>
                        </m:r>
                        <m:ctrlPr>
                          <w:rPr>
                            <w:rFonts w:ascii="Cambria Math" w:hAnsi="Cambria Math"/>
                            <w:i/>
                            <w:iCs/>
                            <w:kern w:val="0"/>
                            <w:sz w:val="24"/>
                          </w:rPr>
                        </m:ctrlPr>
                      </m:sub>
                    </m:sSub>
                    <m:ctrlPr>
                      <w:rPr>
                        <w:rFonts w:ascii="Cambria Math" w:hAnsi="Cambria Math"/>
                        <w:i/>
                        <w:iCs/>
                        <w:kern w:val="0"/>
                        <w:sz w:val="24"/>
                      </w:rPr>
                    </m:ctrlPr>
                  </m:e>
                </m:d>
                <m:ctrlPr>
                  <w:rPr>
                    <w:rFonts w:ascii="Cambria Math" w:hAnsi="Cambria Math"/>
                    <w:i/>
                    <w:iCs/>
                    <w:kern w:val="0"/>
                    <w:sz w:val="24"/>
                  </w:rPr>
                </m:ctrlPr>
              </m:e>
            </m:func>
            <m:r>
              <m:rPr/>
              <w:rPr>
                <w:rFonts w:ascii="Cambria Math" w:hAnsi="Cambria Math"/>
                <w:kern w:val="0"/>
                <w:sz w:val="24"/>
              </w:rPr>
              <m:t>−</m:t>
            </m:r>
            <m:func>
              <m:funcPr>
                <m:ctrlPr>
                  <w:rPr>
                    <w:rFonts w:ascii="Cambria Math" w:hAnsi="Cambria Math"/>
                    <w:i/>
                    <w:iCs/>
                    <w:kern w:val="0"/>
                    <w:sz w:val="24"/>
                  </w:rPr>
                </m:ctrlPr>
              </m:funcPr>
              <m:fName>
                <m:r>
                  <m:rPr>
                    <m:sty m:val="p"/>
                  </m:rPr>
                  <w:rPr>
                    <w:rFonts w:ascii="Cambria Math" w:hAnsi="Cambria Math"/>
                    <w:kern w:val="0"/>
                    <w:sz w:val="24"/>
                  </w:rPr>
                  <m:t>lg</m:t>
                </m:r>
                <m:ctrlPr>
                  <w:rPr>
                    <w:rFonts w:ascii="Cambria Math" w:hAnsi="Cambria Math"/>
                    <w:i/>
                    <w:iCs/>
                    <w:kern w:val="0"/>
                    <w:sz w:val="24"/>
                  </w:rPr>
                </m:ctrlPr>
              </m:fName>
              <m:e>
                <m:sSub>
                  <m:sSubPr>
                    <m:ctrlPr>
                      <w:rPr>
                        <w:rFonts w:ascii="Cambria Math" w:hAnsi="Cambria Math"/>
                        <w:i/>
                        <w:iCs/>
                        <w:kern w:val="0"/>
                        <w:sz w:val="24"/>
                      </w:rPr>
                    </m:ctrlPr>
                  </m:sSubPr>
                  <m:e>
                    <m:r>
                      <m:rPr/>
                      <w:rPr>
                        <w:rFonts w:ascii="Cambria Math" w:hAnsi="Cambria Math"/>
                        <w:kern w:val="0"/>
                        <w:sz w:val="24"/>
                      </w:rPr>
                      <m:t>r</m:t>
                    </m:r>
                    <m:ctrlPr>
                      <w:rPr>
                        <w:rFonts w:ascii="Cambria Math" w:hAnsi="Cambria Math"/>
                        <w:i/>
                        <w:iCs/>
                        <w:kern w:val="0"/>
                        <w:sz w:val="24"/>
                      </w:rPr>
                    </m:ctrlPr>
                  </m:e>
                  <m:sub>
                    <m:r>
                      <m:rPr/>
                      <w:rPr>
                        <w:rFonts w:ascii="Cambria Math" w:hAnsi="Cambria Math"/>
                        <w:kern w:val="0"/>
                        <w:sz w:val="24"/>
                      </w:rPr>
                      <m:t>0</m:t>
                    </m:r>
                    <m:ctrlPr>
                      <w:rPr>
                        <w:rFonts w:ascii="Cambria Math" w:hAnsi="Cambria Math"/>
                        <w:i/>
                        <w:iCs/>
                        <w:kern w:val="0"/>
                        <w:sz w:val="24"/>
                      </w:rPr>
                    </m:ctrlPr>
                  </m:sub>
                </m:sSub>
                <m:ctrlPr>
                  <w:rPr>
                    <w:rFonts w:ascii="Cambria Math" w:hAnsi="Cambria Math"/>
                    <w:i/>
                    <w:iCs/>
                    <w:kern w:val="0"/>
                    <w:sz w:val="24"/>
                  </w:rPr>
                </m:ctrlPr>
              </m:e>
            </m:func>
            <m:ctrlPr>
              <w:rPr>
                <w:rFonts w:ascii="Cambria Math" w:hAnsi="Cambria Math"/>
                <w:i/>
                <w:iCs/>
                <w:sz w:val="24"/>
              </w:rPr>
            </m:ctrlPr>
          </m:den>
        </m:f>
      </m:oMath>
      <w:r>
        <w:rPr>
          <w:rFonts w:hint="eastAsia"/>
          <w:position w:val="-22"/>
        </w:rPr>
        <w:t> </w:t>
      </w:r>
      <w:r>
        <w:rPr>
          <w:rFonts w:hint="eastAsia"/>
          <w:i/>
          <w:iCs/>
          <w:position w:val="-22"/>
        </w:rPr>
        <w:t xml:space="preserve">                 </w:t>
      </w:r>
      <w:r>
        <w:rPr>
          <w:i/>
          <w:iCs/>
          <w:position w:val="-22"/>
        </w:rPr>
        <w:t xml:space="preserve">              </w:t>
      </w:r>
      <w:r>
        <w:rPr>
          <w:rFonts w:hint="eastAsia"/>
          <w:i/>
          <w:iCs/>
          <w:position w:val="-22"/>
        </w:rPr>
        <w:t xml:space="preserve">                           </w:t>
      </w:r>
      <w:r>
        <w:t>（</w:t>
      </w:r>
      <w:r>
        <w:rPr>
          <w:rFonts w:hint="eastAsia"/>
        </w:rPr>
        <w:t>4</w:t>
      </w:r>
      <w:r>
        <w:t>）</w:t>
      </w:r>
    </w:p>
    <w:p w14:paraId="614BAFAC">
      <w:pPr>
        <w:spacing w:line="240" w:lineRule="auto"/>
        <w:ind w:left="630" w:leftChars="300"/>
        <w:jc w:val="left"/>
        <w:rPr>
          <w:rFonts w:hint="eastAsia" w:ascii="宋体" w:hAnsi="宋体" w:cs="宋体"/>
        </w:rPr>
      </w:pPr>
      <w:r>
        <w:rPr>
          <w:rFonts w:hint="eastAsia" w:ascii="宋体" w:hAnsi="宋体" w:cs="宋体"/>
        </w:rPr>
        <w:t>式中：</w:t>
      </w:r>
    </w:p>
    <w:p w14:paraId="65FCBA51">
      <w:pPr>
        <w:spacing w:line="240" w:lineRule="auto"/>
        <w:ind w:left="630" w:leftChars="300"/>
        <w:jc w:val="left"/>
        <w:rPr>
          <w:rFonts w:hint="eastAsia" w:ascii="宋体" w:hAnsi="宋体" w:cs="宋体"/>
        </w:rPr>
      </w:pPr>
      <w:r>
        <w:rPr>
          <w:rFonts w:hint="eastAsia" w:ascii="宋体" w:hAnsi="宋体" w:cs="宋体"/>
          <w:i/>
          <w:iCs/>
        </w:rPr>
        <w:t>Q</w:t>
      </w:r>
      <w:r>
        <w:rPr>
          <w:rFonts w:hint="eastAsia" w:ascii="宋体" w:hAnsi="宋体" w:cs="宋体"/>
        </w:rPr>
        <w:t>——基坑计算涌水量，m³/d；</w:t>
      </w:r>
    </w:p>
    <w:p w14:paraId="37F64BC2">
      <w:pPr>
        <w:spacing w:line="240" w:lineRule="auto"/>
        <w:ind w:left="630" w:leftChars="300"/>
        <w:jc w:val="left"/>
        <w:rPr>
          <w:rFonts w:hint="eastAsia" w:ascii="宋体" w:hAnsi="宋体" w:cs="宋体"/>
          <w:position w:val="-22"/>
        </w:rPr>
      </w:pPr>
      <m:oMath>
        <m:r>
          <m:rPr/>
          <w:rPr>
            <w:rFonts w:hint="eastAsia" w:ascii="Cambria Math" w:hAnsi="Cambria Math" w:cs="宋体"/>
          </w:rPr>
          <m:t>K</m:t>
        </m:r>
        <m:r>
          <m:rPr/>
          <w:rPr>
            <w:rFonts w:ascii="Cambria Math" w:hAnsi="Cambria Math" w:cs="宋体"/>
          </w:rPr>
          <m:t>'</m:t>
        </m:r>
      </m:oMath>
      <w:r>
        <w:rPr>
          <w:rFonts w:hint="eastAsia" w:ascii="宋体" w:hAnsi="宋体" w:cs="宋体"/>
        </w:rPr>
        <w:t>——表观渗透系数，m/d；</w:t>
      </w:r>
      <m:oMath>
        <m:r>
          <m:rPr/>
          <w:rPr>
            <w:rFonts w:hint="eastAsia" w:ascii="Cambria Math" w:hAnsi="Cambria Math" w:cs="宋体"/>
            <w:sz w:val="18"/>
            <w:szCs w:val="18"/>
          </w:rPr>
          <m:t>K</m:t>
        </m:r>
        <m:r>
          <m:rPr/>
          <w:rPr>
            <w:rFonts w:ascii="Cambria Math" w:hAnsi="Cambria Math" w:cs="宋体"/>
            <w:sz w:val="18"/>
            <w:szCs w:val="18"/>
          </w:rPr>
          <m:t>'</m:t>
        </m:r>
        <m:r>
          <m:rPr/>
          <w:rPr>
            <w:rFonts w:hint="eastAsia" w:ascii="Cambria Math" w:hAnsi="Cambria Math" w:cs="宋体"/>
            <w:sz w:val="18"/>
            <w:szCs w:val="18"/>
          </w:rPr>
          <m:t>=</m:t>
        </m:r>
        <m:d>
          <m:dPr>
            <m:ctrlPr>
              <w:rPr>
                <w:rFonts w:hint="eastAsia" w:ascii="Cambria Math" w:hAnsi="Cambria Math" w:cs="宋体"/>
                <w:i/>
                <w:iCs/>
                <w:sz w:val="18"/>
                <w:szCs w:val="18"/>
              </w:rPr>
            </m:ctrlPr>
          </m:dPr>
          <m:e>
            <m:r>
              <m:rPr/>
              <w:rPr>
                <w:rFonts w:hint="eastAsia" w:ascii="Cambria Math" w:hAnsi="Cambria Math" w:cs="宋体"/>
                <w:sz w:val="18"/>
                <w:szCs w:val="18"/>
              </w:rPr>
              <m:t>1</m:t>
            </m:r>
            <m:r>
              <m:rPr/>
              <w:rPr>
                <w:rFonts w:hint="eastAsia" w:ascii="微软雅黑" w:hAnsi="微软雅黑" w:eastAsia="微软雅黑" w:cs="微软雅黑"/>
                <w:sz w:val="18"/>
                <w:szCs w:val="18"/>
              </w:rPr>
              <m:t>−</m:t>
            </m:r>
            <m:r>
              <m:rPr/>
              <w:rPr>
                <w:rFonts w:hint="eastAsia" w:ascii="Cambria Math" w:hAnsi="Cambria Math" w:cs="宋体"/>
                <w:sz w:val="18"/>
                <w:szCs w:val="18"/>
              </w:rPr>
              <m:t>λ</m:t>
            </m:r>
            <m:ctrlPr>
              <w:rPr>
                <w:rFonts w:hint="eastAsia" w:ascii="Cambria Math" w:hAnsi="Cambria Math" w:cs="宋体"/>
                <w:i/>
                <w:iCs/>
                <w:sz w:val="18"/>
                <w:szCs w:val="18"/>
              </w:rPr>
            </m:ctrlPr>
          </m:e>
        </m:d>
        <m:r>
          <m:rPr/>
          <w:rPr>
            <w:rFonts w:hint="eastAsia" w:ascii="Cambria Math" w:hAnsi="Cambria Math" w:cs="宋体"/>
            <w:sz w:val="18"/>
            <w:szCs w:val="18"/>
          </w:rPr>
          <m:t>K</m:t>
        </m:r>
        <m:r>
          <m:rPr>
            <m:sty m:val="p"/>
          </m:rPr>
          <w:rPr>
            <w:rFonts w:hint="eastAsia" w:ascii="Cambria Math" w:hAnsi="Cambria Math" w:cs="宋体"/>
            <w:sz w:val="18"/>
            <w:szCs w:val="18"/>
          </w:rPr>
          <m:t>，0</m:t>
        </m:r>
      </m:oMath>
      <w:r>
        <w:rPr>
          <w:rFonts w:hint="eastAsia" w:ascii="宋体" w:hAnsi="宋体" w:cs="宋体"/>
          <w:sz w:val="18"/>
          <w:szCs w:val="18"/>
        </w:rPr>
        <w:t>≤</w:t>
      </w:r>
      <m:oMath>
        <m:r>
          <m:rPr/>
          <w:rPr>
            <w:rFonts w:hint="eastAsia" w:ascii="Cambria Math" w:hAnsi="Cambria Math" w:cs="宋体"/>
            <w:sz w:val="18"/>
            <w:szCs w:val="18"/>
          </w:rPr>
          <m:t>K</m:t>
        </m:r>
        <m:r>
          <m:rPr/>
          <w:rPr>
            <w:rFonts w:ascii="Cambria Math" w:hAnsi="Cambria Math" w:cs="宋体"/>
            <w:sz w:val="18"/>
            <w:szCs w:val="18"/>
          </w:rPr>
          <m:t>'</m:t>
        </m:r>
      </m:oMath>
      <w:r>
        <w:rPr>
          <w:rFonts w:hint="eastAsia" w:ascii="宋体" w:hAnsi="宋体" w:cs="宋体"/>
          <w:sz w:val="18"/>
          <w:szCs w:val="18"/>
        </w:rPr>
        <w:t>≤</w:t>
      </w:r>
      <m:oMath>
        <m:r>
          <m:rPr/>
          <w:rPr>
            <w:rFonts w:hint="eastAsia" w:ascii="Cambria Math" w:hAnsi="Cambria Math" w:cs="宋体"/>
            <w:sz w:val="18"/>
            <w:szCs w:val="18"/>
          </w:rPr>
          <m:t>K</m:t>
        </m:r>
      </m:oMath>
    </w:p>
    <w:p w14:paraId="13352ACA">
      <w:pPr>
        <w:spacing w:line="240" w:lineRule="auto"/>
        <w:ind w:left="630" w:leftChars="300"/>
        <w:jc w:val="left"/>
        <w:rPr>
          <w:rFonts w:hint="eastAsia" w:ascii="宋体" w:hAnsi="宋体" w:cs="宋体"/>
        </w:rPr>
      </w:pPr>
      <w:r>
        <w:rPr>
          <w:rFonts w:hint="eastAsia" w:ascii="宋体" w:hAnsi="宋体" w:cs="宋体"/>
          <w:i/>
          <w:iCs/>
        </w:rPr>
        <w:t>K</w:t>
      </w:r>
      <w:r>
        <w:rPr>
          <w:rFonts w:hint="eastAsia" w:ascii="宋体" w:hAnsi="宋体" w:cs="宋体"/>
        </w:rPr>
        <w:t> ——渗透系数，m/d；</w:t>
      </w:r>
    </w:p>
    <w:p w14:paraId="01E498D0">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rPr>
        <w:t>——含水层厚度，m；</w:t>
      </w:r>
    </w:p>
    <w:p w14:paraId="1907C260">
      <w:pPr>
        <w:spacing w:line="240" w:lineRule="auto"/>
        <w:ind w:left="630" w:leftChars="300"/>
        <w:jc w:val="left"/>
        <w:rPr>
          <w:rFonts w:hint="eastAsia" w:ascii="宋体" w:hAnsi="宋体" w:cs="宋体"/>
        </w:rPr>
      </w:pPr>
      <w:r>
        <w:rPr>
          <w:rFonts w:hint="eastAsia" w:ascii="宋体" w:hAnsi="宋体" w:cs="宋体"/>
          <w:i/>
          <w:iCs/>
        </w:rPr>
        <w:t>S</w:t>
      </w:r>
      <w:r>
        <w:rPr>
          <w:rFonts w:hint="eastAsia" w:ascii="宋体" w:hAnsi="宋体" w:cs="宋体"/>
        </w:rPr>
        <w:t>——水位降深，m；</w:t>
      </w:r>
    </w:p>
    <w:p w14:paraId="72F96FA5">
      <w:pPr>
        <w:pStyle w:val="32"/>
        <w:spacing w:after="0" w:line="240" w:lineRule="auto"/>
        <w:ind w:left="630" w:leftChars="300" w:firstLine="0" w:firstLineChars="0"/>
        <w:jc w:val="left"/>
        <w:rPr>
          <w:rFonts w:ascii="宋体" w:hAnsi="宋体" w:eastAsia="宋体" w:cs="宋体"/>
          <w:sz w:val="18"/>
          <w:szCs w:val="18"/>
        </w:rPr>
      </w:pPr>
      <m:oMath>
        <m:r>
          <m:rPr/>
          <w:rPr>
            <w:rFonts w:ascii="Cambria Math" w:hAnsi="Cambria Math" w:eastAsia="宋体" w:cs="宋体"/>
          </w:rPr>
          <m:t>R</m:t>
        </m:r>
        <m:r>
          <m:rPr/>
          <w:rPr>
            <w:rFonts w:hint="default" w:ascii="Cambria Math" w:hAnsi="Cambria Math" w:eastAsia="宋体" w:cs="宋体"/>
          </w:rPr>
          <m:t>'</m:t>
        </m:r>
      </m:oMath>
      <w:r>
        <w:rPr>
          <w:rFonts w:ascii="宋体" w:hAnsi="宋体" w:eastAsia="宋体" w:cs="宋体"/>
        </w:rPr>
        <w:t>——表观抽水影响半径，m；</w:t>
      </w:r>
      <m:oMath>
        <m:r>
          <m:rPr/>
          <w:rPr>
            <w:rFonts w:ascii="Cambria Math" w:hAnsi="Cambria Math" w:eastAsia="宋体" w:cs="宋体"/>
            <w:sz w:val="18"/>
            <w:szCs w:val="18"/>
          </w:rPr>
          <m:t>R</m:t>
        </m:r>
        <m:r>
          <m:rPr/>
          <w:rPr>
            <w:rFonts w:hint="default" w:ascii="Cambria Math" w:hAnsi="Cambria Math" w:eastAsia="宋体" w:cs="宋体"/>
            <w:sz w:val="18"/>
            <w:szCs w:val="18"/>
          </w:rPr>
          <m:t>'</m:t>
        </m:r>
        <m:r>
          <m:rPr/>
          <w:rPr>
            <w:rFonts w:ascii="Cambria Math" w:hAnsi="Cambria Math" w:eastAsia="宋体" w:cs="宋体"/>
            <w:sz w:val="18"/>
            <w:szCs w:val="18"/>
          </w:rPr>
          <m:t>=</m:t>
        </m:r>
        <m:d>
          <m:dPr>
            <m:begChr m:val="（"/>
            <m:endChr m:val="）"/>
            <m:ctrlPr>
              <w:rPr>
                <w:rFonts w:ascii="Cambria Math" w:hAnsi="Cambria Math" w:eastAsia="宋体" w:cs="宋体"/>
                <w:i/>
                <w:iCs/>
                <w:sz w:val="18"/>
                <w:szCs w:val="18"/>
              </w:rPr>
            </m:ctrlPr>
          </m:dPr>
          <m:e>
            <m:r>
              <m:rPr/>
              <w:rPr>
                <w:rFonts w:ascii="Cambria Math" w:hAnsi="Cambria Math" w:eastAsia="宋体" w:cs="宋体"/>
                <w:sz w:val="18"/>
                <w:szCs w:val="18"/>
              </w:rPr>
              <m:t>1</m:t>
            </m:r>
            <m:r>
              <m:rPr/>
              <w:rPr>
                <w:rFonts w:ascii="微软雅黑" w:hAnsi="微软雅黑" w:eastAsia="微软雅黑" w:cs="微软雅黑"/>
                <w:sz w:val="18"/>
                <w:szCs w:val="18"/>
              </w:rPr>
              <m:t>−</m:t>
            </m:r>
            <m:r>
              <m:rPr/>
              <w:rPr>
                <w:rFonts w:ascii="Cambria Math" w:hAnsi="Cambria Math" w:eastAsia="宋体" w:cs="宋体"/>
                <w:sz w:val="18"/>
                <w:szCs w:val="18"/>
              </w:rPr>
              <m:t>λ</m:t>
            </m:r>
            <m:ctrlPr>
              <w:rPr>
                <w:rFonts w:ascii="Cambria Math" w:hAnsi="Cambria Math" w:eastAsia="宋体" w:cs="宋体"/>
                <w:i/>
                <w:iCs/>
                <w:sz w:val="18"/>
                <w:szCs w:val="18"/>
              </w:rPr>
            </m:ctrlPr>
          </m:e>
        </m:d>
        <m:r>
          <m:rPr/>
          <w:rPr>
            <w:rFonts w:ascii="Cambria Math" w:hAnsi="Cambria Math" w:eastAsia="宋体" w:cs="宋体"/>
            <w:sz w:val="18"/>
            <w:szCs w:val="18"/>
          </w:rPr>
          <m:t>×</m:t>
        </m:r>
        <m:d>
          <m:dPr>
            <m:begChr m:val="（"/>
            <m:endChr m:val="）"/>
            <m:ctrlPr>
              <w:rPr>
                <w:rFonts w:ascii="Cambria Math" w:hAnsi="Cambria Math" w:eastAsia="宋体" w:cs="宋体"/>
                <w:i/>
                <w:iCs/>
                <w:sz w:val="18"/>
                <w:szCs w:val="18"/>
              </w:rPr>
            </m:ctrlPr>
          </m:dPr>
          <m:e>
            <m:r>
              <m:rPr/>
              <w:rPr>
                <w:rFonts w:ascii="Cambria Math" w:hAnsi="Cambria Math" w:eastAsia="宋体" w:cs="宋体"/>
                <w:sz w:val="18"/>
                <w:szCs w:val="18"/>
              </w:rPr>
              <m:t>R</m:t>
            </m:r>
            <m:r>
              <m:rPr/>
              <w:rPr>
                <w:rFonts w:ascii="微软雅黑" w:hAnsi="微软雅黑" w:eastAsia="微软雅黑" w:cs="微软雅黑"/>
                <w:sz w:val="18"/>
                <w:szCs w:val="18"/>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ctrlPr>
              <w:rPr>
                <w:rFonts w:ascii="Cambria Math" w:hAnsi="Cambria Math" w:eastAsia="宋体" w:cs="宋体"/>
                <w:i/>
                <w:iCs/>
                <w:sz w:val="18"/>
                <w:szCs w:val="18"/>
              </w:rPr>
            </m:ctrlPr>
          </m:e>
        </m:d>
        <m:r>
          <m:rPr/>
          <w:rPr>
            <w:rFonts w:ascii="Cambria Math" w:hAnsi="Cambria Math" w:eastAsia="宋体" w:cs="宋体"/>
            <w:sz w:val="18"/>
            <w:szCs w:val="18"/>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r>
          <m:rPr/>
          <w:rPr>
            <w:rFonts w:ascii="Cambria Math" w:hAnsi="Cambria Math" w:eastAsia="宋体" w:cs="宋体"/>
            <w:sz w:val="18"/>
            <w:szCs w:val="18"/>
            <w:vertAlign w:val="subscript"/>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oMath>
      <w:r>
        <w:rPr>
          <w:rFonts w:ascii="宋体" w:hAnsi="宋体" w:eastAsia="宋体" w:cs="宋体"/>
          <w:iCs/>
          <w:sz w:val="18"/>
          <w:szCs w:val="18"/>
        </w:rPr>
        <w:t>≤</w:t>
      </w:r>
      <m:oMath>
        <m:r>
          <m:rPr/>
          <w:rPr>
            <w:rFonts w:ascii="Cambria Math" w:hAnsi="Cambria Math" w:eastAsia="宋体" w:cs="宋体"/>
            <w:sz w:val="18"/>
            <w:szCs w:val="18"/>
          </w:rPr>
          <m:t>R</m:t>
        </m:r>
        <m:r>
          <m:rPr/>
          <w:rPr>
            <w:rFonts w:hint="default" w:ascii="Cambria Math" w:hAnsi="Cambria Math" w:eastAsia="宋体" w:cs="宋体"/>
            <w:sz w:val="18"/>
            <w:szCs w:val="18"/>
          </w:rPr>
          <m:t>'</m:t>
        </m:r>
      </m:oMath>
      <w:r>
        <w:rPr>
          <w:rFonts w:ascii="宋体" w:hAnsi="宋体" w:eastAsia="宋体" w:cs="宋体"/>
          <w:iCs/>
          <w:sz w:val="18"/>
          <w:szCs w:val="18"/>
        </w:rPr>
        <w:t>≤</w:t>
      </w:r>
      <m:oMath>
        <m:r>
          <m:rPr/>
          <w:rPr>
            <w:rFonts w:ascii="Cambria Math" w:hAnsi="Cambria Math" w:eastAsia="宋体" w:cs="宋体"/>
            <w:sz w:val="18"/>
            <w:szCs w:val="18"/>
          </w:rPr>
          <m:t>R</m:t>
        </m:r>
      </m:oMath>
    </w:p>
    <w:p w14:paraId="44D723B0">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rPr>
        <w:t>——抽水影响半径，m；</w:t>
      </w:r>
    </w:p>
    <w:p w14:paraId="69C4DD42">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i/>
          <w:iCs/>
          <w:vertAlign w:val="subscript"/>
        </w:rPr>
        <w:t>0</w:t>
      </w:r>
      <w:r>
        <w:rPr>
          <w:rFonts w:hint="eastAsia" w:ascii="宋体" w:hAnsi="宋体" w:cs="宋体"/>
        </w:rPr>
        <w:t>——基坑等效半径，m；</w:t>
      </w:r>
    </w:p>
    <w:p w14:paraId="21AEB51D">
      <w:pPr>
        <w:spacing w:line="240" w:lineRule="auto"/>
        <w:ind w:left="630" w:leftChars="300"/>
        <w:jc w:val="left"/>
        <w:rPr>
          <w:rFonts w:hint="eastAsia" w:ascii="宋体" w:hAnsi="宋体" w:cs="宋体"/>
        </w:rPr>
      </w:pPr>
      <w:r>
        <w:rPr>
          <w:rFonts w:hint="eastAsia" w:ascii="宋体" w:hAnsi="宋体" w:cs="宋体"/>
          <w:i/>
          <w:iCs/>
        </w:rPr>
        <w:t>λ</w:t>
      </w:r>
      <w:r>
        <w:rPr>
          <w:rFonts w:hint="eastAsia" w:ascii="宋体" w:hAnsi="宋体" w:cs="宋体"/>
        </w:rPr>
        <w:t>——隔水系数，通过连通性抽水试验进行求取，试验方法见附录D。</w:t>
      </w:r>
    </w:p>
    <w:p w14:paraId="4777FE69">
      <w:pPr>
        <w:pStyle w:val="173"/>
        <w:rPr>
          <w:rFonts w:hint="eastAsia" w:hAnsi="宋体" w:cs="宋体"/>
          <w:bCs/>
          <w:kern w:val="2"/>
          <w:szCs w:val="21"/>
        </w:rPr>
      </w:pPr>
      <w:r>
        <w:rPr>
          <w:rFonts w:hint="eastAsia" w:hAnsi="宋体" w:cs="宋体"/>
          <w:bCs/>
          <w:kern w:val="2"/>
          <w:szCs w:val="21"/>
        </w:rPr>
        <w:t>基坑等效半径可按表14和表15确定。</w:t>
      </w:r>
    </w:p>
    <w:p w14:paraId="1D0BDFD6">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表14  基坑等效半径 </w:t>
      </w:r>
      <m:oMath>
        <m:sSub>
          <m:sSubPr>
            <m:ctrlPr>
              <w:rPr>
                <w:rFonts w:hint="eastAsia" w:ascii="Cambria Math" w:hAnsi="Cambria Math" w:eastAsia="黑体" w:cs="宋体"/>
                <w:color w:val="000000"/>
              </w:rPr>
            </m:ctrlPr>
          </m:sSubPr>
          <m:e>
            <m:r>
              <m:rPr>
                <m:sty m:val="p"/>
              </m:rPr>
              <w:rPr>
                <w:rFonts w:hint="eastAsia" w:ascii="Cambria Math" w:hAnsi="Cambria Math" w:eastAsia="黑体" w:cs="宋体"/>
                <w:color w:val="000000"/>
              </w:rPr>
              <m:t>r</m:t>
            </m:r>
            <m:ctrlPr>
              <w:rPr>
                <w:rFonts w:hint="eastAsia" w:ascii="Cambria Math" w:hAnsi="Cambria Math" w:eastAsia="黑体" w:cs="宋体"/>
                <w:color w:val="000000"/>
              </w:rPr>
            </m:ctrlPr>
          </m:e>
          <m:sub>
            <m:r>
              <m:rPr>
                <m:sty m:val="p"/>
              </m:rPr>
              <w:rPr>
                <w:rFonts w:hint="eastAsia" w:ascii="Cambria Math" w:hAnsi="Cambria Math" w:eastAsia="黑体" w:cs="宋体"/>
                <w:color w:val="000000"/>
              </w:rPr>
              <m:t>0</m:t>
            </m:r>
            <m:ctrlPr>
              <w:rPr>
                <w:rFonts w:hint="eastAsia" w:ascii="Cambria Math" w:hAnsi="Cambria Math" w:eastAsia="黑体" w:cs="宋体"/>
                <w:color w:val="000000"/>
              </w:rPr>
            </m:ctrlPr>
          </m:sub>
        </m:sSub>
      </m:oMath>
    </w:p>
    <w:tbl>
      <w:tblPr>
        <w:tblStyle w:val="34"/>
        <w:tblW w:w="85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53"/>
        <w:gridCol w:w="1261"/>
        <w:gridCol w:w="1780"/>
        <w:gridCol w:w="2455"/>
      </w:tblGrid>
      <w:tr w14:paraId="25275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053" w:type="dxa"/>
            <w:tcBorders>
              <w:top w:val="single" w:color="auto" w:sz="12" w:space="0"/>
              <w:bottom w:val="single" w:color="auto" w:sz="12" w:space="0"/>
            </w:tcBorders>
            <w:vAlign w:val="center"/>
          </w:tcPr>
          <w:p w14:paraId="580D0B63">
            <w:pPr>
              <w:spacing w:line="240" w:lineRule="auto"/>
              <w:jc w:val="center"/>
              <w:rPr>
                <w:kern w:val="0"/>
                <w:sz w:val="18"/>
                <w:szCs w:val="18"/>
              </w:rPr>
            </w:pPr>
            <w:r>
              <w:rPr>
                <w:kern w:val="0"/>
                <w:sz w:val="18"/>
                <w:szCs w:val="18"/>
              </w:rPr>
              <w:t>基坑平面图形</w:t>
            </w:r>
          </w:p>
        </w:tc>
        <w:tc>
          <w:tcPr>
            <w:tcW w:w="1261" w:type="dxa"/>
            <w:tcBorders>
              <w:top w:val="single" w:color="auto" w:sz="12" w:space="0"/>
              <w:bottom w:val="single" w:color="auto" w:sz="12" w:space="0"/>
            </w:tcBorders>
            <w:vAlign w:val="center"/>
          </w:tcPr>
          <w:p w14:paraId="63406650">
            <w:pPr>
              <w:spacing w:line="240" w:lineRule="auto"/>
              <w:jc w:val="center"/>
              <w:rPr>
                <w:kern w:val="0"/>
                <w:sz w:val="18"/>
                <w:szCs w:val="18"/>
              </w:rPr>
            </w:pPr>
            <w:r>
              <w:rPr>
                <w:kern w:val="0"/>
                <w:sz w:val="18"/>
                <w:szCs w:val="18"/>
              </w:rPr>
              <w:t>名称</w:t>
            </w:r>
          </w:p>
        </w:tc>
        <w:tc>
          <w:tcPr>
            <w:tcW w:w="1780" w:type="dxa"/>
            <w:tcBorders>
              <w:top w:val="single" w:color="auto" w:sz="12" w:space="0"/>
              <w:bottom w:val="single" w:color="auto" w:sz="12" w:space="0"/>
            </w:tcBorders>
            <w:vAlign w:val="center"/>
          </w:tcPr>
          <w:p w14:paraId="17131DFE">
            <w:pPr>
              <w:spacing w:line="240" w:lineRule="auto"/>
              <w:jc w:val="center"/>
              <w:rPr>
                <w:kern w:val="0"/>
                <w:sz w:val="18"/>
                <w:szCs w:val="18"/>
              </w:rPr>
            </w:pPr>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oMath>
            <w:r>
              <w:rPr>
                <w:kern w:val="0"/>
                <w:sz w:val="18"/>
                <w:szCs w:val="18"/>
              </w:rPr>
              <w:t>表达式</w:t>
            </w:r>
          </w:p>
        </w:tc>
        <w:tc>
          <w:tcPr>
            <w:tcW w:w="2455" w:type="dxa"/>
            <w:tcBorders>
              <w:top w:val="single" w:color="auto" w:sz="12" w:space="0"/>
              <w:bottom w:val="single" w:color="auto" w:sz="12" w:space="0"/>
            </w:tcBorders>
            <w:vAlign w:val="center"/>
          </w:tcPr>
          <w:p w14:paraId="5D830CF6">
            <w:pPr>
              <w:spacing w:line="240" w:lineRule="auto"/>
              <w:jc w:val="center"/>
              <w:rPr>
                <w:kern w:val="0"/>
                <w:sz w:val="18"/>
                <w:szCs w:val="18"/>
              </w:rPr>
            </w:pPr>
            <w:r>
              <w:rPr>
                <w:kern w:val="0"/>
                <w:sz w:val="18"/>
                <w:szCs w:val="18"/>
              </w:rPr>
              <w:t>公式采用的符号</w:t>
            </w:r>
          </w:p>
        </w:tc>
      </w:tr>
      <w:tr w14:paraId="694B7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tcBorders>
              <w:top w:val="single" w:color="auto" w:sz="12" w:space="0"/>
            </w:tcBorders>
            <w:vAlign w:val="center"/>
          </w:tcPr>
          <w:p w14:paraId="5D2ED6E2">
            <w:pPr>
              <w:pStyle w:val="254"/>
              <w:widowControl w:val="0"/>
              <w:spacing w:before="0" w:after="0" w:line="240" w:lineRule="auto"/>
              <w:ind w:left="11" w:leftChars="0" w:right="-103" w:rightChars="-49" w:hanging="11"/>
              <w:rPr>
                <w:rFonts w:ascii="Times New Roman" w:hAnsi="Times New Roman"/>
                <w:kern w:val="0"/>
                <w:sz w:val="18"/>
                <w:szCs w:val="18"/>
              </w:rPr>
            </w:pPr>
            <w:r>
              <w:rPr>
                <w:rFonts w:ascii="Times New Roman" w:hAnsi="Times New Roman"/>
                <w:kern w:val="0"/>
                <w:sz w:val="18"/>
                <w:szCs w:val="18"/>
              </w:rPr>
              <w:object>
                <v:shape id="_x0000_i1038" o:spt="75" type="#_x0000_t75" style="height:36pt;width:108pt;" o:ole="t" filled="f" coordsize="21600,21600">
                  <v:path/>
                  <v:fill on="f" focussize="0,0"/>
                  <v:stroke/>
                  <v:imagedata r:id="rId75" cropleft="2510f" croptop="13423f" cropright="13665f" cropbottom="26451f" o:title=""/>
                  <o:lock v:ext="edit" aspectratio="t"/>
                  <w10:wrap type="none"/>
                  <w10:anchorlock/>
                </v:shape>
                <o:OLEObject Type="Embed" ProgID="AcroExch.Document.11" ShapeID="_x0000_i1038" DrawAspect="Content" ObjectID="_1468075738" r:id="rId74">
                  <o:LockedField>false</o:LockedField>
                </o:OLEObject>
              </w:object>
            </w:r>
          </w:p>
        </w:tc>
        <w:tc>
          <w:tcPr>
            <w:tcW w:w="1261" w:type="dxa"/>
            <w:tcBorders>
              <w:top w:val="single" w:color="auto" w:sz="12" w:space="0"/>
            </w:tcBorders>
            <w:vAlign w:val="center"/>
          </w:tcPr>
          <w:p w14:paraId="3A013288">
            <w:pPr>
              <w:spacing w:line="240" w:lineRule="auto"/>
              <w:jc w:val="center"/>
              <w:rPr>
                <w:kern w:val="0"/>
                <w:sz w:val="18"/>
                <w:szCs w:val="18"/>
              </w:rPr>
            </w:pPr>
            <w:r>
              <w:rPr>
                <w:rFonts w:hint="eastAsia"/>
                <w:kern w:val="0"/>
                <w:sz w:val="18"/>
                <w:szCs w:val="18"/>
              </w:rPr>
              <w:t>长条</w:t>
            </w:r>
            <w:r>
              <w:rPr>
                <w:kern w:val="0"/>
                <w:sz w:val="18"/>
                <w:szCs w:val="18"/>
              </w:rPr>
              <w:t>状</w:t>
            </w:r>
          </w:p>
        </w:tc>
        <w:tc>
          <w:tcPr>
            <w:tcW w:w="1780" w:type="dxa"/>
            <w:tcBorders>
              <w:top w:val="single" w:color="auto" w:sz="12" w:space="0"/>
            </w:tcBorders>
            <w:vAlign w:val="center"/>
          </w:tcPr>
          <w:p w14:paraId="46518723">
            <w:pPr>
              <w:spacing w:line="240" w:lineRule="auto"/>
              <w:ind w:firstLine="482"/>
              <w:rPr>
                <w:i/>
                <w:iCs/>
                <w:kern w:val="0"/>
                <w:sz w:val="18"/>
                <w:szCs w:val="18"/>
              </w:rPr>
            </w:pPr>
            <m:oMathPara>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S</m:t>
                    </m:r>
                    <m:ctrlPr>
                      <w:rPr>
                        <w:rFonts w:ascii="Cambria Math" w:hAnsi="Cambria Math"/>
                        <w:i/>
                        <w:iCs/>
                        <w:kern w:val="0"/>
                        <w:sz w:val="18"/>
                        <w:szCs w:val="18"/>
                      </w:rPr>
                    </m:ctrlPr>
                  </m:num>
                  <m:den>
                    <m:r>
                      <m:rPr/>
                      <w:rPr>
                        <w:rFonts w:ascii="Cambria Math" w:hAnsi="Cambria Math"/>
                        <w:kern w:val="0"/>
                        <w:sz w:val="18"/>
                        <w:szCs w:val="18"/>
                      </w:rPr>
                      <m:t>4</m:t>
                    </m:r>
                    <m:ctrlPr>
                      <w:rPr>
                        <w:rFonts w:ascii="Cambria Math" w:hAnsi="Cambria Math"/>
                        <w:i/>
                        <w:iCs/>
                        <w:kern w:val="0"/>
                        <w:sz w:val="18"/>
                        <w:szCs w:val="18"/>
                      </w:rPr>
                    </m:ctrlPr>
                  </m:den>
                </m:f>
                <m:r>
                  <m:rPr/>
                  <w:rPr>
                    <w:rFonts w:ascii="Cambria Math" w:hAnsi="Cambria Math"/>
                    <w:kern w:val="0"/>
                    <w:sz w:val="18"/>
                    <w:szCs w:val="18"/>
                  </w:rPr>
                  <m:t>=0.25S</m:t>
                </m:r>
              </m:oMath>
            </m:oMathPara>
          </w:p>
        </w:tc>
        <w:tc>
          <w:tcPr>
            <w:tcW w:w="2455" w:type="dxa"/>
            <w:tcBorders>
              <w:top w:val="single" w:color="auto" w:sz="12" w:space="0"/>
            </w:tcBorders>
            <w:vAlign w:val="center"/>
          </w:tcPr>
          <w:p w14:paraId="717F9553">
            <w:pPr>
              <w:spacing w:line="240" w:lineRule="auto"/>
              <w:jc w:val="center"/>
              <w:rPr>
                <w:kern w:val="0"/>
                <w:sz w:val="18"/>
                <w:szCs w:val="18"/>
              </w:rPr>
            </w:pPr>
            <w:r>
              <w:rPr>
                <w:i/>
                <w:iCs/>
                <w:kern w:val="0"/>
                <w:sz w:val="18"/>
                <w:szCs w:val="18"/>
              </w:rPr>
              <w:t>S</w:t>
            </w:r>
            <w:r>
              <w:rPr>
                <w:kern w:val="0"/>
                <w:sz w:val="18"/>
                <w:szCs w:val="18"/>
              </w:rPr>
              <w:t>为基坑</w:t>
            </w:r>
            <w:r>
              <w:rPr>
                <w:rFonts w:hint="eastAsia"/>
                <w:kern w:val="0"/>
                <w:sz w:val="18"/>
                <w:szCs w:val="18"/>
              </w:rPr>
              <w:t>长度</w:t>
            </w:r>
            <w:r>
              <w:rPr>
                <w:kern w:val="0"/>
                <w:sz w:val="18"/>
                <w:szCs w:val="18"/>
              </w:rPr>
              <w:t>，</w:t>
            </w:r>
          </w:p>
          <w:p w14:paraId="49B2828C">
            <w:pPr>
              <w:spacing w:line="240" w:lineRule="auto"/>
              <w:jc w:val="center"/>
              <w:rPr>
                <w:kern w:val="0"/>
                <w:sz w:val="18"/>
                <w:szCs w:val="18"/>
              </w:rPr>
            </w:pPr>
            <m:oMathPara>
              <m:oMath>
                <m:f>
                  <m:fPr>
                    <m:ctrlPr>
                      <w:rPr>
                        <w:rFonts w:ascii="Cambria Math" w:hAnsi="Cambria Math"/>
                        <w:i/>
                        <w:iCs/>
                        <w:kern w:val="0"/>
                        <w:sz w:val="18"/>
                        <w:szCs w:val="18"/>
                      </w:rPr>
                    </m:ctrlPr>
                  </m:fPr>
                  <m:num>
                    <m:r>
                      <m:rPr/>
                      <w:rPr>
                        <w:rFonts w:ascii="Cambria Math" w:hAnsi="Cambria Math"/>
                        <w:kern w:val="0"/>
                        <w:sz w:val="18"/>
                        <w:szCs w:val="18"/>
                      </w:rPr>
                      <m:t>宽</m:t>
                    </m:r>
                    <m:ctrlPr>
                      <w:rPr>
                        <w:rFonts w:ascii="Cambria Math" w:hAnsi="Cambria Math"/>
                        <w:i/>
                        <w:iCs/>
                        <w:kern w:val="0"/>
                        <w:sz w:val="18"/>
                        <w:szCs w:val="18"/>
                      </w:rPr>
                    </m:ctrlPr>
                  </m:num>
                  <m:den>
                    <m:r>
                      <m:rPr/>
                      <w:rPr>
                        <w:rFonts w:ascii="Cambria Math" w:hAnsi="Cambria Math"/>
                        <w:kern w:val="0"/>
                        <w:sz w:val="18"/>
                        <w:szCs w:val="18"/>
                      </w:rPr>
                      <m:t>长</m:t>
                    </m:r>
                    <m:ctrlPr>
                      <w:rPr>
                        <w:rFonts w:ascii="Cambria Math" w:hAnsi="Cambria Math"/>
                        <w:i/>
                        <w:iCs/>
                        <w:kern w:val="0"/>
                        <w:sz w:val="18"/>
                        <w:szCs w:val="18"/>
                      </w:rPr>
                    </m:ctrlPr>
                  </m:den>
                </m:f>
                <m:r>
                  <m:rPr>
                    <m:sty m:val="p"/>
                  </m:rPr>
                  <w:rPr>
                    <w:rFonts w:hint="eastAsia" w:ascii="Cambria Math" w:hAnsi="Cambria Math" w:eastAsia="微软雅黑" w:cs="微软雅黑"/>
                    <w:kern w:val="0"/>
                    <w:sz w:val="18"/>
                    <w:szCs w:val="18"/>
                  </w:rPr>
                  <m:t>&lt;</m:t>
                </m:r>
                <m:r>
                  <m:rPr>
                    <m:sty m:val="p"/>
                  </m:rPr>
                  <w:rPr>
                    <w:rFonts w:ascii="Cambria Math" w:hAnsi="Cambria Math" w:eastAsia="微软雅黑"/>
                    <w:kern w:val="0"/>
                    <w:sz w:val="18"/>
                    <w:szCs w:val="18"/>
                  </w:rPr>
                  <m:t>0.05</m:t>
                </m:r>
              </m:oMath>
            </m:oMathPara>
          </w:p>
        </w:tc>
      </w:tr>
      <w:tr w14:paraId="678A5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vAlign w:val="center"/>
          </w:tcPr>
          <w:p w14:paraId="0E70979E">
            <w:pPr>
              <w:pStyle w:val="254"/>
              <w:widowControl w:val="0"/>
              <w:spacing w:before="0" w:after="0" w:line="240" w:lineRule="auto"/>
              <w:ind w:left="0" w:leftChars="0" w:right="0" w:rightChars="0"/>
              <w:rPr>
                <w:rFonts w:ascii="Times New Roman" w:hAnsi="Times New Roman"/>
                <w:kern w:val="0"/>
                <w:sz w:val="18"/>
                <w:szCs w:val="18"/>
              </w:rPr>
            </w:pPr>
            <w:r>
              <w:rPr>
                <w:rFonts w:ascii="宋体" w:hAnsi="宋体" w:cs="宋体"/>
                <w:szCs w:val="24"/>
              </w:rPr>
              <w:drawing>
                <wp:inline distT="0" distB="0" distL="114300" distR="114300">
                  <wp:extent cx="1127125" cy="635635"/>
                  <wp:effectExtent l="0" t="0" r="15875" b="12065"/>
                  <wp:docPr id="1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56"/>
                          <pic:cNvPicPr>
                            <a:picLocks noChangeAspect="1"/>
                          </pic:cNvPicPr>
                        </pic:nvPicPr>
                        <pic:blipFill>
                          <a:blip r:embed="rId76"/>
                          <a:stretch>
                            <a:fillRect/>
                          </a:stretch>
                        </pic:blipFill>
                        <pic:spPr>
                          <a:xfrm>
                            <a:off x="0" y="0"/>
                            <a:ext cx="1127125" cy="635635"/>
                          </a:xfrm>
                          <a:prstGeom prst="rect">
                            <a:avLst/>
                          </a:prstGeom>
                          <a:noFill/>
                          <a:ln w="9525">
                            <a:noFill/>
                          </a:ln>
                        </pic:spPr>
                      </pic:pic>
                    </a:graphicData>
                  </a:graphic>
                </wp:inline>
              </w:drawing>
            </w:r>
          </w:p>
        </w:tc>
        <w:tc>
          <w:tcPr>
            <w:tcW w:w="1261" w:type="dxa"/>
            <w:vAlign w:val="center"/>
          </w:tcPr>
          <w:p w14:paraId="59C39FF4">
            <w:pPr>
              <w:spacing w:line="240" w:lineRule="auto"/>
              <w:jc w:val="center"/>
              <w:rPr>
                <w:kern w:val="0"/>
                <w:sz w:val="18"/>
                <w:szCs w:val="18"/>
              </w:rPr>
            </w:pPr>
            <w:r>
              <w:rPr>
                <w:kern w:val="0"/>
                <w:sz w:val="18"/>
                <w:szCs w:val="18"/>
              </w:rPr>
              <w:t>椭圆形</w:t>
            </w:r>
          </w:p>
        </w:tc>
        <w:tc>
          <w:tcPr>
            <w:tcW w:w="1780" w:type="dxa"/>
            <w:vAlign w:val="center"/>
          </w:tcPr>
          <w:p w14:paraId="61EC7904">
            <w:pPr>
              <w:spacing w:line="240" w:lineRule="auto"/>
              <w:ind w:firstLine="482"/>
              <w:rPr>
                <w:i/>
                <w:iCs/>
                <w:kern w:val="0"/>
                <w:sz w:val="18"/>
                <w:szCs w:val="18"/>
              </w:rPr>
            </w:pPr>
            <m:oMathPara>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r>
                  <m:rPr/>
                  <w:rPr>
                    <w:rFonts w:ascii="Cambria Math" w:hAnsi="Cambria Math"/>
                    <w:kern w:val="0"/>
                    <w:sz w:val="18"/>
                    <w:szCs w:val="18"/>
                  </w:rPr>
                  <m:t>=</m:t>
                </m:r>
                <m:f>
                  <m:fPr>
                    <m:ctrlPr>
                      <w:rPr>
                        <w:rFonts w:ascii="Cambria Math" w:hAnsi="Cambria Math"/>
                        <w:i/>
                        <w:iCs/>
                        <w:kern w:val="0"/>
                        <w:sz w:val="18"/>
                        <w:szCs w:val="18"/>
                      </w:rPr>
                    </m:ctrlPr>
                  </m:fPr>
                  <m:num>
                    <m:sSub>
                      <m:sSubPr>
                        <m:ctrlPr>
                          <w:rPr>
                            <w:rFonts w:ascii="Cambria Math" w:hAnsi="Cambria Math"/>
                            <w:i/>
                            <w:iCs/>
                            <w:kern w:val="0"/>
                            <w:sz w:val="18"/>
                            <w:szCs w:val="18"/>
                          </w:rPr>
                        </m:ctrlPr>
                      </m:sSubPr>
                      <m:e>
                        <m:r>
                          <m:rPr/>
                          <w:rPr>
                            <w:rFonts w:ascii="Cambria Math" w:hAnsi="Cambria Math"/>
                            <w:kern w:val="0"/>
                            <w:sz w:val="18"/>
                            <w:szCs w:val="18"/>
                          </w:rPr>
                          <m:t>D</m:t>
                        </m:r>
                        <m:ctrlPr>
                          <w:rPr>
                            <w:rFonts w:ascii="Cambria Math" w:hAnsi="Cambria Math"/>
                            <w:i/>
                            <w:iCs/>
                            <w:kern w:val="0"/>
                            <w:sz w:val="18"/>
                            <w:szCs w:val="18"/>
                          </w:rPr>
                        </m:ctrlPr>
                      </m:e>
                      <m:sub>
                        <m:r>
                          <m:rPr/>
                          <w:rPr>
                            <w:rFonts w:ascii="Cambria Math" w:hAnsi="Cambria Math"/>
                            <w:kern w:val="0"/>
                            <w:sz w:val="18"/>
                            <w:szCs w:val="18"/>
                          </w:rPr>
                          <m:t>1</m:t>
                        </m:r>
                        <m:ctrlPr>
                          <w:rPr>
                            <w:rFonts w:ascii="Cambria Math" w:hAnsi="Cambria Math"/>
                            <w:i/>
                            <w:iCs/>
                            <w:kern w:val="0"/>
                            <w:sz w:val="18"/>
                            <w:szCs w:val="18"/>
                          </w:rPr>
                        </m:ctrlPr>
                      </m:sub>
                    </m:sSub>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D</m:t>
                        </m:r>
                        <m:ctrlPr>
                          <w:rPr>
                            <w:rFonts w:ascii="Cambria Math" w:hAnsi="Cambria Math"/>
                            <w:i/>
                            <w:iCs/>
                            <w:kern w:val="0"/>
                            <w:sz w:val="18"/>
                            <w:szCs w:val="18"/>
                          </w:rPr>
                        </m:ctrlPr>
                      </m:e>
                      <m:sub>
                        <m:r>
                          <m:rPr/>
                          <w:rPr>
                            <w:rFonts w:ascii="Cambria Math" w:hAnsi="Cambria Math"/>
                            <w:kern w:val="0"/>
                            <w:sz w:val="18"/>
                            <w:szCs w:val="18"/>
                          </w:rPr>
                          <m:t>2</m:t>
                        </m:r>
                        <m:ctrlPr>
                          <w:rPr>
                            <w:rFonts w:ascii="Cambria Math" w:hAnsi="Cambria Math"/>
                            <w:i/>
                            <w:iCs/>
                            <w:kern w:val="0"/>
                            <w:sz w:val="18"/>
                            <w:szCs w:val="18"/>
                          </w:rPr>
                        </m:ctrlPr>
                      </m:sub>
                    </m:sSub>
                    <m:ctrlPr>
                      <w:rPr>
                        <w:rFonts w:ascii="Cambria Math" w:hAnsi="Cambria Math"/>
                        <w:i/>
                        <w:iCs/>
                        <w:kern w:val="0"/>
                        <w:sz w:val="18"/>
                        <w:szCs w:val="18"/>
                      </w:rPr>
                    </m:ctrlPr>
                  </m:num>
                  <m:den>
                    <m:r>
                      <m:rPr/>
                      <w:rPr>
                        <w:rFonts w:ascii="Cambria Math" w:hAnsi="Cambria Math"/>
                        <w:kern w:val="0"/>
                        <w:sz w:val="18"/>
                        <w:szCs w:val="18"/>
                      </w:rPr>
                      <m:t>4</m:t>
                    </m:r>
                    <m:ctrlPr>
                      <w:rPr>
                        <w:rFonts w:ascii="Cambria Math" w:hAnsi="Cambria Math"/>
                        <w:i/>
                        <w:iCs/>
                        <w:kern w:val="0"/>
                        <w:sz w:val="18"/>
                        <w:szCs w:val="18"/>
                      </w:rPr>
                    </m:ctrlPr>
                  </m:den>
                </m:f>
              </m:oMath>
            </m:oMathPara>
          </w:p>
        </w:tc>
        <w:tc>
          <w:tcPr>
            <w:tcW w:w="2455" w:type="dxa"/>
            <w:vAlign w:val="center"/>
          </w:tcPr>
          <w:p w14:paraId="08A818DA">
            <w:pPr>
              <w:spacing w:line="240" w:lineRule="auto"/>
              <w:jc w:val="center"/>
              <w:rPr>
                <w:kern w:val="0"/>
                <w:sz w:val="18"/>
                <w:szCs w:val="18"/>
              </w:rPr>
            </w:pPr>
            <m:oMath>
              <m:sSub>
                <m:sSubPr>
                  <m:ctrlPr>
                    <w:rPr>
                      <w:rFonts w:ascii="Cambria Math" w:hAnsi="Cambria Math"/>
                      <w:i/>
                      <w:iCs/>
                      <w:kern w:val="0"/>
                      <w:sz w:val="18"/>
                      <w:szCs w:val="18"/>
                    </w:rPr>
                  </m:ctrlPr>
                </m:sSubPr>
                <m:e>
                  <m:r>
                    <m:rPr/>
                    <w:rPr>
                      <w:rFonts w:ascii="Cambria Math" w:hAnsi="Cambria Math"/>
                      <w:kern w:val="0"/>
                      <w:sz w:val="18"/>
                      <w:szCs w:val="18"/>
                    </w:rPr>
                    <m:t>D</m:t>
                  </m:r>
                  <m:ctrlPr>
                    <w:rPr>
                      <w:rFonts w:ascii="Cambria Math" w:hAnsi="Cambria Math"/>
                      <w:i/>
                      <w:iCs/>
                      <w:kern w:val="0"/>
                      <w:sz w:val="18"/>
                      <w:szCs w:val="18"/>
                    </w:rPr>
                  </m:ctrlPr>
                </m:e>
                <m:sub>
                  <m:r>
                    <m:rPr/>
                    <w:rPr>
                      <w:rFonts w:ascii="Cambria Math" w:hAnsi="Cambria Math"/>
                      <w:kern w:val="0"/>
                      <w:sz w:val="18"/>
                      <w:szCs w:val="18"/>
                    </w:rPr>
                    <m:t>1</m:t>
                  </m:r>
                  <m:ctrlPr>
                    <w:rPr>
                      <w:rFonts w:ascii="Cambria Math" w:hAnsi="Cambria Math"/>
                      <w:i/>
                      <w:iCs/>
                      <w:kern w:val="0"/>
                      <w:sz w:val="18"/>
                      <w:szCs w:val="18"/>
                    </w:rPr>
                  </m:ctrlPr>
                </m:sub>
              </m:sSub>
              <m:r>
                <m:rPr/>
                <w:rPr>
                  <w:rFonts w:ascii="Cambria Math" w:hAnsi="Cambria Math"/>
                  <w:kern w:val="0"/>
                  <w:sz w:val="18"/>
                  <w:szCs w:val="18"/>
                </w:rPr>
                <m:t>，</m:t>
              </m:r>
              <m:sSub>
                <m:sSubPr>
                  <m:ctrlPr>
                    <w:rPr>
                      <w:rFonts w:ascii="Cambria Math" w:hAnsi="Cambria Math"/>
                      <w:i/>
                      <w:iCs/>
                      <w:kern w:val="0"/>
                      <w:sz w:val="18"/>
                      <w:szCs w:val="18"/>
                    </w:rPr>
                  </m:ctrlPr>
                </m:sSubPr>
                <m:e>
                  <m:r>
                    <m:rPr/>
                    <w:rPr>
                      <w:rFonts w:ascii="Cambria Math" w:hAnsi="Cambria Math"/>
                      <w:kern w:val="0"/>
                      <w:sz w:val="18"/>
                      <w:szCs w:val="18"/>
                    </w:rPr>
                    <m:t>D</m:t>
                  </m:r>
                  <m:ctrlPr>
                    <w:rPr>
                      <w:rFonts w:ascii="Cambria Math" w:hAnsi="Cambria Math"/>
                      <w:i/>
                      <w:iCs/>
                      <w:kern w:val="0"/>
                      <w:sz w:val="18"/>
                      <w:szCs w:val="18"/>
                    </w:rPr>
                  </m:ctrlPr>
                </m:e>
                <m:sub>
                  <m:r>
                    <m:rPr/>
                    <w:rPr>
                      <w:rFonts w:ascii="Cambria Math" w:hAnsi="Cambria Math"/>
                      <w:kern w:val="0"/>
                      <w:sz w:val="18"/>
                      <w:szCs w:val="18"/>
                    </w:rPr>
                    <m:t>2</m:t>
                  </m:r>
                  <m:ctrlPr>
                    <w:rPr>
                      <w:rFonts w:ascii="Cambria Math" w:hAnsi="Cambria Math"/>
                      <w:i/>
                      <w:iCs/>
                      <w:kern w:val="0"/>
                      <w:sz w:val="18"/>
                      <w:szCs w:val="18"/>
                    </w:rPr>
                  </m:ctrlPr>
                </m:sub>
              </m:sSub>
            </m:oMath>
            <w:r>
              <w:rPr>
                <w:kern w:val="0"/>
                <w:sz w:val="18"/>
                <w:szCs w:val="18"/>
              </w:rPr>
              <w:t>为椭圆形长轴与短轴的长度</w:t>
            </w:r>
          </w:p>
        </w:tc>
      </w:tr>
      <w:tr w14:paraId="5BFD9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vAlign w:val="center"/>
          </w:tcPr>
          <w:p w14:paraId="46411CFD">
            <w:pPr>
              <w:pStyle w:val="254"/>
              <w:widowControl w:val="0"/>
              <w:spacing w:before="0" w:after="0" w:line="240" w:lineRule="auto"/>
              <w:ind w:left="0" w:leftChars="0" w:right="0" w:rightChars="0"/>
              <w:rPr>
                <w:rFonts w:ascii="Times New Roman" w:hAnsi="Times New Roman"/>
                <w:kern w:val="0"/>
                <w:sz w:val="18"/>
                <w:szCs w:val="18"/>
              </w:rPr>
            </w:pPr>
            <w:r>
              <w:rPr>
                <w:rFonts w:ascii="宋体" w:hAnsi="宋体" w:cs="宋体"/>
                <w:szCs w:val="24"/>
              </w:rPr>
              <w:drawing>
                <wp:inline distT="0" distB="0" distL="114300" distR="114300">
                  <wp:extent cx="1487805" cy="801370"/>
                  <wp:effectExtent l="0" t="0" r="17145" b="17780"/>
                  <wp:docPr id="1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56"/>
                          <pic:cNvPicPr>
                            <a:picLocks noChangeAspect="1"/>
                          </pic:cNvPicPr>
                        </pic:nvPicPr>
                        <pic:blipFill>
                          <a:blip r:embed="rId77"/>
                          <a:stretch>
                            <a:fillRect/>
                          </a:stretch>
                        </pic:blipFill>
                        <pic:spPr>
                          <a:xfrm>
                            <a:off x="0" y="0"/>
                            <a:ext cx="1487805" cy="801370"/>
                          </a:xfrm>
                          <a:prstGeom prst="rect">
                            <a:avLst/>
                          </a:prstGeom>
                          <a:noFill/>
                          <a:ln w="9525">
                            <a:noFill/>
                          </a:ln>
                        </pic:spPr>
                      </pic:pic>
                    </a:graphicData>
                  </a:graphic>
                </wp:inline>
              </w:drawing>
            </w:r>
          </w:p>
        </w:tc>
        <w:tc>
          <w:tcPr>
            <w:tcW w:w="1261" w:type="dxa"/>
            <w:vAlign w:val="center"/>
          </w:tcPr>
          <w:p w14:paraId="1CD4A972">
            <w:pPr>
              <w:spacing w:line="240" w:lineRule="auto"/>
              <w:jc w:val="center"/>
              <w:rPr>
                <w:iCs/>
                <w:kern w:val="0"/>
                <w:sz w:val="18"/>
                <w:szCs w:val="18"/>
              </w:rPr>
            </w:pPr>
            <w:r>
              <w:rPr>
                <w:rFonts w:hint="eastAsia"/>
                <w:kern w:val="0"/>
                <w:sz w:val="18"/>
                <w:szCs w:val="18"/>
              </w:rPr>
              <w:t>矩形</w:t>
            </w:r>
          </w:p>
        </w:tc>
        <w:tc>
          <w:tcPr>
            <w:tcW w:w="1780" w:type="dxa"/>
            <w:vAlign w:val="center"/>
          </w:tcPr>
          <w:p w14:paraId="05A36903">
            <w:pPr>
              <w:spacing w:line="240" w:lineRule="auto"/>
              <w:ind w:firstLine="482"/>
              <w:rPr>
                <w:iCs/>
                <w:kern w:val="0"/>
                <w:sz w:val="18"/>
                <w:szCs w:val="18"/>
              </w:rPr>
            </w:pPr>
            <m:oMathPara>
              <m:oMath>
                <m:sSub>
                  <m:sSubPr>
                    <m:ctrlPr>
                      <w:rPr>
                        <w:rFonts w:ascii="Cambria Math" w:hAnsi="Cambria Math"/>
                        <w:i/>
                        <w:kern w:val="0"/>
                        <w:sz w:val="18"/>
                        <w:szCs w:val="18"/>
                      </w:rPr>
                    </m:ctrlPr>
                  </m:sSubPr>
                  <m:e>
                    <m:r>
                      <m:rPr/>
                      <w:rPr>
                        <w:rFonts w:ascii="Cambria Math" w:hAnsi="Cambria Math"/>
                        <w:kern w:val="0"/>
                        <w:sz w:val="18"/>
                        <w:szCs w:val="18"/>
                      </w:rPr>
                      <m:t>r</m:t>
                    </m:r>
                    <m:ctrlPr>
                      <w:rPr>
                        <w:rFonts w:ascii="Cambria Math" w:hAnsi="Cambria Math"/>
                        <w:i/>
                        <w:kern w:val="0"/>
                        <w:sz w:val="18"/>
                        <w:szCs w:val="18"/>
                      </w:rPr>
                    </m:ctrlPr>
                  </m:e>
                  <m:sub>
                    <m:r>
                      <m:rPr/>
                      <w:rPr>
                        <w:rFonts w:ascii="Cambria Math" w:hAnsi="Cambria Math"/>
                        <w:kern w:val="0"/>
                        <w:sz w:val="18"/>
                        <w:szCs w:val="18"/>
                      </w:rPr>
                      <m:t>0</m:t>
                    </m:r>
                    <m:ctrlPr>
                      <w:rPr>
                        <w:rFonts w:ascii="Cambria Math" w:hAnsi="Cambria Math"/>
                        <w:i/>
                        <w:kern w:val="0"/>
                        <w:sz w:val="18"/>
                        <w:szCs w:val="18"/>
                      </w:rPr>
                    </m:ctrlPr>
                  </m:sub>
                </m:sSub>
                <m:r>
                  <m:rPr>
                    <m:sty m:val="p"/>
                  </m:rPr>
                  <w:rPr>
                    <w:rFonts w:ascii="Cambria Math" w:hAnsi="Cambria Math"/>
                    <w:kern w:val="0"/>
                    <w:sz w:val="18"/>
                    <w:szCs w:val="18"/>
                  </w:rPr>
                  <m:t>=</m:t>
                </m:r>
                <m:r>
                  <m:rPr/>
                  <w:rPr>
                    <w:rFonts w:ascii="Cambria Math" w:hAnsi="Cambria Math"/>
                    <w:kern w:val="0"/>
                    <w:sz w:val="18"/>
                    <w:szCs w:val="18"/>
                  </w:rPr>
                  <m:t>η</m:t>
                </m:r>
                <m:f>
                  <m:fPr>
                    <m:ctrlPr>
                      <w:rPr>
                        <w:rFonts w:ascii="Cambria Math" w:hAnsi="Cambria Math"/>
                        <w:i/>
                        <w:iCs/>
                        <w:kern w:val="0"/>
                        <w:sz w:val="18"/>
                        <w:szCs w:val="18"/>
                      </w:rPr>
                    </m:ctrlPr>
                  </m:fPr>
                  <m:num>
                    <m:r>
                      <m:rPr/>
                      <w:rPr>
                        <w:rFonts w:ascii="Cambria Math" w:hAnsi="Cambria Math"/>
                        <w:kern w:val="0"/>
                        <w:sz w:val="18"/>
                        <w:szCs w:val="18"/>
                      </w:rPr>
                      <m:t>a+b</m:t>
                    </m:r>
                    <m:ctrlPr>
                      <w:rPr>
                        <w:rFonts w:ascii="Cambria Math" w:hAnsi="Cambria Math"/>
                        <w:i/>
                        <w:iCs/>
                        <w:kern w:val="0"/>
                        <w:sz w:val="18"/>
                        <w:szCs w:val="18"/>
                      </w:rPr>
                    </m:ctrlPr>
                  </m:num>
                  <m:den>
                    <m:r>
                      <m:rPr/>
                      <w:rPr>
                        <w:rFonts w:ascii="Cambria Math" w:hAnsi="Cambria Math"/>
                        <w:kern w:val="0"/>
                        <w:sz w:val="18"/>
                        <w:szCs w:val="18"/>
                      </w:rPr>
                      <m:t>4</m:t>
                    </m:r>
                    <m:ctrlPr>
                      <w:rPr>
                        <w:rFonts w:ascii="Cambria Math" w:hAnsi="Cambria Math"/>
                        <w:i/>
                        <w:iCs/>
                        <w:kern w:val="0"/>
                        <w:sz w:val="18"/>
                        <w:szCs w:val="18"/>
                      </w:rPr>
                    </m:ctrlPr>
                  </m:den>
                </m:f>
              </m:oMath>
            </m:oMathPara>
          </w:p>
        </w:tc>
        <w:tc>
          <w:tcPr>
            <w:tcW w:w="2455" w:type="dxa"/>
            <w:vAlign w:val="center"/>
          </w:tcPr>
          <w:p w14:paraId="7A3E8803">
            <w:pPr>
              <w:spacing w:line="240" w:lineRule="auto"/>
              <w:jc w:val="center"/>
              <w:rPr>
                <w:kern w:val="0"/>
                <w:sz w:val="18"/>
                <w:szCs w:val="18"/>
              </w:rPr>
            </w:pPr>
            <m:oMath>
              <m:r>
                <m:rPr/>
                <w:rPr>
                  <w:rFonts w:ascii="Cambria Math" w:hAnsi="Cambria Math"/>
                  <w:kern w:val="0"/>
                  <w:sz w:val="18"/>
                  <w:szCs w:val="18"/>
                </w:rPr>
                <m:t>a、b</m:t>
              </m:r>
            </m:oMath>
            <w:r>
              <w:rPr>
                <w:kern w:val="0"/>
                <w:sz w:val="18"/>
                <w:szCs w:val="18"/>
              </w:rPr>
              <w:t>为矩形边长，</w:t>
            </w:r>
          </w:p>
          <w:p w14:paraId="17419D46">
            <w:pPr>
              <w:spacing w:line="240" w:lineRule="auto"/>
              <w:jc w:val="center"/>
              <w:rPr>
                <w:kern w:val="0"/>
                <w:sz w:val="18"/>
                <w:szCs w:val="18"/>
              </w:rPr>
            </w:pPr>
            <m:oMath>
              <m:r>
                <m:rPr/>
                <w:rPr>
                  <w:rFonts w:ascii="Cambria Math" w:hAnsi="Cambria Math"/>
                  <w:kern w:val="0"/>
                  <w:sz w:val="18"/>
                  <w:szCs w:val="18"/>
                </w:rPr>
                <m:t>η</m:t>
              </m:r>
            </m:oMath>
            <w:r>
              <w:rPr>
                <w:kern w:val="0"/>
                <w:sz w:val="18"/>
                <w:szCs w:val="18"/>
              </w:rPr>
              <w:t>见表1</w:t>
            </w:r>
            <w:r>
              <w:rPr>
                <w:rFonts w:hint="eastAsia"/>
                <w:kern w:val="0"/>
                <w:sz w:val="18"/>
                <w:szCs w:val="18"/>
              </w:rPr>
              <w:t>4</w:t>
            </w:r>
          </w:p>
        </w:tc>
      </w:tr>
      <w:tr w14:paraId="33C43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vAlign w:val="center"/>
          </w:tcPr>
          <w:p w14:paraId="1BE0252E">
            <w:pPr>
              <w:pStyle w:val="254"/>
              <w:widowControl w:val="0"/>
              <w:spacing w:before="0" w:after="0" w:line="240" w:lineRule="auto"/>
              <w:ind w:left="0" w:leftChars="0" w:right="0" w:rightChars="0"/>
              <w:rPr>
                <w:rFonts w:hint="eastAsia" w:ascii="宋体" w:hAnsi="宋体" w:cs="宋体"/>
                <w:szCs w:val="24"/>
              </w:rPr>
            </w:pPr>
            <w:r>
              <w:rPr>
                <w:rFonts w:ascii="宋体" w:hAnsi="宋体" w:cs="宋体"/>
                <w:szCs w:val="24"/>
              </w:rPr>
              <w:drawing>
                <wp:inline distT="0" distB="0" distL="114300" distR="114300">
                  <wp:extent cx="1021715" cy="861695"/>
                  <wp:effectExtent l="0" t="0" r="6985" b="14605"/>
                  <wp:docPr id="3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IMG_256"/>
                          <pic:cNvPicPr>
                            <a:picLocks noChangeAspect="1"/>
                          </pic:cNvPicPr>
                        </pic:nvPicPr>
                        <pic:blipFill>
                          <a:blip r:embed="rId78"/>
                          <a:stretch>
                            <a:fillRect/>
                          </a:stretch>
                        </pic:blipFill>
                        <pic:spPr>
                          <a:xfrm>
                            <a:off x="0" y="0"/>
                            <a:ext cx="1021715" cy="861695"/>
                          </a:xfrm>
                          <a:prstGeom prst="rect">
                            <a:avLst/>
                          </a:prstGeom>
                          <a:noFill/>
                          <a:ln w="9525">
                            <a:noFill/>
                          </a:ln>
                        </pic:spPr>
                      </pic:pic>
                    </a:graphicData>
                  </a:graphic>
                </wp:inline>
              </w:drawing>
            </w:r>
          </w:p>
        </w:tc>
        <w:tc>
          <w:tcPr>
            <w:tcW w:w="1261" w:type="dxa"/>
            <w:vAlign w:val="center"/>
          </w:tcPr>
          <w:p w14:paraId="6B097F12">
            <w:pPr>
              <w:spacing w:line="240" w:lineRule="auto"/>
              <w:jc w:val="center"/>
              <w:rPr>
                <w:kern w:val="0"/>
                <w:sz w:val="18"/>
                <w:szCs w:val="18"/>
              </w:rPr>
            </w:pPr>
            <w:r>
              <w:rPr>
                <w:rFonts w:hint="eastAsia"/>
                <w:kern w:val="0"/>
                <w:sz w:val="18"/>
                <w:szCs w:val="18"/>
              </w:rPr>
              <w:t>正</w:t>
            </w:r>
            <w:r>
              <w:rPr>
                <w:kern w:val="0"/>
                <w:sz w:val="18"/>
                <w:szCs w:val="18"/>
              </w:rPr>
              <w:t>方形</w:t>
            </w:r>
          </w:p>
        </w:tc>
        <w:tc>
          <w:tcPr>
            <w:tcW w:w="1780" w:type="dxa"/>
            <w:vAlign w:val="center"/>
          </w:tcPr>
          <w:p w14:paraId="1F56BF3E">
            <w:pPr>
              <w:spacing w:line="240" w:lineRule="auto"/>
              <w:ind w:firstLine="482"/>
              <w:rPr>
                <w:rFonts w:ascii="Cambria Math" w:hAnsi="Cambria Math"/>
                <w:kern w:val="0"/>
                <w:sz w:val="18"/>
                <w:szCs w:val="18"/>
                <w:oMath/>
              </w:rPr>
            </w:pPr>
            <m:oMathPara>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r>
                  <m:rPr/>
                  <w:rPr>
                    <w:rFonts w:ascii="Cambria Math" w:hAnsi="Cambria Math"/>
                    <w:kern w:val="0"/>
                    <w:sz w:val="18"/>
                    <w:szCs w:val="18"/>
                  </w:rPr>
                  <m:t>=0.59a</m:t>
                </m:r>
              </m:oMath>
            </m:oMathPara>
          </w:p>
        </w:tc>
        <w:tc>
          <w:tcPr>
            <w:tcW w:w="2455" w:type="dxa"/>
            <w:vAlign w:val="center"/>
          </w:tcPr>
          <w:p w14:paraId="0F2DB8BD">
            <w:pPr>
              <w:spacing w:line="240" w:lineRule="auto"/>
              <w:jc w:val="center"/>
              <w:rPr>
                <w:rFonts w:ascii="Cambria Math" w:hAnsi="Cambria Math"/>
                <w:kern w:val="0"/>
                <w:sz w:val="18"/>
                <w:szCs w:val="18"/>
                <w:oMath/>
              </w:rPr>
            </w:pPr>
            <m:oMath>
              <m:r>
                <m:rPr/>
                <w:rPr>
                  <w:rFonts w:ascii="Cambria Math" w:hAnsi="Cambria Math"/>
                  <w:kern w:val="0"/>
                  <w:sz w:val="18"/>
                  <w:szCs w:val="18"/>
                </w:rPr>
                <m:t>a</m:t>
              </m:r>
            </m:oMath>
            <w:r>
              <w:rPr>
                <w:kern w:val="0"/>
                <w:sz w:val="18"/>
                <w:szCs w:val="18"/>
              </w:rPr>
              <w:t>为</w:t>
            </w:r>
            <w:r>
              <w:rPr>
                <w:rFonts w:hint="eastAsia"/>
                <w:kern w:val="0"/>
                <w:sz w:val="18"/>
                <w:szCs w:val="18"/>
              </w:rPr>
              <w:t>正</w:t>
            </w:r>
            <w:r>
              <w:rPr>
                <w:kern w:val="0"/>
                <w:sz w:val="18"/>
                <w:szCs w:val="18"/>
              </w:rPr>
              <w:t>方形边长</w:t>
            </w:r>
          </w:p>
        </w:tc>
      </w:tr>
      <w:tr w14:paraId="3BD39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vAlign w:val="center"/>
          </w:tcPr>
          <w:p w14:paraId="5B4B1004">
            <w:pPr>
              <w:pStyle w:val="254"/>
              <w:widowControl w:val="0"/>
              <w:spacing w:before="0" w:after="0" w:line="240" w:lineRule="auto"/>
              <w:ind w:left="0" w:leftChars="0" w:right="0" w:rightChars="0"/>
              <w:rPr>
                <w:rFonts w:hint="eastAsia" w:ascii="宋体" w:hAnsi="宋体" w:cs="宋体"/>
                <w:szCs w:val="24"/>
              </w:rPr>
            </w:pPr>
            <w:r>
              <w:rPr>
                <w:rFonts w:ascii="宋体" w:hAnsi="宋体" w:cs="宋体"/>
                <w:szCs w:val="24"/>
              </w:rPr>
              <w:drawing>
                <wp:inline distT="0" distB="0" distL="114300" distR="114300">
                  <wp:extent cx="1219835" cy="606425"/>
                  <wp:effectExtent l="0" t="0" r="18415" b="3175"/>
                  <wp:docPr id="3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IMG_256"/>
                          <pic:cNvPicPr>
                            <a:picLocks noChangeAspect="1"/>
                          </pic:cNvPicPr>
                        </pic:nvPicPr>
                        <pic:blipFill>
                          <a:blip r:embed="rId79"/>
                          <a:stretch>
                            <a:fillRect/>
                          </a:stretch>
                        </pic:blipFill>
                        <pic:spPr>
                          <a:xfrm>
                            <a:off x="0" y="0"/>
                            <a:ext cx="1219835" cy="606425"/>
                          </a:xfrm>
                          <a:prstGeom prst="rect">
                            <a:avLst/>
                          </a:prstGeom>
                          <a:noFill/>
                          <a:ln w="9525">
                            <a:noFill/>
                          </a:ln>
                        </pic:spPr>
                      </pic:pic>
                    </a:graphicData>
                  </a:graphic>
                </wp:inline>
              </w:drawing>
            </w:r>
          </w:p>
        </w:tc>
        <w:tc>
          <w:tcPr>
            <w:tcW w:w="1261" w:type="dxa"/>
            <w:vAlign w:val="center"/>
          </w:tcPr>
          <w:p w14:paraId="202E6A09">
            <w:pPr>
              <w:spacing w:line="240" w:lineRule="auto"/>
              <w:jc w:val="center"/>
              <w:rPr>
                <w:kern w:val="0"/>
                <w:sz w:val="18"/>
                <w:szCs w:val="18"/>
              </w:rPr>
            </w:pPr>
            <w:r>
              <w:rPr>
                <w:kern w:val="0"/>
                <w:sz w:val="18"/>
                <w:szCs w:val="18"/>
              </w:rPr>
              <w:t>不规则的圆形</w:t>
            </w:r>
          </w:p>
        </w:tc>
        <w:tc>
          <w:tcPr>
            <w:tcW w:w="1780" w:type="dxa"/>
            <w:vAlign w:val="center"/>
          </w:tcPr>
          <w:p w14:paraId="52B7FD0D">
            <w:pPr>
              <w:spacing w:line="240" w:lineRule="auto"/>
              <w:ind w:firstLine="482"/>
              <w:rPr>
                <w:rFonts w:ascii="Cambria Math" w:hAnsi="Cambria Math"/>
                <w:kern w:val="0"/>
                <w:sz w:val="18"/>
                <w:szCs w:val="18"/>
                <w:oMath/>
              </w:rPr>
            </w:pPr>
            <m:oMathPara>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r>
                  <m:rPr/>
                  <w:rPr>
                    <w:rFonts w:ascii="Cambria Math" w:hAnsi="Cambria Math"/>
                    <w:kern w:val="0"/>
                    <w:sz w:val="18"/>
                    <w:szCs w:val="18"/>
                  </w:rPr>
                  <m:t>=</m:t>
                </m:r>
                <m:rad>
                  <m:radPr>
                    <m:degHide m:val="1"/>
                    <m:ctrlPr>
                      <w:rPr>
                        <w:rFonts w:ascii="Cambria Math" w:hAnsi="Cambria Math"/>
                        <w:i/>
                        <w:iCs/>
                        <w:kern w:val="0"/>
                        <w:sz w:val="18"/>
                        <w:szCs w:val="18"/>
                      </w:rPr>
                    </m:ctrlPr>
                  </m:radPr>
                  <m:deg>
                    <m:ctrlPr>
                      <w:rPr>
                        <w:rFonts w:ascii="Cambria Math" w:hAnsi="Cambria Math"/>
                        <w:i/>
                        <w:iCs/>
                        <w:kern w:val="0"/>
                        <w:sz w:val="18"/>
                        <w:szCs w:val="18"/>
                      </w:rPr>
                    </m:ctrlPr>
                  </m:deg>
                  <m:e>
                    <m:f>
                      <m:fPr>
                        <m:ctrlPr>
                          <w:rPr>
                            <w:rFonts w:ascii="Cambria Math" w:hAnsi="Cambria Math"/>
                            <w:i/>
                            <w:iCs/>
                            <w:kern w:val="0"/>
                            <w:sz w:val="18"/>
                            <w:szCs w:val="18"/>
                          </w:rPr>
                        </m:ctrlPr>
                      </m:fPr>
                      <m:num>
                        <m:r>
                          <m:rPr/>
                          <w:rPr>
                            <w:rFonts w:ascii="Cambria Math" w:hAnsi="Cambria Math"/>
                            <w:kern w:val="0"/>
                            <w:sz w:val="18"/>
                            <w:szCs w:val="18"/>
                          </w:rPr>
                          <m:t>F</m:t>
                        </m:r>
                        <m:ctrlPr>
                          <w:rPr>
                            <w:rFonts w:ascii="Cambria Math" w:hAnsi="Cambria Math"/>
                            <w:i/>
                            <w:iCs/>
                            <w:kern w:val="0"/>
                            <w:sz w:val="18"/>
                            <w:szCs w:val="18"/>
                          </w:rPr>
                        </m:ctrlPr>
                      </m:num>
                      <m:den>
                        <m:r>
                          <m:rPr/>
                          <w:rPr>
                            <w:rFonts w:ascii="Cambria Math" w:hAnsi="Cambria Math"/>
                            <w:kern w:val="0"/>
                            <w:sz w:val="18"/>
                            <w:szCs w:val="18"/>
                          </w:rPr>
                          <m:t>π</m:t>
                        </m:r>
                        <m:ctrlPr>
                          <w:rPr>
                            <w:rFonts w:ascii="Cambria Math" w:hAnsi="Cambria Math"/>
                            <w:i/>
                            <w:iCs/>
                            <w:kern w:val="0"/>
                            <w:sz w:val="18"/>
                            <w:szCs w:val="18"/>
                          </w:rPr>
                        </m:ctrlPr>
                      </m:den>
                    </m:f>
                    <m:ctrlPr>
                      <w:rPr>
                        <w:rFonts w:ascii="Cambria Math" w:hAnsi="Cambria Math"/>
                        <w:i/>
                        <w:iCs/>
                        <w:kern w:val="0"/>
                        <w:sz w:val="18"/>
                        <w:szCs w:val="18"/>
                      </w:rPr>
                    </m:ctrlPr>
                  </m:e>
                </m:rad>
              </m:oMath>
            </m:oMathPara>
          </w:p>
        </w:tc>
        <w:tc>
          <w:tcPr>
            <w:tcW w:w="2455" w:type="dxa"/>
            <w:vAlign w:val="center"/>
          </w:tcPr>
          <w:p w14:paraId="56CEA264">
            <w:pPr>
              <w:spacing w:line="240" w:lineRule="auto"/>
              <w:jc w:val="center"/>
              <w:rPr>
                <w:kern w:val="0"/>
                <w:sz w:val="18"/>
                <w:szCs w:val="18"/>
              </w:rPr>
            </w:pPr>
            <m:oMath>
              <m:f>
                <m:fPr>
                  <m:ctrlPr>
                    <w:rPr>
                      <w:rFonts w:ascii="Cambria Math" w:hAnsi="Cambria Math"/>
                      <w:i/>
                      <w:iCs/>
                      <w:kern w:val="0"/>
                      <w:sz w:val="18"/>
                      <w:szCs w:val="18"/>
                    </w:rPr>
                  </m:ctrlPr>
                </m:fPr>
                <m:num>
                  <m:r>
                    <m:rPr/>
                    <w:rPr>
                      <w:rFonts w:ascii="Cambria Math" w:hAnsi="Cambria Math"/>
                      <w:kern w:val="0"/>
                      <w:sz w:val="18"/>
                      <w:szCs w:val="18"/>
                    </w:rPr>
                    <m:t>a</m:t>
                  </m:r>
                  <m:ctrlPr>
                    <w:rPr>
                      <w:rFonts w:ascii="Cambria Math" w:hAnsi="Cambria Math"/>
                      <w:i/>
                      <w:iCs/>
                      <w:kern w:val="0"/>
                      <w:sz w:val="18"/>
                      <w:szCs w:val="18"/>
                    </w:rPr>
                  </m:ctrlPr>
                </m:num>
                <m:den>
                  <m:r>
                    <m:rPr/>
                    <w:rPr>
                      <w:rFonts w:ascii="Cambria Math" w:hAnsi="Cambria Math"/>
                      <w:kern w:val="0"/>
                      <w:sz w:val="18"/>
                      <w:szCs w:val="18"/>
                    </w:rPr>
                    <m:t>b</m:t>
                  </m:r>
                  <m:ctrlPr>
                    <w:rPr>
                      <w:rFonts w:ascii="Cambria Math" w:hAnsi="Cambria Math"/>
                      <w:i/>
                      <w:iCs/>
                      <w:kern w:val="0"/>
                      <w:sz w:val="18"/>
                      <w:szCs w:val="18"/>
                    </w:rPr>
                  </m:ctrlPr>
                </m:den>
              </m:f>
              <m:r>
                <m:rPr>
                  <m:sty m:val="p"/>
                </m:rPr>
                <w:rPr>
                  <w:rFonts w:ascii="Cambria Math" w:hAnsi="Cambria Math"/>
                  <w:kern w:val="0"/>
                  <w:sz w:val="18"/>
                  <w:szCs w:val="18"/>
                </w:rPr>
                <m:t>&lt;</m:t>
              </m:r>
              <m:r>
                <m:rPr/>
                <w:rPr>
                  <w:rFonts w:ascii="Cambria Math" w:hAnsi="Cambria Math"/>
                  <w:kern w:val="0"/>
                  <w:sz w:val="18"/>
                  <w:szCs w:val="18"/>
                </w:rPr>
                <m:t>2</m:t>
              </m:r>
              <m:r>
                <m:rPr>
                  <m:sty m:val="p"/>
                </m:rPr>
                <w:rPr>
                  <w:rFonts w:ascii="Cambria Math" w:hAnsi="Cambria Math"/>
                  <w:kern w:val="0"/>
                  <w:sz w:val="18"/>
                  <w:szCs w:val="18"/>
                </w:rPr>
                <m:t>～3</m:t>
              </m:r>
            </m:oMath>
            <w:r>
              <w:rPr>
                <w:kern w:val="0"/>
                <w:sz w:val="18"/>
                <w:szCs w:val="18"/>
              </w:rPr>
              <w:t>时用该式计算，</w:t>
            </w:r>
          </w:p>
          <w:p w14:paraId="7C755E04">
            <w:pPr>
              <w:spacing w:line="240" w:lineRule="auto"/>
              <w:jc w:val="center"/>
              <w:rPr>
                <w:rFonts w:ascii="Cambria Math" w:hAnsi="Cambria Math"/>
                <w:kern w:val="0"/>
                <w:sz w:val="18"/>
                <w:szCs w:val="18"/>
                <w:oMath/>
              </w:rPr>
            </w:pPr>
            <w:r>
              <w:rPr>
                <w:i/>
                <w:iCs/>
                <w:kern w:val="0"/>
                <w:sz w:val="18"/>
                <w:szCs w:val="18"/>
              </w:rPr>
              <w:t>F</w:t>
            </w:r>
            <w:r>
              <w:rPr>
                <w:kern w:val="0"/>
                <w:sz w:val="18"/>
                <w:szCs w:val="18"/>
              </w:rPr>
              <w:t>为基坑面积</w:t>
            </w:r>
          </w:p>
        </w:tc>
      </w:tr>
      <w:tr w14:paraId="7F31F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053" w:type="dxa"/>
            <w:vAlign w:val="center"/>
          </w:tcPr>
          <w:p w14:paraId="2A967091">
            <w:pPr>
              <w:pStyle w:val="254"/>
              <w:widowControl w:val="0"/>
              <w:spacing w:before="0" w:after="0" w:line="240" w:lineRule="auto"/>
              <w:ind w:left="0" w:leftChars="0" w:right="0" w:rightChars="0"/>
              <w:rPr>
                <w:rFonts w:hint="eastAsia" w:ascii="宋体" w:hAnsi="宋体" w:cs="宋体"/>
                <w:szCs w:val="24"/>
              </w:rPr>
            </w:pPr>
            <w:r>
              <w:rPr>
                <w:rFonts w:ascii="宋体" w:hAnsi="宋体" w:cs="宋体"/>
                <w:szCs w:val="24"/>
              </w:rPr>
              <w:drawing>
                <wp:inline distT="0" distB="0" distL="114300" distR="114300">
                  <wp:extent cx="1569720" cy="655320"/>
                  <wp:effectExtent l="0" t="0" r="11430" b="11430"/>
                  <wp:docPr id="3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56"/>
                          <pic:cNvPicPr>
                            <a:picLocks noChangeAspect="1"/>
                          </pic:cNvPicPr>
                        </pic:nvPicPr>
                        <pic:blipFill>
                          <a:blip r:embed="rId80"/>
                          <a:stretch>
                            <a:fillRect/>
                          </a:stretch>
                        </pic:blipFill>
                        <pic:spPr>
                          <a:xfrm>
                            <a:off x="0" y="0"/>
                            <a:ext cx="1569720" cy="655320"/>
                          </a:xfrm>
                          <a:prstGeom prst="rect">
                            <a:avLst/>
                          </a:prstGeom>
                          <a:noFill/>
                          <a:ln w="9525">
                            <a:noFill/>
                          </a:ln>
                        </pic:spPr>
                      </pic:pic>
                    </a:graphicData>
                  </a:graphic>
                </wp:inline>
              </w:drawing>
            </w:r>
          </w:p>
        </w:tc>
        <w:tc>
          <w:tcPr>
            <w:tcW w:w="1261" w:type="dxa"/>
            <w:vAlign w:val="center"/>
          </w:tcPr>
          <w:p w14:paraId="00576540">
            <w:pPr>
              <w:spacing w:line="240" w:lineRule="auto"/>
              <w:jc w:val="center"/>
              <w:rPr>
                <w:kern w:val="0"/>
                <w:sz w:val="18"/>
                <w:szCs w:val="18"/>
              </w:rPr>
            </w:pPr>
            <w:r>
              <w:rPr>
                <w:kern w:val="0"/>
                <w:sz w:val="18"/>
                <w:szCs w:val="18"/>
              </w:rPr>
              <w:t>不规则的多边形</w:t>
            </w:r>
          </w:p>
        </w:tc>
        <w:tc>
          <w:tcPr>
            <w:tcW w:w="1780" w:type="dxa"/>
            <w:vAlign w:val="center"/>
          </w:tcPr>
          <w:p w14:paraId="7A33A07E">
            <w:pPr>
              <w:spacing w:line="240" w:lineRule="auto"/>
              <w:ind w:firstLine="482"/>
              <w:rPr>
                <w:rFonts w:ascii="Cambria Math" w:hAnsi="Cambria Math"/>
                <w:kern w:val="0"/>
                <w:sz w:val="18"/>
                <w:szCs w:val="18"/>
                <w:oMath/>
              </w:rPr>
            </w:pPr>
            <m:oMathPara>
              <m:oMath>
                <m:sSub>
                  <m:sSubPr>
                    <m:ctrlPr>
                      <w:rPr>
                        <w:rFonts w:ascii="Cambria Math" w:hAnsi="Cambria Math"/>
                        <w:i/>
                        <w:iCs/>
                        <w:kern w:val="0"/>
                        <w:sz w:val="18"/>
                        <w:szCs w:val="18"/>
                      </w:rPr>
                    </m:ctrlPr>
                  </m:sSubPr>
                  <m:e>
                    <m:r>
                      <m:rPr/>
                      <w:rPr>
                        <w:rFonts w:ascii="Cambria Math" w:hAnsi="Cambria Math"/>
                        <w:kern w:val="0"/>
                        <w:sz w:val="18"/>
                        <w:szCs w:val="18"/>
                      </w:rPr>
                      <m:t>r</m:t>
                    </m:r>
                    <m:ctrlPr>
                      <w:rPr>
                        <w:rFonts w:ascii="Cambria Math" w:hAnsi="Cambria Math"/>
                        <w:i/>
                        <w:iCs/>
                        <w:kern w:val="0"/>
                        <w:sz w:val="18"/>
                        <w:szCs w:val="18"/>
                      </w:rPr>
                    </m:ctrlPr>
                  </m:e>
                  <m:sub>
                    <m:r>
                      <m:rPr/>
                      <w:rPr>
                        <w:rFonts w:ascii="Cambria Math" w:hAnsi="Cambria Math"/>
                        <w:kern w:val="0"/>
                        <w:sz w:val="18"/>
                        <w:szCs w:val="18"/>
                      </w:rPr>
                      <m:t>0</m:t>
                    </m:r>
                    <m:ctrlPr>
                      <w:rPr>
                        <w:rFonts w:ascii="Cambria Math" w:hAnsi="Cambria Math"/>
                        <w:i/>
                        <w:iCs/>
                        <w:kern w:val="0"/>
                        <w:sz w:val="18"/>
                        <w:szCs w:val="18"/>
                      </w:rPr>
                    </m:ctrlPr>
                  </m:sub>
                </m:sSub>
                <m:r>
                  <m:rPr/>
                  <w:rPr>
                    <w:rFonts w:ascii="Cambria Math" w:hAnsi="Cambria Math"/>
                    <w:kern w:val="0"/>
                    <w:sz w:val="18"/>
                    <w:szCs w:val="18"/>
                  </w:rPr>
                  <m:t>=</m:t>
                </m:r>
                <m:f>
                  <m:fPr>
                    <m:ctrlPr>
                      <w:rPr>
                        <w:rFonts w:ascii="Cambria Math" w:hAnsi="Cambria Math"/>
                        <w:i/>
                        <w:iCs/>
                        <w:kern w:val="0"/>
                        <w:sz w:val="18"/>
                        <w:szCs w:val="18"/>
                      </w:rPr>
                    </m:ctrlPr>
                  </m:fPr>
                  <m:num>
                    <m:r>
                      <m:rPr/>
                      <w:rPr>
                        <w:rFonts w:ascii="Cambria Math" w:hAnsi="Cambria Math"/>
                        <w:kern w:val="0"/>
                        <w:sz w:val="18"/>
                        <w:szCs w:val="18"/>
                      </w:rPr>
                      <m:t>P</m:t>
                    </m:r>
                    <m:ctrlPr>
                      <w:rPr>
                        <w:rFonts w:ascii="Cambria Math" w:hAnsi="Cambria Math"/>
                        <w:i/>
                        <w:iCs/>
                        <w:kern w:val="0"/>
                        <w:sz w:val="18"/>
                        <w:szCs w:val="18"/>
                      </w:rPr>
                    </m:ctrlPr>
                  </m:num>
                  <m:den>
                    <m:r>
                      <m:rPr/>
                      <w:rPr>
                        <w:rFonts w:ascii="Cambria Math" w:hAnsi="Cambria Math"/>
                        <w:kern w:val="0"/>
                        <w:sz w:val="18"/>
                        <w:szCs w:val="18"/>
                      </w:rPr>
                      <m:t>2π</m:t>
                    </m:r>
                    <m:ctrlPr>
                      <w:rPr>
                        <w:rFonts w:ascii="Cambria Math" w:hAnsi="Cambria Math"/>
                        <w:i/>
                        <w:iCs/>
                        <w:kern w:val="0"/>
                        <w:sz w:val="18"/>
                        <w:szCs w:val="18"/>
                      </w:rPr>
                    </m:ctrlPr>
                  </m:den>
                </m:f>
              </m:oMath>
            </m:oMathPara>
          </w:p>
        </w:tc>
        <w:tc>
          <w:tcPr>
            <w:tcW w:w="2455" w:type="dxa"/>
            <w:vAlign w:val="center"/>
          </w:tcPr>
          <w:p w14:paraId="7F0A3DC6">
            <w:pPr>
              <w:spacing w:line="240" w:lineRule="auto"/>
              <w:jc w:val="center"/>
              <w:rPr>
                <w:kern w:val="0"/>
                <w:sz w:val="18"/>
                <w:szCs w:val="18"/>
              </w:rPr>
            </w:pPr>
            <m:oMath>
              <m:f>
                <m:fPr>
                  <m:ctrlPr>
                    <w:rPr>
                      <w:rFonts w:ascii="Cambria Math" w:hAnsi="Cambria Math"/>
                      <w:i/>
                      <w:iCs/>
                      <w:kern w:val="0"/>
                      <w:sz w:val="18"/>
                      <w:szCs w:val="18"/>
                    </w:rPr>
                  </m:ctrlPr>
                </m:fPr>
                <m:num>
                  <m:r>
                    <m:rPr/>
                    <w:rPr>
                      <w:rFonts w:ascii="Cambria Math" w:hAnsi="Cambria Math"/>
                      <w:kern w:val="0"/>
                      <w:sz w:val="18"/>
                      <w:szCs w:val="18"/>
                    </w:rPr>
                    <m:t>a</m:t>
                  </m:r>
                  <m:ctrlPr>
                    <w:rPr>
                      <w:rFonts w:ascii="Cambria Math" w:hAnsi="Cambria Math"/>
                      <w:i/>
                      <w:iCs/>
                      <w:kern w:val="0"/>
                      <w:sz w:val="18"/>
                      <w:szCs w:val="18"/>
                    </w:rPr>
                  </m:ctrlPr>
                </m:num>
                <m:den>
                  <m:r>
                    <m:rPr/>
                    <w:rPr>
                      <w:rFonts w:ascii="Cambria Math" w:hAnsi="Cambria Math"/>
                      <w:kern w:val="0"/>
                      <w:sz w:val="18"/>
                      <w:szCs w:val="18"/>
                    </w:rPr>
                    <m:t>b</m:t>
                  </m:r>
                  <m:ctrlPr>
                    <w:rPr>
                      <w:rFonts w:ascii="Cambria Math" w:hAnsi="Cambria Math"/>
                      <w:i/>
                      <w:iCs/>
                      <w:kern w:val="0"/>
                      <w:sz w:val="18"/>
                      <w:szCs w:val="18"/>
                    </w:rPr>
                  </m:ctrlPr>
                </m:den>
              </m:f>
              <m:r>
                <m:rPr>
                  <m:sty m:val="p"/>
                </m:rPr>
                <w:rPr>
                  <w:rFonts w:ascii="Cambria Math" w:hAnsi="Cambria Math"/>
                  <w:kern w:val="0"/>
                  <w:sz w:val="18"/>
                  <w:szCs w:val="18"/>
                </w:rPr>
                <m:t>&gt;</m:t>
              </m:r>
              <m:r>
                <m:rPr/>
                <w:rPr>
                  <w:rFonts w:ascii="Cambria Math" w:hAnsi="Cambria Math"/>
                  <w:kern w:val="0"/>
                  <w:sz w:val="18"/>
                  <w:szCs w:val="18"/>
                </w:rPr>
                <m:t>2</m:t>
              </m:r>
              <m:r>
                <m:rPr>
                  <m:sty m:val="p"/>
                </m:rPr>
                <w:rPr>
                  <w:rFonts w:ascii="Cambria Math" w:hAnsi="Cambria Math"/>
                  <w:kern w:val="0"/>
                  <w:sz w:val="18"/>
                  <w:szCs w:val="18"/>
                </w:rPr>
                <m:t>～3</m:t>
              </m:r>
            </m:oMath>
            <w:r>
              <w:rPr>
                <w:kern w:val="0"/>
                <w:sz w:val="18"/>
                <w:szCs w:val="18"/>
              </w:rPr>
              <w:t>时用该式计算，</w:t>
            </w:r>
          </w:p>
          <w:p w14:paraId="4CC99CF8">
            <w:pPr>
              <w:spacing w:line="240" w:lineRule="auto"/>
              <w:jc w:val="center"/>
              <w:rPr>
                <w:rFonts w:ascii="Cambria Math" w:hAnsi="Cambria Math"/>
                <w:kern w:val="0"/>
                <w:sz w:val="18"/>
                <w:szCs w:val="18"/>
                <w:oMath/>
              </w:rPr>
            </w:pPr>
            <w:r>
              <w:rPr>
                <w:i/>
                <w:iCs/>
                <w:kern w:val="0"/>
                <w:sz w:val="18"/>
                <w:szCs w:val="18"/>
              </w:rPr>
              <w:t>P</w:t>
            </w:r>
            <w:r>
              <w:rPr>
                <w:kern w:val="0"/>
                <w:sz w:val="18"/>
                <w:szCs w:val="18"/>
              </w:rPr>
              <w:t>为基坑周长</w:t>
            </w:r>
          </w:p>
        </w:tc>
      </w:tr>
    </w:tbl>
    <w:p w14:paraId="656C7B0F">
      <w:pPr>
        <w:pStyle w:val="13"/>
        <w:spacing w:line="240" w:lineRule="auto"/>
        <w:jc w:val="both"/>
        <w:rPr>
          <w:rFonts w:ascii="Times New Roman" w:hAnsi="Times New Roman" w:eastAsia="宋体"/>
          <w:sz w:val="18"/>
          <w:szCs w:val="18"/>
          <w:highlight w:val="yellow"/>
        </w:rPr>
      </w:pPr>
      <w:r>
        <w:rPr>
          <w:rFonts w:hint="eastAsia" w:ascii="黑体" w:hAnsi="黑体" w:cs="黑体"/>
          <w:sz w:val="18"/>
          <w:szCs w:val="18"/>
        </w:rPr>
        <w:t>注：</w:t>
      </w:r>
      <w:r>
        <w:rPr>
          <w:rFonts w:ascii="Times New Roman" w:hAnsi="Times New Roman" w:eastAsia="宋体"/>
          <w:sz w:val="18"/>
          <w:szCs w:val="18"/>
        </w:rPr>
        <w:t>基坑长宽比小于等于20时，可采用</w:t>
      </w:r>
      <w:r>
        <w:rPr>
          <w:rFonts w:hint="eastAsia" w:ascii="Times New Roman" w:hAnsi="Times New Roman" w:eastAsia="宋体"/>
          <w:sz w:val="18"/>
          <w:szCs w:val="18"/>
        </w:rPr>
        <w:t>椭</w:t>
      </w:r>
      <w:r>
        <w:rPr>
          <w:rFonts w:ascii="Times New Roman" w:hAnsi="Times New Roman" w:eastAsia="宋体"/>
          <w:sz w:val="18"/>
          <w:szCs w:val="18"/>
        </w:rPr>
        <w:t>圆形基坑大井公式计算基坑涌水量；基坑长宽比大于20时，可采用</w:t>
      </w:r>
      <w:r>
        <w:rPr>
          <w:rFonts w:hint="eastAsia" w:ascii="Times New Roman" w:hAnsi="Times New Roman" w:eastAsia="宋体"/>
          <w:sz w:val="18"/>
          <w:szCs w:val="18"/>
        </w:rPr>
        <w:t>长条状</w:t>
      </w:r>
      <w:r>
        <w:rPr>
          <w:rFonts w:ascii="Times New Roman" w:hAnsi="Times New Roman" w:eastAsia="宋体"/>
          <w:sz w:val="18"/>
          <w:szCs w:val="18"/>
        </w:rPr>
        <w:t>基坑涌水量公式计算基坑涌水量。</w:t>
      </w:r>
    </w:p>
    <w:p w14:paraId="3FFADC3D">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表15  基坑等效半径系数 </w:t>
      </w:r>
      <m:oMath>
        <m:r>
          <m:rPr>
            <m:sty m:val="p"/>
          </m:rPr>
          <w:rPr>
            <w:rFonts w:hint="eastAsia" w:ascii="Cambria Math" w:hAnsi="Cambria Math" w:eastAsia="黑体" w:cs="宋体"/>
            <w:color w:val="000000"/>
          </w:rPr>
          <m:t>η</m:t>
        </m:r>
      </m:oMath>
    </w:p>
    <w:tbl>
      <w:tblPr>
        <w:tblStyle w:val="34"/>
        <w:tblW w:w="8310" w:type="dxa"/>
        <w:tblInd w:w="5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0" w:type="dxa"/>
          <w:left w:w="102" w:type="dxa"/>
          <w:bottom w:w="80" w:type="dxa"/>
          <w:right w:w="102" w:type="dxa"/>
        </w:tblCellMar>
      </w:tblPr>
      <w:tblGrid>
        <w:gridCol w:w="724"/>
        <w:gridCol w:w="940"/>
        <w:gridCol w:w="941"/>
        <w:gridCol w:w="941"/>
        <w:gridCol w:w="941"/>
        <w:gridCol w:w="941"/>
        <w:gridCol w:w="941"/>
        <w:gridCol w:w="1941"/>
      </w:tblGrid>
      <w:tr w14:paraId="7ACEB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0" w:type="dxa"/>
            <w:left w:w="102" w:type="dxa"/>
            <w:bottom w:w="80" w:type="dxa"/>
            <w:right w:w="102" w:type="dxa"/>
          </w:tblCellMar>
        </w:tblPrEx>
        <w:tc>
          <w:tcPr>
            <w:tcW w:w="724" w:type="dxa"/>
            <w:tcBorders>
              <w:top w:val="single" w:color="auto" w:sz="12" w:space="0"/>
              <w:bottom w:val="single" w:color="auto" w:sz="12" w:space="0"/>
            </w:tcBorders>
            <w:vAlign w:val="center"/>
          </w:tcPr>
          <w:p w14:paraId="601C3F30">
            <w:pPr>
              <w:snapToGrid w:val="0"/>
              <w:spacing w:line="240" w:lineRule="auto"/>
              <w:ind w:left="-122" w:leftChars="-58" w:right="-139" w:rightChars="-66"/>
              <w:jc w:val="center"/>
              <w:rPr>
                <w:i/>
                <w:iCs/>
                <w:kern w:val="0"/>
                <w:sz w:val="18"/>
                <w:szCs w:val="18"/>
              </w:rPr>
            </w:pPr>
            <m:oMathPara>
              <m:oMath>
                <m:f>
                  <m:fPr>
                    <m:ctrlPr>
                      <w:rPr>
                        <w:rFonts w:ascii="Cambria Math" w:hAnsi="Cambria Math"/>
                        <w:i/>
                        <w:iCs/>
                        <w:kern w:val="0"/>
                        <w:sz w:val="18"/>
                        <w:szCs w:val="18"/>
                      </w:rPr>
                    </m:ctrlPr>
                  </m:fPr>
                  <m:num>
                    <m:r>
                      <m:rPr/>
                      <w:rPr>
                        <w:rFonts w:ascii="Cambria Math" w:hAnsi="Cambria Math"/>
                        <w:kern w:val="0"/>
                        <w:sz w:val="18"/>
                        <w:szCs w:val="18"/>
                      </w:rPr>
                      <m:t>b</m:t>
                    </m:r>
                    <m:ctrlPr>
                      <w:rPr>
                        <w:rFonts w:ascii="Cambria Math" w:hAnsi="Cambria Math"/>
                        <w:i/>
                        <w:iCs/>
                        <w:kern w:val="0"/>
                        <w:sz w:val="18"/>
                        <w:szCs w:val="18"/>
                      </w:rPr>
                    </m:ctrlPr>
                  </m:num>
                  <m:den>
                    <m:r>
                      <m:rPr/>
                      <w:rPr>
                        <w:rFonts w:ascii="Cambria Math" w:hAnsi="Cambria Math"/>
                        <w:kern w:val="0"/>
                        <w:sz w:val="18"/>
                        <w:szCs w:val="18"/>
                      </w:rPr>
                      <m:t>a</m:t>
                    </m:r>
                    <m:ctrlPr>
                      <w:rPr>
                        <w:rFonts w:ascii="Cambria Math" w:hAnsi="Cambria Math"/>
                        <w:i/>
                        <w:iCs/>
                        <w:kern w:val="0"/>
                        <w:sz w:val="18"/>
                        <w:szCs w:val="18"/>
                      </w:rPr>
                    </m:ctrlPr>
                  </m:den>
                </m:f>
              </m:oMath>
            </m:oMathPara>
          </w:p>
        </w:tc>
        <w:tc>
          <w:tcPr>
            <w:tcW w:w="940" w:type="dxa"/>
            <w:tcBorders>
              <w:top w:val="single" w:color="auto" w:sz="12" w:space="0"/>
              <w:bottom w:val="single" w:color="auto" w:sz="12" w:space="0"/>
            </w:tcBorders>
            <w:vAlign w:val="center"/>
          </w:tcPr>
          <w:p w14:paraId="0E49FCBA">
            <w:pPr>
              <w:snapToGrid w:val="0"/>
              <w:spacing w:line="240" w:lineRule="auto"/>
              <w:ind w:left="-122" w:leftChars="-58" w:right="-139" w:rightChars="-66"/>
              <w:jc w:val="center"/>
              <w:rPr>
                <w:kern w:val="0"/>
                <w:sz w:val="18"/>
                <w:szCs w:val="18"/>
              </w:rPr>
            </w:pPr>
            <w:r>
              <w:rPr>
                <w:rFonts w:hint="eastAsia"/>
                <w:kern w:val="0"/>
                <w:sz w:val="18"/>
                <w:szCs w:val="18"/>
              </w:rPr>
              <w:t>0.05</w:t>
            </w:r>
          </w:p>
        </w:tc>
        <w:tc>
          <w:tcPr>
            <w:tcW w:w="941" w:type="dxa"/>
            <w:tcBorders>
              <w:top w:val="single" w:color="auto" w:sz="12" w:space="0"/>
              <w:bottom w:val="single" w:color="auto" w:sz="12" w:space="0"/>
            </w:tcBorders>
            <w:vAlign w:val="center"/>
          </w:tcPr>
          <w:p w14:paraId="19712586">
            <w:pPr>
              <w:snapToGrid w:val="0"/>
              <w:spacing w:line="240" w:lineRule="auto"/>
              <w:ind w:left="-122" w:leftChars="-58" w:right="-139" w:rightChars="-66"/>
              <w:jc w:val="center"/>
              <w:rPr>
                <w:kern w:val="0"/>
                <w:sz w:val="18"/>
                <w:szCs w:val="18"/>
              </w:rPr>
            </w:pPr>
            <w:r>
              <w:rPr>
                <w:kern w:val="0"/>
                <w:sz w:val="18"/>
                <w:szCs w:val="18"/>
              </w:rPr>
              <w:t>0.1</w:t>
            </w:r>
          </w:p>
        </w:tc>
        <w:tc>
          <w:tcPr>
            <w:tcW w:w="941" w:type="dxa"/>
            <w:tcBorders>
              <w:top w:val="single" w:color="auto" w:sz="12" w:space="0"/>
              <w:bottom w:val="single" w:color="auto" w:sz="12" w:space="0"/>
            </w:tcBorders>
            <w:vAlign w:val="center"/>
          </w:tcPr>
          <w:p w14:paraId="1F769A2C">
            <w:pPr>
              <w:snapToGrid w:val="0"/>
              <w:spacing w:line="240" w:lineRule="auto"/>
              <w:ind w:left="-122" w:leftChars="-58" w:right="-139" w:rightChars="-66"/>
              <w:jc w:val="center"/>
              <w:rPr>
                <w:kern w:val="0"/>
                <w:sz w:val="18"/>
                <w:szCs w:val="18"/>
              </w:rPr>
            </w:pPr>
            <w:r>
              <w:rPr>
                <w:rFonts w:hint="eastAsia"/>
                <w:kern w:val="0"/>
                <w:sz w:val="18"/>
                <w:szCs w:val="18"/>
              </w:rPr>
              <w:t>0.2</w:t>
            </w:r>
          </w:p>
        </w:tc>
        <w:tc>
          <w:tcPr>
            <w:tcW w:w="941" w:type="dxa"/>
            <w:tcBorders>
              <w:top w:val="single" w:color="auto" w:sz="12" w:space="0"/>
              <w:bottom w:val="single" w:color="auto" w:sz="12" w:space="0"/>
            </w:tcBorders>
            <w:vAlign w:val="center"/>
          </w:tcPr>
          <w:p w14:paraId="470BF284">
            <w:pPr>
              <w:snapToGrid w:val="0"/>
              <w:spacing w:line="240" w:lineRule="auto"/>
              <w:ind w:left="-122" w:leftChars="-58" w:right="-139" w:rightChars="-66"/>
              <w:jc w:val="center"/>
              <w:rPr>
                <w:kern w:val="0"/>
                <w:sz w:val="18"/>
                <w:szCs w:val="18"/>
              </w:rPr>
            </w:pPr>
            <w:r>
              <w:rPr>
                <w:rFonts w:hint="eastAsia"/>
                <w:kern w:val="0"/>
                <w:sz w:val="18"/>
                <w:szCs w:val="18"/>
              </w:rPr>
              <w:t>0.3</w:t>
            </w:r>
          </w:p>
        </w:tc>
        <w:tc>
          <w:tcPr>
            <w:tcW w:w="941" w:type="dxa"/>
            <w:tcBorders>
              <w:top w:val="single" w:color="auto" w:sz="12" w:space="0"/>
              <w:bottom w:val="single" w:color="auto" w:sz="12" w:space="0"/>
            </w:tcBorders>
            <w:vAlign w:val="center"/>
          </w:tcPr>
          <w:p w14:paraId="04221BA4">
            <w:pPr>
              <w:snapToGrid w:val="0"/>
              <w:spacing w:line="240" w:lineRule="auto"/>
              <w:ind w:left="-122" w:leftChars="-58" w:right="-139" w:rightChars="-66"/>
              <w:jc w:val="center"/>
              <w:rPr>
                <w:kern w:val="0"/>
                <w:sz w:val="18"/>
                <w:szCs w:val="18"/>
              </w:rPr>
            </w:pPr>
            <w:r>
              <w:rPr>
                <w:rFonts w:hint="eastAsia"/>
                <w:kern w:val="0"/>
                <w:sz w:val="18"/>
                <w:szCs w:val="18"/>
              </w:rPr>
              <w:t>0.4</w:t>
            </w:r>
          </w:p>
        </w:tc>
        <w:tc>
          <w:tcPr>
            <w:tcW w:w="941" w:type="dxa"/>
            <w:tcBorders>
              <w:top w:val="single" w:color="auto" w:sz="12" w:space="0"/>
              <w:bottom w:val="single" w:color="auto" w:sz="12" w:space="0"/>
            </w:tcBorders>
            <w:vAlign w:val="center"/>
          </w:tcPr>
          <w:p w14:paraId="6FFC55C6">
            <w:pPr>
              <w:snapToGrid w:val="0"/>
              <w:spacing w:line="240" w:lineRule="auto"/>
              <w:ind w:left="-122" w:leftChars="-58" w:right="-139" w:rightChars="-66"/>
              <w:jc w:val="center"/>
              <w:rPr>
                <w:kern w:val="0"/>
                <w:sz w:val="18"/>
                <w:szCs w:val="18"/>
              </w:rPr>
            </w:pPr>
            <w:r>
              <w:rPr>
                <w:rFonts w:hint="eastAsia"/>
                <w:kern w:val="0"/>
                <w:sz w:val="18"/>
                <w:szCs w:val="18"/>
              </w:rPr>
              <w:t>0.5</w:t>
            </w:r>
          </w:p>
        </w:tc>
        <w:tc>
          <w:tcPr>
            <w:tcW w:w="1941" w:type="dxa"/>
            <w:tcBorders>
              <w:top w:val="single" w:color="auto" w:sz="12" w:space="0"/>
              <w:bottom w:val="single" w:color="auto" w:sz="12" w:space="0"/>
            </w:tcBorders>
            <w:vAlign w:val="center"/>
          </w:tcPr>
          <w:p w14:paraId="2E4F47A6">
            <w:pPr>
              <w:snapToGrid w:val="0"/>
              <w:spacing w:line="240" w:lineRule="auto"/>
              <w:ind w:left="-122" w:leftChars="-58" w:right="-139" w:rightChars="-66"/>
              <w:jc w:val="center"/>
              <w:rPr>
                <w:kern w:val="0"/>
                <w:sz w:val="18"/>
                <w:szCs w:val="18"/>
              </w:rPr>
            </w:pPr>
            <w:r>
              <w:rPr>
                <w:kern w:val="0"/>
                <w:sz w:val="18"/>
                <w:szCs w:val="18"/>
              </w:rPr>
              <w:t>0.6～1.0</w:t>
            </w:r>
          </w:p>
        </w:tc>
      </w:tr>
      <w:tr w14:paraId="7A996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0" w:type="dxa"/>
            <w:left w:w="102" w:type="dxa"/>
            <w:bottom w:w="80" w:type="dxa"/>
            <w:right w:w="102" w:type="dxa"/>
          </w:tblCellMar>
        </w:tblPrEx>
        <w:tc>
          <w:tcPr>
            <w:tcW w:w="724" w:type="dxa"/>
            <w:tcBorders>
              <w:top w:val="single" w:color="auto" w:sz="12" w:space="0"/>
            </w:tcBorders>
            <w:vAlign w:val="center"/>
          </w:tcPr>
          <w:p w14:paraId="7F92D1C9">
            <w:pPr>
              <w:snapToGrid w:val="0"/>
              <w:spacing w:line="240" w:lineRule="auto"/>
              <w:ind w:left="-122" w:leftChars="-58" w:right="-139" w:rightChars="-66"/>
              <w:jc w:val="center"/>
              <w:rPr>
                <w:i/>
                <w:iCs/>
                <w:kern w:val="0"/>
                <w:sz w:val="18"/>
                <w:szCs w:val="18"/>
              </w:rPr>
            </w:pPr>
            <m:oMathPara>
              <m:oMath>
                <m:r>
                  <m:rPr/>
                  <w:rPr>
                    <w:rFonts w:ascii="Cambria Math" w:hAnsi="Cambria Math"/>
                    <w:kern w:val="0"/>
                    <w:sz w:val="18"/>
                    <w:szCs w:val="18"/>
                  </w:rPr>
                  <m:t>η</m:t>
                </m:r>
              </m:oMath>
            </m:oMathPara>
          </w:p>
        </w:tc>
        <w:tc>
          <w:tcPr>
            <w:tcW w:w="940" w:type="dxa"/>
            <w:tcBorders>
              <w:top w:val="single" w:color="auto" w:sz="12" w:space="0"/>
            </w:tcBorders>
            <w:vAlign w:val="center"/>
          </w:tcPr>
          <w:p w14:paraId="75578E13">
            <w:pPr>
              <w:snapToGrid w:val="0"/>
              <w:spacing w:line="240" w:lineRule="auto"/>
              <w:ind w:left="-122" w:leftChars="-58" w:right="-139" w:rightChars="-66"/>
              <w:jc w:val="center"/>
              <w:rPr>
                <w:kern w:val="0"/>
                <w:sz w:val="18"/>
                <w:szCs w:val="18"/>
              </w:rPr>
            </w:pPr>
            <w:r>
              <w:rPr>
                <w:rFonts w:hint="eastAsia"/>
                <w:kern w:val="0"/>
                <w:sz w:val="18"/>
                <w:szCs w:val="18"/>
              </w:rPr>
              <w:t>1.05</w:t>
            </w:r>
          </w:p>
        </w:tc>
        <w:tc>
          <w:tcPr>
            <w:tcW w:w="941" w:type="dxa"/>
            <w:tcBorders>
              <w:top w:val="single" w:color="auto" w:sz="12" w:space="0"/>
            </w:tcBorders>
            <w:vAlign w:val="center"/>
          </w:tcPr>
          <w:p w14:paraId="58FF9171">
            <w:pPr>
              <w:snapToGrid w:val="0"/>
              <w:spacing w:line="240" w:lineRule="auto"/>
              <w:ind w:left="-122" w:leftChars="-58" w:right="-139" w:rightChars="-66"/>
              <w:jc w:val="center"/>
              <w:rPr>
                <w:kern w:val="0"/>
                <w:sz w:val="18"/>
                <w:szCs w:val="18"/>
              </w:rPr>
            </w:pPr>
            <w:r>
              <w:rPr>
                <w:rFonts w:hint="eastAsia"/>
                <w:kern w:val="0"/>
                <w:sz w:val="18"/>
                <w:szCs w:val="18"/>
              </w:rPr>
              <w:t>1.08</w:t>
            </w:r>
          </w:p>
        </w:tc>
        <w:tc>
          <w:tcPr>
            <w:tcW w:w="941" w:type="dxa"/>
            <w:tcBorders>
              <w:top w:val="single" w:color="auto" w:sz="12" w:space="0"/>
            </w:tcBorders>
            <w:vAlign w:val="center"/>
          </w:tcPr>
          <w:p w14:paraId="36186107">
            <w:pPr>
              <w:snapToGrid w:val="0"/>
              <w:spacing w:line="240" w:lineRule="auto"/>
              <w:ind w:left="-122" w:leftChars="-58" w:right="-139" w:rightChars="-66"/>
              <w:jc w:val="center"/>
              <w:rPr>
                <w:kern w:val="0"/>
                <w:sz w:val="18"/>
                <w:szCs w:val="18"/>
              </w:rPr>
            </w:pPr>
            <w:r>
              <w:rPr>
                <w:rFonts w:hint="eastAsia"/>
                <w:kern w:val="0"/>
                <w:sz w:val="18"/>
                <w:szCs w:val="18"/>
              </w:rPr>
              <w:t>1.12</w:t>
            </w:r>
          </w:p>
        </w:tc>
        <w:tc>
          <w:tcPr>
            <w:tcW w:w="941" w:type="dxa"/>
            <w:tcBorders>
              <w:top w:val="single" w:color="auto" w:sz="12" w:space="0"/>
            </w:tcBorders>
            <w:vAlign w:val="center"/>
          </w:tcPr>
          <w:p w14:paraId="658CA37B">
            <w:pPr>
              <w:snapToGrid w:val="0"/>
              <w:spacing w:line="240" w:lineRule="auto"/>
              <w:ind w:left="-122" w:leftChars="-58" w:right="-139" w:rightChars="-66"/>
              <w:jc w:val="center"/>
              <w:rPr>
                <w:kern w:val="0"/>
                <w:sz w:val="18"/>
                <w:szCs w:val="18"/>
              </w:rPr>
            </w:pPr>
            <w:r>
              <w:rPr>
                <w:kern w:val="0"/>
                <w:sz w:val="18"/>
                <w:szCs w:val="18"/>
              </w:rPr>
              <w:t>1.1</w:t>
            </w:r>
            <w:r>
              <w:rPr>
                <w:rFonts w:hint="eastAsia"/>
                <w:kern w:val="0"/>
                <w:sz w:val="18"/>
                <w:szCs w:val="18"/>
              </w:rPr>
              <w:t>4</w:t>
            </w:r>
          </w:p>
        </w:tc>
        <w:tc>
          <w:tcPr>
            <w:tcW w:w="941" w:type="dxa"/>
            <w:tcBorders>
              <w:top w:val="single" w:color="auto" w:sz="12" w:space="0"/>
            </w:tcBorders>
            <w:vAlign w:val="center"/>
          </w:tcPr>
          <w:p w14:paraId="163EB196">
            <w:pPr>
              <w:snapToGrid w:val="0"/>
              <w:spacing w:line="240" w:lineRule="auto"/>
              <w:ind w:left="-122" w:leftChars="-58" w:right="-139" w:rightChars="-66"/>
              <w:jc w:val="center"/>
              <w:rPr>
                <w:kern w:val="0"/>
                <w:sz w:val="18"/>
                <w:szCs w:val="18"/>
              </w:rPr>
            </w:pPr>
            <w:r>
              <w:rPr>
                <w:kern w:val="0"/>
                <w:sz w:val="18"/>
                <w:szCs w:val="18"/>
              </w:rPr>
              <w:t>1.1</w:t>
            </w:r>
            <w:r>
              <w:rPr>
                <w:rFonts w:hint="eastAsia"/>
                <w:kern w:val="0"/>
                <w:sz w:val="18"/>
                <w:szCs w:val="18"/>
              </w:rPr>
              <w:t>6</w:t>
            </w:r>
          </w:p>
        </w:tc>
        <w:tc>
          <w:tcPr>
            <w:tcW w:w="941" w:type="dxa"/>
            <w:tcBorders>
              <w:top w:val="single" w:color="auto" w:sz="12" w:space="0"/>
            </w:tcBorders>
            <w:vAlign w:val="center"/>
          </w:tcPr>
          <w:p w14:paraId="0AFED603">
            <w:pPr>
              <w:snapToGrid w:val="0"/>
              <w:spacing w:line="240" w:lineRule="auto"/>
              <w:ind w:left="-122" w:leftChars="-58" w:right="-139" w:rightChars="-66"/>
              <w:jc w:val="center"/>
              <w:rPr>
                <w:kern w:val="0"/>
                <w:sz w:val="18"/>
                <w:szCs w:val="18"/>
              </w:rPr>
            </w:pPr>
            <w:r>
              <w:rPr>
                <w:kern w:val="0"/>
                <w:sz w:val="18"/>
                <w:szCs w:val="18"/>
              </w:rPr>
              <w:t>1.1</w:t>
            </w:r>
            <w:r>
              <w:rPr>
                <w:rFonts w:hint="eastAsia"/>
                <w:kern w:val="0"/>
                <w:sz w:val="18"/>
                <w:szCs w:val="18"/>
              </w:rPr>
              <w:t>7</w:t>
            </w:r>
          </w:p>
        </w:tc>
        <w:tc>
          <w:tcPr>
            <w:tcW w:w="1941" w:type="dxa"/>
            <w:tcBorders>
              <w:top w:val="single" w:color="auto" w:sz="12" w:space="0"/>
            </w:tcBorders>
            <w:vAlign w:val="center"/>
          </w:tcPr>
          <w:p w14:paraId="2CD2B658">
            <w:pPr>
              <w:snapToGrid w:val="0"/>
              <w:spacing w:line="240" w:lineRule="auto"/>
              <w:ind w:left="-122" w:leftChars="-58" w:right="-139" w:rightChars="-66"/>
              <w:jc w:val="center"/>
              <w:rPr>
                <w:kern w:val="0"/>
                <w:sz w:val="18"/>
                <w:szCs w:val="18"/>
              </w:rPr>
            </w:pPr>
            <w:r>
              <w:rPr>
                <w:kern w:val="0"/>
                <w:sz w:val="18"/>
                <w:szCs w:val="18"/>
              </w:rPr>
              <w:t>1.18</w:t>
            </w:r>
          </w:p>
        </w:tc>
      </w:tr>
    </w:tbl>
    <w:p w14:paraId="222580DE">
      <w:pPr>
        <w:pStyle w:val="173"/>
        <w:numPr>
          <w:ilvl w:val="3"/>
          <w:numId w:val="0"/>
        </w:numPr>
        <w:rPr>
          <w:rFonts w:hint="eastAsia" w:hAnsi="宋体" w:cs="宋体"/>
          <w:bCs/>
          <w:kern w:val="2"/>
          <w:szCs w:val="21"/>
        </w:rPr>
      </w:pPr>
    </w:p>
    <w:p w14:paraId="0BC8C455">
      <w:pPr>
        <w:pStyle w:val="173"/>
        <w:rPr>
          <w:rFonts w:hint="eastAsia" w:hAnsi="宋体" w:cs="宋体"/>
          <w:bCs/>
          <w:kern w:val="2"/>
          <w:szCs w:val="21"/>
        </w:rPr>
      </w:pPr>
      <w:r>
        <w:rPr>
          <w:rFonts w:hint="eastAsia" w:hAnsi="宋体" w:cs="宋体"/>
          <w:bCs/>
          <w:kern w:val="2"/>
          <w:szCs w:val="21"/>
        </w:rPr>
        <w:t>单井出水量计算</w:t>
      </w:r>
    </w:p>
    <w:p w14:paraId="29EF70C6">
      <w:pPr>
        <w:pStyle w:val="182"/>
        <w:ind w:left="425" w:firstLine="420" w:firstLineChars="200"/>
      </w:pPr>
      <w:r>
        <w:rPr>
          <w:rFonts w:hint="eastAsia"/>
          <w:bCs/>
          <w:szCs w:val="21"/>
        </w:rPr>
        <w:t>降水管井的出水能力应大于设计的单井出水量，应根据水文地质条件、管井过滤器的结构、设备能力等综合确定，可按公式（5）估算：</w:t>
      </w:r>
    </w:p>
    <w:p w14:paraId="1B5E68B3">
      <w:pPr>
        <w:wordWrap w:val="0"/>
        <w:spacing w:line="240" w:lineRule="auto"/>
        <w:jc w:val="right"/>
        <w:rPr>
          <w:rFonts w:hint="eastAsia" w:ascii="宋体" w:hAnsi="宋体"/>
          <w:bCs/>
        </w:rPr>
      </w:pPr>
      <m:oMath>
        <m:sSub>
          <m:sSubPr>
            <m:ctrlPr>
              <w:rPr>
                <w:rFonts w:ascii="Cambria Math" w:hAnsi="Cambria Math"/>
                <w:bCs/>
                <w:i/>
              </w:rPr>
            </m:ctrlPr>
          </m:sSubPr>
          <m:e>
            <m:r>
              <m:rPr/>
              <w:rPr>
                <w:rFonts w:ascii="Cambria Math" w:hAnsi="Cambria Math"/>
              </w:rPr>
              <m:t>q</m:t>
            </m:r>
            <m:ctrlPr>
              <w:rPr>
                <w:rFonts w:ascii="Cambria Math" w:hAnsi="Cambria Math"/>
                <w:bCs/>
                <w:i/>
              </w:rPr>
            </m:ctrlPr>
          </m:e>
          <m:sub>
            <m:r>
              <m:rPr/>
              <w:rPr>
                <w:rFonts w:ascii="Cambria Math" w:hAnsi="Cambria Math"/>
              </w:rPr>
              <m:t>0</m:t>
            </m:r>
            <m:ctrlPr>
              <w:rPr>
                <w:rFonts w:ascii="Cambria Math" w:hAnsi="Cambria Math"/>
                <w:bCs/>
                <w:i/>
              </w:rPr>
            </m:ctrlPr>
          </m:sub>
        </m:sSub>
        <m:r>
          <m:rPr/>
          <w:rPr>
            <w:rFonts w:ascii="Cambria Math" w:hAnsi="Cambria Math"/>
          </w:rPr>
          <m:t>=120∙</m:t>
        </m:r>
        <m:r>
          <m:rPr>
            <m:sty m:val="p"/>
          </m:rPr>
          <w:rPr>
            <w:rFonts w:ascii="Cambria Math" w:hAnsi="Cambria Math"/>
          </w:rPr>
          <m:t>π</m:t>
        </m:r>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∙l∙</m:t>
        </m:r>
        <m:rad>
          <m:radPr>
            <m:ctrlPr>
              <w:rPr>
                <w:rFonts w:ascii="Cambria Math" w:hAnsi="Cambria Math"/>
                <w:i/>
              </w:rPr>
            </m:ctrlPr>
          </m:radPr>
          <m:deg>
            <m:r>
              <m:rPr/>
              <w:rPr>
                <w:rFonts w:ascii="Cambria Math" w:hAnsi="Cambria Math"/>
              </w:rPr>
              <m:t>3</m:t>
            </m:r>
            <m:ctrlPr>
              <w:rPr>
                <w:rFonts w:ascii="Cambria Math" w:hAnsi="Cambria Math"/>
                <w:i/>
              </w:rPr>
            </m:ctrlPr>
          </m:deg>
          <m:e>
            <m:r>
              <m:rPr/>
              <w:rPr>
                <w:rFonts w:ascii="Cambria Math" w:hAnsi="Cambria Math"/>
              </w:rPr>
              <m:t>K</m:t>
            </m:r>
            <m:ctrlPr>
              <w:rPr>
                <w:rFonts w:ascii="Cambria Math" w:hAnsi="Cambria Math"/>
                <w:i/>
              </w:rPr>
            </m:ctrlPr>
          </m:e>
        </m:rad>
      </m:oMath>
      <w:r>
        <w:rPr>
          <w:rFonts w:hint="eastAsia" w:ascii="MS Gothic" w:hAnsi="MS Gothic" w:eastAsia="MS Gothic" w:cs="MS Gothic"/>
          <w:bCs/>
          <w:i/>
        </w:rPr>
        <w:t>    </w:t>
      </w:r>
      <w:r>
        <w:rPr>
          <w:rFonts w:hint="eastAsia" w:ascii="宋体" w:hAnsi="宋体"/>
          <w:bCs/>
        </w:rPr>
        <w:t xml:space="preserve">           </w:t>
      </w:r>
      <w:r>
        <w:rPr>
          <w:rFonts w:ascii="宋体" w:hAnsi="宋体"/>
          <w:bCs/>
        </w:rPr>
        <w:t xml:space="preserve">         </w:t>
      </w:r>
      <w:r>
        <w:rPr>
          <w:rFonts w:hint="eastAsia" w:ascii="宋体" w:hAnsi="宋体"/>
          <w:bCs/>
        </w:rPr>
        <w:t xml:space="preserve">                          </w:t>
      </w:r>
      <w:r>
        <w:rPr>
          <w:rFonts w:ascii="宋体" w:hAnsi="宋体"/>
          <w:bCs/>
        </w:rPr>
        <w:t>（</w:t>
      </w:r>
      <w:r>
        <w:rPr>
          <w:rFonts w:hint="eastAsia" w:ascii="宋体" w:hAnsi="宋体"/>
          <w:bCs/>
        </w:rPr>
        <w:t>5</w:t>
      </w:r>
      <w:r>
        <w:rPr>
          <w:rFonts w:ascii="宋体" w:hAnsi="宋体"/>
          <w:bCs/>
        </w:rPr>
        <w:t>）</w:t>
      </w:r>
    </w:p>
    <w:p w14:paraId="1761D246">
      <w:pPr>
        <w:spacing w:line="240" w:lineRule="auto"/>
        <w:ind w:left="630" w:leftChars="300"/>
        <w:jc w:val="left"/>
        <w:rPr>
          <w:rFonts w:hint="eastAsia" w:ascii="宋体" w:hAnsi="宋体" w:cs="宋体"/>
          <w:bCs/>
        </w:rPr>
      </w:pPr>
      <w:r>
        <w:rPr>
          <w:rFonts w:hint="eastAsia" w:ascii="宋体" w:hAnsi="宋体" w:cs="宋体"/>
          <w:bCs/>
        </w:rPr>
        <w:t>式中：</w:t>
      </w:r>
    </w:p>
    <w:p w14:paraId="10427338">
      <w:pPr>
        <w:spacing w:line="240" w:lineRule="auto"/>
        <w:ind w:left="630" w:leftChars="300"/>
        <w:jc w:val="left"/>
        <w:rPr>
          <w:rFonts w:hint="eastAsia" w:ascii="宋体" w:hAnsi="宋体" w:cs="宋体"/>
          <w:bCs/>
        </w:rPr>
      </w:pPr>
      <w:r>
        <w:rPr>
          <w:rFonts w:hint="eastAsia" w:ascii="宋体" w:hAnsi="宋体" w:cs="宋体"/>
          <w:bCs/>
          <w:i/>
          <w:iCs/>
        </w:rPr>
        <w:t>q</w:t>
      </w:r>
      <w:r>
        <w:rPr>
          <w:rFonts w:hint="eastAsia" w:ascii="宋体" w:hAnsi="宋体" w:cs="宋体"/>
          <w:bCs/>
          <w:vertAlign w:val="subscript"/>
        </w:rPr>
        <w:t>0</w:t>
      </w:r>
      <w:r>
        <w:rPr>
          <w:rFonts w:hint="eastAsia" w:ascii="宋体" w:hAnsi="宋体" w:cs="宋体"/>
        </w:rPr>
        <w:t>——单井出水能力</w:t>
      </w:r>
      <w:r>
        <w:rPr>
          <w:rFonts w:hint="eastAsia" w:ascii="宋体" w:hAnsi="宋体" w:cs="宋体"/>
          <w:bCs/>
        </w:rPr>
        <w:t>，m</w:t>
      </w:r>
      <w:r>
        <w:rPr>
          <w:rFonts w:hint="eastAsia" w:ascii="宋体" w:hAnsi="宋体" w:cs="宋体"/>
          <w:bCs/>
          <w:vertAlign w:val="superscript"/>
        </w:rPr>
        <w:t>3</w:t>
      </w:r>
      <w:r>
        <w:rPr>
          <w:rFonts w:hint="eastAsia" w:ascii="宋体" w:hAnsi="宋体" w:cs="宋体"/>
          <w:bCs/>
        </w:rPr>
        <w:t>/d；</w:t>
      </w:r>
    </w:p>
    <w:p w14:paraId="0D9ED91C">
      <w:pPr>
        <w:spacing w:line="240" w:lineRule="auto"/>
        <w:ind w:left="630" w:leftChars="300"/>
        <w:jc w:val="left"/>
        <w:rPr>
          <w:rFonts w:hint="eastAsia" w:ascii="宋体" w:hAnsi="宋体" w:cs="宋体"/>
        </w:rPr>
      </w:pPr>
      <w:r>
        <w:rPr>
          <w:rFonts w:hint="eastAsia" w:ascii="宋体" w:hAnsi="宋体" w:cs="宋体"/>
          <w:i/>
          <w:iCs/>
        </w:rPr>
        <w:t>l</w:t>
      </w:r>
      <w:r>
        <w:rPr>
          <w:rFonts w:hint="eastAsia" w:ascii="宋体" w:hAnsi="宋体" w:cs="宋体"/>
        </w:rPr>
        <w:t>——过滤器工作</w:t>
      </w:r>
      <w:r>
        <w:rPr>
          <w:rFonts w:hint="eastAsia" w:ascii="宋体" w:hAnsi="宋体" w:cs="宋体"/>
          <w:bCs/>
        </w:rPr>
        <w:t>部分</w:t>
      </w:r>
      <w:r>
        <w:rPr>
          <w:rFonts w:hint="eastAsia" w:ascii="宋体" w:hAnsi="宋体" w:cs="宋体"/>
        </w:rPr>
        <w:t>长度</w:t>
      </w:r>
      <w:r>
        <w:rPr>
          <w:rFonts w:hint="eastAsia" w:ascii="宋体" w:hAnsi="宋体" w:cs="宋体"/>
          <w:spacing w:val="7"/>
        </w:rPr>
        <w:t>，</w:t>
      </w:r>
      <m:oMath>
        <m:r>
          <m:rPr>
            <m:sty m:val="p"/>
          </m:rPr>
          <w:rPr>
            <w:rFonts w:hint="eastAsia" w:ascii="Cambria Math" w:hAnsi="Cambria Math" w:cs="宋体"/>
            <w:spacing w:val="26"/>
          </w:rPr>
          <m:t>m</m:t>
        </m:r>
      </m:oMath>
      <w:r>
        <w:rPr>
          <w:rFonts w:hint="eastAsia" w:ascii="宋体" w:hAnsi="宋体" w:cs="宋体"/>
        </w:rPr>
        <w:t>；</w:t>
      </w:r>
    </w:p>
    <w:p w14:paraId="0DB1F403">
      <w:pPr>
        <w:spacing w:line="240" w:lineRule="auto"/>
        <w:ind w:left="630" w:leftChars="300"/>
        <w:jc w:val="left"/>
        <w:rPr>
          <w:rFonts w:hint="eastAsia" w:ascii="宋体" w:hAnsi="宋体" w:cs="宋体"/>
          <w:bCs/>
        </w:rPr>
      </w:pPr>
      <w:r>
        <w:rPr>
          <w:rFonts w:hint="eastAsia" w:ascii="宋体" w:hAnsi="宋体" w:cs="宋体"/>
          <w:bCs/>
          <w:i/>
          <w:iCs/>
        </w:rPr>
        <w:t>r</w:t>
      </w:r>
      <w:r>
        <w:rPr>
          <w:rFonts w:hint="eastAsia" w:ascii="宋体" w:hAnsi="宋体" w:cs="宋体"/>
          <w:bCs/>
          <w:i/>
          <w:iCs/>
          <w:vertAlign w:val="subscript"/>
        </w:rPr>
        <w:t>w</w:t>
      </w:r>
      <w:r>
        <w:rPr>
          <w:rFonts w:hint="eastAsia" w:ascii="宋体" w:hAnsi="宋体" w:cs="宋体"/>
        </w:rPr>
        <w:t>——</w:t>
      </w:r>
      <w:r>
        <w:rPr>
          <w:rFonts w:hint="eastAsia" w:ascii="宋体" w:hAnsi="宋体" w:cs="宋体"/>
          <w:bCs/>
        </w:rPr>
        <w:t>过滤器半径，m；</w:t>
      </w:r>
    </w:p>
    <w:p w14:paraId="1E0103C5">
      <w:pPr>
        <w:spacing w:line="240" w:lineRule="auto"/>
        <w:ind w:left="630" w:leftChars="300"/>
        <w:jc w:val="left"/>
        <w:rPr>
          <w:rFonts w:hint="eastAsia" w:ascii="宋体" w:hAnsi="宋体" w:cs="宋体"/>
          <w:b/>
        </w:rPr>
      </w:pPr>
      <w:r>
        <w:rPr>
          <w:rFonts w:hint="eastAsia" w:ascii="宋体" w:hAnsi="宋体" w:cs="宋体"/>
          <w:bCs/>
          <w:i/>
          <w:iCs/>
        </w:rPr>
        <w:t>K</w:t>
      </w:r>
      <w:r>
        <w:rPr>
          <w:rFonts w:hint="eastAsia" w:ascii="宋体" w:hAnsi="宋体" w:cs="宋体"/>
        </w:rPr>
        <w:t>——</w:t>
      </w:r>
      <w:r>
        <w:rPr>
          <w:rFonts w:hint="eastAsia" w:ascii="宋体" w:hAnsi="宋体" w:cs="宋体"/>
          <w:bCs/>
        </w:rPr>
        <w:t>渗透系数，m/d。</w:t>
      </w:r>
    </w:p>
    <w:p w14:paraId="134D4923">
      <w:pPr>
        <w:pStyle w:val="173"/>
        <w:rPr>
          <w:rFonts w:hint="eastAsia" w:hAnsi="宋体" w:cs="宋体"/>
          <w:bCs/>
          <w:kern w:val="2"/>
          <w:szCs w:val="21"/>
        </w:rPr>
      </w:pPr>
      <w:r>
        <w:rPr>
          <w:rFonts w:hint="eastAsia" w:hAnsi="宋体" w:cs="宋体"/>
          <w:bCs/>
          <w:kern w:val="2"/>
          <w:szCs w:val="21"/>
        </w:rPr>
        <w:t>降水管井数量可按</w:t>
      </w:r>
      <w:r>
        <w:rPr>
          <w:rFonts w:hint="eastAsia"/>
          <w:bCs/>
          <w:szCs w:val="21"/>
        </w:rPr>
        <w:t>公式（6）</w:t>
      </w:r>
      <w:r>
        <w:rPr>
          <w:rFonts w:hint="eastAsia" w:hAnsi="宋体" w:cs="宋体"/>
          <w:bCs/>
          <w:kern w:val="2"/>
          <w:szCs w:val="21"/>
        </w:rPr>
        <w:t>进行计算：</w:t>
      </w:r>
    </w:p>
    <w:p w14:paraId="6C767DD6">
      <w:pPr>
        <w:pStyle w:val="253"/>
        <w:wordWrap w:val="0"/>
        <w:spacing w:line="240" w:lineRule="auto"/>
        <w:ind w:firstLine="0"/>
        <w:jc w:val="right"/>
        <w:rPr>
          <w:rFonts w:ascii="Times New Roman" w:hAnsi="Times New Roman" w:cs="Times New Roman"/>
          <w:bCs/>
          <w:color w:val="auto"/>
          <w:sz w:val="21"/>
        </w:rPr>
      </w:pPr>
      <m:oMath>
        <m:r>
          <m:rPr/>
          <w:rPr>
            <w:rFonts w:ascii="Cambria Math" w:hAnsi="Cambria Math"/>
            <w:color w:val="auto"/>
            <w:sz w:val="21"/>
          </w:rPr>
          <m:t>n=</m:t>
        </m:r>
        <m:r>
          <m:rPr>
            <m:sty m:val="p"/>
          </m:rPr>
          <w:rPr>
            <w:rFonts w:ascii="Cambria Math" w:hAnsi="Cambria Math"/>
            <w:color w:val="auto"/>
            <w:sz w:val="21"/>
          </w:rPr>
          <m:t>δ</m:t>
        </m:r>
        <m:f>
          <m:fPr>
            <m:ctrlPr>
              <w:rPr>
                <w:rFonts w:ascii="Cambria Math" w:hAnsi="Cambria Math"/>
                <w:bCs/>
                <w:i/>
                <w:color w:val="auto"/>
                <w:sz w:val="21"/>
              </w:rPr>
            </m:ctrlPr>
          </m:fPr>
          <m:num>
            <m:r>
              <m:rPr/>
              <w:rPr>
                <w:rFonts w:ascii="Cambria Math" w:hAnsi="Cambria Math"/>
                <w:color w:val="auto"/>
                <w:sz w:val="21"/>
              </w:rPr>
              <m:t>Q</m:t>
            </m:r>
            <m:ctrlPr>
              <w:rPr>
                <w:rFonts w:ascii="Cambria Math" w:hAnsi="Cambria Math"/>
                <w:bCs/>
                <w:i/>
                <w:color w:val="auto"/>
                <w:sz w:val="21"/>
              </w:rPr>
            </m:ctrlPr>
          </m:num>
          <m:den>
            <m:r>
              <m:rPr/>
              <w:rPr>
                <w:rFonts w:ascii="Cambria Math" w:hAnsi="Cambria Math"/>
                <w:color w:val="auto"/>
                <w:sz w:val="21"/>
              </w:rPr>
              <m:t>q</m:t>
            </m:r>
            <m:ctrlPr>
              <w:rPr>
                <w:rFonts w:ascii="Cambria Math" w:hAnsi="Cambria Math"/>
                <w:bCs/>
                <w:i/>
                <w:color w:val="auto"/>
                <w:sz w:val="21"/>
              </w:rPr>
            </m:ctrlPr>
          </m:den>
        </m:f>
      </m:oMath>
      <w:r>
        <w:rPr>
          <w:rFonts w:hint="eastAsia"/>
          <w:bCs/>
          <w:color w:val="auto"/>
          <w:sz w:val="21"/>
        </w:rPr>
        <w:t xml:space="preserve">                                    </w:t>
      </w:r>
      <w:r>
        <w:rPr>
          <w:bCs/>
          <w:color w:val="auto"/>
          <w:sz w:val="21"/>
        </w:rPr>
        <w:t xml:space="preserve">                </w:t>
      </w:r>
      <w:r>
        <w:rPr>
          <w:rFonts w:hint="eastAsia"/>
          <w:bCs/>
          <w:color w:val="auto"/>
          <w:sz w:val="21"/>
        </w:rPr>
        <w:t>              </w:t>
      </w:r>
      <w:r>
        <w:rPr>
          <w:bCs/>
          <w:color w:val="auto"/>
          <w:sz w:val="21"/>
        </w:rPr>
        <w:t>（</w:t>
      </w:r>
      <w:r>
        <w:rPr>
          <w:rFonts w:hint="eastAsia"/>
          <w:bCs/>
          <w:color w:val="auto"/>
          <w:sz w:val="21"/>
        </w:rPr>
        <w:t>6</w:t>
      </w:r>
      <w:r>
        <w:rPr>
          <w:bCs/>
          <w:color w:val="auto"/>
          <w:sz w:val="21"/>
        </w:rPr>
        <w:t>）</w:t>
      </w:r>
    </w:p>
    <w:p w14:paraId="056D4400">
      <w:pPr>
        <w:pStyle w:val="251"/>
        <w:spacing w:line="240" w:lineRule="auto"/>
        <w:ind w:left="630" w:leftChars="300"/>
        <w:rPr>
          <w:rFonts w:hint="eastAsia" w:hAnsi="宋体" w:cs="宋体"/>
          <w:bCs/>
          <w:sz w:val="21"/>
          <w:szCs w:val="21"/>
        </w:rPr>
      </w:pPr>
      <w:r>
        <w:rPr>
          <w:rFonts w:hint="eastAsia" w:hAnsi="宋体" w:cs="宋体"/>
          <w:bCs/>
          <w:sz w:val="21"/>
          <w:szCs w:val="21"/>
        </w:rPr>
        <w:t>式中：</w:t>
      </w:r>
    </w:p>
    <w:p w14:paraId="1FA12257">
      <w:pPr>
        <w:pStyle w:val="251"/>
        <w:spacing w:line="240" w:lineRule="auto"/>
        <w:ind w:left="630" w:leftChars="300"/>
        <w:rPr>
          <w:rFonts w:hint="eastAsia" w:hAnsi="宋体" w:cs="宋体"/>
          <w:bCs/>
          <w:sz w:val="21"/>
          <w:szCs w:val="21"/>
        </w:rPr>
      </w:pPr>
      <w:r>
        <w:rPr>
          <w:rFonts w:hint="eastAsia" w:hAnsi="宋体" w:cs="宋体"/>
          <w:bCs/>
          <w:i/>
          <w:iCs/>
          <w:sz w:val="21"/>
          <w:szCs w:val="21"/>
        </w:rPr>
        <w:t>n</w:t>
      </w:r>
      <w:r>
        <w:rPr>
          <w:rFonts w:hint="eastAsia" w:hAnsi="宋体" w:cs="宋体"/>
          <w:sz w:val="21"/>
          <w:szCs w:val="21"/>
        </w:rPr>
        <w:t>——</w:t>
      </w:r>
      <w:r>
        <w:rPr>
          <w:rFonts w:hint="eastAsia" w:hAnsi="宋体" w:cs="宋体"/>
          <w:bCs/>
          <w:sz w:val="21"/>
          <w:szCs w:val="21"/>
        </w:rPr>
        <w:t>降水管井数量，当Q/q≤5时，n≥Q/q+1；</w:t>
      </w:r>
    </w:p>
    <w:p w14:paraId="420C3A70">
      <w:pPr>
        <w:pStyle w:val="251"/>
        <w:spacing w:line="240" w:lineRule="auto"/>
        <w:ind w:left="630" w:leftChars="300"/>
        <w:rPr>
          <w:rFonts w:hint="eastAsia" w:hAnsi="宋体" w:cs="宋体"/>
          <w:bCs/>
          <w:sz w:val="21"/>
          <w:szCs w:val="21"/>
        </w:rPr>
      </w:pPr>
      <w:r>
        <w:rPr>
          <w:rFonts w:hint="eastAsia" w:hAnsi="宋体" w:cs="宋体"/>
          <w:bCs/>
          <w:i/>
          <w:iCs/>
          <w:sz w:val="21"/>
          <w:szCs w:val="21"/>
        </w:rPr>
        <w:t>Q</w:t>
      </w:r>
      <w:r>
        <w:rPr>
          <w:rFonts w:hint="eastAsia" w:hAnsi="宋体" w:cs="宋体"/>
          <w:sz w:val="21"/>
          <w:szCs w:val="21"/>
        </w:rPr>
        <w:t>——</w:t>
      </w:r>
      <w:r>
        <w:rPr>
          <w:rFonts w:hint="eastAsia" w:hAnsi="宋体" w:cs="宋体"/>
          <w:bCs/>
          <w:sz w:val="21"/>
          <w:szCs w:val="21"/>
        </w:rPr>
        <w:t>基坑</w:t>
      </w:r>
      <w:r>
        <w:rPr>
          <w:rFonts w:hint="eastAsia" w:hAnsi="宋体" w:cs="宋体"/>
          <w:sz w:val="21"/>
          <w:szCs w:val="21"/>
        </w:rPr>
        <w:t>计算涌水量</w:t>
      </w:r>
      <w:r>
        <w:rPr>
          <w:rFonts w:hint="eastAsia" w:hAnsi="宋体" w:cs="宋体"/>
          <w:bCs/>
          <w:sz w:val="21"/>
          <w:szCs w:val="21"/>
        </w:rPr>
        <w:t>，m</w:t>
      </w:r>
      <w:r>
        <w:rPr>
          <w:rFonts w:hint="eastAsia" w:hAnsi="宋体" w:cs="宋体"/>
          <w:bCs/>
          <w:sz w:val="21"/>
          <w:szCs w:val="21"/>
          <w:vertAlign w:val="superscript"/>
        </w:rPr>
        <w:t>3</w:t>
      </w:r>
      <w:r>
        <w:rPr>
          <w:rFonts w:hint="eastAsia" w:hAnsi="宋体" w:cs="宋体"/>
          <w:bCs/>
          <w:sz w:val="21"/>
          <w:szCs w:val="21"/>
        </w:rPr>
        <w:t>/d；</w:t>
      </w:r>
    </w:p>
    <w:p w14:paraId="752DDE25">
      <w:pPr>
        <w:pStyle w:val="251"/>
        <w:spacing w:line="240" w:lineRule="auto"/>
        <w:ind w:left="630" w:leftChars="300"/>
        <w:rPr>
          <w:rFonts w:hint="eastAsia" w:hAnsi="宋体" w:cs="宋体"/>
          <w:bCs/>
          <w:sz w:val="21"/>
          <w:szCs w:val="21"/>
        </w:rPr>
      </w:pPr>
      <w:r>
        <w:rPr>
          <w:rFonts w:hint="eastAsia" w:hAnsi="宋体" w:cs="宋体"/>
          <w:bCs/>
          <w:i/>
          <w:iCs/>
          <w:sz w:val="21"/>
          <w:szCs w:val="21"/>
        </w:rPr>
        <w:t>q</w:t>
      </w:r>
      <w:r>
        <w:rPr>
          <w:rFonts w:hint="eastAsia" w:hAnsi="宋体" w:cs="宋体"/>
          <w:sz w:val="21"/>
          <w:szCs w:val="21"/>
        </w:rPr>
        <w:t>——</w:t>
      </w:r>
      <w:r>
        <w:rPr>
          <w:rFonts w:hint="eastAsia" w:hAnsi="宋体" w:cs="宋体"/>
          <w:bCs/>
          <w:sz w:val="21"/>
          <w:szCs w:val="21"/>
        </w:rPr>
        <w:t>设计单井出水量 ，m</w:t>
      </w:r>
      <w:r>
        <w:rPr>
          <w:rFonts w:hint="eastAsia" w:hAnsi="宋体" w:cs="宋体"/>
          <w:bCs/>
          <w:sz w:val="21"/>
          <w:szCs w:val="21"/>
          <w:vertAlign w:val="superscript"/>
        </w:rPr>
        <w:t>3</w:t>
      </w:r>
      <w:r>
        <w:rPr>
          <w:rFonts w:hint="eastAsia" w:hAnsi="宋体" w:cs="宋体"/>
          <w:bCs/>
          <w:sz w:val="21"/>
          <w:szCs w:val="21"/>
        </w:rPr>
        <w:t>/d；</w:t>
      </w:r>
    </w:p>
    <w:p w14:paraId="33523062">
      <w:pPr>
        <w:pStyle w:val="251"/>
        <w:spacing w:line="240" w:lineRule="auto"/>
        <w:ind w:left="630" w:leftChars="300"/>
        <w:rPr>
          <w:rFonts w:hint="eastAsia" w:hAnsi="宋体" w:cs="宋体"/>
          <w:bCs/>
          <w:sz w:val="21"/>
          <w:szCs w:val="21"/>
        </w:rPr>
      </w:pPr>
      <w:r>
        <w:rPr>
          <w:rFonts w:hint="eastAsia" w:hAnsi="宋体" w:cs="宋体"/>
          <w:bCs/>
          <w:sz w:val="21"/>
          <w:szCs w:val="21"/>
        </w:rPr>
        <w:t>δ</w:t>
      </w:r>
      <w:r>
        <w:rPr>
          <w:rFonts w:hint="eastAsia" w:hAnsi="宋体" w:cs="宋体"/>
          <w:sz w:val="21"/>
          <w:szCs w:val="21"/>
        </w:rPr>
        <w:t>——</w:t>
      </w:r>
      <w:r>
        <w:rPr>
          <w:rFonts w:hint="eastAsia" w:hAnsi="宋体" w:cs="宋体"/>
          <w:bCs/>
          <w:sz w:val="21"/>
          <w:szCs w:val="21"/>
        </w:rPr>
        <w:t>安全系数，地下水控制等级为一级、二级、三级的基坑工程，δ分别取1.3、1.15、1.1。</w:t>
      </w:r>
    </w:p>
    <w:p w14:paraId="699DCE16">
      <w:pPr>
        <w:pStyle w:val="173"/>
      </w:pPr>
      <w:r>
        <w:rPr>
          <w:rFonts w:hint="eastAsia" w:hAnsi="宋体" w:cs="宋体"/>
          <w:bCs/>
          <w:kern w:val="2"/>
          <w:szCs w:val="21"/>
        </w:rPr>
        <w:t>水位预测</w:t>
      </w:r>
    </w:p>
    <w:p w14:paraId="6544C310">
      <w:pPr>
        <w:pStyle w:val="182"/>
        <w:numPr>
          <w:ilvl w:val="0"/>
          <w:numId w:val="70"/>
        </w:numPr>
        <w:ind w:left="845" w:hanging="425"/>
        <w:rPr>
          <w:rFonts w:ascii="Times New Roman"/>
          <w:bCs/>
          <w:szCs w:val="21"/>
        </w:rPr>
      </w:pPr>
      <w:r>
        <w:rPr>
          <w:rFonts w:ascii="Times New Roman"/>
          <w:bCs/>
          <w:szCs w:val="21"/>
        </w:rPr>
        <w:t>水位预测应符</w:t>
      </w:r>
      <w:r>
        <w:rPr>
          <w:rFonts w:hint="eastAsia" w:ascii="Times New Roman"/>
          <w:bCs/>
          <w:szCs w:val="21"/>
        </w:rPr>
        <w:t>合</w:t>
      </w:r>
      <w:r>
        <w:rPr>
          <w:rFonts w:ascii="Times New Roman"/>
          <w:bCs/>
          <w:szCs w:val="21"/>
        </w:rPr>
        <w:t>下列要求</w:t>
      </w:r>
      <w:r>
        <w:rPr>
          <w:rFonts w:hint="eastAsia" w:ascii="Times New Roman"/>
          <w:bCs/>
          <w:szCs w:val="21"/>
        </w:rPr>
        <w:t>：</w:t>
      </w:r>
    </w:p>
    <w:p w14:paraId="04162B02">
      <w:pPr>
        <w:pStyle w:val="253"/>
        <w:spacing w:line="240" w:lineRule="auto"/>
        <w:ind w:left="609" w:leftChars="290" w:firstLine="189" w:firstLineChars="90"/>
        <w:jc w:val="both"/>
        <w:rPr>
          <w:rFonts w:hint="eastAsia"/>
          <w:color w:val="auto"/>
          <w:sz w:val="21"/>
        </w:rPr>
      </w:pPr>
      <w:r>
        <w:rPr>
          <w:rFonts w:hint="eastAsia"/>
          <w:color w:val="auto"/>
          <w:sz w:val="21"/>
        </w:rPr>
        <w:t>1） 应根据含水层特点、边界条件、管井类型选择计算公式，并绘制基坑内、外预测水位降深等值线图；</w:t>
      </w:r>
    </w:p>
    <w:p w14:paraId="7A31CFF3">
      <w:pPr>
        <w:pStyle w:val="253"/>
        <w:spacing w:line="240" w:lineRule="auto"/>
        <w:ind w:left="609" w:leftChars="290" w:firstLine="189" w:firstLineChars="90"/>
        <w:jc w:val="both"/>
        <w:rPr>
          <w:rFonts w:hint="eastAsia"/>
          <w:color w:val="auto"/>
          <w:sz w:val="21"/>
        </w:rPr>
      </w:pPr>
      <w:r>
        <w:rPr>
          <w:rFonts w:hint="eastAsia"/>
          <w:color w:val="auto"/>
          <w:sz w:val="21"/>
        </w:rPr>
        <w:t>2） 设计降深应按最不利情况考虑，优先满足塔楼、电梯井、集水坑等区域的降深要求；任意一点的预测水位均应满足设计降深的要求；</w:t>
      </w:r>
    </w:p>
    <w:p w14:paraId="4C259EF1">
      <w:pPr>
        <w:pStyle w:val="253"/>
        <w:spacing w:line="240" w:lineRule="auto"/>
        <w:ind w:left="609" w:leftChars="290" w:firstLine="189" w:firstLineChars="90"/>
        <w:jc w:val="both"/>
        <w:rPr>
          <w:rFonts w:hint="eastAsia"/>
          <w:color w:val="auto"/>
          <w:sz w:val="21"/>
        </w:rPr>
      </w:pPr>
      <w:r>
        <w:rPr>
          <w:rFonts w:hint="eastAsia"/>
          <w:color w:val="auto"/>
          <w:sz w:val="21"/>
        </w:rPr>
        <w:t>3） 应考虑隔渗帷幕的影响。</w:t>
      </w:r>
    </w:p>
    <w:p w14:paraId="351D48F3">
      <w:pPr>
        <w:pStyle w:val="182"/>
        <w:numPr>
          <w:ilvl w:val="0"/>
          <w:numId w:val="70"/>
        </w:numPr>
        <w:ind w:left="845" w:hanging="425"/>
        <w:rPr>
          <w:rFonts w:ascii="Times New Roman"/>
          <w:bCs/>
          <w:szCs w:val="21"/>
        </w:rPr>
      </w:pPr>
      <w:r>
        <w:rPr>
          <w:rFonts w:hint="eastAsia" w:ascii="Times New Roman"/>
          <w:bCs/>
          <w:szCs w:val="21"/>
        </w:rPr>
        <w:t>水位降深计算</w:t>
      </w:r>
    </w:p>
    <w:p w14:paraId="4C4CAFB6">
      <w:pPr>
        <w:pStyle w:val="253"/>
        <w:spacing w:line="240" w:lineRule="auto"/>
        <w:ind w:left="1260" w:leftChars="400" w:hanging="420" w:hangingChars="200"/>
        <w:jc w:val="both"/>
        <w:rPr>
          <w:rFonts w:ascii="Times New Roman" w:hAnsi="Times New Roman" w:cs="Times New Roman"/>
          <w:bCs/>
          <w:color w:val="auto"/>
          <w:sz w:val="21"/>
        </w:rPr>
      </w:pPr>
      <w:r>
        <w:rPr>
          <w:rFonts w:hint="eastAsia"/>
          <w:color w:val="auto"/>
          <w:sz w:val="21"/>
        </w:rPr>
        <w:t>1）</w:t>
      </w:r>
      <w:r>
        <w:rPr>
          <w:rFonts w:hint="eastAsia" w:ascii="Calibri" w:hAnsi="Calibri" w:cs="Calibri"/>
          <w:bCs/>
          <w:color w:val="auto"/>
          <w:sz w:val="21"/>
        </w:rPr>
        <w:t>敞开式降水</w:t>
      </w:r>
      <w:r>
        <w:rPr>
          <w:rFonts w:ascii="Times New Roman" w:hAnsi="Times New Roman" w:cs="Times New Roman"/>
          <w:bCs/>
          <w:color w:val="auto"/>
          <w:sz w:val="21"/>
        </w:rPr>
        <w:t>承压</w:t>
      </w:r>
      <w:r>
        <w:rPr>
          <w:rFonts w:hint="eastAsia" w:ascii="Times New Roman" w:hAnsi="Times New Roman" w:cs="Times New Roman"/>
          <w:bCs/>
          <w:color w:val="auto"/>
          <w:sz w:val="21"/>
        </w:rPr>
        <w:t>含水层</w:t>
      </w:r>
      <w:r>
        <w:rPr>
          <w:rFonts w:ascii="Times New Roman" w:hAnsi="Times New Roman" w:cs="Times New Roman"/>
          <w:bCs/>
          <w:color w:val="auto"/>
          <w:sz w:val="21"/>
        </w:rPr>
        <w:t>干扰井稳定流降深计算公式：</w:t>
      </w:r>
    </w:p>
    <w:p w14:paraId="347BC0CA">
      <w:pPr>
        <w:pStyle w:val="236"/>
        <w:spacing w:before="156" w:beforeLines="50" w:after="156" w:afterLines="50"/>
        <w:jc w:val="right"/>
        <w:rPr>
          <w:rFonts w:ascii="Times New Roman" w:hAnsi="Times New Roman" w:cs="Times New Roman"/>
          <w:bCs/>
          <w:color w:val="auto"/>
          <w:sz w:val="21"/>
          <w:szCs w:val="21"/>
        </w:rPr>
      </w:pPr>
      <m:oMath>
        <m:r>
          <m:rPr/>
          <w:rPr>
            <w:rFonts w:ascii="Cambria Math" w:hAnsi="Cambria Math"/>
            <w:color w:val="auto"/>
            <w:sz w:val="21"/>
            <w:szCs w:val="21"/>
          </w:rPr>
          <m:t>S=</m:t>
        </m:r>
        <m:f>
          <m:fPr>
            <m:ctrlPr>
              <w:rPr>
                <w:rFonts w:ascii="Cambria Math" w:hAnsi="Cambria Math"/>
                <w:i/>
                <w:iCs/>
                <w:color w:val="auto"/>
                <w:sz w:val="21"/>
                <w:szCs w:val="21"/>
              </w:rPr>
            </m:ctrlPr>
          </m:fPr>
          <m:num>
            <m:r>
              <m:rPr/>
              <w:rPr>
                <w:rFonts w:ascii="Cambria Math" w:hAnsi="Cambria Math"/>
                <w:color w:val="auto"/>
                <w:sz w:val="21"/>
                <w:szCs w:val="21"/>
              </w:rPr>
              <m:t>0.366</m:t>
            </m:r>
            <m:ctrlPr>
              <w:rPr>
                <w:rFonts w:ascii="Cambria Math" w:hAnsi="Cambria Math"/>
                <w:i/>
                <w:iCs/>
                <w:color w:val="auto"/>
                <w:sz w:val="21"/>
                <w:szCs w:val="21"/>
              </w:rPr>
            </m:ctrlPr>
          </m:num>
          <m:den>
            <m:r>
              <m:rPr/>
              <w:rPr>
                <w:rFonts w:ascii="Cambria Math" w:hAnsi="Cambria Math"/>
                <w:color w:val="auto"/>
                <w:sz w:val="21"/>
                <w:szCs w:val="21"/>
              </w:rPr>
              <m:t>M∙K</m:t>
            </m:r>
            <m:ctrlPr>
              <w:rPr>
                <w:rFonts w:ascii="Cambria Math" w:hAnsi="Cambria Math"/>
                <w:i/>
                <w:iCs/>
                <w:color w:val="auto"/>
                <w:sz w:val="21"/>
                <w:szCs w:val="21"/>
              </w:rPr>
            </m:ctrlPr>
          </m:den>
        </m:f>
        <m:r>
          <m:rPr/>
          <w:rPr>
            <w:rFonts w:ascii="Cambria Math" w:hAnsi="Cambria Math"/>
            <w:color w:val="auto"/>
            <w:sz w:val="21"/>
            <w:szCs w:val="21"/>
          </w:rPr>
          <m:t>∙</m:t>
        </m:r>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m:t>
            </m:r>
            <m:d>
              <m:dPr>
                <m:ctrlPr>
                  <w:rPr>
                    <w:rFonts w:ascii="Cambria Math" w:hAnsi="Cambria Math"/>
                    <w:i/>
                    <w:iCs/>
                    <w:color w:val="auto"/>
                    <w:sz w:val="21"/>
                    <w:szCs w:val="21"/>
                  </w:rPr>
                </m:ctrlPr>
              </m:dPr>
              <m:e>
                <m:r>
                  <m:rPr>
                    <m:sty m:val="p"/>
                  </m:rPr>
                  <w:rPr>
                    <w:rFonts w:ascii="Cambria Math" w:hAnsi="Cambria Math"/>
                    <w:color w:val="auto"/>
                    <w:sz w:val="21"/>
                    <w:szCs w:val="21"/>
                  </w:rPr>
                  <m:t>lg</m:t>
                </m:r>
                <m:r>
                  <m:rPr/>
                  <w:rPr>
                    <w:rFonts w:ascii="Cambria Math" w:hAnsi="Cambria Math"/>
                    <w:color w:val="auto"/>
                    <w:sz w:val="21"/>
                    <w:szCs w:val="21"/>
                  </w:rPr>
                  <m:t>R−</m:t>
                </m:r>
                <m:r>
                  <m:rPr>
                    <m:sty m:val="p"/>
                  </m:rPr>
                  <w:rPr>
                    <w:rFonts w:ascii="Cambria Math" w:hAnsi="Cambria Math"/>
                    <w:color w:val="auto"/>
                    <w:sz w:val="21"/>
                    <w:szCs w:val="21"/>
                  </w:rPr>
                  <m:t>lg</m:t>
                </m:r>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e>
            </m:d>
            <m:ctrlPr>
              <w:rPr>
                <w:rFonts w:ascii="Cambria Math" w:hAnsi="Cambria Math"/>
                <w:bCs/>
                <w:i/>
                <w:iCs/>
                <w:color w:val="auto"/>
                <w:sz w:val="21"/>
                <w:szCs w:val="21"/>
              </w:rPr>
            </m:ctrlPr>
          </m:e>
        </m:nary>
      </m:oMath>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            （7）</w:t>
      </w:r>
    </w:p>
    <w:p w14:paraId="44DD6BF4">
      <w:pPr>
        <w:pStyle w:val="251"/>
        <w:spacing w:line="240" w:lineRule="auto"/>
        <w:ind w:left="630" w:leftChars="300"/>
        <w:rPr>
          <w:rFonts w:hint="eastAsia" w:hAnsi="宋体" w:cs="宋体"/>
          <w:bCs/>
          <w:sz w:val="21"/>
          <w:szCs w:val="21"/>
        </w:rPr>
      </w:pPr>
      <w:r>
        <w:rPr>
          <w:rFonts w:hint="eastAsia" w:hAnsi="宋体" w:cs="宋体"/>
          <w:bCs/>
          <w:sz w:val="21"/>
          <w:szCs w:val="21"/>
        </w:rPr>
        <w:t>式中：</w:t>
      </w:r>
    </w:p>
    <w:p w14:paraId="50D2F808">
      <w:pPr>
        <w:pStyle w:val="251"/>
        <w:spacing w:line="240" w:lineRule="auto"/>
        <w:ind w:left="630" w:leftChars="300"/>
        <w:rPr>
          <w:rFonts w:hint="eastAsia" w:hAnsi="宋体" w:cs="宋体"/>
          <w:bCs/>
          <w:sz w:val="21"/>
          <w:szCs w:val="21"/>
        </w:rPr>
      </w:pPr>
      <w:r>
        <w:rPr>
          <w:rFonts w:hint="eastAsia" w:hAnsi="宋体" w:cs="宋体"/>
          <w:bCs/>
          <w:i/>
          <w:iCs/>
          <w:sz w:val="21"/>
          <w:szCs w:val="21"/>
        </w:rPr>
        <w:t>S</w:t>
      </w:r>
      <w:r>
        <w:rPr>
          <w:rFonts w:hint="eastAsia" w:hAnsi="宋体" w:cs="宋体"/>
          <w:sz w:val="21"/>
          <w:szCs w:val="21"/>
        </w:rPr>
        <w:t>——</w:t>
      </w:r>
      <w:r>
        <w:rPr>
          <w:rFonts w:hint="eastAsia" w:hAnsi="宋体" w:cs="宋体"/>
          <w:bCs/>
          <w:sz w:val="21"/>
          <w:szCs w:val="21"/>
        </w:rPr>
        <w:t>任意点由n口井抽水引起的水位下降值，m；</w:t>
      </w:r>
    </w:p>
    <w:p w14:paraId="61058C55">
      <w:pPr>
        <w:pStyle w:val="251"/>
        <w:spacing w:line="240" w:lineRule="auto"/>
        <w:ind w:left="630" w:leftChars="300"/>
        <w:rPr>
          <w:rFonts w:hint="eastAsia" w:hAnsi="宋体" w:cs="宋体"/>
          <w:bCs/>
          <w:sz w:val="21"/>
          <w:szCs w:val="21"/>
        </w:rPr>
      </w:pPr>
      <w:r>
        <w:rPr>
          <w:rFonts w:hint="eastAsia" w:hAnsi="宋体" w:cs="宋体"/>
          <w:bCs/>
          <w:i/>
          <w:iCs/>
          <w:sz w:val="21"/>
          <w:szCs w:val="21"/>
        </w:rPr>
        <w:t>M</w:t>
      </w:r>
      <w:r>
        <w:rPr>
          <w:rFonts w:hint="eastAsia" w:hAnsi="宋体" w:cs="宋体"/>
          <w:sz w:val="21"/>
          <w:szCs w:val="21"/>
        </w:rPr>
        <w:t>——含水层厚度</w:t>
      </w:r>
      <w:r>
        <w:rPr>
          <w:rFonts w:hint="eastAsia" w:hAnsi="宋体" w:cs="宋体"/>
          <w:bCs/>
          <w:sz w:val="21"/>
          <w:szCs w:val="21"/>
        </w:rPr>
        <w:t>，m；</w:t>
      </w:r>
    </w:p>
    <w:p w14:paraId="6B336A2B">
      <w:pPr>
        <w:pStyle w:val="251"/>
        <w:spacing w:line="240" w:lineRule="auto"/>
        <w:ind w:left="630" w:leftChars="300"/>
        <w:rPr>
          <w:rFonts w:hint="eastAsia" w:hAnsi="宋体" w:cs="宋体"/>
          <w:bCs/>
          <w:sz w:val="21"/>
          <w:szCs w:val="21"/>
        </w:rPr>
      </w:pPr>
      <w:r>
        <w:rPr>
          <w:rFonts w:hint="eastAsia" w:hAnsi="宋体" w:cs="宋体"/>
          <w:bCs/>
          <w:i/>
          <w:iCs/>
          <w:sz w:val="21"/>
          <w:szCs w:val="21"/>
        </w:rPr>
        <w:t>K</w:t>
      </w:r>
      <w:r>
        <w:rPr>
          <w:rFonts w:hint="eastAsia" w:hAnsi="宋体" w:cs="宋体"/>
          <w:sz w:val="21"/>
          <w:szCs w:val="21"/>
        </w:rPr>
        <w:t>——</w:t>
      </w:r>
      <w:r>
        <w:rPr>
          <w:rFonts w:hint="eastAsia" w:hAnsi="宋体" w:cs="宋体"/>
          <w:bCs/>
          <w:sz w:val="21"/>
          <w:szCs w:val="21"/>
        </w:rPr>
        <w:t>渗透系数，m/d；</w:t>
      </w:r>
    </w:p>
    <w:p w14:paraId="12F52A65">
      <w:pPr>
        <w:pStyle w:val="251"/>
        <w:spacing w:line="240" w:lineRule="auto"/>
        <w:ind w:left="630" w:leftChars="300"/>
        <w:rPr>
          <w:rFonts w:hint="eastAsia" w:hAnsi="宋体" w:cs="宋体"/>
          <w:bCs/>
          <w:sz w:val="21"/>
          <w:szCs w:val="21"/>
        </w:rPr>
      </w:pPr>
      <w:r>
        <w:rPr>
          <w:rFonts w:hint="eastAsia" w:hAnsi="宋体" w:cs="宋体"/>
          <w:bCs/>
          <w:i/>
          <w:iCs/>
          <w:sz w:val="21"/>
          <w:szCs w:val="21"/>
        </w:rPr>
        <w:t>Q</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第i口井的单井出水量，m</w:t>
      </w:r>
      <w:r>
        <w:rPr>
          <w:rFonts w:hint="eastAsia" w:hAnsi="宋体" w:cs="宋体"/>
          <w:bCs/>
          <w:sz w:val="21"/>
          <w:szCs w:val="21"/>
          <w:vertAlign w:val="superscript"/>
        </w:rPr>
        <w:t>3</w:t>
      </w:r>
      <w:r>
        <w:rPr>
          <w:rFonts w:hint="eastAsia" w:hAnsi="宋体" w:cs="宋体"/>
          <w:bCs/>
          <w:sz w:val="21"/>
          <w:szCs w:val="21"/>
        </w:rPr>
        <w:t>/d；</w:t>
      </w:r>
    </w:p>
    <w:p w14:paraId="2A16895B">
      <w:pPr>
        <w:pStyle w:val="251"/>
        <w:spacing w:line="240" w:lineRule="auto"/>
        <w:ind w:left="630" w:leftChars="300"/>
        <w:rPr>
          <w:rFonts w:hint="eastAsia" w:hAnsi="宋体" w:cs="宋体"/>
          <w:bCs/>
          <w:sz w:val="21"/>
          <w:szCs w:val="21"/>
        </w:rPr>
      </w:pPr>
      <w:r>
        <w:rPr>
          <w:rFonts w:hint="eastAsia" w:hAnsi="宋体" w:cs="宋体"/>
          <w:bCs/>
          <w:i/>
          <w:iCs/>
          <w:sz w:val="21"/>
          <w:szCs w:val="21"/>
        </w:rPr>
        <w:t>R</w:t>
      </w:r>
      <w:r>
        <w:rPr>
          <w:rFonts w:hint="eastAsia" w:hAnsi="宋体" w:cs="宋体"/>
          <w:sz w:val="21"/>
          <w:szCs w:val="21"/>
        </w:rPr>
        <w:t>——</w:t>
      </w:r>
      <w:r>
        <w:rPr>
          <w:rFonts w:hint="eastAsia" w:hAnsi="宋体" w:cs="宋体"/>
          <w:bCs/>
          <w:sz w:val="21"/>
          <w:szCs w:val="21"/>
        </w:rPr>
        <w:t>抽水影响半径，m；</w:t>
      </w:r>
    </w:p>
    <w:p w14:paraId="133D3DB4">
      <w:pPr>
        <w:pStyle w:val="251"/>
        <w:spacing w:line="240" w:lineRule="auto"/>
        <w:ind w:left="630" w:leftChars="300"/>
        <w:rPr>
          <w:rFonts w:hint="eastAsia" w:hAnsi="宋体" w:cs="宋体"/>
          <w:bCs/>
          <w:sz w:val="21"/>
          <w:szCs w:val="21"/>
        </w:rPr>
      </w:pPr>
      <w:r>
        <w:rPr>
          <w:rFonts w:hint="eastAsia" w:hAnsi="宋体" w:cs="宋体"/>
          <w:bCs/>
          <w:i/>
          <w:iCs/>
          <w:sz w:val="21"/>
          <w:szCs w:val="21"/>
        </w:rPr>
        <w:t>r</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任意点距离抽水井的平面距离，m。</w:t>
      </w:r>
    </w:p>
    <w:p w14:paraId="3110E0BB">
      <w:pPr>
        <w:pStyle w:val="253"/>
        <w:spacing w:line="240" w:lineRule="auto"/>
        <w:ind w:left="1260" w:leftChars="400" w:hanging="420" w:hangingChars="200"/>
        <w:jc w:val="both"/>
        <w:rPr>
          <w:rFonts w:ascii="Times New Roman" w:hAnsi="Times New Roman" w:cs="Times New Roman"/>
          <w:bCs/>
          <w:color w:val="auto"/>
          <w:sz w:val="21"/>
        </w:rPr>
      </w:pPr>
      <w:r>
        <w:rPr>
          <w:rFonts w:hint="eastAsia"/>
          <w:color w:val="auto"/>
          <w:sz w:val="21"/>
        </w:rPr>
        <w:t>2） </w:t>
      </w:r>
      <w:r>
        <w:rPr>
          <w:rFonts w:hint="eastAsia" w:ascii="Calibri" w:hAnsi="Calibri" w:cs="Calibri"/>
          <w:bCs/>
          <w:color w:val="auto"/>
          <w:sz w:val="21"/>
        </w:rPr>
        <w:t>敞开式降水</w:t>
      </w:r>
      <w:r>
        <w:rPr>
          <w:rFonts w:ascii="Times New Roman" w:hAnsi="Times New Roman" w:cs="Times New Roman"/>
          <w:bCs/>
          <w:color w:val="auto"/>
          <w:sz w:val="21"/>
        </w:rPr>
        <w:t>潜水完整井</w:t>
      </w:r>
      <w:r>
        <w:rPr>
          <w:rFonts w:hint="eastAsia" w:ascii="Times New Roman" w:hAnsi="Times New Roman" w:cs="Times New Roman"/>
          <w:bCs/>
          <w:color w:val="auto"/>
          <w:sz w:val="21"/>
        </w:rPr>
        <w:t>干扰</w:t>
      </w:r>
      <w:r>
        <w:rPr>
          <w:rFonts w:ascii="Times New Roman" w:hAnsi="Times New Roman" w:cs="Times New Roman"/>
          <w:bCs/>
          <w:color w:val="auto"/>
          <w:sz w:val="21"/>
        </w:rPr>
        <w:t>井稳定流降深计算公式：</w:t>
      </w:r>
    </w:p>
    <w:p w14:paraId="46E6CB3F">
      <w:pPr>
        <w:pStyle w:val="236"/>
        <w:spacing w:before="156" w:beforeLines="50" w:after="156" w:afterLines="50"/>
        <w:jc w:val="right"/>
        <w:rPr>
          <w:rFonts w:ascii="Times New Roman" w:hAnsi="Times New Roman" w:cs="Times New Roman"/>
          <w:bCs/>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j</m:t>
            </m:r>
            <m:ctrlPr>
              <w:rPr>
                <w:rFonts w:ascii="Cambria Math" w:hAnsi="Cambria Math"/>
                <w:i/>
                <w:iCs/>
                <w:color w:val="auto"/>
                <w:sz w:val="21"/>
                <w:szCs w:val="21"/>
              </w:rPr>
            </m:ctrlPr>
          </m:sub>
        </m:sSub>
        <m:r>
          <m:rPr/>
          <w:rPr>
            <w:rFonts w:ascii="Cambria Math" w:hAnsi="Cambria Math"/>
            <w:color w:val="auto"/>
            <w:sz w:val="21"/>
            <w:szCs w:val="21"/>
          </w:rPr>
          <m:t>=H−</m:t>
        </m:r>
        <m:rad>
          <m:radPr>
            <m:degHide m:val="1"/>
            <m:ctrlPr>
              <w:rPr>
                <w:rFonts w:ascii="Cambria Math" w:hAnsi="Cambria Math"/>
                <w:i/>
                <w:iCs/>
                <w:color w:val="auto"/>
                <w:sz w:val="21"/>
                <w:szCs w:val="21"/>
              </w:rPr>
            </m:ctrlPr>
          </m:radPr>
          <m:deg>
            <m:ctrlPr>
              <w:rPr>
                <w:rFonts w:ascii="Cambria Math" w:hAnsi="Cambria Math"/>
                <w:i/>
                <w:iCs/>
                <w:color w:val="auto"/>
                <w:sz w:val="21"/>
                <w:szCs w:val="21"/>
              </w:rPr>
            </m:ctrlPr>
          </m:deg>
          <m:e>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m:sty m:val="p"/>
                  </m:rPr>
                  <w:rPr>
                    <w:rFonts w:ascii="Cambria Math" w:hAnsi="Cambria Math"/>
                    <w:color w:val="auto"/>
                    <w:sz w:val="21"/>
                    <w:szCs w:val="21"/>
                  </w:rPr>
                  <m:t>π</m:t>
                </m:r>
                <m:r>
                  <m:rPr/>
                  <w:rPr>
                    <w:rFonts w:ascii="Cambria Math" w:hAnsi="Cambria Math"/>
                    <w:color w:val="auto"/>
                    <w:sz w:val="21"/>
                    <w:szCs w:val="21"/>
                  </w:rPr>
                  <m:t>∙K</m:t>
                </m:r>
                <m:ctrlPr>
                  <w:rPr>
                    <w:rFonts w:ascii="Cambria Math" w:hAnsi="Cambria Math"/>
                    <w:i/>
                    <w:iCs/>
                    <w:color w:val="auto"/>
                    <w:sz w:val="21"/>
                    <w:szCs w:val="21"/>
                  </w:rPr>
                </m:ctrlPr>
              </m:den>
            </m:f>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m:t>
                </m:r>
                <m:r>
                  <m:rPr>
                    <m:sty m:val="p"/>
                  </m:rPr>
                  <w:rPr>
                    <w:rFonts w:ascii="Cambria Math" w:hAnsi="Cambria Math"/>
                    <w:color w:val="auto"/>
                    <w:sz w:val="21"/>
                    <w:szCs w:val="21"/>
                  </w:rPr>
                  <m:t>ln</m:t>
                </m:r>
                <m:ctrlPr>
                  <w:rPr>
                    <w:rFonts w:ascii="Cambria Math" w:hAnsi="Cambria Math"/>
                    <w:bCs/>
                    <w:i/>
                    <w:iCs/>
                    <w:color w:val="auto"/>
                    <w:sz w:val="21"/>
                    <w:szCs w:val="21"/>
                  </w:rPr>
                </m:ctrlPr>
              </m:e>
            </m:nary>
            <m:f>
              <m:fPr>
                <m:ctrlPr>
                  <w:rPr>
                    <w:rFonts w:ascii="Cambria Math" w:hAnsi="Cambria Math"/>
                    <w:bCs/>
                    <w:i/>
                    <w:iCs/>
                    <w:color w:val="auto"/>
                    <w:sz w:val="21"/>
                    <w:szCs w:val="21"/>
                  </w:rPr>
                </m:ctrlPr>
              </m:fPr>
              <m:num>
                <m:sSub>
                  <m:sSubPr>
                    <m:ctrlPr>
                      <w:rPr>
                        <w:rFonts w:ascii="Cambria Math" w:hAnsi="Cambria Math"/>
                        <w:bCs/>
                        <w:i/>
                        <w:iCs/>
                        <w:color w:val="auto"/>
                        <w:sz w:val="21"/>
                        <w:szCs w:val="21"/>
                      </w:rPr>
                    </m:ctrlPr>
                  </m:sSubPr>
                  <m:e>
                    <m:r>
                      <m:rPr/>
                      <w:rPr>
                        <w:rFonts w:ascii="Cambria Math" w:hAnsi="Cambria Math"/>
                        <w:color w:val="auto"/>
                        <w:sz w:val="21"/>
                        <w:szCs w:val="21"/>
                      </w:rPr>
                      <m:t>R</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ctrlPr>
                  <w:rPr>
                    <w:rFonts w:ascii="Cambria Math" w:hAnsi="Cambria Math"/>
                    <w:bCs/>
                    <w:i/>
                    <w:iCs/>
                    <w:color w:val="auto"/>
                    <w:sz w:val="21"/>
                    <w:szCs w:val="21"/>
                  </w:rPr>
                </m:ctrlPr>
              </m:num>
              <m:den>
                <m:sSub>
                  <m:sSubPr>
                    <m:ctrlPr>
                      <w:rPr>
                        <w:rFonts w:ascii="Cambria Math" w:hAnsi="Cambria Math"/>
                        <w:bCs/>
                        <w:i/>
                        <w:iCs/>
                        <w:color w:val="auto"/>
                        <w:sz w:val="21"/>
                        <w:szCs w:val="21"/>
                      </w:rPr>
                    </m:ctrlPr>
                  </m:sSubPr>
                  <m:e>
                    <m:r>
                      <m:rPr/>
                      <w:rPr>
                        <w:rFonts w:hint="eastAsia" w:ascii="Cambria Math" w:hAnsi="Cambria Math"/>
                        <w:color w:val="auto"/>
                        <w:sz w:val="21"/>
                        <w:szCs w:val="21"/>
                      </w:rPr>
                      <m:t>r</m:t>
                    </m:r>
                    <m:ctrlPr>
                      <w:rPr>
                        <w:rFonts w:ascii="Cambria Math" w:hAnsi="Cambria Math"/>
                        <w:bCs/>
                        <w:i/>
                        <w:iCs/>
                        <w:color w:val="auto"/>
                        <w:sz w:val="21"/>
                        <w:szCs w:val="21"/>
                      </w:rPr>
                    </m:ctrlPr>
                  </m:e>
                  <m:sub>
                    <m:r>
                      <m:rPr/>
                      <w:rPr>
                        <w:rFonts w:ascii="Cambria Math" w:hAnsi="Cambria Math"/>
                        <w:color w:val="auto"/>
                        <w:sz w:val="21"/>
                        <w:szCs w:val="21"/>
                      </w:rPr>
                      <m:t>ij</m:t>
                    </m:r>
                    <m:ctrlPr>
                      <w:rPr>
                        <w:rFonts w:ascii="Cambria Math" w:hAnsi="Cambria Math"/>
                        <w:bCs/>
                        <w:i/>
                        <w:iCs/>
                        <w:color w:val="auto"/>
                        <w:sz w:val="21"/>
                        <w:szCs w:val="21"/>
                      </w:rPr>
                    </m:ctrlPr>
                  </m:sub>
                </m:sSub>
                <m:ctrlPr>
                  <w:rPr>
                    <w:rFonts w:ascii="Cambria Math" w:hAnsi="Cambria Math"/>
                    <w:bCs/>
                    <w:i/>
                    <w:iCs/>
                    <w:color w:val="auto"/>
                    <w:sz w:val="21"/>
                    <w:szCs w:val="21"/>
                  </w:rPr>
                </m:ctrlPr>
              </m:den>
            </m:f>
            <m:r>
              <m:rPr/>
              <w:rPr>
                <w:rFonts w:ascii="Cambria Math" w:hAnsi="Cambria Math"/>
                <w:color w:val="auto"/>
                <w:sz w:val="21"/>
                <w:szCs w:val="21"/>
              </w:rPr>
              <m:t>)</m:t>
            </m:r>
            <m:ctrlPr>
              <w:rPr>
                <w:rFonts w:ascii="Cambria Math" w:hAnsi="Cambria Math"/>
                <w:i/>
                <w:iCs/>
                <w:color w:val="auto"/>
                <w:sz w:val="21"/>
                <w:szCs w:val="21"/>
              </w:rPr>
            </m:ctrlPr>
          </m:e>
        </m:rad>
      </m:oMath>
      <w:r>
        <w:rPr>
          <w:rFonts w:hint="eastAsia"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        （8）</w:t>
      </w:r>
    </w:p>
    <w:p w14:paraId="28D5F01D">
      <w:pPr>
        <w:pStyle w:val="251"/>
        <w:spacing w:line="240" w:lineRule="auto"/>
        <w:ind w:left="630" w:leftChars="300"/>
        <w:rPr>
          <w:rFonts w:hint="eastAsia" w:hAnsi="宋体" w:cs="宋体"/>
          <w:bCs/>
          <w:sz w:val="21"/>
          <w:szCs w:val="21"/>
        </w:rPr>
      </w:pPr>
      <w:r>
        <w:rPr>
          <w:rFonts w:hint="eastAsia" w:hAnsi="宋体" w:cs="宋体"/>
          <w:bCs/>
          <w:sz w:val="21"/>
          <w:szCs w:val="21"/>
        </w:rPr>
        <w:t>式中：</w:t>
      </w:r>
    </w:p>
    <w:p w14:paraId="46C4D756">
      <w:pPr>
        <w:pStyle w:val="251"/>
        <w:spacing w:line="240" w:lineRule="auto"/>
        <w:ind w:left="630" w:leftChars="300"/>
        <w:rPr>
          <w:rFonts w:hint="eastAsia" w:hAnsi="宋体" w:cs="宋体"/>
          <w:bCs/>
          <w:sz w:val="21"/>
          <w:szCs w:val="21"/>
        </w:rPr>
      </w:pPr>
      <w:r>
        <w:rPr>
          <w:rFonts w:hint="eastAsia" w:hAnsi="宋体" w:cs="宋体"/>
          <w:bCs/>
          <w:i/>
          <w:iCs/>
          <w:sz w:val="21"/>
          <w:szCs w:val="21"/>
        </w:rPr>
        <w:t>S</w:t>
      </w:r>
      <w:r>
        <w:rPr>
          <w:rFonts w:hint="eastAsia" w:hAnsi="宋体" w:cs="宋体"/>
          <w:bCs/>
          <w:i/>
          <w:iCs/>
          <w:sz w:val="21"/>
          <w:szCs w:val="21"/>
          <w:vertAlign w:val="subscript"/>
        </w:rPr>
        <w:t>j</w:t>
      </w:r>
      <w:r>
        <w:rPr>
          <w:rFonts w:hint="eastAsia" w:hAnsi="宋体" w:cs="宋体"/>
          <w:sz w:val="21"/>
          <w:szCs w:val="21"/>
        </w:rPr>
        <w:t>——</w:t>
      </w:r>
      <w:r>
        <w:rPr>
          <w:rFonts w:hint="eastAsia" w:hAnsi="宋体" w:cs="宋体"/>
          <w:bCs/>
          <w:sz w:val="21"/>
          <w:szCs w:val="21"/>
        </w:rPr>
        <w:t>第i口井抽水时对第j口井或基坑内任意点的干扰水位降深值，m；</w:t>
      </w:r>
    </w:p>
    <w:p w14:paraId="55ED7ACF">
      <w:pPr>
        <w:pStyle w:val="251"/>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sz w:val="21"/>
          <w:szCs w:val="21"/>
        </w:rPr>
        <w:t>——</w:t>
      </w:r>
      <w:r>
        <w:rPr>
          <w:rFonts w:hint="eastAsia" w:hAnsi="宋体" w:cs="宋体"/>
          <w:bCs/>
          <w:sz w:val="21"/>
          <w:szCs w:val="21"/>
        </w:rPr>
        <w:t>任意点处隔水底板到降水前静水位的高度，m；</w:t>
      </w:r>
    </w:p>
    <w:p w14:paraId="5D07C573">
      <w:pPr>
        <w:pStyle w:val="236"/>
        <w:ind w:firstLine="630" w:firstLineChars="300"/>
        <w:rPr>
          <w:color w:val="auto"/>
        </w:rPr>
      </w:pPr>
      <w:r>
        <w:rPr>
          <w:rFonts w:hint="eastAsia" w:hAnsi="宋体"/>
          <w:bCs/>
          <w:i/>
          <w:iCs/>
          <w:color w:val="auto"/>
          <w:sz w:val="21"/>
          <w:szCs w:val="21"/>
        </w:rPr>
        <w:t>R</w:t>
      </w:r>
      <w:r>
        <w:rPr>
          <w:rFonts w:hint="eastAsia" w:hAnsi="宋体"/>
          <w:bCs/>
          <w:color w:val="auto"/>
          <w:sz w:val="21"/>
          <w:szCs w:val="21"/>
          <w:vertAlign w:val="subscript"/>
        </w:rPr>
        <w:t>i</w:t>
      </w:r>
      <w:r>
        <w:rPr>
          <w:rFonts w:hint="eastAsia" w:hAnsi="宋体"/>
          <w:color w:val="auto"/>
          <w:sz w:val="21"/>
          <w:szCs w:val="21"/>
        </w:rPr>
        <w:t>——</w:t>
      </w:r>
      <w:r>
        <w:rPr>
          <w:rFonts w:hint="eastAsia" w:hAnsi="宋体"/>
          <w:bCs/>
          <w:color w:val="auto"/>
          <w:sz w:val="21"/>
          <w:szCs w:val="21"/>
        </w:rPr>
        <w:t>第i口井的抽水影响半径，m；</w:t>
      </w:r>
    </w:p>
    <w:p w14:paraId="51FC361E">
      <w:pPr>
        <w:pStyle w:val="251"/>
        <w:spacing w:line="240" w:lineRule="auto"/>
        <w:ind w:left="630" w:leftChars="300"/>
        <w:rPr>
          <w:rFonts w:hint="eastAsia" w:hAnsi="宋体" w:cs="宋体"/>
          <w:bCs/>
          <w:sz w:val="21"/>
          <w:szCs w:val="21"/>
        </w:rPr>
      </w:pPr>
      <w:r>
        <w:rPr>
          <w:rFonts w:hint="eastAsia" w:hAnsi="宋体" w:cs="宋体"/>
          <w:bCs/>
          <w:i/>
          <w:iCs/>
          <w:sz w:val="21"/>
          <w:szCs w:val="21"/>
        </w:rPr>
        <w:t>r</w:t>
      </w:r>
      <w:r>
        <w:rPr>
          <w:rFonts w:hint="eastAsia" w:hAnsi="宋体" w:cs="宋体"/>
          <w:bCs/>
          <w:i/>
          <w:iCs/>
          <w:sz w:val="21"/>
          <w:szCs w:val="21"/>
          <w:vertAlign w:val="subscript"/>
        </w:rPr>
        <w:t>ij</w:t>
      </w:r>
      <w:r>
        <w:rPr>
          <w:rFonts w:hint="eastAsia" w:hAnsi="宋体" w:cs="宋体"/>
          <w:sz w:val="21"/>
          <w:szCs w:val="21"/>
        </w:rPr>
        <w:t>——</w:t>
      </w:r>
      <w:r>
        <w:rPr>
          <w:rFonts w:hint="eastAsia" w:hAnsi="宋体" w:cs="宋体"/>
          <w:bCs/>
          <w:sz w:val="21"/>
          <w:szCs w:val="21"/>
        </w:rPr>
        <w:t>第i口井中心到基坑内j点的距离，m；</w:t>
      </w:r>
    </w:p>
    <w:p w14:paraId="4ECDFA3A">
      <w:pPr>
        <w:pStyle w:val="253"/>
        <w:spacing w:line="240" w:lineRule="auto"/>
        <w:ind w:left="1260" w:leftChars="400" w:hanging="420" w:hangingChars="200"/>
        <w:jc w:val="both"/>
        <w:rPr>
          <w:rFonts w:hint="eastAsia"/>
          <w:color w:val="auto"/>
        </w:rPr>
      </w:pPr>
      <w:r>
        <w:rPr>
          <w:rFonts w:hint="eastAsia"/>
          <w:color w:val="auto"/>
          <w:sz w:val="21"/>
        </w:rPr>
        <w:t>3） 其他</w:t>
      </w:r>
      <w:r>
        <w:rPr>
          <w:rFonts w:hint="eastAsia" w:ascii="Calibri" w:hAnsi="Calibri" w:cs="Calibri"/>
          <w:bCs/>
          <w:color w:val="auto"/>
          <w:sz w:val="21"/>
        </w:rPr>
        <w:t>情况的</w:t>
      </w:r>
      <w:r>
        <w:rPr>
          <w:rFonts w:hint="eastAsia"/>
          <w:color w:val="auto"/>
          <w:sz w:val="21"/>
        </w:rPr>
        <w:t>基坑水位降深计算可参照附录E进行。</w:t>
      </w:r>
    </w:p>
    <w:p w14:paraId="0F32B819">
      <w:pPr>
        <w:pStyle w:val="173"/>
        <w:rPr>
          <w:rFonts w:hint="eastAsia" w:hAnsi="宋体" w:cs="宋体"/>
          <w:bCs/>
          <w:kern w:val="2"/>
          <w:szCs w:val="21"/>
        </w:rPr>
      </w:pPr>
      <w:r>
        <w:rPr>
          <w:rFonts w:hint="eastAsia" w:hAnsi="宋体" w:cs="宋体"/>
          <w:bCs/>
          <w:kern w:val="2"/>
          <w:szCs w:val="21"/>
        </w:rPr>
        <w:t>降水引起的地面沉降计算与预测</w:t>
      </w:r>
    </w:p>
    <w:p w14:paraId="712A92BD">
      <w:pPr>
        <w:pStyle w:val="182"/>
        <w:numPr>
          <w:ilvl w:val="0"/>
          <w:numId w:val="71"/>
        </w:numPr>
        <w:ind w:left="845" w:hanging="425"/>
        <w:rPr>
          <w:rFonts w:ascii="Times New Roman"/>
          <w:bCs/>
          <w:szCs w:val="21"/>
        </w:rPr>
      </w:pPr>
      <w:r>
        <w:rPr>
          <w:rFonts w:ascii="Times New Roman"/>
          <w:bCs/>
          <w:szCs w:val="21"/>
        </w:rPr>
        <w:t>降水</w:t>
      </w:r>
      <w:r>
        <w:rPr>
          <w:rFonts w:hint="eastAsia" w:ascii="Times New Roman"/>
          <w:bCs/>
        </w:rPr>
        <w:t>引起的地面</w:t>
      </w:r>
      <w:r>
        <w:rPr>
          <w:rFonts w:ascii="Times New Roman"/>
          <w:bCs/>
          <w:szCs w:val="21"/>
        </w:rPr>
        <w:t>沉降计算与预测应符合下列要求：</w:t>
      </w:r>
    </w:p>
    <w:p w14:paraId="342987B7">
      <w:pPr>
        <w:pStyle w:val="253"/>
        <w:spacing w:line="240" w:lineRule="auto"/>
        <w:ind w:left="609" w:leftChars="290" w:firstLine="189" w:firstLineChars="90"/>
        <w:jc w:val="both"/>
        <w:rPr>
          <w:rFonts w:hint="eastAsia"/>
          <w:color w:val="auto"/>
          <w:sz w:val="21"/>
        </w:rPr>
      </w:pPr>
      <w:r>
        <w:rPr>
          <w:rFonts w:ascii="Times New Roman" w:hAnsi="Times New Roman" w:cs="Times New Roman"/>
          <w:bCs/>
          <w:color w:val="auto"/>
          <w:sz w:val="21"/>
        </w:rPr>
        <w:t>1</w:t>
      </w:r>
      <w:r>
        <w:rPr>
          <w:rFonts w:hint="eastAsia" w:ascii="Times New Roman" w:hAnsi="Times New Roman" w:cs="Times New Roman"/>
          <w:bCs/>
          <w:color w:val="auto"/>
          <w:sz w:val="21"/>
        </w:rPr>
        <w:t>） </w:t>
      </w:r>
      <w:r>
        <w:rPr>
          <w:rFonts w:hint="eastAsia"/>
          <w:color w:val="auto"/>
          <w:sz w:val="21"/>
        </w:rPr>
        <w:t>计算前应收集场区的地质钻孔及岩土层物理力学指标等资料，特别是对地面沉降变形较为敏感的建（构）筑物部位的地质条件；</w:t>
      </w:r>
    </w:p>
    <w:p w14:paraId="4AF6EB5A">
      <w:pPr>
        <w:pStyle w:val="253"/>
        <w:spacing w:line="240" w:lineRule="auto"/>
        <w:ind w:left="609" w:leftChars="290" w:firstLine="189" w:firstLineChars="90"/>
        <w:jc w:val="both"/>
        <w:rPr>
          <w:rFonts w:hint="eastAsia"/>
          <w:color w:val="auto"/>
          <w:sz w:val="21"/>
        </w:rPr>
      </w:pPr>
      <w:r>
        <w:rPr>
          <w:rFonts w:hint="eastAsia"/>
          <w:color w:val="auto"/>
          <w:sz w:val="21"/>
        </w:rPr>
        <w:t>2） 根据基坑所在场区的地层单元组合、场区地下水类型及基坑工程所采用的地下水控制方案，选择合适的降水模型，计算得到较为准确的基坑内、外水位降深值，明确基坑降水的影响范围；</w:t>
      </w:r>
    </w:p>
    <w:p w14:paraId="1F0399C4">
      <w:pPr>
        <w:pStyle w:val="253"/>
        <w:spacing w:line="240" w:lineRule="auto"/>
        <w:ind w:left="609" w:leftChars="290" w:firstLine="189" w:firstLineChars="90"/>
        <w:jc w:val="both"/>
        <w:rPr>
          <w:rFonts w:hint="eastAsia"/>
          <w:color w:val="auto"/>
          <w:sz w:val="21"/>
        </w:rPr>
      </w:pPr>
      <w:r>
        <w:rPr>
          <w:rFonts w:hint="eastAsia"/>
          <w:color w:val="auto"/>
          <w:sz w:val="21"/>
        </w:rPr>
        <w:t>3） 对降水引起的地面沉降计算值大于地基变形允许值的建（构）筑物，应采取相应的保护措施；</w:t>
      </w:r>
    </w:p>
    <w:p w14:paraId="3E443C38">
      <w:pPr>
        <w:pStyle w:val="253"/>
        <w:spacing w:line="240" w:lineRule="auto"/>
        <w:ind w:left="609" w:leftChars="290" w:firstLine="189" w:firstLineChars="90"/>
        <w:jc w:val="both"/>
        <w:rPr>
          <w:rFonts w:hint="eastAsia"/>
          <w:color w:val="auto"/>
          <w:sz w:val="21"/>
        </w:rPr>
      </w:pPr>
      <w:r>
        <w:rPr>
          <w:rFonts w:hint="eastAsia"/>
          <w:color w:val="auto"/>
          <w:sz w:val="21"/>
        </w:rPr>
        <w:t>4） 当土层的平均自重应力与该土层因降水引起的有效应力增量之和小于其前期固结压力时，该土层压缩变形量不计入总沉降量。</w:t>
      </w:r>
    </w:p>
    <w:p w14:paraId="3AF061C3">
      <w:pPr>
        <w:pStyle w:val="182"/>
        <w:numPr>
          <w:ilvl w:val="0"/>
          <w:numId w:val="71"/>
        </w:numPr>
        <w:ind w:left="845" w:hanging="425"/>
        <w:rPr>
          <w:rFonts w:ascii="Times New Roman"/>
          <w:bCs/>
          <w:szCs w:val="21"/>
        </w:rPr>
      </w:pPr>
      <w:r>
        <w:rPr>
          <w:rFonts w:ascii="Times New Roman"/>
          <w:bCs/>
          <w:szCs w:val="21"/>
        </w:rPr>
        <w:t>降水引起的</w:t>
      </w:r>
      <w:r>
        <w:rPr>
          <w:rFonts w:hint="eastAsia" w:ascii="Times New Roman"/>
          <w:bCs/>
          <w:szCs w:val="21"/>
        </w:rPr>
        <w:t>地面</w:t>
      </w:r>
      <w:r>
        <w:rPr>
          <w:rFonts w:ascii="Times New Roman"/>
          <w:bCs/>
          <w:szCs w:val="21"/>
        </w:rPr>
        <w:t>沉降量可按</w:t>
      </w:r>
      <w:r>
        <w:rPr>
          <w:rFonts w:hint="eastAsia" w:ascii="Times New Roman"/>
          <w:bCs/>
          <w:szCs w:val="21"/>
        </w:rPr>
        <w:t>公式（9）</w:t>
      </w:r>
      <w:r>
        <w:rPr>
          <w:rFonts w:ascii="Times New Roman"/>
          <w:bCs/>
          <w:szCs w:val="21"/>
        </w:rPr>
        <w:t>计算：</w:t>
      </w:r>
    </w:p>
    <w:p w14:paraId="78D47D43">
      <w:pPr>
        <w:wordWrap w:val="0"/>
        <w:spacing w:line="240" w:lineRule="auto"/>
        <w:jc w:val="right"/>
        <w:rPr>
          <w:bCs/>
        </w:rPr>
      </w:pPr>
      <m:oMath>
        <m:r>
          <m:rPr/>
          <w:rPr>
            <w:rFonts w:ascii="Cambria Math" w:hAnsi="Cambria Math"/>
          </w:rPr>
          <m:t>∆</m:t>
        </m:r>
        <m:sSub>
          <m:sSubPr>
            <m:ctrlPr>
              <w:rPr>
                <w:rFonts w:ascii="Cambria Math" w:hAnsi="Cambria Math"/>
                <w:bCs/>
                <w:i/>
                <w:iCs/>
              </w:rPr>
            </m:ctrlPr>
          </m:sSubPr>
          <m:e>
            <m:r>
              <m:rPr/>
              <w:rPr>
                <w:rFonts w:ascii="Cambria Math" w:hAnsi="Cambria Math"/>
              </w:rPr>
              <m:t>S</m:t>
            </m:r>
            <m:ctrlPr>
              <w:rPr>
                <w:rFonts w:ascii="Cambria Math" w:hAnsi="Cambria Math"/>
                <w:bCs/>
                <w:i/>
                <w:iCs/>
              </w:rPr>
            </m:ctrlPr>
          </m:e>
          <m:sub>
            <m:r>
              <m:rPr/>
              <w:rPr>
                <w:rFonts w:ascii="Cambria Math" w:hAnsi="Cambria Math"/>
              </w:rPr>
              <m:t>w</m:t>
            </m:r>
            <m:ctrlPr>
              <w:rPr>
                <w:rFonts w:ascii="Cambria Math" w:hAnsi="Cambria Math"/>
                <w:bCs/>
                <w:i/>
                <w:iCs/>
              </w:rPr>
            </m:ctrlPr>
          </m:sub>
        </m:sSub>
        <m:r>
          <m:rPr/>
          <w:rPr>
            <w:rFonts w:ascii="Cambria Math" w:hAnsi="Cambria Math"/>
          </w:rPr>
          <m:t>=</m:t>
        </m:r>
        <m:nary>
          <m:naryPr>
            <m:chr m:val="∑"/>
            <m:limLoc m:val="undOvr"/>
            <m:ctrlPr>
              <w:rPr>
                <w:rFonts w:ascii="Cambria Math" w:hAnsi="Cambria Math"/>
                <w:bCs/>
                <w:i/>
                <w:iCs/>
              </w:rPr>
            </m:ctrlPr>
          </m:naryPr>
          <m:sub>
            <m:r>
              <m:rPr/>
              <w:rPr>
                <w:rFonts w:ascii="Cambria Math" w:hAnsi="Cambria Math"/>
              </w:rPr>
              <m:t>i=1</m:t>
            </m:r>
            <m:ctrlPr>
              <w:rPr>
                <w:rFonts w:ascii="Cambria Math" w:hAnsi="Cambria Math"/>
                <w:bCs/>
                <w:i/>
                <w:iCs/>
              </w:rPr>
            </m:ctrlPr>
          </m:sub>
          <m:sup>
            <m:r>
              <m:rPr/>
              <w:rPr>
                <w:rFonts w:ascii="Cambria Math" w:hAnsi="Cambria Math"/>
              </w:rPr>
              <m:t>n</m:t>
            </m:r>
            <m:ctrlPr>
              <w:rPr>
                <w:rFonts w:ascii="Cambria Math" w:hAnsi="Cambria Math"/>
                <w:bCs/>
                <w:i/>
                <w:iCs/>
              </w:rPr>
            </m:ctrlPr>
          </m:sup>
          <m:e>
            <m:sSub>
              <m:sSubPr>
                <m:ctrlPr>
                  <w:rPr>
                    <w:rFonts w:ascii="Cambria Math" w:hAnsi="Cambria Math"/>
                    <w:bCs/>
                    <w:i/>
                    <w:iCs/>
                  </w:rPr>
                </m:ctrlPr>
              </m:sSubPr>
              <m:e>
                <m:r>
                  <m:rPr/>
                  <w:rPr>
                    <w:rFonts w:ascii="Cambria Math" w:hAnsi="Cambria Math"/>
                  </w:rPr>
                  <m:t>M</m:t>
                </m:r>
                <m:ctrlPr>
                  <w:rPr>
                    <w:rFonts w:ascii="Cambria Math" w:hAnsi="Cambria Math"/>
                    <w:bCs/>
                    <w:i/>
                    <w:iCs/>
                  </w:rPr>
                </m:ctrlPr>
              </m:e>
              <m:sub>
                <m:r>
                  <m:rPr/>
                  <w:rPr>
                    <w:rFonts w:hint="eastAsia" w:ascii="Cambria Math" w:hAnsi="Cambria Math"/>
                  </w:rPr>
                  <m:t>t</m:t>
                </m:r>
                <m:ctrlPr>
                  <w:rPr>
                    <w:rFonts w:ascii="Cambria Math" w:hAnsi="Cambria Math"/>
                    <w:bCs/>
                    <w:i/>
                    <w:iCs/>
                  </w:rPr>
                </m:ctrlPr>
              </m:sub>
            </m:sSub>
            <m:r>
              <m:rPr/>
              <w:rPr>
                <w:rFonts w:ascii="Cambria Math" w:hAnsi="Cambria Math"/>
              </w:rPr>
              <m:t>∙</m:t>
            </m:r>
            <m:sSub>
              <m:sSubPr>
                <m:ctrlPr>
                  <w:rPr>
                    <w:rFonts w:ascii="Cambria Math" w:hAnsi="Cambria Math"/>
                    <w:bCs/>
                    <w:i/>
                    <w:iCs/>
                  </w:rPr>
                </m:ctrlPr>
              </m:sSubPr>
              <m:e>
                <m:r>
                  <m:rPr/>
                  <w:rPr>
                    <w:rFonts w:ascii="Cambria Math" w:hAnsi="Cambria Math"/>
                  </w:rPr>
                  <m:t>σ</m:t>
                </m:r>
                <m:ctrlPr>
                  <w:rPr>
                    <w:rFonts w:ascii="Cambria Math" w:hAnsi="Cambria Math"/>
                    <w:bCs/>
                    <w:i/>
                    <w:iCs/>
                  </w:rPr>
                </m:ctrlPr>
              </m:e>
              <m:sub>
                <m:r>
                  <m:rPr/>
                  <w:rPr>
                    <w:rFonts w:ascii="Cambria Math" w:hAnsi="Cambria Math"/>
                  </w:rPr>
                  <m:t>wi</m:t>
                </m:r>
                <m:ctrlPr>
                  <w:rPr>
                    <w:rFonts w:ascii="Cambria Math" w:hAnsi="Cambria Math"/>
                    <w:bCs/>
                    <w:i/>
                    <w:iCs/>
                  </w:rPr>
                </m:ctrlPr>
              </m:sub>
            </m:sSub>
            <m:r>
              <m:rPr/>
              <w:rPr>
                <w:rFonts w:ascii="Cambria Math" w:hAnsi="Cambria Math"/>
              </w:rPr>
              <m:t>∙</m:t>
            </m:r>
            <m:f>
              <m:fPr>
                <m:ctrlPr>
                  <w:rPr>
                    <w:rFonts w:ascii="Cambria Math" w:hAnsi="Cambria Math"/>
                    <w:bCs/>
                    <w:i/>
                    <w:iCs/>
                  </w:rPr>
                </m:ctrlPr>
              </m:fPr>
              <m:num>
                <m:r>
                  <m:rPr/>
                  <w:rPr>
                    <w:rFonts w:ascii="Cambria Math" w:hAnsi="Cambria Math"/>
                  </w:rPr>
                  <m:t>∆</m:t>
                </m:r>
                <m:sSub>
                  <m:sSubPr>
                    <m:ctrlPr>
                      <w:rPr>
                        <w:rFonts w:ascii="Cambria Math" w:hAnsi="Cambria Math"/>
                        <w:bCs/>
                        <w:i/>
                        <w:iCs/>
                      </w:rPr>
                    </m:ctrlPr>
                  </m:sSubPr>
                  <m:e>
                    <m:r>
                      <m:rPr/>
                      <w:rPr>
                        <w:rFonts w:ascii="Cambria Math" w:hAnsi="Cambria Math"/>
                      </w:rPr>
                      <m:t>h</m:t>
                    </m:r>
                    <m:ctrlPr>
                      <w:rPr>
                        <w:rFonts w:ascii="Cambria Math" w:hAnsi="Cambria Math"/>
                        <w:bCs/>
                        <w:i/>
                        <w:iCs/>
                      </w:rPr>
                    </m:ctrlPr>
                  </m:e>
                  <m:sub>
                    <m:r>
                      <m:rPr/>
                      <w:rPr>
                        <w:rFonts w:ascii="Cambria Math" w:hAnsi="Cambria Math"/>
                      </w:rPr>
                      <m:t>i</m:t>
                    </m:r>
                    <m:ctrlPr>
                      <w:rPr>
                        <w:rFonts w:ascii="Cambria Math" w:hAnsi="Cambria Math"/>
                        <w:bCs/>
                        <w:i/>
                        <w:iCs/>
                      </w:rPr>
                    </m:ctrlPr>
                  </m:sub>
                </m:sSub>
                <m:ctrlPr>
                  <w:rPr>
                    <w:rFonts w:ascii="Cambria Math" w:hAnsi="Cambria Math"/>
                    <w:bCs/>
                    <w:i/>
                    <w:iCs/>
                  </w:rPr>
                </m:ctrlPr>
              </m:num>
              <m:den>
                <m:sSub>
                  <m:sSubPr>
                    <m:ctrlPr>
                      <w:rPr>
                        <w:rFonts w:ascii="Cambria Math" w:hAnsi="Cambria Math"/>
                        <w:bCs/>
                        <w:i/>
                        <w:iCs/>
                      </w:rPr>
                    </m:ctrlPr>
                  </m:sSubPr>
                  <m:e>
                    <m:r>
                      <m:rPr/>
                      <w:rPr>
                        <w:rFonts w:hint="eastAsia" w:ascii="Cambria Math" w:hAnsi="Cambria Math" w:cs="宋体"/>
                      </w:rPr>
                      <m:t>φ</m:t>
                    </m:r>
                    <m:ctrlPr>
                      <w:rPr>
                        <w:rFonts w:ascii="Cambria Math" w:hAnsi="Cambria Math"/>
                        <w:bCs/>
                        <w:i/>
                        <w:iCs/>
                      </w:rPr>
                    </m:ctrlPr>
                  </m:e>
                  <m:sub>
                    <m:r>
                      <m:rPr/>
                      <w:rPr>
                        <w:rFonts w:hint="eastAsia" w:ascii="Cambria Math" w:hAnsi="Cambria Math"/>
                      </w:rPr>
                      <m:t>e</m:t>
                    </m:r>
                    <m:ctrlPr>
                      <w:rPr>
                        <w:rFonts w:ascii="Cambria Math" w:hAnsi="Cambria Math"/>
                        <w:bCs/>
                        <w:i/>
                        <w:iCs/>
                      </w:rPr>
                    </m:ctrlPr>
                  </m:sub>
                </m:sSub>
                <m:r>
                  <m:rPr/>
                  <w:rPr>
                    <w:rFonts w:ascii="Cambria Math" w:hAnsi="Cambria Math"/>
                  </w:rPr>
                  <m:t>∙</m:t>
                </m:r>
                <m:sSub>
                  <m:sSubPr>
                    <m:ctrlPr>
                      <w:rPr>
                        <w:rFonts w:ascii="Cambria Math" w:hAnsi="Cambria Math"/>
                        <w:bCs/>
                        <w:i/>
                        <w:iCs/>
                      </w:rPr>
                    </m:ctrlPr>
                  </m:sSubPr>
                  <m:e>
                    <m:r>
                      <m:rPr/>
                      <w:rPr>
                        <w:rFonts w:ascii="Cambria Math" w:hAnsi="Cambria Math"/>
                      </w:rPr>
                      <m:t>E</m:t>
                    </m:r>
                    <m:ctrlPr>
                      <w:rPr>
                        <w:rFonts w:ascii="Cambria Math" w:hAnsi="Cambria Math"/>
                        <w:bCs/>
                        <w:i/>
                        <w:iCs/>
                      </w:rPr>
                    </m:ctrlPr>
                  </m:e>
                  <m:sub>
                    <m:r>
                      <m:rPr/>
                      <w:rPr>
                        <w:rFonts w:ascii="Cambria Math" w:hAnsi="Cambria Math"/>
                      </w:rPr>
                      <m:t>si</m:t>
                    </m:r>
                    <m:ctrlPr>
                      <w:rPr>
                        <w:rFonts w:ascii="Cambria Math" w:hAnsi="Cambria Math"/>
                        <w:bCs/>
                        <w:i/>
                        <w:iCs/>
                      </w:rPr>
                    </m:ctrlPr>
                  </m:sub>
                </m:sSub>
                <m:ctrlPr>
                  <w:rPr>
                    <w:rFonts w:ascii="Cambria Math" w:hAnsi="Cambria Math"/>
                    <w:bCs/>
                    <w:i/>
                    <w:iCs/>
                  </w:rPr>
                </m:ctrlPr>
              </m:den>
            </m:f>
            <m:ctrlPr>
              <w:rPr>
                <w:rFonts w:ascii="Cambria Math" w:hAnsi="Cambria Math"/>
                <w:bCs/>
                <w:i/>
                <w:iCs/>
              </w:rPr>
            </m:ctrlPr>
          </m:e>
        </m:nary>
      </m:oMath>
      <w:r>
        <w:rPr>
          <w:rFonts w:hint="eastAsia" w:ascii="MS Gothic" w:hAnsi="MS Gothic" w:eastAsia="MS Gothic" w:cs="MS Gothic"/>
          <w:bCs/>
          <w:i/>
          <w:iCs/>
        </w:rPr>
        <w:t>    </w:t>
      </w:r>
      <w:r>
        <w:rPr>
          <w:rFonts w:hint="eastAsia"/>
          <w:bCs/>
        </w:rPr>
        <w:t xml:space="preserve">        </w:t>
      </w:r>
      <w:r>
        <w:rPr>
          <w:bCs/>
        </w:rPr>
        <w:t xml:space="preserve">          </w:t>
      </w:r>
      <w:r>
        <w:rPr>
          <w:rFonts w:hint="eastAsia"/>
          <w:bCs/>
        </w:rPr>
        <w:t>                           </w:t>
      </w:r>
      <w:r>
        <w:rPr>
          <w:bCs/>
        </w:rPr>
        <w:t>（</w:t>
      </w:r>
      <w:r>
        <w:rPr>
          <w:rFonts w:hint="eastAsia"/>
          <w:bCs/>
        </w:rPr>
        <w:t>9</w:t>
      </w:r>
      <w:r>
        <w:rPr>
          <w:bCs/>
        </w:rPr>
        <w:t>）</w:t>
      </w:r>
    </w:p>
    <w:p w14:paraId="251C1C7C">
      <w:pPr>
        <w:spacing w:line="240" w:lineRule="auto"/>
        <w:ind w:left="630" w:leftChars="300"/>
        <w:jc w:val="left"/>
        <w:rPr>
          <w:rFonts w:hint="eastAsia" w:ascii="宋体" w:hAnsi="宋体" w:cs="宋体"/>
          <w:bCs/>
        </w:rPr>
      </w:pPr>
      <w:r>
        <w:rPr>
          <w:rFonts w:hint="eastAsia" w:ascii="宋体" w:hAnsi="宋体" w:cs="宋体"/>
          <w:bCs/>
        </w:rPr>
        <w:t>式中：</w:t>
      </w:r>
    </w:p>
    <w:p w14:paraId="1ABCCCFA">
      <w:pPr>
        <w:spacing w:line="240" w:lineRule="auto"/>
        <w:ind w:left="630" w:leftChars="300"/>
        <w:jc w:val="left"/>
        <w:rPr>
          <w:rFonts w:hint="eastAsia" w:ascii="宋体" w:hAnsi="宋体" w:cs="宋体"/>
          <w:bCs/>
        </w:rPr>
      </w:pPr>
      <w:r>
        <w:rPr>
          <w:rFonts w:hint="eastAsia" w:ascii="宋体" w:hAnsi="宋体" w:cs="宋体"/>
          <w:bCs/>
        </w:rPr>
        <w:t>Δ</w:t>
      </w:r>
      <w:r>
        <w:rPr>
          <w:rFonts w:hint="eastAsia" w:ascii="宋体" w:hAnsi="宋体" w:cs="宋体"/>
          <w:bCs/>
          <w:i/>
          <w:iCs/>
        </w:rPr>
        <w:t>S</w:t>
      </w:r>
      <w:r>
        <w:rPr>
          <w:rFonts w:hint="eastAsia" w:ascii="宋体" w:hAnsi="宋体" w:cs="宋体"/>
          <w:bCs/>
          <w:i/>
          <w:iCs/>
          <w:vertAlign w:val="subscript"/>
        </w:rPr>
        <w:t>W</w:t>
      </w:r>
      <w:r>
        <w:rPr>
          <w:rFonts w:hint="eastAsia" w:ascii="宋体" w:hAnsi="宋体" w:cs="宋体"/>
        </w:rPr>
        <w:t>——</w:t>
      </w:r>
      <w:r>
        <w:rPr>
          <w:rFonts w:hint="eastAsia" w:ascii="宋体" w:hAnsi="宋体" w:cs="宋体"/>
          <w:bCs/>
        </w:rPr>
        <w:t>水位下降引起的地面沉降量，cm；</w:t>
      </w:r>
    </w:p>
    <w:p w14:paraId="3479228C">
      <w:pPr>
        <w:spacing w:line="240" w:lineRule="auto"/>
        <w:ind w:left="630" w:leftChars="300"/>
        <w:jc w:val="left"/>
        <w:rPr>
          <w:rFonts w:hint="eastAsia" w:ascii="宋体" w:hAnsi="宋体" w:cs="宋体"/>
          <w:bCs/>
        </w:rPr>
      </w:pPr>
      <w:r>
        <w:rPr>
          <w:rFonts w:ascii="Times New Roman" w:hAnsi="Times New Roman"/>
          <w:bCs/>
          <w:i/>
          <w:iCs/>
        </w:rPr>
        <w:t>б</w:t>
      </w:r>
      <w:r>
        <w:rPr>
          <w:rFonts w:hint="eastAsia" w:ascii="宋体" w:hAnsi="宋体" w:cs="宋体"/>
          <w:bCs/>
          <w:i/>
          <w:iCs/>
          <w:vertAlign w:val="subscript"/>
        </w:rPr>
        <w:t>wi</w:t>
      </w:r>
      <w:r>
        <w:rPr>
          <w:rFonts w:hint="eastAsia" w:ascii="宋体" w:hAnsi="宋体" w:cs="宋体"/>
        </w:rPr>
        <w:t>——</w:t>
      </w:r>
      <w:r>
        <w:rPr>
          <w:rFonts w:hint="eastAsia" w:ascii="宋体" w:hAnsi="宋体" w:cs="宋体"/>
          <w:bCs/>
        </w:rPr>
        <w:t>水位下降引起的各计算分层有效应力增量，kPa；</w:t>
      </w:r>
    </w:p>
    <w:p w14:paraId="1680A95A">
      <w:pPr>
        <w:spacing w:line="240" w:lineRule="auto"/>
        <w:ind w:left="630" w:leftChars="300"/>
        <w:jc w:val="left"/>
        <w:rPr>
          <w:rFonts w:hint="eastAsia" w:ascii="宋体" w:hAnsi="宋体" w:cs="宋体"/>
          <w:bCs/>
        </w:rPr>
      </w:pPr>
      <w:r>
        <w:rPr>
          <w:rFonts w:ascii="Times New Roman" w:hAnsi="Times New Roman"/>
          <w:bCs/>
          <w:sz w:val="18"/>
          <w:szCs w:val="18"/>
        </w:rPr>
        <w:t>Δ</w:t>
      </w:r>
      <w:r>
        <w:rPr>
          <w:rFonts w:ascii="Times New Roman" w:hAnsi="Times New Roman"/>
          <w:bCs/>
          <w:i/>
          <w:iCs/>
        </w:rPr>
        <w:t>h</w:t>
      </w:r>
      <w:r>
        <w:rPr>
          <w:rFonts w:hint="eastAsia" w:ascii="宋体" w:hAnsi="宋体" w:cs="宋体"/>
          <w:bCs/>
          <w:i/>
          <w:iCs/>
          <w:vertAlign w:val="subscript"/>
        </w:rPr>
        <w:t>i</w:t>
      </w:r>
      <w:r>
        <w:rPr>
          <w:rFonts w:hint="eastAsia" w:ascii="宋体" w:hAnsi="宋体" w:cs="宋体"/>
        </w:rPr>
        <w:t>——</w:t>
      </w:r>
      <w:r>
        <w:rPr>
          <w:rFonts w:hint="eastAsia" w:ascii="宋体" w:hAnsi="宋体" w:cs="宋体"/>
          <w:bCs/>
        </w:rPr>
        <w:t>受降水影响地层的各计算分层厚度，cm；</w:t>
      </w:r>
    </w:p>
    <w:p w14:paraId="45B87044">
      <w:pPr>
        <w:spacing w:line="240" w:lineRule="auto"/>
        <w:ind w:left="630" w:leftChars="300"/>
        <w:jc w:val="left"/>
        <w:rPr>
          <w:rFonts w:hint="eastAsia" w:ascii="宋体" w:hAnsi="宋体" w:cs="宋体"/>
          <w:bCs/>
        </w:rPr>
      </w:pPr>
      <w:r>
        <w:rPr>
          <w:rFonts w:hint="eastAsia" w:ascii="宋体" w:hAnsi="宋体" w:cs="宋体"/>
          <w:bCs/>
          <w:i/>
          <w:iCs/>
        </w:rPr>
        <w:t>n</w:t>
      </w:r>
      <w:r>
        <w:rPr>
          <w:rFonts w:hint="eastAsia" w:ascii="宋体" w:hAnsi="宋体" w:cs="宋体"/>
        </w:rPr>
        <w:t>——</w:t>
      </w:r>
      <w:r>
        <w:rPr>
          <w:rFonts w:hint="eastAsia" w:ascii="宋体" w:hAnsi="宋体" w:cs="宋体"/>
          <w:bCs/>
        </w:rPr>
        <w:t>计算分层数；</w:t>
      </w:r>
    </w:p>
    <w:p w14:paraId="12D42657">
      <w:pPr>
        <w:spacing w:line="240" w:lineRule="auto"/>
        <w:ind w:left="630" w:leftChars="300"/>
        <w:jc w:val="left"/>
        <w:rPr>
          <w:rFonts w:hint="eastAsia" w:ascii="宋体" w:hAnsi="宋体" w:cs="宋体"/>
          <w:bCs/>
        </w:rPr>
      </w:pPr>
      <w:r>
        <w:rPr>
          <w:rFonts w:hint="eastAsia" w:ascii="宋体" w:hAnsi="宋体" w:cs="宋体"/>
          <w:bCs/>
          <w:i/>
          <w:iCs/>
        </w:rPr>
        <w:t>E</w:t>
      </w:r>
      <w:r>
        <w:rPr>
          <w:rFonts w:hint="eastAsia" w:ascii="宋体" w:hAnsi="宋体" w:cs="宋体"/>
          <w:bCs/>
          <w:i/>
          <w:iCs/>
          <w:vertAlign w:val="subscript"/>
        </w:rPr>
        <w:t>si</w:t>
      </w:r>
      <w:r>
        <w:rPr>
          <w:rFonts w:hint="eastAsia" w:ascii="宋体" w:hAnsi="宋体" w:cs="宋体"/>
        </w:rPr>
        <w:t>——</w:t>
      </w:r>
      <w:r>
        <w:rPr>
          <w:rFonts w:hint="eastAsia" w:ascii="宋体" w:hAnsi="宋体" w:cs="宋体"/>
          <w:bCs/>
        </w:rPr>
        <w:t>第i层土的压缩模量，应取土的自重应力至自重应力与有效应力增量之和的压力段的压缩模量值，kPa；</w:t>
      </w:r>
    </w:p>
    <w:p w14:paraId="510E62C4">
      <w:pPr>
        <w:spacing w:line="240" w:lineRule="auto"/>
        <w:ind w:left="630" w:leftChars="300"/>
        <w:jc w:val="left"/>
        <w:rPr>
          <w:rFonts w:hint="eastAsia" w:ascii="宋体" w:hAnsi="宋体" w:cs="宋体"/>
          <w:bCs/>
        </w:rPr>
      </w:pPr>
      <w:r>
        <w:rPr>
          <w:rFonts w:hint="eastAsia" w:ascii="宋体" w:hAnsi="宋体" w:cs="宋体"/>
          <w:bCs/>
          <w:i/>
          <w:iCs/>
        </w:rPr>
        <w:t>M</w:t>
      </w:r>
      <w:r>
        <w:rPr>
          <w:rFonts w:hint="eastAsia" w:ascii="宋体" w:hAnsi="宋体" w:cs="宋体"/>
          <w:bCs/>
          <w:i/>
          <w:iCs/>
          <w:vertAlign w:val="subscript"/>
        </w:rPr>
        <w:t>t</w:t>
      </w:r>
      <w:r>
        <w:rPr>
          <w:rFonts w:hint="eastAsia" w:ascii="宋体" w:hAnsi="宋体" w:cs="宋体"/>
        </w:rPr>
        <w:t>——</w:t>
      </w:r>
      <w:r>
        <w:rPr>
          <w:rFonts w:hint="eastAsia" w:ascii="宋体" w:hAnsi="宋体" w:cs="宋体"/>
          <w:bCs/>
        </w:rPr>
        <w:t>降水时间影响系数，按表16选用</w:t>
      </w:r>
      <w:r>
        <w:rPr>
          <w:rFonts w:hint="eastAsia" w:ascii="宋体" w:hAnsi="宋体" w:cs="宋体"/>
        </w:rPr>
        <w:t>；</w:t>
      </w:r>
    </w:p>
    <w:p w14:paraId="2B5582FB">
      <w:pPr>
        <w:spacing w:line="240" w:lineRule="auto"/>
        <w:ind w:left="630" w:leftChars="300"/>
        <w:jc w:val="left"/>
        <w:rPr>
          <w:rFonts w:hint="eastAsia" w:ascii="宋体" w:hAnsi="宋体" w:cs="宋体"/>
        </w:rPr>
      </w:pPr>
      <w:r>
        <w:rPr>
          <w:rFonts w:hint="eastAsia" w:ascii="宋体" w:hAnsi="宋体" w:cs="宋体"/>
          <w:i/>
          <w:iCs/>
        </w:rPr>
        <w:t>φ</w:t>
      </w:r>
      <w:r>
        <w:rPr>
          <w:rFonts w:hint="eastAsia" w:ascii="宋体" w:hAnsi="宋体" w:cs="宋体"/>
          <w:i/>
          <w:iCs/>
          <w:vertAlign w:val="subscript"/>
        </w:rPr>
        <w:t>e</w:t>
      </w:r>
      <w:r>
        <w:rPr>
          <w:rFonts w:hint="eastAsia" w:ascii="宋体" w:hAnsi="宋体" w:cs="宋体"/>
        </w:rPr>
        <w:t>——</w:t>
      </w:r>
      <w:r>
        <w:rPr>
          <w:rFonts w:hint="eastAsia" w:ascii="宋体" w:hAnsi="宋体" w:cs="宋体"/>
          <w:bCs/>
        </w:rPr>
        <w:t>压缩模量修正系数，按表17选用。</w:t>
      </w:r>
    </w:p>
    <w:p w14:paraId="53F6847B">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表16  降水时间影响系数 Mt</w:t>
      </w:r>
    </w:p>
    <w:tbl>
      <w:tblPr>
        <w:tblStyle w:val="33"/>
        <w:tblW w:w="95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03"/>
        <w:gridCol w:w="1891"/>
        <w:gridCol w:w="1890"/>
        <w:gridCol w:w="1891"/>
        <w:gridCol w:w="1895"/>
      </w:tblGrid>
      <w:tr w14:paraId="1FE26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03" w:type="dxa"/>
            <w:vMerge w:val="restart"/>
            <w:tcBorders>
              <w:top w:val="single" w:color="auto" w:sz="12" w:space="0"/>
            </w:tcBorders>
            <w:vAlign w:val="center"/>
          </w:tcPr>
          <w:p w14:paraId="090C5999">
            <w:pPr>
              <w:spacing w:line="240" w:lineRule="auto"/>
              <w:jc w:val="center"/>
              <w:rPr>
                <w:rFonts w:hint="eastAsia" w:ascii="宋体" w:hAnsi="宋体" w:cs="宋体"/>
                <w:sz w:val="18"/>
                <w:szCs w:val="18"/>
              </w:rPr>
            </w:pPr>
            <w:r>
              <w:rPr>
                <w:rFonts w:hint="eastAsia" w:ascii="宋体" w:hAnsi="宋体" w:cs="宋体"/>
                <w:bCs/>
                <w:sz w:val="18"/>
                <w:szCs w:val="18"/>
              </w:rPr>
              <w:t>降水时间</w:t>
            </w:r>
          </w:p>
        </w:tc>
        <w:tc>
          <w:tcPr>
            <w:tcW w:w="7567" w:type="dxa"/>
            <w:gridSpan w:val="4"/>
            <w:tcBorders>
              <w:top w:val="single" w:color="auto" w:sz="12" w:space="0"/>
              <w:bottom w:val="single" w:color="auto" w:sz="4" w:space="0"/>
            </w:tcBorders>
            <w:vAlign w:val="center"/>
          </w:tcPr>
          <w:p w14:paraId="6D0BB0D3">
            <w:pPr>
              <w:spacing w:line="240" w:lineRule="auto"/>
              <w:jc w:val="center"/>
              <w:rPr>
                <w:rFonts w:hint="eastAsia" w:ascii="宋体" w:hAnsi="宋体" w:cs="宋体"/>
                <w:bCs/>
                <w:sz w:val="18"/>
                <w:szCs w:val="18"/>
              </w:rPr>
            </w:pPr>
            <w:r>
              <w:rPr>
                <w:rFonts w:hint="eastAsia" w:ascii="宋体" w:hAnsi="宋体" w:cs="宋体"/>
                <w:sz w:val="18"/>
                <w:szCs w:val="18"/>
              </w:rPr>
              <w:t> </w:t>
            </w:r>
            <w:r>
              <w:rPr>
                <w:rFonts w:hint="eastAsia" w:ascii="宋体" w:hAnsi="宋体" w:cs="宋体"/>
                <w:bCs/>
                <w:sz w:val="18"/>
                <w:szCs w:val="18"/>
              </w:rPr>
              <w:t>土体类型</w:t>
            </w:r>
          </w:p>
        </w:tc>
      </w:tr>
      <w:tr w14:paraId="7AD02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03" w:type="dxa"/>
            <w:vMerge w:val="continue"/>
            <w:tcBorders>
              <w:bottom w:val="single" w:color="auto" w:sz="4" w:space="0"/>
            </w:tcBorders>
            <w:vAlign w:val="center"/>
          </w:tcPr>
          <w:p w14:paraId="175D21FA">
            <w:pPr>
              <w:spacing w:line="240" w:lineRule="auto"/>
              <w:rPr>
                <w:rFonts w:hint="eastAsia" w:ascii="宋体" w:hAnsi="宋体" w:cs="宋体"/>
                <w:sz w:val="18"/>
                <w:szCs w:val="18"/>
              </w:rPr>
            </w:pPr>
          </w:p>
        </w:tc>
        <w:tc>
          <w:tcPr>
            <w:tcW w:w="1891" w:type="dxa"/>
            <w:tcBorders>
              <w:top w:val="single" w:color="auto" w:sz="4" w:space="0"/>
              <w:bottom w:val="single" w:color="auto" w:sz="4" w:space="0"/>
            </w:tcBorders>
            <w:vAlign w:val="center"/>
          </w:tcPr>
          <w:p w14:paraId="33A26AF8">
            <w:pPr>
              <w:spacing w:line="240" w:lineRule="auto"/>
              <w:jc w:val="center"/>
              <w:rPr>
                <w:rFonts w:hint="eastAsia" w:ascii="宋体" w:hAnsi="宋体" w:cs="宋体"/>
                <w:bCs/>
                <w:sz w:val="18"/>
                <w:szCs w:val="18"/>
              </w:rPr>
            </w:pPr>
            <w:r>
              <w:rPr>
                <w:rFonts w:hint="eastAsia" w:ascii="宋体" w:hAnsi="宋体" w:cs="宋体"/>
                <w:bCs/>
                <w:sz w:val="18"/>
                <w:szCs w:val="18"/>
              </w:rPr>
              <w:t>淤泥、淤泥质土</w:t>
            </w:r>
          </w:p>
        </w:tc>
        <w:tc>
          <w:tcPr>
            <w:tcW w:w="1890" w:type="dxa"/>
            <w:tcBorders>
              <w:top w:val="single" w:color="auto" w:sz="4" w:space="0"/>
              <w:bottom w:val="single" w:color="auto" w:sz="4" w:space="0"/>
            </w:tcBorders>
            <w:vAlign w:val="center"/>
          </w:tcPr>
          <w:p w14:paraId="7CD2CA6A">
            <w:pPr>
              <w:spacing w:line="240" w:lineRule="auto"/>
              <w:jc w:val="center"/>
              <w:rPr>
                <w:rFonts w:hint="eastAsia" w:ascii="宋体" w:hAnsi="宋体" w:cs="宋体"/>
                <w:bCs/>
                <w:sz w:val="18"/>
                <w:szCs w:val="18"/>
              </w:rPr>
            </w:pPr>
            <w:r>
              <w:rPr>
                <w:rFonts w:hint="eastAsia" w:ascii="宋体" w:hAnsi="宋体" w:cs="宋体"/>
                <w:bCs/>
                <w:sz w:val="18"/>
                <w:szCs w:val="18"/>
              </w:rPr>
              <w:t>黏性土</w:t>
            </w:r>
          </w:p>
        </w:tc>
        <w:tc>
          <w:tcPr>
            <w:tcW w:w="1891" w:type="dxa"/>
            <w:tcBorders>
              <w:top w:val="single" w:color="auto" w:sz="4" w:space="0"/>
              <w:bottom w:val="single" w:color="auto" w:sz="4" w:space="0"/>
            </w:tcBorders>
            <w:vAlign w:val="center"/>
          </w:tcPr>
          <w:p w14:paraId="320EE9E6">
            <w:pPr>
              <w:spacing w:line="240" w:lineRule="auto"/>
              <w:jc w:val="center"/>
              <w:rPr>
                <w:rFonts w:hint="eastAsia" w:ascii="宋体" w:hAnsi="宋体" w:cs="宋体"/>
                <w:bCs/>
                <w:sz w:val="18"/>
                <w:szCs w:val="18"/>
              </w:rPr>
            </w:pPr>
            <w:r>
              <w:rPr>
                <w:rFonts w:hint="eastAsia" w:ascii="宋体" w:hAnsi="宋体" w:cs="宋体"/>
                <w:bCs/>
                <w:sz w:val="18"/>
                <w:szCs w:val="18"/>
              </w:rPr>
              <w:t>互层土</w:t>
            </w:r>
          </w:p>
        </w:tc>
        <w:tc>
          <w:tcPr>
            <w:tcW w:w="1895" w:type="dxa"/>
            <w:tcBorders>
              <w:top w:val="single" w:color="auto" w:sz="4" w:space="0"/>
              <w:bottom w:val="single" w:color="auto" w:sz="4" w:space="0"/>
            </w:tcBorders>
            <w:vAlign w:val="center"/>
          </w:tcPr>
          <w:p w14:paraId="43ED4D61">
            <w:pPr>
              <w:spacing w:line="240" w:lineRule="auto"/>
              <w:jc w:val="center"/>
              <w:rPr>
                <w:rFonts w:hint="eastAsia" w:ascii="宋体" w:hAnsi="宋体" w:cs="宋体"/>
                <w:bCs/>
                <w:sz w:val="18"/>
                <w:szCs w:val="18"/>
              </w:rPr>
            </w:pPr>
            <w:r>
              <w:rPr>
                <w:rFonts w:hint="eastAsia" w:ascii="宋体" w:hAnsi="宋体" w:cs="宋体"/>
                <w:bCs/>
                <w:sz w:val="18"/>
                <w:szCs w:val="18"/>
              </w:rPr>
              <w:t>砂性土</w:t>
            </w:r>
          </w:p>
        </w:tc>
      </w:tr>
      <w:tr w14:paraId="1C40F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03" w:type="dxa"/>
            <w:tcBorders>
              <w:top w:val="single" w:color="auto" w:sz="4" w:space="0"/>
            </w:tcBorders>
            <w:vAlign w:val="center"/>
          </w:tcPr>
          <w:p w14:paraId="053DF6BE">
            <w:pPr>
              <w:spacing w:line="240" w:lineRule="auto"/>
              <w:jc w:val="center"/>
              <w:rPr>
                <w:rFonts w:hint="eastAsia" w:ascii="宋体" w:hAnsi="宋体" w:cs="宋体"/>
                <w:bCs/>
                <w:sz w:val="18"/>
                <w:szCs w:val="18"/>
              </w:rPr>
            </w:pPr>
            <w:r>
              <w:rPr>
                <w:rFonts w:hint="eastAsia" w:ascii="宋体" w:hAnsi="宋体" w:cs="宋体"/>
                <w:bCs/>
                <w:sz w:val="18"/>
                <w:szCs w:val="18"/>
              </w:rPr>
              <w:t>≤6个月</w:t>
            </w:r>
          </w:p>
        </w:tc>
        <w:tc>
          <w:tcPr>
            <w:tcW w:w="1891" w:type="dxa"/>
            <w:tcBorders>
              <w:top w:val="single" w:color="auto" w:sz="4" w:space="0"/>
            </w:tcBorders>
            <w:vAlign w:val="center"/>
          </w:tcPr>
          <w:p w14:paraId="55E6C763">
            <w:pPr>
              <w:spacing w:line="240" w:lineRule="auto"/>
              <w:jc w:val="center"/>
              <w:rPr>
                <w:rFonts w:hint="eastAsia" w:ascii="宋体" w:hAnsi="宋体" w:cs="宋体"/>
                <w:bCs/>
                <w:sz w:val="18"/>
                <w:szCs w:val="18"/>
              </w:rPr>
            </w:pPr>
            <w:r>
              <w:rPr>
                <w:rFonts w:hint="eastAsia" w:ascii="宋体" w:hAnsi="宋体" w:cs="宋体"/>
                <w:bCs/>
                <w:sz w:val="18"/>
                <w:szCs w:val="18"/>
              </w:rPr>
              <w:t>0.03～0.06</w:t>
            </w:r>
          </w:p>
        </w:tc>
        <w:tc>
          <w:tcPr>
            <w:tcW w:w="1890" w:type="dxa"/>
            <w:tcBorders>
              <w:top w:val="single" w:color="auto" w:sz="4" w:space="0"/>
            </w:tcBorders>
            <w:vAlign w:val="center"/>
          </w:tcPr>
          <w:p w14:paraId="7545C054">
            <w:pPr>
              <w:spacing w:line="240" w:lineRule="auto"/>
              <w:jc w:val="center"/>
              <w:rPr>
                <w:rFonts w:hint="eastAsia" w:ascii="宋体" w:hAnsi="宋体" w:cs="宋体"/>
                <w:bCs/>
                <w:sz w:val="18"/>
                <w:szCs w:val="18"/>
              </w:rPr>
            </w:pPr>
            <w:r>
              <w:rPr>
                <w:rFonts w:hint="eastAsia" w:ascii="宋体" w:hAnsi="宋体" w:cs="宋体"/>
                <w:bCs/>
                <w:sz w:val="18"/>
                <w:szCs w:val="18"/>
              </w:rPr>
              <w:t>0.12～0.18</w:t>
            </w:r>
          </w:p>
        </w:tc>
        <w:tc>
          <w:tcPr>
            <w:tcW w:w="1891" w:type="dxa"/>
            <w:tcBorders>
              <w:top w:val="single" w:color="auto" w:sz="4" w:space="0"/>
            </w:tcBorders>
            <w:vAlign w:val="center"/>
          </w:tcPr>
          <w:p w14:paraId="63EDDA5B">
            <w:pPr>
              <w:spacing w:line="240" w:lineRule="auto"/>
              <w:jc w:val="center"/>
              <w:rPr>
                <w:rFonts w:hint="eastAsia" w:ascii="宋体" w:hAnsi="宋体" w:cs="宋体"/>
                <w:bCs/>
                <w:sz w:val="18"/>
                <w:szCs w:val="18"/>
              </w:rPr>
            </w:pPr>
            <w:r>
              <w:rPr>
                <w:rFonts w:hint="eastAsia" w:ascii="宋体" w:hAnsi="宋体" w:cs="宋体"/>
                <w:bCs/>
                <w:sz w:val="18"/>
                <w:szCs w:val="18"/>
              </w:rPr>
              <w:t>0.55～0.65</w:t>
            </w:r>
          </w:p>
        </w:tc>
        <w:tc>
          <w:tcPr>
            <w:tcW w:w="1895" w:type="dxa"/>
            <w:tcBorders>
              <w:top w:val="single" w:color="auto" w:sz="4" w:space="0"/>
            </w:tcBorders>
            <w:vAlign w:val="center"/>
          </w:tcPr>
          <w:p w14:paraId="25DD0EA6">
            <w:pPr>
              <w:spacing w:line="240" w:lineRule="auto"/>
              <w:jc w:val="center"/>
              <w:rPr>
                <w:rFonts w:hint="eastAsia" w:ascii="宋体" w:hAnsi="宋体" w:cs="宋体"/>
                <w:bCs/>
                <w:sz w:val="18"/>
                <w:szCs w:val="18"/>
              </w:rPr>
            </w:pPr>
            <w:r>
              <w:rPr>
                <w:rFonts w:hint="eastAsia" w:ascii="宋体" w:hAnsi="宋体" w:cs="宋体"/>
                <w:bCs/>
                <w:sz w:val="18"/>
                <w:szCs w:val="18"/>
              </w:rPr>
              <w:t>1.0</w:t>
            </w:r>
          </w:p>
        </w:tc>
      </w:tr>
      <w:tr w14:paraId="5E700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03" w:type="dxa"/>
            <w:vAlign w:val="center"/>
          </w:tcPr>
          <w:p w14:paraId="3452E044">
            <w:pPr>
              <w:spacing w:line="240" w:lineRule="auto"/>
              <w:ind w:left="-99" w:leftChars="-47" w:right="-107" w:rightChars="-51"/>
              <w:jc w:val="center"/>
              <w:rPr>
                <w:rFonts w:hint="eastAsia" w:ascii="宋体" w:hAnsi="宋体" w:cs="宋体"/>
                <w:bCs/>
                <w:sz w:val="18"/>
                <w:szCs w:val="18"/>
              </w:rPr>
            </w:pPr>
            <w:r>
              <w:rPr>
                <w:rFonts w:hint="eastAsia" w:ascii="宋体" w:hAnsi="宋体" w:cs="宋体"/>
                <w:bCs/>
                <w:sz w:val="18"/>
                <w:szCs w:val="18"/>
              </w:rPr>
              <w:t>6个月～12个月</w:t>
            </w:r>
          </w:p>
        </w:tc>
        <w:tc>
          <w:tcPr>
            <w:tcW w:w="1891" w:type="dxa"/>
            <w:vAlign w:val="center"/>
          </w:tcPr>
          <w:p w14:paraId="7F30CC44">
            <w:pPr>
              <w:spacing w:line="240" w:lineRule="auto"/>
              <w:jc w:val="center"/>
              <w:rPr>
                <w:rFonts w:hint="eastAsia" w:ascii="宋体" w:hAnsi="宋体" w:cs="宋体"/>
                <w:bCs/>
                <w:sz w:val="18"/>
                <w:szCs w:val="18"/>
              </w:rPr>
            </w:pPr>
            <w:r>
              <w:rPr>
                <w:rFonts w:hint="eastAsia" w:ascii="宋体" w:hAnsi="宋体" w:cs="宋体"/>
                <w:bCs/>
                <w:sz w:val="18"/>
                <w:szCs w:val="18"/>
              </w:rPr>
              <w:t>0.06～0.1</w:t>
            </w:r>
          </w:p>
        </w:tc>
        <w:tc>
          <w:tcPr>
            <w:tcW w:w="1890" w:type="dxa"/>
            <w:vAlign w:val="center"/>
          </w:tcPr>
          <w:p w14:paraId="0D8CB270">
            <w:pPr>
              <w:spacing w:line="240" w:lineRule="auto"/>
              <w:jc w:val="center"/>
              <w:rPr>
                <w:rFonts w:hint="eastAsia" w:ascii="宋体" w:hAnsi="宋体" w:cs="宋体"/>
                <w:bCs/>
                <w:sz w:val="18"/>
                <w:szCs w:val="18"/>
              </w:rPr>
            </w:pPr>
            <w:r>
              <w:rPr>
                <w:rFonts w:hint="eastAsia" w:ascii="宋体" w:hAnsi="宋体" w:cs="宋体"/>
                <w:bCs/>
                <w:sz w:val="18"/>
                <w:szCs w:val="18"/>
              </w:rPr>
              <w:t>0.18～0.22</w:t>
            </w:r>
          </w:p>
        </w:tc>
        <w:tc>
          <w:tcPr>
            <w:tcW w:w="1891" w:type="dxa"/>
            <w:vAlign w:val="center"/>
          </w:tcPr>
          <w:p w14:paraId="31486561">
            <w:pPr>
              <w:spacing w:line="240" w:lineRule="auto"/>
              <w:jc w:val="center"/>
              <w:rPr>
                <w:rFonts w:hint="eastAsia" w:ascii="宋体" w:hAnsi="宋体" w:cs="宋体"/>
                <w:bCs/>
                <w:sz w:val="18"/>
                <w:szCs w:val="18"/>
              </w:rPr>
            </w:pPr>
            <w:r>
              <w:rPr>
                <w:rFonts w:hint="eastAsia" w:ascii="宋体" w:hAnsi="宋体" w:cs="宋体"/>
                <w:bCs/>
                <w:sz w:val="18"/>
                <w:szCs w:val="18"/>
              </w:rPr>
              <w:t>0.65～0.75</w:t>
            </w:r>
          </w:p>
        </w:tc>
        <w:tc>
          <w:tcPr>
            <w:tcW w:w="1895" w:type="dxa"/>
            <w:vAlign w:val="center"/>
          </w:tcPr>
          <w:p w14:paraId="109430CB">
            <w:pPr>
              <w:spacing w:line="240" w:lineRule="auto"/>
              <w:jc w:val="center"/>
              <w:rPr>
                <w:rFonts w:hint="eastAsia" w:ascii="宋体" w:hAnsi="宋体" w:cs="宋体"/>
                <w:bCs/>
                <w:sz w:val="18"/>
                <w:szCs w:val="18"/>
              </w:rPr>
            </w:pPr>
            <w:r>
              <w:rPr>
                <w:rFonts w:hint="eastAsia" w:ascii="宋体" w:hAnsi="宋体" w:cs="宋体"/>
                <w:bCs/>
                <w:sz w:val="18"/>
                <w:szCs w:val="18"/>
              </w:rPr>
              <w:t>1.0</w:t>
            </w:r>
          </w:p>
        </w:tc>
      </w:tr>
      <w:tr w14:paraId="30226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03" w:type="dxa"/>
            <w:vAlign w:val="center"/>
          </w:tcPr>
          <w:p w14:paraId="72F8A78B">
            <w:pPr>
              <w:spacing w:line="240" w:lineRule="auto"/>
              <w:jc w:val="center"/>
              <w:rPr>
                <w:rFonts w:hint="eastAsia" w:ascii="宋体" w:hAnsi="宋体" w:cs="宋体"/>
                <w:bCs/>
                <w:sz w:val="18"/>
                <w:szCs w:val="18"/>
              </w:rPr>
            </w:pPr>
            <w:r>
              <w:rPr>
                <w:rFonts w:hint="eastAsia" w:ascii="宋体" w:hAnsi="宋体" w:cs="宋体"/>
                <w:bCs/>
                <w:sz w:val="18"/>
                <w:szCs w:val="18"/>
              </w:rPr>
              <w:t>12个月～36个月</w:t>
            </w:r>
          </w:p>
        </w:tc>
        <w:tc>
          <w:tcPr>
            <w:tcW w:w="1891" w:type="dxa"/>
            <w:vAlign w:val="center"/>
          </w:tcPr>
          <w:p w14:paraId="7C2BEDE6">
            <w:pPr>
              <w:spacing w:line="240" w:lineRule="auto"/>
              <w:jc w:val="center"/>
              <w:rPr>
                <w:rFonts w:hint="eastAsia" w:ascii="宋体" w:hAnsi="宋体" w:cs="宋体"/>
                <w:bCs/>
                <w:sz w:val="18"/>
                <w:szCs w:val="18"/>
              </w:rPr>
            </w:pPr>
            <w:r>
              <w:rPr>
                <w:rFonts w:hint="eastAsia" w:ascii="宋体" w:hAnsi="宋体" w:cs="宋体"/>
                <w:bCs/>
                <w:sz w:val="18"/>
                <w:szCs w:val="18"/>
              </w:rPr>
              <w:t>0.1～0.2</w:t>
            </w:r>
          </w:p>
        </w:tc>
        <w:tc>
          <w:tcPr>
            <w:tcW w:w="1890" w:type="dxa"/>
            <w:vAlign w:val="center"/>
          </w:tcPr>
          <w:p w14:paraId="3ECE17BF">
            <w:pPr>
              <w:spacing w:line="240" w:lineRule="auto"/>
              <w:jc w:val="center"/>
              <w:rPr>
                <w:rFonts w:hint="eastAsia" w:ascii="宋体" w:hAnsi="宋体" w:cs="宋体"/>
                <w:bCs/>
                <w:sz w:val="18"/>
                <w:szCs w:val="18"/>
              </w:rPr>
            </w:pPr>
            <w:r>
              <w:rPr>
                <w:rFonts w:hint="eastAsia" w:ascii="宋体" w:hAnsi="宋体" w:cs="宋体"/>
                <w:bCs/>
                <w:sz w:val="18"/>
                <w:szCs w:val="18"/>
              </w:rPr>
              <w:t>0.22～0.30</w:t>
            </w:r>
          </w:p>
        </w:tc>
        <w:tc>
          <w:tcPr>
            <w:tcW w:w="1891" w:type="dxa"/>
            <w:vAlign w:val="center"/>
          </w:tcPr>
          <w:p w14:paraId="31DE3618">
            <w:pPr>
              <w:spacing w:line="240" w:lineRule="auto"/>
              <w:jc w:val="center"/>
              <w:rPr>
                <w:rFonts w:hint="eastAsia" w:ascii="宋体" w:hAnsi="宋体" w:cs="宋体"/>
                <w:bCs/>
                <w:sz w:val="18"/>
                <w:szCs w:val="18"/>
              </w:rPr>
            </w:pPr>
            <w:r>
              <w:rPr>
                <w:rFonts w:hint="eastAsia" w:ascii="宋体" w:hAnsi="宋体" w:cs="宋体"/>
                <w:bCs/>
                <w:sz w:val="18"/>
                <w:szCs w:val="18"/>
              </w:rPr>
              <w:t>0.75～0.85</w:t>
            </w:r>
          </w:p>
        </w:tc>
        <w:tc>
          <w:tcPr>
            <w:tcW w:w="1895" w:type="dxa"/>
            <w:vAlign w:val="center"/>
          </w:tcPr>
          <w:p w14:paraId="15F54517">
            <w:pPr>
              <w:spacing w:line="240" w:lineRule="auto"/>
              <w:jc w:val="center"/>
              <w:rPr>
                <w:rFonts w:hint="eastAsia" w:ascii="宋体" w:hAnsi="宋体" w:cs="宋体"/>
                <w:bCs/>
                <w:sz w:val="18"/>
                <w:szCs w:val="18"/>
              </w:rPr>
            </w:pPr>
            <w:r>
              <w:rPr>
                <w:rFonts w:hint="eastAsia" w:ascii="宋体" w:hAnsi="宋体" w:cs="宋体"/>
                <w:bCs/>
                <w:sz w:val="18"/>
                <w:szCs w:val="18"/>
              </w:rPr>
              <w:t>1.0</w:t>
            </w:r>
          </w:p>
        </w:tc>
      </w:tr>
    </w:tbl>
    <w:p w14:paraId="6A338526">
      <w:pPr>
        <w:spacing w:line="240" w:lineRule="auto"/>
        <w:ind w:firstLine="360" w:firstLineChars="200"/>
        <w:rPr>
          <w:rFonts w:ascii="Times New Roman" w:hAnsi="Times New Roman"/>
          <w:sz w:val="18"/>
          <w:szCs w:val="18"/>
        </w:rPr>
      </w:pPr>
      <w:bookmarkStart w:id="480" w:name="_Hlk132111281"/>
      <w:r>
        <w:rPr>
          <w:rFonts w:hint="eastAsia" w:ascii="黑体" w:hAnsi="黑体" w:eastAsia="黑体" w:cs="黑体"/>
          <w:sz w:val="18"/>
          <w:szCs w:val="18"/>
        </w:rPr>
        <w:t>注：</w:t>
      </w:r>
      <w:r>
        <w:rPr>
          <w:rFonts w:hint="eastAsia" w:ascii="Times New Roman" w:hAnsi="Times New Roman"/>
          <w:sz w:val="18"/>
          <w:szCs w:val="18"/>
        </w:rPr>
        <w:t>黏性土中黏土取小值，粉质黏土取大值</w:t>
      </w:r>
    </w:p>
    <w:p w14:paraId="1B5CDE1F">
      <w:pPr>
        <w:spacing w:before="156" w:beforeLines="50" w:after="156" w:afterLines="50"/>
        <w:jc w:val="center"/>
        <w:rPr>
          <w:rFonts w:hint="eastAsia" w:ascii="黑体" w:hAnsi="黑体" w:eastAsia="黑体" w:cs="宋体"/>
          <w:color w:val="000000"/>
        </w:rPr>
      </w:pPr>
      <w:r>
        <w:rPr>
          <w:rFonts w:hint="eastAsia" w:ascii="黑体" w:hAnsi="黑体" w:eastAsia="黑体" w:cs="宋体"/>
          <w:color w:val="000000"/>
        </w:rPr>
        <w:t>表17  压缩模量修正系数φe</w:t>
      </w:r>
    </w:p>
    <w:tbl>
      <w:tblPr>
        <w:tblStyle w:val="34"/>
        <w:tblW w:w="95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4"/>
        <w:gridCol w:w="1595"/>
        <w:gridCol w:w="1594"/>
        <w:gridCol w:w="1594"/>
        <w:gridCol w:w="1595"/>
        <w:gridCol w:w="1598"/>
      </w:tblGrid>
      <w:tr w14:paraId="544B4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tcBorders>
              <w:top w:val="single" w:color="auto" w:sz="12" w:space="0"/>
              <w:bottom w:val="single" w:color="auto" w:sz="12" w:space="0"/>
            </w:tcBorders>
            <w:vAlign w:val="center"/>
          </w:tcPr>
          <w:p w14:paraId="0C6CD1B3">
            <w:pPr>
              <w:spacing w:line="240" w:lineRule="auto"/>
              <w:jc w:val="center"/>
              <w:rPr>
                <w:rFonts w:hint="eastAsia" w:ascii="宋体" w:hAnsi="宋体" w:cs="宋体"/>
                <w:sz w:val="18"/>
                <w:szCs w:val="18"/>
              </w:rPr>
            </w:pPr>
            <w:r>
              <w:rPr>
                <w:rFonts w:hint="eastAsia" w:ascii="宋体" w:hAnsi="宋体" w:cs="宋体"/>
                <w:bCs/>
                <w:i/>
                <w:iCs/>
                <w:sz w:val="18"/>
                <w:szCs w:val="18"/>
              </w:rPr>
              <w:t>E</w:t>
            </w:r>
            <w:r>
              <w:rPr>
                <w:rFonts w:hint="eastAsia" w:ascii="宋体" w:hAnsi="宋体" w:cs="宋体"/>
                <w:bCs/>
                <w:i/>
                <w:iCs/>
                <w:sz w:val="18"/>
                <w:szCs w:val="18"/>
                <w:vertAlign w:val="subscript"/>
              </w:rPr>
              <w:t>S</w:t>
            </w:r>
            <w:r>
              <w:rPr>
                <w:rFonts w:hint="eastAsia" w:ascii="宋体" w:hAnsi="宋体" w:cs="宋体"/>
                <w:bCs/>
                <w:sz w:val="18"/>
                <w:szCs w:val="18"/>
              </w:rPr>
              <w:t>(MPa)</w:t>
            </w:r>
          </w:p>
        </w:tc>
        <w:tc>
          <w:tcPr>
            <w:tcW w:w="1595" w:type="dxa"/>
            <w:tcBorders>
              <w:top w:val="single" w:color="auto" w:sz="12" w:space="0"/>
              <w:bottom w:val="single" w:color="auto" w:sz="12" w:space="0"/>
            </w:tcBorders>
            <w:vAlign w:val="center"/>
          </w:tcPr>
          <w:p w14:paraId="6FF8FCE6">
            <w:pPr>
              <w:pStyle w:val="236"/>
              <w:jc w:val="center"/>
              <w:rPr>
                <w:rFonts w:hint="eastAsia" w:hAnsi="宋体"/>
                <w:color w:val="auto"/>
                <w:sz w:val="18"/>
                <w:szCs w:val="18"/>
              </w:rPr>
            </w:pPr>
            <w:r>
              <w:rPr>
                <w:rFonts w:hint="eastAsia" w:hAnsi="宋体"/>
                <w:color w:val="auto"/>
                <w:sz w:val="18"/>
                <w:szCs w:val="18"/>
              </w:rPr>
              <w:t>2.5</w:t>
            </w:r>
          </w:p>
        </w:tc>
        <w:tc>
          <w:tcPr>
            <w:tcW w:w="1594" w:type="dxa"/>
            <w:tcBorders>
              <w:top w:val="single" w:color="auto" w:sz="12" w:space="0"/>
              <w:bottom w:val="single" w:color="auto" w:sz="12" w:space="0"/>
            </w:tcBorders>
            <w:vAlign w:val="center"/>
          </w:tcPr>
          <w:p w14:paraId="02978D5C">
            <w:pPr>
              <w:pStyle w:val="236"/>
              <w:jc w:val="center"/>
              <w:rPr>
                <w:rFonts w:hint="eastAsia" w:hAnsi="宋体"/>
                <w:color w:val="auto"/>
                <w:sz w:val="18"/>
                <w:szCs w:val="18"/>
              </w:rPr>
            </w:pPr>
            <w:r>
              <w:rPr>
                <w:rFonts w:hint="eastAsia" w:hAnsi="宋体"/>
                <w:color w:val="auto"/>
                <w:sz w:val="18"/>
                <w:szCs w:val="18"/>
              </w:rPr>
              <w:t>4.0</w:t>
            </w:r>
          </w:p>
        </w:tc>
        <w:tc>
          <w:tcPr>
            <w:tcW w:w="1594" w:type="dxa"/>
            <w:tcBorders>
              <w:top w:val="single" w:color="auto" w:sz="12" w:space="0"/>
              <w:bottom w:val="single" w:color="auto" w:sz="12" w:space="0"/>
            </w:tcBorders>
            <w:vAlign w:val="center"/>
          </w:tcPr>
          <w:p w14:paraId="07DA7E6A">
            <w:pPr>
              <w:pStyle w:val="236"/>
              <w:jc w:val="center"/>
              <w:rPr>
                <w:rFonts w:hint="eastAsia" w:hAnsi="宋体"/>
                <w:color w:val="auto"/>
                <w:sz w:val="18"/>
                <w:szCs w:val="18"/>
              </w:rPr>
            </w:pPr>
            <w:r>
              <w:rPr>
                <w:rFonts w:hint="eastAsia" w:hAnsi="宋体"/>
                <w:color w:val="auto"/>
                <w:sz w:val="18"/>
                <w:szCs w:val="18"/>
              </w:rPr>
              <w:t>7.0</w:t>
            </w:r>
          </w:p>
        </w:tc>
        <w:tc>
          <w:tcPr>
            <w:tcW w:w="1595" w:type="dxa"/>
            <w:tcBorders>
              <w:top w:val="single" w:color="auto" w:sz="12" w:space="0"/>
              <w:bottom w:val="single" w:color="auto" w:sz="12" w:space="0"/>
            </w:tcBorders>
            <w:vAlign w:val="center"/>
          </w:tcPr>
          <w:p w14:paraId="22CAECF9">
            <w:pPr>
              <w:pStyle w:val="236"/>
              <w:jc w:val="center"/>
              <w:rPr>
                <w:rFonts w:hint="eastAsia" w:hAnsi="宋体"/>
                <w:color w:val="auto"/>
                <w:sz w:val="18"/>
                <w:szCs w:val="18"/>
              </w:rPr>
            </w:pPr>
            <w:r>
              <w:rPr>
                <w:rFonts w:hint="eastAsia" w:hAnsi="宋体"/>
                <w:color w:val="auto"/>
                <w:sz w:val="18"/>
                <w:szCs w:val="18"/>
              </w:rPr>
              <w:t>15.0</w:t>
            </w:r>
          </w:p>
        </w:tc>
        <w:tc>
          <w:tcPr>
            <w:tcW w:w="1598" w:type="dxa"/>
            <w:tcBorders>
              <w:top w:val="single" w:color="auto" w:sz="12" w:space="0"/>
              <w:bottom w:val="single" w:color="auto" w:sz="12" w:space="0"/>
            </w:tcBorders>
            <w:vAlign w:val="center"/>
          </w:tcPr>
          <w:p w14:paraId="1CF7DA8A">
            <w:pPr>
              <w:pStyle w:val="236"/>
              <w:jc w:val="center"/>
              <w:rPr>
                <w:rFonts w:hint="eastAsia" w:hAnsi="宋体"/>
                <w:color w:val="auto"/>
                <w:sz w:val="18"/>
                <w:szCs w:val="18"/>
              </w:rPr>
            </w:pPr>
            <w:r>
              <w:rPr>
                <w:rFonts w:hint="eastAsia" w:hAnsi="宋体"/>
                <w:color w:val="auto"/>
                <w:sz w:val="18"/>
                <w:szCs w:val="18"/>
              </w:rPr>
              <w:t>20.0</w:t>
            </w:r>
          </w:p>
        </w:tc>
      </w:tr>
      <w:tr w14:paraId="7D0B6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vAlign w:val="center"/>
          </w:tcPr>
          <w:p w14:paraId="5AD684AB">
            <w:pPr>
              <w:pStyle w:val="236"/>
              <w:jc w:val="center"/>
              <w:rPr>
                <w:rFonts w:hint="eastAsia" w:hAnsi="宋体"/>
                <w:i/>
                <w:iCs/>
                <w:color w:val="auto"/>
                <w:sz w:val="18"/>
                <w:szCs w:val="18"/>
              </w:rPr>
            </w:pPr>
            <w:r>
              <w:rPr>
                <w:rFonts w:hint="eastAsia" w:hAnsi="宋体"/>
                <w:i/>
                <w:iCs/>
                <w:color w:val="auto"/>
              </w:rPr>
              <w:t>φ</w:t>
            </w:r>
            <w:r>
              <w:rPr>
                <w:rFonts w:hint="eastAsia" w:hAnsi="宋体"/>
                <w:i/>
                <w:iCs/>
                <w:color w:val="auto"/>
                <w:vertAlign w:val="subscript"/>
              </w:rPr>
              <w:t>e</w:t>
            </w:r>
          </w:p>
        </w:tc>
        <w:tc>
          <w:tcPr>
            <w:tcW w:w="1595" w:type="dxa"/>
            <w:vAlign w:val="center"/>
          </w:tcPr>
          <w:p w14:paraId="3DDD52BE">
            <w:pPr>
              <w:pStyle w:val="236"/>
              <w:jc w:val="center"/>
              <w:rPr>
                <w:rFonts w:hint="eastAsia" w:hAnsi="宋体"/>
                <w:color w:val="auto"/>
                <w:sz w:val="18"/>
                <w:szCs w:val="18"/>
              </w:rPr>
            </w:pPr>
            <w:r>
              <w:rPr>
                <w:rFonts w:hint="eastAsia" w:hAnsi="宋体"/>
                <w:color w:val="auto"/>
                <w:sz w:val="18"/>
                <w:szCs w:val="18"/>
              </w:rPr>
              <w:t>0.9</w:t>
            </w:r>
          </w:p>
        </w:tc>
        <w:tc>
          <w:tcPr>
            <w:tcW w:w="1594" w:type="dxa"/>
            <w:vAlign w:val="center"/>
          </w:tcPr>
          <w:p w14:paraId="1EC2567A">
            <w:pPr>
              <w:pStyle w:val="236"/>
              <w:jc w:val="center"/>
              <w:rPr>
                <w:rFonts w:hint="eastAsia" w:hAnsi="宋体"/>
                <w:color w:val="auto"/>
                <w:sz w:val="18"/>
                <w:szCs w:val="18"/>
              </w:rPr>
            </w:pPr>
            <w:r>
              <w:rPr>
                <w:rFonts w:hint="eastAsia" w:hAnsi="宋体"/>
                <w:color w:val="auto"/>
                <w:sz w:val="18"/>
                <w:szCs w:val="18"/>
              </w:rPr>
              <w:t>1.0</w:t>
            </w:r>
          </w:p>
        </w:tc>
        <w:tc>
          <w:tcPr>
            <w:tcW w:w="1594" w:type="dxa"/>
            <w:vAlign w:val="center"/>
          </w:tcPr>
          <w:p w14:paraId="3E68AB15">
            <w:pPr>
              <w:pStyle w:val="236"/>
              <w:jc w:val="center"/>
              <w:rPr>
                <w:rFonts w:hint="eastAsia" w:hAnsi="宋体"/>
                <w:color w:val="auto"/>
                <w:sz w:val="18"/>
                <w:szCs w:val="18"/>
              </w:rPr>
            </w:pPr>
            <w:r>
              <w:rPr>
                <w:rFonts w:hint="eastAsia" w:hAnsi="宋体"/>
                <w:color w:val="auto"/>
                <w:sz w:val="18"/>
                <w:szCs w:val="18"/>
              </w:rPr>
              <w:t>1.5</w:t>
            </w:r>
          </w:p>
        </w:tc>
        <w:tc>
          <w:tcPr>
            <w:tcW w:w="1595" w:type="dxa"/>
            <w:vAlign w:val="center"/>
          </w:tcPr>
          <w:p w14:paraId="0B822887">
            <w:pPr>
              <w:pStyle w:val="236"/>
              <w:jc w:val="center"/>
              <w:rPr>
                <w:rFonts w:hint="eastAsia" w:hAnsi="宋体"/>
                <w:color w:val="auto"/>
                <w:sz w:val="18"/>
                <w:szCs w:val="18"/>
              </w:rPr>
            </w:pPr>
            <w:r>
              <w:rPr>
                <w:rFonts w:hint="eastAsia" w:hAnsi="宋体"/>
                <w:color w:val="auto"/>
                <w:sz w:val="18"/>
                <w:szCs w:val="18"/>
              </w:rPr>
              <w:t>2.5</w:t>
            </w:r>
          </w:p>
        </w:tc>
        <w:tc>
          <w:tcPr>
            <w:tcW w:w="1598" w:type="dxa"/>
            <w:vAlign w:val="center"/>
          </w:tcPr>
          <w:p w14:paraId="19CBB656">
            <w:pPr>
              <w:pStyle w:val="236"/>
              <w:jc w:val="center"/>
              <w:rPr>
                <w:rFonts w:hint="eastAsia" w:hAnsi="宋体"/>
                <w:color w:val="auto"/>
                <w:sz w:val="18"/>
                <w:szCs w:val="18"/>
              </w:rPr>
            </w:pPr>
            <w:r>
              <w:rPr>
                <w:rFonts w:hint="eastAsia" w:hAnsi="宋体"/>
                <w:color w:val="auto"/>
                <w:sz w:val="18"/>
                <w:szCs w:val="18"/>
              </w:rPr>
              <w:t>5.0</w:t>
            </w:r>
          </w:p>
        </w:tc>
      </w:tr>
    </w:tbl>
    <w:p w14:paraId="390D12D2">
      <w:pPr>
        <w:pStyle w:val="182"/>
        <w:spacing w:before="156" w:beforeLines="50"/>
        <w:ind w:left="420" w:firstLine="0"/>
        <w:rPr>
          <w:rFonts w:ascii="Times New Roman"/>
          <w:bCs/>
          <w:szCs w:val="21"/>
        </w:rPr>
      </w:pPr>
    </w:p>
    <w:p w14:paraId="3024CAF3">
      <w:pPr>
        <w:pStyle w:val="182"/>
        <w:numPr>
          <w:ilvl w:val="0"/>
          <w:numId w:val="71"/>
        </w:numPr>
        <w:spacing w:before="156" w:beforeLines="50"/>
        <w:ind w:left="845" w:hanging="425"/>
        <w:rPr>
          <w:rFonts w:ascii="Times New Roman"/>
          <w:bCs/>
          <w:szCs w:val="21"/>
        </w:rPr>
      </w:pPr>
      <w:r>
        <w:rPr>
          <w:rFonts w:ascii="Times New Roman"/>
          <w:bCs/>
          <w:szCs w:val="21"/>
        </w:rPr>
        <w:t>当降水引起的基坑外土</w:t>
      </w:r>
      <w:r>
        <w:rPr>
          <w:rFonts w:hint="eastAsia" w:ascii="Times New Roman"/>
          <w:bCs/>
          <w:szCs w:val="21"/>
        </w:rPr>
        <w:t>体</w:t>
      </w:r>
      <w:r>
        <w:rPr>
          <w:rFonts w:ascii="Times New Roman"/>
          <w:bCs/>
          <w:szCs w:val="21"/>
        </w:rPr>
        <w:t>中各点</w:t>
      </w:r>
      <w:r>
        <w:rPr>
          <w:rFonts w:hint="eastAsia" w:ascii="Times New Roman"/>
          <w:bCs/>
          <w:szCs w:val="21"/>
        </w:rPr>
        <w:t>渗流规律</w:t>
      </w:r>
      <w:r>
        <w:rPr>
          <w:rFonts w:ascii="Times New Roman"/>
          <w:bCs/>
          <w:szCs w:val="21"/>
        </w:rPr>
        <w:t>符合稳定渗流条件时，宜按稳定渗流计算；当符合非稳定渗流条件时，宜按地下水非稳定渗流计算。</w:t>
      </w:r>
      <w:r>
        <w:rPr>
          <w:rFonts w:hint="eastAsia" w:ascii="Times New Roman"/>
          <w:bCs/>
          <w:szCs w:val="21"/>
        </w:rPr>
        <w:t>降水引起的</w:t>
      </w:r>
      <w:r>
        <w:rPr>
          <w:rFonts w:ascii="Times New Roman"/>
          <w:bCs/>
          <w:szCs w:val="21"/>
        </w:rPr>
        <w:t>有效应力增量可根据计算的地下水位降深，按</w:t>
      </w:r>
      <w:r>
        <w:rPr>
          <w:rFonts w:hint="eastAsia" w:ascii="Times New Roman"/>
          <w:bCs/>
          <w:szCs w:val="21"/>
        </w:rPr>
        <w:t>公式（</w:t>
      </w:r>
      <w:r>
        <w:rPr>
          <w:rFonts w:ascii="Times New Roman"/>
          <w:bCs/>
          <w:szCs w:val="21"/>
        </w:rPr>
        <w:t>1</w:t>
      </w:r>
      <w:r>
        <w:rPr>
          <w:rFonts w:hint="eastAsia" w:ascii="Times New Roman"/>
          <w:bCs/>
          <w:szCs w:val="21"/>
        </w:rPr>
        <w:t>0）～</w:t>
      </w:r>
      <w:r>
        <w:rPr>
          <w:rFonts w:ascii="Times New Roman"/>
          <w:bCs/>
          <w:szCs w:val="21"/>
        </w:rPr>
        <w:t>（1</w:t>
      </w:r>
      <w:r>
        <w:rPr>
          <w:rFonts w:hint="eastAsia" w:ascii="Times New Roman"/>
          <w:bCs/>
          <w:szCs w:val="21"/>
        </w:rPr>
        <w:t>2</w:t>
      </w:r>
      <w:r>
        <w:rPr>
          <w:rFonts w:ascii="Times New Roman"/>
          <w:bCs/>
          <w:szCs w:val="21"/>
        </w:rPr>
        <w:t>）计算：</w:t>
      </w:r>
    </w:p>
    <w:p w14:paraId="26BA8518">
      <w:pPr>
        <w:pStyle w:val="253"/>
        <w:spacing w:line="240" w:lineRule="auto"/>
        <w:ind w:left="1260" w:leftChars="400" w:hanging="420" w:hangingChars="200"/>
        <w:jc w:val="both"/>
        <w:rPr>
          <w:rFonts w:hint="eastAsia"/>
          <w:color w:val="auto"/>
          <w:sz w:val="21"/>
        </w:rPr>
      </w:pPr>
      <w:r>
        <w:rPr>
          <w:color w:val="auto"/>
          <w:sz w:val="21"/>
        </w:rPr>
        <w:t>1</w:t>
      </w:r>
      <w:r>
        <w:rPr>
          <w:rFonts w:hint="eastAsia"/>
          <w:color w:val="auto"/>
          <w:sz w:val="21"/>
        </w:rPr>
        <w:t>） </w:t>
      </w:r>
      <w:r>
        <w:rPr>
          <w:color w:val="auto"/>
          <w:sz w:val="21"/>
        </w:rPr>
        <w:t>计算点位于初始地下水位以上时：</w:t>
      </w:r>
    </w:p>
    <w:p w14:paraId="59994989">
      <w:pPr>
        <w:pStyle w:val="253"/>
        <w:spacing w:line="240" w:lineRule="auto"/>
        <w:ind w:left="936" w:leftChars="303" w:hanging="300" w:hangingChars="143"/>
        <w:jc w:val="right"/>
        <w:rPr>
          <w:rFonts w:ascii="Times New Roman" w:hAnsi="Times New Roman" w:cs="Times New Roman"/>
          <w:bCs/>
          <w:color w:val="auto"/>
          <w:sz w:val="21"/>
        </w:rPr>
      </w:pPr>
      <w:r>
        <w:rPr>
          <w:rFonts w:hint="eastAsia" w:hAnsi="Cambria Math" w:cs="Times New Roman"/>
          <w:bCs/>
          <w:color w:val="auto"/>
          <w:sz w:val="21"/>
        </w:rPr>
        <w:t xml:space="preserve">  </w:t>
      </w:r>
      <m:oMath>
        <m:sSub>
          <m:sSubPr>
            <m:ctrlPr>
              <w:rPr>
                <w:rFonts w:ascii="Cambria Math" w:hAnsi="Cambria Math" w:cs="Times New Roman"/>
                <w:bCs/>
                <w:i/>
                <w:color w:val="auto"/>
                <w:sz w:val="21"/>
              </w:rPr>
            </m:ctrlPr>
          </m:sSubPr>
          <m:e>
            <m:r>
              <m:rPr/>
              <w:rPr>
                <w:rFonts w:ascii="Cambria Math" w:hAnsi="Cambria Math" w:cs="Times New Roman"/>
                <w:color w:val="auto"/>
                <w:sz w:val="21"/>
              </w:rPr>
              <m:t>σ</m:t>
            </m:r>
            <m:ctrlPr>
              <w:rPr>
                <w:rFonts w:ascii="Cambria Math" w:hAnsi="Cambria Math" w:cs="Times New Roman"/>
                <w:bCs/>
                <w:i/>
                <w:color w:val="auto"/>
                <w:sz w:val="21"/>
              </w:rPr>
            </m:ctrlPr>
          </m:e>
          <m:sub>
            <m:r>
              <m:rPr/>
              <w:rPr>
                <w:rFonts w:ascii="Cambria Math" w:hAnsi="Cambria Math" w:cs="Times New Roman"/>
                <w:color w:val="auto"/>
                <w:sz w:val="21"/>
              </w:rPr>
              <m:t>wi</m:t>
            </m:r>
            <m:ctrlPr>
              <w:rPr>
                <w:rFonts w:ascii="Cambria Math" w:hAnsi="Cambria Math" w:cs="Times New Roman"/>
                <w:bCs/>
                <w:i/>
                <w:color w:val="auto"/>
                <w:sz w:val="21"/>
              </w:rPr>
            </m:ctrlPr>
          </m:sub>
        </m:sSub>
        <m:r>
          <m:rPr/>
          <w:rPr>
            <w:rFonts w:ascii="Cambria Math" w:hAnsi="Cambria Math" w:cs="Times New Roman"/>
            <w:color w:val="auto"/>
            <w:sz w:val="21"/>
          </w:rPr>
          <m:t>=0</m:t>
        </m:r>
      </m:oMath>
      <w:r>
        <w:rPr>
          <w:rFonts w:hint="eastAsia" w:ascii="Times New Roman" w:hAnsi="Times New Roman" w:cs="Times New Roman"/>
          <w:bCs/>
          <w:color w:val="auto"/>
          <w:sz w:val="21"/>
        </w:rPr>
        <w:t xml:space="preserve">            </w:t>
      </w:r>
      <w:r>
        <w:rPr>
          <w:rFonts w:ascii="Times New Roman" w:hAnsi="Times New Roman" w:cs="Times New Roman"/>
          <w:bCs/>
          <w:color w:val="auto"/>
          <w:sz w:val="21"/>
        </w:rPr>
        <w:t xml:space="preserve">                  </w:t>
      </w:r>
      <w:r>
        <w:rPr>
          <w:rFonts w:hint="eastAsia" w:ascii="Times New Roman" w:hAnsi="Times New Roman" w:cs="Times New Roman"/>
          <w:bCs/>
          <w:color w:val="auto"/>
          <w:sz w:val="21"/>
        </w:rPr>
        <w:t xml:space="preserve">                                </w:t>
      </w:r>
      <w:r>
        <w:rPr>
          <w:rFonts w:ascii="Times New Roman" w:hAnsi="Times New Roman" w:cs="Times New Roman"/>
          <w:bCs/>
          <w:color w:val="auto"/>
          <w:sz w:val="21"/>
        </w:rPr>
        <w:t>（</w:t>
      </w:r>
      <w:r>
        <w:rPr>
          <w:rFonts w:hint="eastAsia" w:ascii="Times New Roman" w:hAnsi="Times New Roman" w:cs="Times New Roman"/>
          <w:bCs/>
          <w:color w:val="auto"/>
          <w:sz w:val="21"/>
        </w:rPr>
        <w:t>10</w:t>
      </w:r>
      <w:r>
        <w:rPr>
          <w:rFonts w:ascii="Times New Roman" w:hAnsi="Times New Roman" w:cs="Times New Roman"/>
          <w:bCs/>
          <w:color w:val="auto"/>
          <w:sz w:val="21"/>
        </w:rPr>
        <w:t>）</w:t>
      </w:r>
    </w:p>
    <w:p w14:paraId="72A97CFB">
      <w:pPr>
        <w:pStyle w:val="253"/>
        <w:snapToGrid w:val="0"/>
        <w:spacing w:line="240" w:lineRule="auto"/>
        <w:ind w:left="1260" w:leftChars="400" w:hanging="420" w:hangingChars="200"/>
        <w:jc w:val="both"/>
        <w:rPr>
          <w:rFonts w:hint="eastAsia"/>
          <w:color w:val="auto"/>
          <w:sz w:val="21"/>
        </w:rPr>
      </w:pPr>
      <w:r>
        <w:rPr>
          <w:color w:val="auto"/>
          <w:sz w:val="21"/>
        </w:rPr>
        <w:t>2</w:t>
      </w:r>
      <w:r>
        <w:rPr>
          <w:rFonts w:hint="eastAsia"/>
          <w:color w:val="auto"/>
          <w:sz w:val="21"/>
        </w:rPr>
        <w:t>） </w:t>
      </w:r>
      <w:r>
        <w:rPr>
          <w:color w:val="auto"/>
          <w:sz w:val="21"/>
        </w:rPr>
        <w:t>计算点位于降水水位与初始地下水位之间时：</w:t>
      </w:r>
    </w:p>
    <w:p w14:paraId="58A8E85F">
      <w:pPr>
        <w:wordWrap w:val="0"/>
        <w:spacing w:line="240" w:lineRule="auto"/>
        <w:jc w:val="right"/>
        <w:rPr>
          <w:bCs/>
        </w:rPr>
      </w:pPr>
      <m:oMath>
        <m:sSub>
          <m:sSubPr>
            <m:ctrlPr>
              <w:rPr>
                <w:rFonts w:ascii="Cambria Math" w:hAnsi="Cambria Math"/>
                <w:bCs/>
                <w:i/>
              </w:rPr>
            </m:ctrlPr>
          </m:sSubPr>
          <m:e>
            <m:r>
              <m:rPr/>
              <w:rPr>
                <w:rFonts w:ascii="Cambria Math" w:hAnsi="Cambria Math"/>
              </w:rPr>
              <m:t>σ</m:t>
            </m:r>
            <m:ctrlPr>
              <w:rPr>
                <w:rFonts w:ascii="Cambria Math" w:hAnsi="Cambria Math"/>
                <w:bCs/>
                <w:i/>
              </w:rPr>
            </m:ctrlPr>
          </m:e>
          <m:sub>
            <m:r>
              <m:rPr/>
              <w:rPr>
                <w:rFonts w:ascii="Cambria Math" w:hAnsi="Cambria Math"/>
              </w:rPr>
              <m:t>wi</m:t>
            </m:r>
            <m:ctrlPr>
              <w:rPr>
                <w:rFonts w:ascii="Cambria Math" w:hAnsi="Cambria Math"/>
                <w:bCs/>
                <w:i/>
              </w:rPr>
            </m:ctrlPr>
          </m:sub>
        </m:sSub>
        <m:r>
          <m:rPr/>
          <w:rPr>
            <w:rFonts w:ascii="Cambria Math" w:hAnsi="Cambria Math"/>
          </w:rPr>
          <m:t>=</m:t>
        </m:r>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0</m:t>
            </m:r>
            <m:ctrlPr>
              <w:rPr>
                <w:rFonts w:ascii="Cambria Math" w:hAnsi="Cambria Math"/>
                <w:i/>
              </w:rPr>
            </m:ctrlPr>
          </m:sub>
        </m:sSub>
      </m:oMath>
      <w:r>
        <w:rPr>
          <w:rFonts w:hint="eastAsia"/>
          <w:bCs/>
        </w:rPr>
        <w:t xml:space="preserve">                     </w:t>
      </w:r>
      <w:r>
        <w:rPr>
          <w:bCs/>
        </w:rPr>
        <w:t xml:space="preserve">                </w:t>
      </w:r>
      <w:r>
        <w:rPr>
          <w:rFonts w:hint="eastAsia"/>
          <w:bCs/>
        </w:rPr>
        <w:t>                        </w:t>
      </w:r>
      <w:r>
        <w:rPr>
          <w:bCs/>
        </w:rPr>
        <w:t>（</w:t>
      </w:r>
      <w:r>
        <w:rPr>
          <w:rFonts w:hint="eastAsia" w:ascii="Times New Roman" w:hAnsi="Times New Roman"/>
          <w:bCs/>
          <w:kern w:val="0"/>
        </w:rPr>
        <w:t>11</w:t>
      </w:r>
      <w:r>
        <w:rPr>
          <w:bCs/>
        </w:rPr>
        <w:t>）</w:t>
      </w:r>
    </w:p>
    <w:p w14:paraId="2821EC5B">
      <w:pPr>
        <w:pStyle w:val="253"/>
        <w:spacing w:line="240" w:lineRule="auto"/>
        <w:ind w:left="1260" w:leftChars="400" w:hanging="420" w:hangingChars="200"/>
        <w:jc w:val="both"/>
        <w:rPr>
          <w:rFonts w:hint="eastAsia"/>
          <w:color w:val="auto"/>
          <w:sz w:val="21"/>
        </w:rPr>
      </w:pPr>
      <w:r>
        <w:rPr>
          <w:color w:val="auto"/>
          <w:sz w:val="21"/>
        </w:rPr>
        <w:t>3</w:t>
      </w:r>
      <w:r>
        <w:rPr>
          <w:rFonts w:hint="eastAsia"/>
          <w:color w:val="auto"/>
          <w:sz w:val="21"/>
        </w:rPr>
        <w:t>） </w:t>
      </w:r>
      <w:r>
        <w:rPr>
          <w:color w:val="auto"/>
          <w:sz w:val="21"/>
        </w:rPr>
        <w:t>计算点位于降水水位以下时：</w:t>
      </w:r>
    </w:p>
    <w:p w14:paraId="76F1AC76">
      <w:pPr>
        <w:wordWrap w:val="0"/>
        <w:spacing w:line="240" w:lineRule="auto"/>
        <w:jc w:val="right"/>
        <w:rPr>
          <w:bCs/>
        </w:rPr>
      </w:pPr>
      <m:oMath>
        <m:sSub>
          <m:sSubPr>
            <m:ctrlPr>
              <w:rPr>
                <w:rFonts w:ascii="Cambria Math" w:hAnsi="Cambria Math"/>
                <w:bCs/>
                <w:i/>
              </w:rPr>
            </m:ctrlPr>
          </m:sSubPr>
          <m:e>
            <m:r>
              <m:rPr/>
              <w:rPr>
                <w:rFonts w:ascii="Cambria Math" w:hAnsi="Cambria Math"/>
              </w:rPr>
              <m:t>σ</m:t>
            </m:r>
            <m:ctrlPr>
              <w:rPr>
                <w:rFonts w:ascii="Cambria Math" w:hAnsi="Cambria Math"/>
                <w:bCs/>
                <w:i/>
              </w:rPr>
            </m:ctrlPr>
          </m:e>
          <m:sub>
            <m:r>
              <m:rPr/>
              <w:rPr>
                <w:rFonts w:ascii="Cambria Math" w:hAnsi="Cambria Math"/>
              </w:rPr>
              <m:t>wi</m:t>
            </m:r>
            <m:ctrlPr>
              <w:rPr>
                <w:rFonts w:ascii="Cambria Math" w:hAnsi="Cambria Math"/>
                <w:bCs/>
                <w:i/>
              </w:rPr>
            </m:ctrlPr>
          </m:sub>
        </m:sSub>
        <m:r>
          <m:rPr/>
          <w:rPr>
            <w:rFonts w:ascii="Cambria Math" w:hAnsi="Cambria Math"/>
          </w:rPr>
          <m:t>=</m:t>
        </m:r>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i</m:t>
            </m:r>
            <m:ctrlPr>
              <w:rPr>
                <w:rFonts w:ascii="Cambria Math" w:hAnsi="Cambria Math"/>
                <w:i/>
              </w:rPr>
            </m:ctrlPr>
          </m:sub>
        </m:sSub>
      </m:oMath>
      <w:r>
        <w:rPr>
          <w:rFonts w:hint="eastAsia"/>
          <w:bCs/>
        </w:rPr>
        <w:t xml:space="preserve">              </w:t>
      </w:r>
      <w:r>
        <w:rPr>
          <w:bCs/>
        </w:rPr>
        <w:t xml:space="preserve">               </w:t>
      </w:r>
      <w:r>
        <w:rPr>
          <w:rFonts w:hint="eastAsia"/>
          <w:bCs/>
        </w:rPr>
        <w:t>                                </w:t>
      </w:r>
      <w:r>
        <w:rPr>
          <w:bCs/>
        </w:rPr>
        <w:t>（1</w:t>
      </w:r>
      <w:r>
        <w:rPr>
          <w:rFonts w:hint="eastAsia"/>
          <w:bCs/>
        </w:rPr>
        <w:t>2</w:t>
      </w:r>
      <w:r>
        <w:rPr>
          <w:bCs/>
        </w:rPr>
        <w:t>）</w:t>
      </w:r>
    </w:p>
    <w:p w14:paraId="574FA89E">
      <w:pPr>
        <w:spacing w:line="240" w:lineRule="auto"/>
        <w:ind w:left="630" w:leftChars="300"/>
        <w:jc w:val="left"/>
        <w:rPr>
          <w:bCs/>
        </w:rPr>
      </w:pPr>
      <w:r>
        <w:rPr>
          <w:bCs/>
        </w:rPr>
        <w:t>式中：</w:t>
      </w:r>
    </w:p>
    <w:p w14:paraId="28A7D697">
      <w:pPr>
        <w:spacing w:line="240" w:lineRule="auto"/>
        <w:ind w:left="630" w:leftChars="300"/>
        <w:jc w:val="left"/>
        <w:rPr>
          <w:rFonts w:hint="eastAsia" w:ascii="宋体" w:hAnsi="宋体" w:cs="宋体"/>
          <w:bCs/>
        </w:rPr>
      </w:pPr>
      <w:r>
        <w:rPr>
          <w:rFonts w:hint="eastAsia" w:ascii="宋体" w:hAnsi="宋体" w:cs="宋体"/>
          <w:bCs/>
          <w:i/>
          <w:iCs/>
        </w:rPr>
        <w:t>γ</w:t>
      </w:r>
      <w:r>
        <w:rPr>
          <w:rFonts w:hint="eastAsia" w:ascii="宋体" w:hAnsi="宋体" w:cs="宋体"/>
          <w:bCs/>
          <w:vertAlign w:val="subscript"/>
        </w:rPr>
        <w:t>w</w:t>
      </w:r>
      <w:r>
        <w:rPr>
          <w:rFonts w:hint="eastAsia" w:ascii="宋体" w:hAnsi="宋体" w:cs="宋体"/>
        </w:rPr>
        <w:t>——</w:t>
      </w:r>
      <w:r>
        <w:rPr>
          <w:rFonts w:hint="eastAsia" w:ascii="宋体" w:hAnsi="宋体" w:cs="宋体"/>
          <w:bCs/>
        </w:rPr>
        <w:t>水的重度，kN/m</w:t>
      </w:r>
      <w:r>
        <w:rPr>
          <w:rFonts w:hint="eastAsia" w:ascii="宋体" w:hAnsi="宋体" w:cs="宋体"/>
          <w:bCs/>
          <w:vertAlign w:val="superscript"/>
        </w:rPr>
        <w:t>3</w:t>
      </w:r>
      <w:r>
        <w:rPr>
          <w:rFonts w:hint="eastAsia" w:ascii="宋体" w:hAnsi="宋体" w:cs="宋体"/>
          <w:bCs/>
        </w:rPr>
        <w:t>；</w:t>
      </w:r>
    </w:p>
    <w:p w14:paraId="7309AF2F">
      <w:pPr>
        <w:spacing w:line="240" w:lineRule="auto"/>
        <w:ind w:left="630" w:leftChars="300"/>
        <w:jc w:val="left"/>
        <w:rPr>
          <w:rFonts w:hint="eastAsia" w:ascii="宋体" w:hAnsi="宋体" w:cs="宋体"/>
          <w:bCs/>
        </w:rPr>
      </w:pPr>
      <w:bookmarkStart w:id="481" w:name="_Hlk132106744"/>
      <w:r>
        <w:rPr>
          <w:rFonts w:hint="eastAsia" w:ascii="宋体" w:hAnsi="宋体" w:cs="宋体"/>
          <w:bCs/>
          <w:i/>
          <w:iCs/>
        </w:rPr>
        <w:t>a</w:t>
      </w:r>
      <w:r>
        <w:rPr>
          <w:rFonts w:hint="eastAsia" w:ascii="宋体" w:hAnsi="宋体" w:cs="宋体"/>
          <w:bCs/>
          <w:vertAlign w:val="subscript"/>
        </w:rPr>
        <w:t>o</w:t>
      </w:r>
      <w:r>
        <w:rPr>
          <w:rFonts w:hint="eastAsia" w:ascii="宋体" w:hAnsi="宋体" w:cs="宋体"/>
        </w:rPr>
        <w:t>——</w:t>
      </w:r>
      <w:r>
        <w:rPr>
          <w:rFonts w:hint="eastAsia" w:ascii="宋体" w:hAnsi="宋体" w:cs="宋体"/>
          <w:bCs/>
        </w:rPr>
        <w:t>第i层土的中点至初始地下水位的垂直距离，m；</w:t>
      </w:r>
    </w:p>
    <w:bookmarkEnd w:id="481"/>
    <w:p w14:paraId="2D40172B">
      <w:pPr>
        <w:spacing w:line="240" w:lineRule="auto"/>
        <w:ind w:left="630" w:leftChars="300"/>
        <w:jc w:val="left"/>
        <w:rPr>
          <w:rFonts w:hint="eastAsia" w:ascii="宋体" w:hAnsi="宋体" w:cs="宋体"/>
          <w:bCs/>
        </w:rPr>
      </w:pPr>
      <w:r>
        <w:rPr>
          <w:rFonts w:hint="eastAsia" w:ascii="宋体" w:hAnsi="宋体" w:cs="宋体"/>
          <w:bCs/>
          <w:i/>
          <w:iCs/>
        </w:rPr>
        <w:t>S</w:t>
      </w:r>
      <w:r>
        <w:rPr>
          <w:rFonts w:hint="eastAsia" w:ascii="宋体" w:hAnsi="宋体" w:cs="宋体"/>
          <w:bCs/>
          <w:vertAlign w:val="subscript"/>
        </w:rPr>
        <w:t>i</w:t>
      </w:r>
      <w:r>
        <w:rPr>
          <w:rFonts w:hint="eastAsia" w:ascii="宋体" w:hAnsi="宋体" w:cs="宋体"/>
        </w:rPr>
        <w:t>——</w:t>
      </w:r>
      <w:r>
        <w:rPr>
          <w:rFonts w:hint="eastAsia" w:ascii="宋体" w:hAnsi="宋体" w:cs="宋体"/>
          <w:bCs/>
        </w:rPr>
        <w:t>计算点对应的地下水位降深值，m。</w:t>
      </w:r>
    </w:p>
    <w:p w14:paraId="5815CC35">
      <w:pPr>
        <w:pStyle w:val="182"/>
        <w:numPr>
          <w:ilvl w:val="0"/>
          <w:numId w:val="71"/>
        </w:numPr>
        <w:ind w:left="845" w:hanging="425"/>
        <w:rPr>
          <w:rFonts w:hint="eastAsia" w:hAnsi="宋体"/>
          <w:bCs/>
          <w:szCs w:val="21"/>
        </w:rPr>
      </w:pPr>
      <w:r>
        <w:rPr>
          <w:rFonts w:hint="eastAsia" w:hAnsi="宋体" w:cs="宋体"/>
          <w:bCs/>
          <w:szCs w:val="21"/>
        </w:rPr>
        <w:t>取附加应力为自重应力的0.2（一般土）或0.1（软土）时对应的深度为压缩层的</w:t>
      </w:r>
      <w:r>
        <w:rPr>
          <w:rFonts w:hint="eastAsia" w:hAnsi="宋体"/>
          <w:bCs/>
          <w:szCs w:val="21"/>
        </w:rPr>
        <w:t>计算</w:t>
      </w:r>
      <w:r>
        <w:rPr>
          <w:rFonts w:hAnsi="宋体"/>
          <w:bCs/>
          <w:szCs w:val="21"/>
        </w:rPr>
        <w:t>深度</w:t>
      </w:r>
      <w:r>
        <w:rPr>
          <w:rFonts w:hint="eastAsia" w:hAnsi="宋体"/>
          <w:bCs/>
          <w:szCs w:val="21"/>
        </w:rPr>
        <w:t>。在计算深度范围内存在基岩时，计算深度可取至基岩表面；</w:t>
      </w:r>
      <w:bookmarkEnd w:id="480"/>
    </w:p>
    <w:p w14:paraId="1F1D5B61">
      <w:pPr>
        <w:pStyle w:val="182"/>
        <w:numPr>
          <w:ilvl w:val="0"/>
          <w:numId w:val="71"/>
        </w:numPr>
        <w:ind w:left="845" w:hanging="425"/>
        <w:rPr>
          <w:rFonts w:hint="eastAsia" w:hAnsi="宋体"/>
          <w:bCs/>
          <w:szCs w:val="21"/>
        </w:rPr>
      </w:pPr>
      <w:r>
        <w:rPr>
          <w:rFonts w:hint="eastAsia" w:hAnsi="宋体"/>
          <w:bCs/>
          <w:szCs w:val="21"/>
        </w:rPr>
        <w:t>地下水控制等级为一级且周边环境保护要求较高的基坑工程，应在降水影响范围内设置地面沉降观测点和地下水位监测点；有条件的，可选择合适的部位设置深层沉降观测点；收集地下水位降深及沉降数据对计算结果进行修正，以便更好地预测地面沉降变形；</w:t>
      </w:r>
    </w:p>
    <w:p w14:paraId="68A10BC5">
      <w:pPr>
        <w:pStyle w:val="182"/>
        <w:numPr>
          <w:ilvl w:val="0"/>
          <w:numId w:val="71"/>
        </w:numPr>
        <w:ind w:left="845" w:hanging="425"/>
        <w:rPr>
          <w:rFonts w:hint="eastAsia" w:hAnsi="宋体"/>
          <w:bCs/>
          <w:szCs w:val="21"/>
        </w:rPr>
      </w:pPr>
      <w:r>
        <w:rPr>
          <w:rFonts w:hint="eastAsia" w:hAnsi="宋体"/>
          <w:szCs w:val="21"/>
        </w:rPr>
        <w:t>对于因</w:t>
      </w:r>
      <w:r>
        <w:rPr>
          <w:rFonts w:hAnsi="宋体"/>
          <w:bCs/>
          <w:szCs w:val="21"/>
        </w:rPr>
        <w:t>周边有重要建（构）筑物或地质条件复杂</w:t>
      </w:r>
      <w:r>
        <w:rPr>
          <w:rFonts w:hint="eastAsia" w:hAnsi="宋体"/>
          <w:bCs/>
          <w:szCs w:val="21"/>
        </w:rPr>
        <w:t>而设置了</w:t>
      </w:r>
      <w:r>
        <w:rPr>
          <w:rFonts w:hAnsi="宋体"/>
          <w:bCs/>
          <w:szCs w:val="21"/>
        </w:rPr>
        <w:t>隔渗帷幕</w:t>
      </w:r>
      <w:r>
        <w:rPr>
          <w:rFonts w:hint="eastAsia" w:hAnsi="宋体"/>
          <w:bCs/>
          <w:szCs w:val="21"/>
        </w:rPr>
        <w:t>的降水工程</w:t>
      </w:r>
      <w:r>
        <w:rPr>
          <w:rFonts w:hAnsi="宋体"/>
          <w:bCs/>
          <w:szCs w:val="21"/>
        </w:rPr>
        <w:t>，</w:t>
      </w:r>
      <w:r>
        <w:rPr>
          <w:rFonts w:hint="eastAsia" w:hAnsi="宋体"/>
          <w:bCs/>
          <w:szCs w:val="21"/>
        </w:rPr>
        <w:t>宜结合数值分析的方法进行地面沉降的</w:t>
      </w:r>
      <w:r>
        <w:rPr>
          <w:rFonts w:hAnsi="宋体"/>
          <w:bCs/>
          <w:szCs w:val="21"/>
        </w:rPr>
        <w:t>计算。</w:t>
      </w:r>
    </w:p>
    <w:p w14:paraId="62F458A3">
      <w:pPr>
        <w:pStyle w:val="173"/>
        <w:rPr>
          <w:rFonts w:hint="eastAsia" w:hAnsi="宋体" w:cs="宋体"/>
          <w:bCs/>
          <w:kern w:val="2"/>
          <w:szCs w:val="21"/>
        </w:rPr>
      </w:pPr>
      <w:r>
        <w:rPr>
          <w:rFonts w:hint="eastAsia" w:hAnsi="宋体" w:cs="宋体"/>
          <w:bCs/>
          <w:kern w:val="2"/>
          <w:szCs w:val="21"/>
        </w:rPr>
        <w:t xml:space="preserve"> 降水管井结构设计应包括下列内容：</w:t>
      </w:r>
    </w:p>
    <w:p w14:paraId="0F6824FC">
      <w:pPr>
        <w:pStyle w:val="182"/>
        <w:numPr>
          <w:ilvl w:val="0"/>
          <w:numId w:val="72"/>
        </w:numPr>
        <w:ind w:left="845" w:hanging="425"/>
        <w:rPr>
          <w:rFonts w:hint="eastAsia" w:hAnsi="宋体" w:cs="宋体"/>
          <w:bCs/>
          <w:szCs w:val="21"/>
        </w:rPr>
      </w:pPr>
      <w:r>
        <w:rPr>
          <w:rFonts w:hint="eastAsia" w:hAnsi="宋体" w:cs="宋体"/>
          <w:bCs/>
          <w:szCs w:val="21"/>
        </w:rPr>
        <w:t>降水管井深度应根据含水层埋深特点、基坑深度、隔渗帷幕深度等综合确定；</w:t>
      </w:r>
    </w:p>
    <w:p w14:paraId="03EF3468">
      <w:pPr>
        <w:pStyle w:val="182"/>
        <w:numPr>
          <w:ilvl w:val="0"/>
          <w:numId w:val="72"/>
        </w:numPr>
        <w:ind w:left="845" w:hanging="425"/>
        <w:rPr>
          <w:bCs/>
        </w:rPr>
      </w:pPr>
      <w:r>
        <w:rPr>
          <w:rFonts w:hint="eastAsia" w:hAnsi="宋体" w:cs="宋体"/>
          <w:bCs/>
          <w:szCs w:val="21"/>
        </w:rPr>
        <w:t>降水管井结构设计应包括</w:t>
      </w:r>
      <w:r>
        <w:rPr>
          <w:rFonts w:hint="eastAsia"/>
          <w:bCs/>
        </w:rPr>
        <w:t>井身结构、 井管配置及管材的选用、填砾位置及滤料规格、止水封堵位置及材料；</w:t>
      </w:r>
    </w:p>
    <w:p w14:paraId="1185DF87">
      <w:pPr>
        <w:pStyle w:val="182"/>
        <w:numPr>
          <w:ilvl w:val="0"/>
          <w:numId w:val="72"/>
        </w:numPr>
        <w:ind w:left="845" w:hanging="425"/>
        <w:rPr>
          <w:rFonts w:hint="eastAsia" w:hAnsi="宋体" w:cs="宋体"/>
          <w:bCs/>
          <w:szCs w:val="21"/>
        </w:rPr>
      </w:pPr>
      <w:r>
        <w:rPr>
          <w:rFonts w:hint="eastAsia" w:hAnsi="宋体" w:cs="宋体"/>
          <w:bCs/>
          <w:szCs w:val="21"/>
        </w:rPr>
        <w:t>井身结构应根据地层情况、地下水埋深及钻进工艺进行设计，并按下列步骤进行：</w:t>
      </w:r>
    </w:p>
    <w:p w14:paraId="089783A0">
      <w:pPr>
        <w:pStyle w:val="253"/>
        <w:spacing w:line="240" w:lineRule="auto"/>
        <w:ind w:left="1260" w:leftChars="400" w:hanging="420" w:hangingChars="200"/>
        <w:jc w:val="both"/>
        <w:rPr>
          <w:rFonts w:hint="eastAsia"/>
          <w:bCs/>
          <w:color w:val="auto"/>
          <w:sz w:val="21"/>
        </w:rPr>
      </w:pPr>
      <w:r>
        <w:rPr>
          <w:rFonts w:hint="eastAsia"/>
          <w:bCs/>
          <w:color w:val="auto"/>
          <w:sz w:val="21"/>
        </w:rPr>
        <w:t>1） 按成井要求确定取水段和安泵段井径；</w:t>
      </w:r>
    </w:p>
    <w:p w14:paraId="422C3F1A">
      <w:pPr>
        <w:pStyle w:val="253"/>
        <w:spacing w:line="240" w:lineRule="auto"/>
        <w:ind w:left="1260" w:leftChars="400" w:hanging="420" w:hangingChars="200"/>
        <w:jc w:val="both"/>
        <w:rPr>
          <w:rFonts w:hint="eastAsia"/>
          <w:bCs/>
          <w:color w:val="auto"/>
          <w:sz w:val="21"/>
        </w:rPr>
      </w:pPr>
      <w:r>
        <w:rPr>
          <w:rFonts w:hint="eastAsia"/>
          <w:bCs/>
          <w:color w:val="auto"/>
          <w:sz w:val="21"/>
        </w:rPr>
        <w:t>2） 按地层特性、钻进方法确定变径井段的直径和长度；</w:t>
      </w:r>
    </w:p>
    <w:p w14:paraId="05EFC3BA">
      <w:pPr>
        <w:pStyle w:val="253"/>
        <w:spacing w:line="240" w:lineRule="auto"/>
        <w:ind w:left="1260" w:leftChars="400" w:hanging="420" w:hangingChars="200"/>
        <w:jc w:val="both"/>
        <w:rPr>
          <w:rFonts w:hint="eastAsia"/>
          <w:bCs/>
          <w:color w:val="auto"/>
          <w:sz w:val="21"/>
        </w:rPr>
      </w:pPr>
      <w:r>
        <w:rPr>
          <w:rFonts w:hint="eastAsia"/>
          <w:bCs/>
          <w:color w:val="auto"/>
          <w:sz w:val="21"/>
        </w:rPr>
        <w:t>3） 按井段变径需要确定井的开口井径。</w:t>
      </w:r>
    </w:p>
    <w:p w14:paraId="23A51406">
      <w:pPr>
        <w:pStyle w:val="182"/>
        <w:numPr>
          <w:ilvl w:val="0"/>
          <w:numId w:val="72"/>
        </w:numPr>
        <w:ind w:left="845" w:hanging="425"/>
        <w:rPr>
          <w:rFonts w:hint="eastAsia" w:hAnsi="宋体" w:cs="宋体"/>
          <w:bCs/>
          <w:szCs w:val="21"/>
        </w:rPr>
      </w:pPr>
      <w:r>
        <w:rPr>
          <w:rFonts w:hint="eastAsia" w:hAnsi="宋体" w:cs="宋体"/>
          <w:bCs/>
          <w:szCs w:val="21"/>
        </w:rPr>
        <w:t>设计井径时，应考虑管井设计出水量、含水层渗透性、过滤器类型及钻进工艺等因素，并满足下列要求：</w:t>
      </w:r>
    </w:p>
    <w:p w14:paraId="7AFF71A7">
      <w:pPr>
        <w:pStyle w:val="253"/>
        <w:spacing w:line="240" w:lineRule="auto"/>
        <w:ind w:left="1260" w:leftChars="400" w:hanging="420" w:hangingChars="200"/>
        <w:jc w:val="both"/>
        <w:rPr>
          <w:rFonts w:hint="eastAsia"/>
          <w:bCs/>
          <w:color w:val="auto"/>
          <w:sz w:val="21"/>
        </w:rPr>
      </w:pPr>
      <w:r>
        <w:rPr>
          <w:rFonts w:hint="eastAsia"/>
          <w:bCs/>
          <w:color w:val="auto"/>
          <w:sz w:val="21"/>
        </w:rPr>
        <w:t>1） 松散层中非填砾过滤器管井的取水段井径，应比设计过滤管面层外径大100 mm；</w:t>
      </w:r>
    </w:p>
    <w:p w14:paraId="652C443C">
      <w:pPr>
        <w:pStyle w:val="253"/>
        <w:spacing w:line="240" w:lineRule="auto"/>
        <w:ind w:left="1260" w:leftChars="400" w:hanging="420" w:hangingChars="200"/>
        <w:jc w:val="both"/>
        <w:rPr>
          <w:rFonts w:hint="eastAsia"/>
          <w:bCs/>
          <w:color w:val="auto"/>
          <w:sz w:val="21"/>
        </w:rPr>
      </w:pPr>
      <w:r>
        <w:rPr>
          <w:rFonts w:hint="eastAsia"/>
          <w:bCs/>
          <w:color w:val="auto"/>
          <w:sz w:val="21"/>
        </w:rPr>
        <w:t>2） 基岩中的裸眼井段，上部安泵段的井径应比抽水设备铭牌标定的最小井管内径大50 mm。</w:t>
      </w:r>
    </w:p>
    <w:p w14:paraId="0142E07B">
      <w:pPr>
        <w:pStyle w:val="182"/>
        <w:numPr>
          <w:ilvl w:val="0"/>
          <w:numId w:val="72"/>
        </w:numPr>
        <w:ind w:left="845" w:hanging="425"/>
        <w:rPr>
          <w:rFonts w:hint="eastAsia" w:hAnsi="宋体" w:cs="宋体"/>
          <w:bCs/>
          <w:szCs w:val="21"/>
        </w:rPr>
      </w:pPr>
      <w:r>
        <w:rPr>
          <w:rFonts w:hint="eastAsia" w:hAnsi="宋体" w:cs="宋体"/>
          <w:bCs/>
          <w:szCs w:val="21"/>
        </w:rPr>
        <w:t>井管应符合下列要求:</w:t>
      </w:r>
    </w:p>
    <w:p w14:paraId="12D403ED">
      <w:pPr>
        <w:pStyle w:val="253"/>
        <w:spacing w:line="240" w:lineRule="auto"/>
        <w:ind w:left="1260" w:leftChars="400" w:hanging="420" w:hangingChars="200"/>
        <w:jc w:val="both"/>
        <w:rPr>
          <w:rFonts w:hint="eastAsia"/>
          <w:bCs/>
          <w:color w:val="auto"/>
          <w:sz w:val="21"/>
        </w:rPr>
      </w:pPr>
      <w:r>
        <w:rPr>
          <w:rFonts w:hint="eastAsia"/>
          <w:bCs/>
          <w:color w:val="auto"/>
          <w:sz w:val="21"/>
        </w:rPr>
        <w:t>1） 有足够的抗压、抗拉、抗弯强度，材质应无毒；</w:t>
      </w:r>
    </w:p>
    <w:p w14:paraId="7C3F8527">
      <w:pPr>
        <w:pStyle w:val="253"/>
        <w:spacing w:line="240" w:lineRule="auto"/>
        <w:ind w:left="1260" w:leftChars="400" w:hanging="420" w:hangingChars="200"/>
        <w:jc w:val="both"/>
        <w:rPr>
          <w:rFonts w:hint="eastAsia"/>
          <w:bCs/>
          <w:color w:val="auto"/>
          <w:sz w:val="21"/>
        </w:rPr>
      </w:pPr>
      <w:r>
        <w:rPr>
          <w:rFonts w:hint="eastAsia"/>
          <w:bCs/>
          <w:color w:val="auto"/>
          <w:sz w:val="21"/>
        </w:rPr>
        <w:t>2） 当基坑深度超过6 m时，布置在基坑内的管井不宜采用水泥管；</w:t>
      </w:r>
    </w:p>
    <w:p w14:paraId="2081D086">
      <w:pPr>
        <w:pStyle w:val="253"/>
        <w:spacing w:line="240" w:lineRule="auto"/>
        <w:ind w:left="1260" w:leftChars="400" w:hanging="420" w:hangingChars="200"/>
        <w:jc w:val="both"/>
        <w:rPr>
          <w:rFonts w:hint="eastAsia"/>
          <w:bCs/>
          <w:color w:val="auto"/>
          <w:sz w:val="21"/>
        </w:rPr>
      </w:pPr>
      <w:r>
        <w:rPr>
          <w:rFonts w:hint="eastAsia"/>
          <w:bCs/>
          <w:color w:val="auto"/>
          <w:sz w:val="21"/>
        </w:rPr>
        <w:t>3） 无缺损、裂缝、弯曲等缺陷，管端口面与管轴线垂直且无毛刺，内壁光滑、圆直，满足抽水设备的要求。</w:t>
      </w:r>
    </w:p>
    <w:p w14:paraId="396B4DE6">
      <w:pPr>
        <w:pStyle w:val="113"/>
        <w:spacing w:before="156" w:after="156"/>
        <w:rPr>
          <w:szCs w:val="22"/>
        </w:rPr>
      </w:pPr>
      <w:bookmarkStart w:id="482" w:name="_Toc6448"/>
      <w:r>
        <w:rPr>
          <w:rFonts w:hint="eastAsia"/>
          <w:szCs w:val="22"/>
        </w:rPr>
        <w:t>真空管井</w:t>
      </w:r>
      <w:bookmarkEnd w:id="482"/>
    </w:p>
    <w:p w14:paraId="51EA6718">
      <w:pPr>
        <w:pStyle w:val="173"/>
        <w:rPr>
          <w:rFonts w:hint="eastAsia" w:hAnsi="宋体" w:cs="宋体"/>
          <w:bCs/>
          <w:kern w:val="2"/>
          <w:szCs w:val="21"/>
        </w:rPr>
      </w:pPr>
      <w:r>
        <w:rPr>
          <w:rFonts w:hint="eastAsia" w:hAnsi="宋体" w:cs="宋体"/>
          <w:bCs/>
          <w:kern w:val="2"/>
          <w:szCs w:val="21"/>
        </w:rPr>
        <w:t>对互层土、吹填砂等含水层，可采用真空管井降水。</w:t>
      </w:r>
    </w:p>
    <w:p w14:paraId="0CEBD43E">
      <w:pPr>
        <w:pStyle w:val="173"/>
        <w:rPr>
          <w:rFonts w:hint="eastAsia" w:hAnsi="宋体" w:cs="宋体"/>
          <w:bCs/>
          <w:kern w:val="2"/>
          <w:szCs w:val="21"/>
        </w:rPr>
      </w:pPr>
      <w:r>
        <w:rPr>
          <w:rFonts w:hint="eastAsia" w:hAnsi="宋体" w:cs="宋体"/>
          <w:bCs/>
          <w:kern w:val="2"/>
          <w:szCs w:val="21"/>
        </w:rPr>
        <w:t>真空管井的设计，除满足本文件第9.3.8条外，尚应满足下列要求：</w:t>
      </w:r>
    </w:p>
    <w:p w14:paraId="447974C0">
      <w:pPr>
        <w:pStyle w:val="182"/>
        <w:numPr>
          <w:ilvl w:val="0"/>
          <w:numId w:val="73"/>
        </w:numPr>
        <w:ind w:left="845" w:hanging="425"/>
      </w:pPr>
      <w:r>
        <w:rPr>
          <w:rFonts w:hint="eastAsia"/>
        </w:rPr>
        <w:t>井口及井壁管周边均应采用黏土球夯实封孔、严密封闭，并与真空泵吸气管连接，吸气管与各管路接头不应漏气；</w:t>
      </w:r>
    </w:p>
    <w:p w14:paraId="23438D16">
      <w:pPr>
        <w:pStyle w:val="182"/>
        <w:numPr>
          <w:ilvl w:val="0"/>
          <w:numId w:val="73"/>
        </w:numPr>
        <w:ind w:left="845" w:hanging="425"/>
      </w:pPr>
      <w:r>
        <w:rPr>
          <w:rFonts w:hint="eastAsia"/>
        </w:rPr>
        <w:t>井口密封采用法兰和密封垫，各连接处均进行密封处理；</w:t>
      </w:r>
    </w:p>
    <w:p w14:paraId="4C1566BA">
      <w:pPr>
        <w:pStyle w:val="182"/>
        <w:numPr>
          <w:ilvl w:val="0"/>
          <w:numId w:val="73"/>
        </w:numPr>
        <w:ind w:left="845" w:hanging="425"/>
      </w:pPr>
      <w:r>
        <w:rPr>
          <w:rFonts w:hint="eastAsia"/>
        </w:rPr>
        <w:t>真空抽水时井管内真空度不宜小于65 kPa；</w:t>
      </w:r>
    </w:p>
    <w:p w14:paraId="04575002">
      <w:pPr>
        <w:pStyle w:val="182"/>
        <w:numPr>
          <w:ilvl w:val="0"/>
          <w:numId w:val="73"/>
        </w:numPr>
        <w:ind w:left="845" w:hanging="425"/>
      </w:pPr>
      <w:r>
        <w:rPr>
          <w:rFonts w:hint="eastAsia"/>
        </w:rPr>
        <w:t>根据场地工程地质及水文地质条件、含水层特点，通过试抽选择合适泵量的深井潜水泵并采用电磁感应水位控制器和潜水泵自动液位开关控制真空泵和深井潜水泵的运行。</w:t>
      </w:r>
    </w:p>
    <w:p w14:paraId="67118ED3">
      <w:pPr>
        <w:pStyle w:val="113"/>
        <w:spacing w:before="156" w:after="156"/>
        <w:rPr>
          <w:szCs w:val="22"/>
        </w:rPr>
      </w:pPr>
      <w:bookmarkStart w:id="483" w:name="_Toc11001"/>
      <w:bookmarkStart w:id="484" w:name="_Toc142730181"/>
      <w:bookmarkStart w:id="485" w:name="_Toc23929"/>
      <w:bookmarkStart w:id="486" w:name="_Toc75351029"/>
      <w:r>
        <w:rPr>
          <w:rFonts w:hint="eastAsia"/>
          <w:szCs w:val="22"/>
        </w:rPr>
        <w:t>轻型井点</w:t>
      </w:r>
      <w:bookmarkEnd w:id="483"/>
      <w:bookmarkEnd w:id="484"/>
      <w:bookmarkEnd w:id="485"/>
    </w:p>
    <w:p w14:paraId="0001CB52">
      <w:pPr>
        <w:pStyle w:val="173"/>
        <w:rPr>
          <w:rFonts w:hint="eastAsia" w:hAnsi="宋体" w:cs="宋体"/>
          <w:bCs/>
          <w:kern w:val="2"/>
          <w:szCs w:val="21"/>
        </w:rPr>
      </w:pPr>
      <w:r>
        <w:rPr>
          <w:rFonts w:hint="eastAsia" w:hAnsi="宋体" w:cs="宋体"/>
          <w:bCs/>
          <w:kern w:val="2"/>
          <w:szCs w:val="21"/>
        </w:rPr>
        <w:t>对粉土、粉砂、互层土、吹填砂等含水层，当其涌水量不大时，可采用轻型井点降水。</w:t>
      </w:r>
    </w:p>
    <w:p w14:paraId="77551B2A">
      <w:pPr>
        <w:pStyle w:val="173"/>
        <w:rPr>
          <w:rFonts w:hint="eastAsia" w:hAnsi="宋体" w:cs="宋体"/>
          <w:bCs/>
          <w:kern w:val="2"/>
          <w:szCs w:val="21"/>
        </w:rPr>
      </w:pPr>
      <w:r>
        <w:rPr>
          <w:rFonts w:hint="eastAsia" w:hAnsi="宋体" w:cs="宋体"/>
          <w:bCs/>
          <w:kern w:val="2"/>
          <w:szCs w:val="21"/>
        </w:rPr>
        <w:t>轻型井点的构造应符合下列要求：</w:t>
      </w:r>
    </w:p>
    <w:p w14:paraId="421ECCE2">
      <w:pPr>
        <w:pStyle w:val="182"/>
        <w:numPr>
          <w:ilvl w:val="0"/>
          <w:numId w:val="74"/>
        </w:numPr>
        <w:ind w:left="845" w:hanging="425"/>
      </w:pPr>
      <w:r>
        <w:rPr>
          <w:rFonts w:hint="eastAsia"/>
        </w:rPr>
        <w:t>常用轻型井点的成孔孔径100 mm～150 mm，间距0.8 m～2.0 m，距开挖上口线的距离不应小于1.0 m；</w:t>
      </w:r>
    </w:p>
    <w:p w14:paraId="68BC4B0A">
      <w:pPr>
        <w:pStyle w:val="182"/>
        <w:numPr>
          <w:ilvl w:val="0"/>
          <w:numId w:val="74"/>
        </w:numPr>
        <w:ind w:left="845" w:hanging="425"/>
      </w:pPr>
      <w:r>
        <w:rPr>
          <w:rFonts w:hint="eastAsia"/>
        </w:rPr>
        <w:t>井点管采用金属管或U-PVC管，井点管直径38 mm～73 mm，管壁上渗水孔宜按梅花状布置，渗水孔直径宜取12 mm～18 mm，渗水孔的孔隙率应大于15 %，渗水段长度应大于1.0 m；管壁外应根据土层的粒径设置滤网；</w:t>
      </w:r>
    </w:p>
    <w:p w14:paraId="1B72EECE">
      <w:pPr>
        <w:pStyle w:val="182"/>
        <w:numPr>
          <w:ilvl w:val="0"/>
          <w:numId w:val="74"/>
        </w:numPr>
        <w:ind w:left="845" w:hanging="425"/>
      </w:pPr>
      <w:r>
        <w:rPr>
          <w:rFonts w:hint="eastAsia"/>
        </w:rPr>
        <w:t>孔壁与井管之间的滤料宜采用中粗砂，滤料上方应用黏土封堵，封堵至地面的厚度应大于1 m；</w:t>
      </w:r>
    </w:p>
    <w:p w14:paraId="00C6C1FD">
      <w:pPr>
        <w:pStyle w:val="182"/>
        <w:numPr>
          <w:ilvl w:val="0"/>
          <w:numId w:val="74"/>
        </w:numPr>
        <w:ind w:left="845" w:hanging="425"/>
      </w:pPr>
      <w:r>
        <w:rPr>
          <w:rFonts w:hint="eastAsia"/>
        </w:rPr>
        <w:t>抽水设备可选用射流泵、隔膜泵等。</w:t>
      </w:r>
    </w:p>
    <w:p w14:paraId="2472BC6B">
      <w:pPr>
        <w:pStyle w:val="173"/>
        <w:rPr>
          <w:rFonts w:hint="eastAsia" w:hAnsi="宋体" w:cs="宋体"/>
          <w:bCs/>
          <w:kern w:val="2"/>
          <w:szCs w:val="21"/>
        </w:rPr>
      </w:pPr>
      <w:r>
        <w:rPr>
          <w:rFonts w:hint="eastAsia" w:hAnsi="宋体" w:cs="宋体"/>
          <w:bCs/>
          <w:kern w:val="2"/>
          <w:szCs w:val="21"/>
        </w:rPr>
        <w:t>采用轻型井点降水时，除应严格遵照有关规范设计施工外，尚应满足以下要求：</w:t>
      </w:r>
    </w:p>
    <w:p w14:paraId="12A3CD00">
      <w:pPr>
        <w:pStyle w:val="182"/>
        <w:numPr>
          <w:ilvl w:val="0"/>
          <w:numId w:val="75"/>
        </w:numPr>
        <w:ind w:left="845" w:hanging="425"/>
      </w:pPr>
      <w:r>
        <w:rPr>
          <w:rFonts w:hint="eastAsia"/>
        </w:rPr>
        <w:t>单级轻型井点降低水位深度不宜超过6 m；多级井点降低水位深度不宜超过12 m；</w:t>
      </w:r>
    </w:p>
    <w:p w14:paraId="2DD6E14B">
      <w:pPr>
        <w:pStyle w:val="182"/>
        <w:numPr>
          <w:ilvl w:val="0"/>
          <w:numId w:val="75"/>
        </w:numPr>
        <w:ind w:left="845" w:hanging="425"/>
      </w:pPr>
      <w:r>
        <w:rPr>
          <w:rFonts w:hint="eastAsia"/>
        </w:rPr>
        <w:t>轻型井点降水管井的结构应能防止涌砂。滤管顶端应低于含水层顶板1.0 m～2.0 m；</w:t>
      </w:r>
    </w:p>
    <w:p w14:paraId="31D6F4B1">
      <w:pPr>
        <w:pStyle w:val="182"/>
        <w:numPr>
          <w:ilvl w:val="0"/>
          <w:numId w:val="75"/>
        </w:numPr>
        <w:ind w:left="845" w:hanging="425"/>
      </w:pPr>
      <w:r>
        <w:rPr>
          <w:rFonts w:hint="eastAsia"/>
        </w:rPr>
        <w:t>集水总管宜沿抽水水流方向布设；井点管、集水总管应与水泵连接安装，抽水系统不应漏水漏气，真空度应不小于65 kPa。</w:t>
      </w:r>
    </w:p>
    <w:p w14:paraId="2BB64A8D">
      <w:pPr>
        <w:pStyle w:val="173"/>
        <w:rPr>
          <w:rFonts w:hint="eastAsia" w:hAnsi="宋体" w:cs="宋体"/>
          <w:bCs/>
          <w:kern w:val="2"/>
          <w:szCs w:val="21"/>
        </w:rPr>
      </w:pPr>
      <w:r>
        <w:rPr>
          <w:rFonts w:hint="eastAsia" w:hAnsi="宋体" w:cs="宋体"/>
          <w:bCs/>
          <w:kern w:val="2"/>
          <w:szCs w:val="21"/>
        </w:rPr>
        <w:t>轻型井点系统的平面布置应根据降水区域平面形状、降水深度、地下水的流向以及土的性质确定，可布置成环形、U形和线形（单排、双排）。集水总管宜沿抽水水流方向布设，坡度宜为0.25 %～0.5 %。</w:t>
      </w:r>
    </w:p>
    <w:p w14:paraId="6F74FF18">
      <w:pPr>
        <w:pStyle w:val="113"/>
        <w:spacing w:before="156" w:after="156"/>
      </w:pPr>
      <w:bookmarkStart w:id="487" w:name="_Toc31778"/>
      <w:r>
        <w:rPr>
          <w:rFonts w:hint="eastAsia"/>
          <w:szCs w:val="22"/>
        </w:rPr>
        <w:t>抽水帷幕</w:t>
      </w:r>
      <w:bookmarkEnd w:id="487"/>
    </w:p>
    <w:p w14:paraId="19AF3251">
      <w:pPr>
        <w:pStyle w:val="173"/>
        <w:rPr>
          <w:rFonts w:hint="eastAsia" w:hAnsi="宋体" w:cs="宋体"/>
          <w:bCs/>
          <w:kern w:val="2"/>
          <w:szCs w:val="21"/>
        </w:rPr>
      </w:pPr>
      <w:r>
        <w:rPr>
          <w:rFonts w:hint="eastAsia" w:hAnsi="宋体" w:cs="宋体"/>
          <w:bCs/>
          <w:kern w:val="2"/>
          <w:szCs w:val="21"/>
        </w:rPr>
        <w:t>当基坑侧壁及下部存在卵石、块石或漂石等帷幕难以实施的地层，且降水对周边环境的影响可控时，可采用</w:t>
      </w:r>
      <w:r>
        <w:rPr>
          <w:rFonts w:hint="eastAsia"/>
        </w:rPr>
        <w:t>降水管井井群</w:t>
      </w:r>
      <w:r>
        <w:rPr>
          <w:rFonts w:hint="eastAsia" w:hAnsi="宋体" w:cs="宋体"/>
          <w:bCs/>
          <w:kern w:val="2"/>
          <w:szCs w:val="21"/>
        </w:rPr>
        <w:t>形成抽水帷幕进行地下水控制。</w:t>
      </w:r>
    </w:p>
    <w:p w14:paraId="79658162">
      <w:pPr>
        <w:pStyle w:val="173"/>
      </w:pPr>
      <w:r>
        <w:rPr>
          <w:rFonts w:hint="eastAsia"/>
        </w:rPr>
        <w:t>抽水帷幕的设计应符合下列要求：</w:t>
      </w:r>
    </w:p>
    <w:p w14:paraId="67ED1400">
      <w:pPr>
        <w:pStyle w:val="182"/>
        <w:numPr>
          <w:ilvl w:val="0"/>
          <w:numId w:val="76"/>
        </w:numPr>
        <w:ind w:left="845" w:hanging="425"/>
      </w:pPr>
      <w:r>
        <w:rPr>
          <w:rFonts w:hint="eastAsia"/>
        </w:rPr>
        <w:t>降水管井应与坑内疏干管井协同设计；</w:t>
      </w:r>
    </w:p>
    <w:p w14:paraId="48100728">
      <w:pPr>
        <w:pStyle w:val="182"/>
        <w:numPr>
          <w:ilvl w:val="0"/>
          <w:numId w:val="76"/>
        </w:numPr>
        <w:ind w:left="845" w:hanging="425"/>
      </w:pPr>
      <w:r>
        <w:rPr>
          <w:rFonts w:hint="eastAsia"/>
        </w:rPr>
        <w:t>降水管井应沿基坑周边连续布置，降水管井的间距宜为5m～12m；</w:t>
      </w:r>
    </w:p>
    <w:p w14:paraId="04A6FB6E">
      <w:pPr>
        <w:pStyle w:val="182"/>
        <w:numPr>
          <w:ilvl w:val="0"/>
          <w:numId w:val="76"/>
        </w:numPr>
        <w:ind w:left="845" w:hanging="425"/>
      </w:pPr>
      <w:r>
        <w:rPr>
          <w:rFonts w:hint="eastAsia"/>
        </w:rPr>
        <w:t>降水管井井群按多排布置时应根据降水梯度确定井距；</w:t>
      </w:r>
    </w:p>
    <w:p w14:paraId="273A9E3E">
      <w:pPr>
        <w:pStyle w:val="182"/>
        <w:numPr>
          <w:ilvl w:val="0"/>
          <w:numId w:val="76"/>
        </w:numPr>
        <w:ind w:left="845" w:hanging="425"/>
      </w:pPr>
      <w:r>
        <w:rPr>
          <w:rFonts w:hint="eastAsia"/>
        </w:rPr>
        <w:t>降水管井井群的井身结构宜根据含水层特性及厚度进行差异化设计。</w:t>
      </w:r>
    </w:p>
    <w:p w14:paraId="357A17EC">
      <w:pPr>
        <w:pStyle w:val="113"/>
        <w:spacing w:before="156" w:after="156"/>
        <w:rPr>
          <w:szCs w:val="22"/>
        </w:rPr>
      </w:pPr>
      <w:bookmarkStart w:id="488" w:name="_Toc142730182"/>
      <w:bookmarkStart w:id="489" w:name="_Toc22729"/>
      <w:bookmarkStart w:id="490" w:name="_Toc16813"/>
      <w:r>
        <w:rPr>
          <w:rFonts w:hint="eastAsia"/>
          <w:szCs w:val="22"/>
        </w:rPr>
        <w:t>集水明排</w:t>
      </w:r>
      <w:bookmarkEnd w:id="488"/>
      <w:bookmarkEnd w:id="489"/>
      <w:bookmarkEnd w:id="490"/>
    </w:p>
    <w:p w14:paraId="113D469E">
      <w:pPr>
        <w:pStyle w:val="173"/>
        <w:spacing w:before="156" w:beforeLines="50"/>
        <w:rPr>
          <w:szCs w:val="22"/>
        </w:rPr>
      </w:pPr>
      <w:r>
        <w:rPr>
          <w:rFonts w:hint="eastAsia"/>
          <w:szCs w:val="22"/>
        </w:rPr>
        <w:t>对坑底汇水、基坑周边地表汇水及降水管井抽出的地下水，可釆用明沟排水；对坑底渗出的地下水，可采用盲沟排水；当地下室底板与支护结构间不能设置明沟时，也可釆用盲沟排水。</w:t>
      </w:r>
    </w:p>
    <w:p w14:paraId="7D1E65C1">
      <w:pPr>
        <w:pStyle w:val="173"/>
        <w:rPr>
          <w:szCs w:val="22"/>
        </w:rPr>
      </w:pPr>
      <w:r>
        <w:rPr>
          <w:rFonts w:hint="eastAsia"/>
          <w:szCs w:val="22"/>
        </w:rPr>
        <w:t>排水沟的截面应根据设计流量确定，排水沟的设计流量应符合公式（13）的要求：</w:t>
      </w:r>
    </w:p>
    <w:p w14:paraId="4695F2CF">
      <w:pPr>
        <w:wordWrap w:val="0"/>
        <w:spacing w:line="240" w:lineRule="auto"/>
        <w:jc w:val="right"/>
        <w:rPr>
          <w:bCs/>
        </w:rPr>
      </w:pPr>
      <w:r>
        <w:rPr>
          <w:bCs/>
          <w:i/>
          <w:iCs/>
        </w:rPr>
        <w:t>V</w:t>
      </w:r>
      <w:r>
        <w:rPr>
          <w:bCs/>
          <w:vertAlign w:val="subscript"/>
        </w:rPr>
        <w:t>P</w:t>
      </w:r>
      <w:r>
        <w:rPr>
          <w:rFonts w:hint="eastAsia"/>
          <w:bCs/>
        </w:rPr>
        <w:t>≥</w:t>
      </w:r>
      <w:r>
        <w:rPr>
          <w:bCs/>
          <w:i/>
          <w:iCs/>
        </w:rPr>
        <w:t>1.5Q</w:t>
      </w:r>
      <w:r>
        <w:rPr>
          <w:bCs/>
          <w:vertAlign w:val="subscript"/>
        </w:rPr>
        <w:t>p</w:t>
      </w:r>
      <w:r>
        <w:rPr>
          <w:rFonts w:hint="eastAsia"/>
          <w:bCs/>
        </w:rPr>
        <w:t xml:space="preserve">                       </w:t>
      </w:r>
      <w:r>
        <w:rPr>
          <w:bCs/>
        </w:rPr>
        <w:t xml:space="preserve">           </w:t>
      </w:r>
      <w:r>
        <w:rPr>
          <w:rFonts w:hint="eastAsia"/>
          <w:bCs/>
        </w:rPr>
        <w:t xml:space="preserve">                               </w:t>
      </w:r>
      <w:r>
        <w:rPr>
          <w:bCs/>
          <w:spacing w:val="4"/>
        </w:rPr>
        <w:t>（</w:t>
      </w:r>
      <w:r>
        <w:rPr>
          <w:rFonts w:hint="eastAsia"/>
          <w:bCs/>
          <w:spacing w:val="4"/>
        </w:rPr>
        <w:t>13</w:t>
      </w:r>
      <w:r>
        <w:rPr>
          <w:bCs/>
          <w:spacing w:val="4"/>
        </w:rPr>
        <w:t>）</w:t>
      </w:r>
    </w:p>
    <w:p w14:paraId="24ED0945">
      <w:pPr>
        <w:spacing w:line="240" w:lineRule="auto"/>
        <w:ind w:left="630" w:leftChars="300"/>
        <w:jc w:val="left"/>
        <w:rPr>
          <w:rFonts w:hint="eastAsia" w:ascii="宋体" w:hAnsi="宋体" w:cs="宋体"/>
          <w:bCs/>
        </w:rPr>
      </w:pPr>
      <w:r>
        <w:rPr>
          <w:rFonts w:hint="eastAsia" w:ascii="宋体" w:hAnsi="宋体" w:cs="宋体"/>
          <w:bCs/>
        </w:rPr>
        <w:t>式中：</w:t>
      </w:r>
    </w:p>
    <w:p w14:paraId="3C799E77">
      <w:pPr>
        <w:spacing w:line="240" w:lineRule="auto"/>
        <w:ind w:left="630" w:leftChars="300"/>
        <w:jc w:val="left"/>
        <w:rPr>
          <w:rFonts w:hint="eastAsia" w:ascii="宋体" w:hAnsi="宋体" w:cs="宋体"/>
          <w:bCs/>
        </w:rPr>
      </w:pPr>
      <w:r>
        <w:rPr>
          <w:rFonts w:hint="eastAsia" w:ascii="宋体" w:hAnsi="宋体" w:cs="宋体"/>
          <w:bCs/>
          <w:i/>
          <w:iCs/>
        </w:rPr>
        <w:t>Q</w:t>
      </w:r>
      <w:r>
        <w:rPr>
          <w:rFonts w:hint="eastAsia" w:ascii="宋体" w:hAnsi="宋体" w:cs="宋体"/>
          <w:bCs/>
          <w:i/>
          <w:iCs/>
          <w:vertAlign w:val="subscript"/>
        </w:rPr>
        <w:t>p</w:t>
      </w:r>
      <w:r>
        <w:rPr>
          <w:rFonts w:hint="eastAsia" w:ascii="宋体" w:hAnsi="宋体" w:cs="宋体"/>
        </w:rPr>
        <w:t>——</w:t>
      </w:r>
      <w:r>
        <w:rPr>
          <w:rFonts w:hint="eastAsia" w:ascii="宋体" w:hAnsi="宋体" w:cs="宋体"/>
          <w:bCs/>
        </w:rPr>
        <w:t>排水沟的设计流量，m</w:t>
      </w:r>
      <w:r>
        <w:rPr>
          <w:rFonts w:hint="eastAsia" w:ascii="宋体" w:hAnsi="宋体" w:cs="宋体"/>
          <w:bCs/>
          <w:vertAlign w:val="superscript"/>
        </w:rPr>
        <w:t>3</w:t>
      </w:r>
      <w:r>
        <w:rPr>
          <w:rFonts w:hint="eastAsia" w:ascii="宋体" w:hAnsi="宋体" w:cs="宋体"/>
          <w:bCs/>
        </w:rPr>
        <w:t>/d；</w:t>
      </w:r>
    </w:p>
    <w:p w14:paraId="13314BA8">
      <w:pPr>
        <w:spacing w:line="240" w:lineRule="auto"/>
        <w:ind w:left="630" w:leftChars="300"/>
        <w:jc w:val="left"/>
        <w:rPr>
          <w:rFonts w:hint="eastAsia" w:ascii="宋体" w:hAnsi="宋体" w:cs="宋体"/>
          <w:bCs/>
        </w:rPr>
      </w:pPr>
      <w:r>
        <w:rPr>
          <w:rFonts w:hint="eastAsia" w:ascii="宋体" w:hAnsi="宋体" w:cs="宋体"/>
          <w:bCs/>
          <w:i/>
          <w:iCs/>
        </w:rPr>
        <w:t>V</w:t>
      </w:r>
      <w:r>
        <w:rPr>
          <w:rFonts w:hint="eastAsia" w:ascii="宋体" w:hAnsi="宋体" w:cs="宋体"/>
          <w:bCs/>
          <w:i/>
          <w:iCs/>
          <w:vertAlign w:val="subscript"/>
        </w:rPr>
        <w:t>P</w:t>
      </w:r>
      <w:r>
        <w:rPr>
          <w:rFonts w:hint="eastAsia" w:ascii="宋体" w:hAnsi="宋体" w:cs="宋体"/>
        </w:rPr>
        <w:t>——</w:t>
      </w:r>
      <w:r>
        <w:rPr>
          <w:rFonts w:hint="eastAsia" w:ascii="宋体" w:hAnsi="宋体" w:cs="宋体"/>
          <w:bCs/>
        </w:rPr>
        <w:t>排水沟的排水能力，m</w:t>
      </w:r>
      <w:r>
        <w:rPr>
          <w:rFonts w:hint="eastAsia" w:ascii="宋体" w:hAnsi="宋体" w:cs="宋体"/>
          <w:bCs/>
          <w:vertAlign w:val="superscript"/>
        </w:rPr>
        <w:t>3</w:t>
      </w:r>
      <w:r>
        <w:rPr>
          <w:rFonts w:hint="eastAsia" w:ascii="宋体" w:hAnsi="宋体" w:cs="宋体"/>
          <w:bCs/>
        </w:rPr>
        <w:t>/d。</w:t>
      </w:r>
    </w:p>
    <w:p w14:paraId="6D2BE8DC">
      <w:pPr>
        <w:pStyle w:val="173"/>
        <w:rPr>
          <w:szCs w:val="22"/>
        </w:rPr>
      </w:pPr>
      <w:r>
        <w:rPr>
          <w:rFonts w:hint="eastAsia"/>
          <w:szCs w:val="22"/>
        </w:rPr>
        <w:t>排水沟和集水井宜布置在地下结构基础边净距400 mm外，且其边缘距坡脚不小于500 mm；必要时，可在场地中间布置排水盲沟。</w:t>
      </w:r>
    </w:p>
    <w:p w14:paraId="24083AA7">
      <w:pPr>
        <w:pStyle w:val="173"/>
        <w:rPr>
          <w:szCs w:val="22"/>
        </w:rPr>
      </w:pPr>
      <w:r>
        <w:rPr>
          <w:rFonts w:hint="eastAsia"/>
          <w:szCs w:val="22"/>
        </w:rPr>
        <w:t>排水沟沟底宽度不宜小于300 mm，坡度不宜小于0.3 %；采用明沟排水时，沟底及沟壁应采取防渗措施。采用盲沟排水时，其构造、填充料及其密实度应满足主体结构要求；盲沟内设有盲管时，降水结束后应作回填注浆处理。</w:t>
      </w:r>
    </w:p>
    <w:p w14:paraId="3BD4A461">
      <w:pPr>
        <w:pStyle w:val="173"/>
        <w:rPr>
          <w:szCs w:val="22"/>
        </w:rPr>
      </w:pPr>
      <w:r>
        <w:rPr>
          <w:rFonts w:hint="eastAsia"/>
          <w:szCs w:val="22"/>
        </w:rPr>
        <w:t>集水井</w:t>
      </w:r>
      <w:r>
        <w:rPr>
          <w:rFonts w:hint="eastAsia"/>
        </w:rPr>
        <w:t>直径</w:t>
      </w:r>
      <w:r>
        <w:rPr>
          <w:rFonts w:hint="eastAsia"/>
          <w:szCs w:val="22"/>
        </w:rPr>
        <w:t>（宽度）不宜小于600 mm，其底面应比排水沟沟底深，且不宜小于0.5 m，间距宜20 m～50 m；集水井根据地层条件和施工要求可采用预挖后现浇钢筋混凝土护壁或砖砌护壁、埋设钢管或无砂混凝土管。坑底为透水层时应采用防渗、防砂土流失的措施。</w:t>
      </w:r>
    </w:p>
    <w:p w14:paraId="7635931F">
      <w:pPr>
        <w:pStyle w:val="173"/>
        <w:rPr>
          <w:szCs w:val="22"/>
        </w:rPr>
      </w:pPr>
      <w:r>
        <w:rPr>
          <w:rFonts w:hint="eastAsia"/>
          <w:szCs w:val="22"/>
        </w:rPr>
        <w:t>基坑坡面渗水宜在渗水部位插入导水管排出。导水管的间距、直径应根据渗水量确定。</w:t>
      </w:r>
    </w:p>
    <w:p w14:paraId="232968D7">
      <w:pPr>
        <w:pStyle w:val="173"/>
        <w:rPr>
          <w:szCs w:val="22"/>
        </w:rPr>
      </w:pPr>
      <w:r>
        <w:rPr>
          <w:rFonts w:hint="eastAsia"/>
          <w:szCs w:val="22"/>
        </w:rPr>
        <w:t>采用管道排水时，排水管道的直径应根据排水量确定。排水管的坡度不宜小于0.5%。排水管道材料可选用钢管、PVC管，排水管道可暗埋地下或在地面架设。地面架设时，每隔5m ～8 m设砖砌托台，托台高度应根据排水坡度确定。排水管道上宜设置清淤孔，清淤孔的间距不宜大于10 m。</w:t>
      </w:r>
    </w:p>
    <w:p w14:paraId="70B824F1">
      <w:pPr>
        <w:pStyle w:val="173"/>
        <w:rPr>
          <w:szCs w:val="22"/>
        </w:rPr>
      </w:pPr>
      <w:r>
        <w:rPr>
          <w:rFonts w:hint="eastAsia"/>
          <w:szCs w:val="22"/>
        </w:rPr>
        <w:t>基坑排水设施与市政管网连接口之间应设置沉淀池。明沟、集水井、沉淀池使用时应排水畅通并随时清理淤积物。</w:t>
      </w:r>
    </w:p>
    <w:bookmarkEnd w:id="486"/>
    <w:p w14:paraId="691E97A9">
      <w:pPr>
        <w:pStyle w:val="113"/>
        <w:spacing w:before="156" w:after="156"/>
      </w:pPr>
      <w:bookmarkStart w:id="491" w:name="_Toc26464"/>
      <w:bookmarkStart w:id="492" w:name="_Toc22725"/>
      <w:bookmarkStart w:id="493" w:name="_Toc142730186"/>
      <w:r>
        <w:rPr>
          <w:rFonts w:hint="eastAsia"/>
        </w:rPr>
        <w:t>施工</w:t>
      </w:r>
      <w:bookmarkEnd w:id="491"/>
    </w:p>
    <w:p w14:paraId="199AFCF4">
      <w:pPr>
        <w:pStyle w:val="173"/>
      </w:pPr>
      <w:r>
        <w:rPr>
          <w:rFonts w:hint="eastAsia"/>
        </w:rPr>
        <w:t>在降水施工实施过程中，应先施工2口～3口具有代表性的降水管井，进行抽水试验，校核水文地质设计参数并调整降水设计后，方可进行其它降水管井的施工。</w:t>
      </w:r>
    </w:p>
    <w:p w14:paraId="6C203FF3">
      <w:pPr>
        <w:pStyle w:val="173"/>
      </w:pPr>
      <w:r>
        <w:rPr>
          <w:rFonts w:hint="eastAsia"/>
        </w:rPr>
        <w:t>管井的施工应符合下列要求：</w:t>
      </w:r>
    </w:p>
    <w:p w14:paraId="4B09DFE4">
      <w:pPr>
        <w:pStyle w:val="182"/>
        <w:numPr>
          <w:ilvl w:val="0"/>
          <w:numId w:val="77"/>
        </w:numPr>
        <w:ind w:left="845" w:hanging="425"/>
      </w:pPr>
      <w:r>
        <w:rPr>
          <w:rFonts w:hint="eastAsia"/>
        </w:rPr>
        <w:t>管井成孔施工工艺应结合地层特点,参照附录B选用，可采用旋转钻进成孔、冲击钻进成孔、冲击- 回转钻进成孔等方法；</w:t>
      </w:r>
    </w:p>
    <w:p w14:paraId="24C95B7F">
      <w:pPr>
        <w:pStyle w:val="182"/>
        <w:numPr>
          <w:ilvl w:val="0"/>
          <w:numId w:val="77"/>
        </w:numPr>
        <w:ind w:left="845" w:hanging="425"/>
      </w:pPr>
      <w:r>
        <w:rPr>
          <w:rFonts w:hint="eastAsia"/>
        </w:rPr>
        <w:t>井身应圆正，井身直径不应小于设计井径；井身顶角偏斜不应超过1°；</w:t>
      </w:r>
    </w:p>
    <w:p w14:paraId="64B5A1B8">
      <w:pPr>
        <w:pStyle w:val="182"/>
        <w:numPr>
          <w:ilvl w:val="0"/>
          <w:numId w:val="77"/>
        </w:numPr>
        <w:ind w:left="845" w:hanging="425"/>
      </w:pPr>
      <w:r>
        <w:rPr>
          <w:rFonts w:hint="eastAsia"/>
        </w:rPr>
        <w:t>对不易塌孔、缩径的地层宜采用清水钻进；钻孔深度宜大于降水管井设计深度0.5m；</w:t>
      </w:r>
    </w:p>
    <w:p w14:paraId="3CE20305">
      <w:pPr>
        <w:pStyle w:val="182"/>
        <w:numPr>
          <w:ilvl w:val="0"/>
          <w:numId w:val="77"/>
        </w:numPr>
        <w:ind w:left="845" w:hanging="425"/>
      </w:pPr>
      <w:r>
        <w:rPr>
          <w:rFonts w:hint="eastAsia"/>
        </w:rPr>
        <w:t>采用泥浆护壁时，钻进到孔底后，应先清除孔底沉渣并立即置入井管、注入清水进行置换，当泥浆比重降至不大于1.05时，方可投入滤料。遇塌孔时不得置入井管，滤料填充应密实，其实际填充体积不应小于计算量的95%；</w:t>
      </w:r>
    </w:p>
    <w:p w14:paraId="511CB07B">
      <w:pPr>
        <w:pStyle w:val="182"/>
        <w:numPr>
          <w:ilvl w:val="0"/>
          <w:numId w:val="13"/>
        </w:numPr>
        <w:ind w:left="845" w:hanging="425"/>
      </w:pPr>
      <w:r>
        <w:rPr>
          <w:rFonts w:hint="eastAsia"/>
        </w:rPr>
        <w:t>滤料填充完成后后，应及时洗井并抽水，检验井的滤水效果，洗井方法应根据含水层特性、管井结构及井管强度等因素,参照附录B选用；洗井宜从上部开始逐渐加深；砂土类含水层洗井时洗井强度应由弱逐渐加强，砾石、卵石含水层洗井应始终以最大强度进行；</w:t>
      </w:r>
    </w:p>
    <w:p w14:paraId="5B3B67BF">
      <w:pPr>
        <w:pStyle w:val="182"/>
        <w:numPr>
          <w:ilvl w:val="0"/>
          <w:numId w:val="77"/>
        </w:numPr>
        <w:ind w:left="845" w:hanging="425"/>
      </w:pPr>
      <w:r>
        <w:rPr>
          <w:rFonts w:hint="eastAsia"/>
        </w:rPr>
        <w:t>管井试抽检验满足要求后方可投入使用。</w:t>
      </w:r>
    </w:p>
    <w:p w14:paraId="5E9676DF">
      <w:pPr>
        <w:pStyle w:val="173"/>
      </w:pPr>
      <w:r>
        <w:rPr>
          <w:rFonts w:hint="eastAsia"/>
        </w:rPr>
        <w:t>真空管井的施工除满足本文件第9.5.2条之规定外，还应确保抽水系统的密封效果；试抽检验满足要求后方可投入使用；抽水运行期间，井管内应保持设计要求的真空度，且抽水作业不应间断。</w:t>
      </w:r>
    </w:p>
    <w:p w14:paraId="14A56832">
      <w:pPr>
        <w:pStyle w:val="173"/>
      </w:pPr>
      <w:r>
        <w:rPr>
          <w:rFonts w:hint="eastAsia"/>
        </w:rPr>
        <w:t>轻型井点的施工应符合下列要求：</w:t>
      </w:r>
    </w:p>
    <w:p w14:paraId="2279BC49">
      <w:pPr>
        <w:pStyle w:val="182"/>
        <w:numPr>
          <w:ilvl w:val="0"/>
          <w:numId w:val="78"/>
        </w:numPr>
        <w:ind w:left="845" w:hanging="425"/>
      </w:pPr>
      <w:r>
        <w:rPr>
          <w:rFonts w:hint="eastAsia"/>
        </w:rPr>
        <w:t>轻型井点的成孔工艺可选用清水或泥浆钻进、高压水套管冲击工艺(钻孔法、冲孔法或射水法)，对不易塌孔、缩径的地层也可选用长螺旋钻机成孔；成孔深度宜大于井点设计深度0.5m～1.0m；</w:t>
      </w:r>
    </w:p>
    <w:p w14:paraId="388CB906">
      <w:pPr>
        <w:pStyle w:val="182"/>
        <w:numPr>
          <w:ilvl w:val="0"/>
          <w:numId w:val="78"/>
        </w:numPr>
        <w:ind w:left="845" w:hanging="425"/>
      </w:pPr>
      <w:r>
        <w:rPr>
          <w:rFonts w:hint="eastAsia"/>
        </w:rPr>
        <w:t>钻进到设计深度后，应注水冲洗钻孔、稀释孔内泥浆；下井管后填滤料；滤料填充应密实均匀，滤料宜采用粒径为0.4mm～0.6mm的纯净中粗砂，滤层的厚度为60mm～100mm，滤料的填充高度要超过滤管顶1.0m～1.5m，且应填至地下水位以上；为保证抽水效果，防止漏气，地面以下1.0m～1.5m范围内须采用黏土封填压实；</w:t>
      </w:r>
    </w:p>
    <w:p w14:paraId="0789CE80">
      <w:pPr>
        <w:pStyle w:val="182"/>
        <w:numPr>
          <w:ilvl w:val="0"/>
          <w:numId w:val="78"/>
        </w:numPr>
        <w:ind w:left="845" w:hanging="425"/>
      </w:pPr>
      <w:r>
        <w:rPr>
          <w:rFonts w:hint="eastAsia"/>
        </w:rPr>
        <w:t>成井后应及时洗孔，将直径为15mm～30mm的胶管插入井点管底部注水清洗，直到流出清水为止；应进行试抽水，检验井的滤水效果；</w:t>
      </w:r>
    </w:p>
    <w:p w14:paraId="7A00DEC9">
      <w:pPr>
        <w:pStyle w:val="182"/>
        <w:numPr>
          <w:ilvl w:val="0"/>
          <w:numId w:val="78"/>
        </w:numPr>
        <w:ind w:left="845" w:hanging="425"/>
      </w:pPr>
      <w:r>
        <w:rPr>
          <w:rFonts w:hint="eastAsia"/>
        </w:rPr>
        <w:t>在水泵的进水管上安装真空表，在水泵的出水管上安装压力表，管路安装完毕后，应检查集水总管与井点管连接管的各接头是否有漏气现象；试抽检验满足要求后方可投入使用；</w:t>
      </w:r>
    </w:p>
    <w:p w14:paraId="75A17B38">
      <w:pPr>
        <w:pStyle w:val="182"/>
        <w:numPr>
          <w:ilvl w:val="0"/>
          <w:numId w:val="78"/>
        </w:numPr>
        <w:ind w:left="845" w:hanging="425"/>
      </w:pPr>
      <w:r>
        <w:rPr>
          <w:rFonts w:hint="eastAsia"/>
        </w:rPr>
        <w:t>抽水时井管内应保持设计要求的真空度，且抽水不应间断。</w:t>
      </w:r>
    </w:p>
    <w:p w14:paraId="3C6E439C">
      <w:pPr>
        <w:pStyle w:val="173"/>
      </w:pPr>
      <w:r>
        <w:rPr>
          <w:rFonts w:hint="eastAsia"/>
        </w:rPr>
        <w:t>降水管井全部施工完毕后，应进行群井抽水试验。基坑排水系统的输水能力应满足降水管井抽水的总涌水量要求。</w:t>
      </w:r>
    </w:p>
    <w:p w14:paraId="377EA637">
      <w:pPr>
        <w:pStyle w:val="173"/>
      </w:pPr>
      <w:r>
        <w:rPr>
          <w:rFonts w:hint="eastAsia"/>
        </w:rPr>
        <w:t>采用落底式帷幕的基坑工程，应进行群井连通性抽水试验。</w:t>
      </w:r>
    </w:p>
    <w:p w14:paraId="56FBA2DF">
      <w:pPr>
        <w:pStyle w:val="173"/>
      </w:pPr>
      <w:r>
        <w:rPr>
          <w:rFonts w:hint="eastAsia"/>
        </w:rPr>
        <w:t>群井抽水试验应符合下列要求：</w:t>
      </w:r>
    </w:p>
    <w:p w14:paraId="5E4F7BBD">
      <w:pPr>
        <w:pStyle w:val="182"/>
        <w:numPr>
          <w:ilvl w:val="0"/>
          <w:numId w:val="79"/>
        </w:numPr>
        <w:ind w:left="840" w:hanging="425"/>
      </w:pPr>
      <w:r>
        <w:rPr>
          <w:rFonts w:hint="eastAsia"/>
        </w:rPr>
        <w:t>试验用泵可结合降水设计抽水泵量进行选择；</w:t>
      </w:r>
    </w:p>
    <w:p w14:paraId="00A08B9C">
      <w:pPr>
        <w:pStyle w:val="182"/>
        <w:numPr>
          <w:ilvl w:val="0"/>
          <w:numId w:val="79"/>
        </w:numPr>
        <w:ind w:left="840" w:hanging="425"/>
      </w:pPr>
      <w:r>
        <w:rPr>
          <w:rFonts w:hint="eastAsia"/>
        </w:rPr>
        <w:t>根据降水设计的目标制定试验方案并确定降水管井的数量和位置；降水管井宜均匀开启，并对开启顺序、编号、开启时间等做好记录；</w:t>
      </w:r>
    </w:p>
    <w:p w14:paraId="60CEAF39">
      <w:pPr>
        <w:pStyle w:val="182"/>
        <w:numPr>
          <w:ilvl w:val="0"/>
          <w:numId w:val="79"/>
        </w:numPr>
        <w:ind w:left="840" w:hanging="425"/>
      </w:pPr>
      <w:r>
        <w:rPr>
          <w:rFonts w:hint="eastAsia"/>
        </w:rPr>
        <w:t>同步观测基坑内、外观测井的水位；开泵启动后，每4 h～8 h观测一次水位并记录涌水量；当基坑内观测井水位降至设计标高，且基坑外观测井水位趋于稳定并持续不少于24 h时终止试验；</w:t>
      </w:r>
    </w:p>
    <w:p w14:paraId="7A50467D">
      <w:pPr>
        <w:pStyle w:val="182"/>
        <w:numPr>
          <w:ilvl w:val="0"/>
          <w:numId w:val="79"/>
        </w:numPr>
        <w:ind w:left="840" w:hanging="425"/>
      </w:pPr>
      <w:r>
        <w:rPr>
          <w:rFonts w:hint="eastAsia"/>
        </w:rPr>
        <w:t>观测井水位测量精度</w:t>
      </w:r>
      <w:r>
        <w:rPr>
          <w:rFonts w:ascii="Times New Roman"/>
        </w:rPr>
        <w:t>不宜低于</w:t>
      </w:r>
      <w:r>
        <w:rPr>
          <w:rFonts w:hint="eastAsia" w:ascii="Times New Roman"/>
        </w:rPr>
        <w:t>1.0</w:t>
      </w:r>
      <w:r>
        <w:rPr>
          <w:rFonts w:ascii="Times New Roman"/>
        </w:rPr>
        <w:t>cm</w:t>
      </w:r>
      <w:r>
        <w:rPr>
          <w:rFonts w:hint="eastAsia"/>
        </w:rPr>
        <w:t>；同一试验应采用同一方法和工具；</w:t>
      </w:r>
    </w:p>
    <w:p w14:paraId="0C69B58A">
      <w:pPr>
        <w:pStyle w:val="182"/>
        <w:numPr>
          <w:ilvl w:val="0"/>
          <w:numId w:val="79"/>
        </w:numPr>
        <w:ind w:left="840" w:hanging="425"/>
      </w:pPr>
      <w:r>
        <w:rPr>
          <w:rFonts w:hint="eastAsia"/>
        </w:rPr>
        <w:t>试验期间宜同步监测基坑周边建（构）筑物、地下管线等的变形情况；</w:t>
      </w:r>
    </w:p>
    <w:p w14:paraId="57DA4DE1">
      <w:pPr>
        <w:pStyle w:val="182"/>
        <w:numPr>
          <w:ilvl w:val="0"/>
          <w:numId w:val="79"/>
        </w:numPr>
        <w:ind w:left="840" w:hanging="425"/>
      </w:pPr>
      <w:r>
        <w:rPr>
          <w:rFonts w:hint="eastAsia"/>
        </w:rPr>
        <w:t>水位恢复试验时，应同步观测基坑内、外观测井的水位；每4 h～8 h观测一次，直至水位趋于稳定；水位稳定后，应持续监测不少于 24 h。</w:t>
      </w:r>
    </w:p>
    <w:p w14:paraId="4D7C9473">
      <w:pPr>
        <w:pStyle w:val="113"/>
        <w:keepNext/>
        <w:spacing w:before="156" w:after="156"/>
      </w:pPr>
      <w:bookmarkStart w:id="494" w:name="_Toc20256"/>
      <w:r>
        <w:rPr>
          <w:rFonts w:hint="eastAsia"/>
        </w:rPr>
        <w:t>运行与维护</w:t>
      </w:r>
      <w:bookmarkEnd w:id="494"/>
    </w:p>
    <w:p w14:paraId="042AA382">
      <w:pPr>
        <w:pStyle w:val="173"/>
      </w:pPr>
      <w:r>
        <w:rPr>
          <w:rFonts w:hint="eastAsia"/>
        </w:rPr>
        <w:t>降水运行前，应根据基坑开挖深度、支护形式、土方开挖方式、施工需求等，合理布置排水系统及电路系统。排水系统及电路系统应满足下列要求：</w:t>
      </w:r>
    </w:p>
    <w:p w14:paraId="28A9F03B">
      <w:pPr>
        <w:pStyle w:val="182"/>
        <w:numPr>
          <w:ilvl w:val="0"/>
          <w:numId w:val="80"/>
        </w:numPr>
        <w:ind w:left="845" w:hanging="425"/>
      </w:pPr>
      <w:r>
        <w:rPr>
          <w:rFonts w:hint="eastAsia"/>
        </w:rPr>
        <w:t>降水管井排水管与主排水管(沟)连接前，应采取逆止措施防止回流，降水运行期间必须测定降水管井实际出水量；</w:t>
      </w:r>
    </w:p>
    <w:p w14:paraId="320612AC">
      <w:pPr>
        <w:pStyle w:val="182"/>
        <w:numPr>
          <w:ilvl w:val="0"/>
          <w:numId w:val="80"/>
        </w:numPr>
        <w:ind w:left="845" w:hanging="425"/>
      </w:pPr>
      <w:r>
        <w:rPr>
          <w:rFonts w:hint="eastAsia"/>
        </w:rPr>
        <w:t>排水主管与排水支管宜为钢管，管材规格必须满足排水量及空间跨距的强度要求，排水距离较时，可采用跨中设置灯笼架或钢立柱等加固措施；</w:t>
      </w:r>
    </w:p>
    <w:p w14:paraId="6280BA1B">
      <w:pPr>
        <w:pStyle w:val="182"/>
        <w:numPr>
          <w:ilvl w:val="0"/>
          <w:numId w:val="80"/>
        </w:numPr>
        <w:ind w:left="845" w:hanging="425"/>
      </w:pPr>
      <w:r>
        <w:rPr>
          <w:rFonts w:hint="eastAsia"/>
        </w:rPr>
        <w:t>现场排水能力应考虑到所有降水管井全部启用时的排水量，抽出的水体应排到基坑影响范围以外；</w:t>
      </w:r>
    </w:p>
    <w:p w14:paraId="224A683B">
      <w:pPr>
        <w:pStyle w:val="182"/>
        <w:numPr>
          <w:ilvl w:val="0"/>
          <w:numId w:val="80"/>
        </w:numPr>
        <w:ind w:left="845" w:hanging="425"/>
      </w:pPr>
      <w:r>
        <w:rPr>
          <w:rFonts w:hint="eastAsia"/>
        </w:rPr>
        <w:t>雨季降水的工程，其场区内排水系统的排水能力还应满足大气降雨和工程降水的叠加要求；</w:t>
      </w:r>
    </w:p>
    <w:p w14:paraId="3BDC838A">
      <w:pPr>
        <w:pStyle w:val="182"/>
        <w:numPr>
          <w:ilvl w:val="0"/>
          <w:numId w:val="80"/>
        </w:numPr>
        <w:ind w:left="845" w:hanging="425"/>
      </w:pPr>
      <w:r>
        <w:rPr>
          <w:rFonts w:hint="eastAsia"/>
        </w:rPr>
        <w:t>降水运行期间，现场供电应满足最大排水量的要求，且应符合“三级配电，两级保护”的安全用电要求；施工现场应配备独立的电源线、双路电源和备用发电机组，并保证双路电源、备用发电机组及时切换，确保降水连续进行。</w:t>
      </w:r>
    </w:p>
    <w:p w14:paraId="1C60F279">
      <w:pPr>
        <w:pStyle w:val="173"/>
      </w:pPr>
      <w:r>
        <w:rPr>
          <w:rFonts w:hint="eastAsia"/>
        </w:rPr>
        <w:t>采用发电机作为备用电源的，备用电源的设置应满足下列条件：</w:t>
      </w:r>
    </w:p>
    <w:p w14:paraId="43801ADB">
      <w:pPr>
        <w:pStyle w:val="182"/>
        <w:numPr>
          <w:ilvl w:val="0"/>
          <w:numId w:val="81"/>
        </w:numPr>
        <w:ind w:left="845" w:hanging="425"/>
      </w:pPr>
      <w:r>
        <w:rPr>
          <w:rFonts w:hint="eastAsia"/>
        </w:rPr>
        <w:t>发电机宜采用具备自动启动功能的发电机，并配备备用电源切换系统；</w:t>
      </w:r>
    </w:p>
    <w:p w14:paraId="27E7D3F9">
      <w:pPr>
        <w:pStyle w:val="182"/>
        <w:numPr>
          <w:ilvl w:val="0"/>
          <w:numId w:val="81"/>
        </w:numPr>
        <w:ind w:left="845" w:hanging="425"/>
      </w:pPr>
      <w:r>
        <w:rPr>
          <w:rFonts w:hint="eastAsia"/>
        </w:rPr>
        <w:t>发电机供电额定功率应大于1.25倍的降水运行最大用电功率；</w:t>
      </w:r>
    </w:p>
    <w:p w14:paraId="0F5660E4">
      <w:pPr>
        <w:pStyle w:val="182"/>
        <w:numPr>
          <w:ilvl w:val="0"/>
          <w:numId w:val="81"/>
        </w:numPr>
        <w:ind w:left="845" w:hanging="425"/>
      </w:pPr>
      <w:r>
        <w:rPr>
          <w:rFonts w:hint="eastAsia"/>
        </w:rPr>
        <w:t>采用2台以上发电机的，两路备用电源宜交叉供电。</w:t>
      </w:r>
    </w:p>
    <w:p w14:paraId="168A5189">
      <w:pPr>
        <w:pStyle w:val="173"/>
      </w:pPr>
      <w:r>
        <w:rPr>
          <w:rFonts w:hint="eastAsia"/>
        </w:rPr>
        <w:t>基坑降水正式运行前，应根据试验性抽水成果、基坑开挖计划、基坑周边环境条件等，编制施工各阶段(工况)降水运行方案及应急预案，并进行技术交底；当基坑开挖工况发生变化时，应及时调整运行方案。</w:t>
      </w:r>
    </w:p>
    <w:p w14:paraId="0F91E39F">
      <w:pPr>
        <w:pStyle w:val="173"/>
      </w:pPr>
      <w:r>
        <w:rPr>
          <w:rFonts w:hint="eastAsia"/>
        </w:rPr>
        <w:t>降水运行过程中应做好降水运行记录，记录应包括开启管井的数量、抽水运行的时间、观测井的水位。</w:t>
      </w:r>
    </w:p>
    <w:p w14:paraId="299A12D6">
      <w:pPr>
        <w:pStyle w:val="173"/>
      </w:pPr>
      <w:r>
        <w:rPr>
          <w:rFonts w:hint="eastAsia"/>
        </w:rPr>
        <w:t>对基坑降水及其监测设施应妥善保护。 降水运行过程中应采取保护措施防止发生井管碰撞与损坏、排水系统损坏与渗漏，降水运行电力中断等事件；降水运行终止前，严禁破坏降水管井及相关设备、设施。发生破坏情况时，应及时组织修复；无法修复的，应启动备用井或增补降水管井，更换设备、设施。</w:t>
      </w:r>
    </w:p>
    <w:p w14:paraId="077B5892">
      <w:pPr>
        <w:pStyle w:val="173"/>
      </w:pPr>
      <w:r>
        <w:rPr>
          <w:rFonts w:hint="eastAsia"/>
        </w:rPr>
        <w:t>在基坑降水维护期间，基坑场区内的明水严禁排入降水管井中。 坑外观测井应设置明显的标识，应采用措施防止坑边明水和大气降雨倒灌入坑外观测井内。</w:t>
      </w:r>
    </w:p>
    <w:p w14:paraId="6E023CA7">
      <w:pPr>
        <w:pStyle w:val="173"/>
        <w:rPr>
          <w:rFonts w:hint="eastAsia" w:hAnsi="宋体"/>
          <w:sz w:val="24"/>
        </w:rPr>
      </w:pPr>
      <w:r>
        <w:rPr>
          <w:rFonts w:hint="eastAsia"/>
        </w:rPr>
        <w:t>降水运行过程中除应保护降水管井、观测井外，尚应保护用电线路、排水管路等；用电线路、排水电路宜设置固定的安全线路、穿越施工便道应做保护工作。</w:t>
      </w:r>
    </w:p>
    <w:p w14:paraId="0B7B80E6">
      <w:pPr>
        <w:pStyle w:val="173"/>
      </w:pPr>
      <w:r>
        <w:rPr>
          <w:rFonts w:hint="eastAsia"/>
        </w:rPr>
        <w:t>基坑开挖至设计标高后，在结构底板施工前，对于坑内降水管井应在管壁加焊两层圆形钢环隔水圈，钢环直径不小于φ500mm，焊接部位分别为底板底以上100mm～200mm和底板面以下100mm～200mm，防正承压水沿井壁上涌。对于因基坑降水需要，滤水管段高于结构底板时，需采用井壁管对滤水管段外包处理，隔水圈焊接于外侧井壁管上。</w:t>
      </w:r>
    </w:p>
    <w:p w14:paraId="29A42CFA">
      <w:pPr>
        <w:pStyle w:val="173"/>
      </w:pPr>
      <w:r>
        <w:rPr>
          <w:rFonts w:hint="eastAsia"/>
        </w:rPr>
        <w:t>结构底板浇筑时，应沿井管周边预留直径不小于φ650mm凹槽(净空不小于200mm)，凹槽顶平底板顶层主筋。</w:t>
      </w:r>
    </w:p>
    <w:p w14:paraId="1605CD34">
      <w:pPr>
        <w:pStyle w:val="173"/>
      </w:pPr>
      <w:r>
        <w:rPr>
          <w:rFonts w:hint="eastAsia"/>
        </w:rPr>
        <w:t>降水管井停止抽水时间应根据地下结构施工情况、主体结构抗浮要求、支护结构形式等综合确定。降水结束前应向设计单位、监理单位及建设单位递交封井申请及封井报告。抽水系统的使用年限应满足主体结构的施工要求。</w:t>
      </w:r>
    </w:p>
    <w:p w14:paraId="67F41B5F">
      <w:pPr>
        <w:pStyle w:val="173"/>
      </w:pPr>
      <w:r>
        <w:rPr>
          <w:rFonts w:hint="eastAsia"/>
        </w:rPr>
        <w:t>降水工程运行维护结束后，应根据“先深后浅”、“先内后外”、“先难后易”的原则采取有效措施对降水管井进行封堵，并符合下列要求：</w:t>
      </w:r>
    </w:p>
    <w:p w14:paraId="6A3999BD">
      <w:pPr>
        <w:pStyle w:val="182"/>
        <w:numPr>
          <w:ilvl w:val="0"/>
          <w:numId w:val="82"/>
        </w:numPr>
        <w:ind w:left="845" w:hanging="425"/>
      </w:pPr>
      <w:r>
        <w:rPr>
          <w:rFonts w:hint="eastAsia"/>
        </w:rPr>
        <w:t>降水管井管内封堵应采用“以砂还砂，以土还土”的方式，对于滤水管段采用粗砂投料回填，对于井壁管段可采用风干黏土球、混凝土及水泥干粉等捣实封堵；</w:t>
      </w:r>
    </w:p>
    <w:p w14:paraId="42342ED9">
      <w:pPr>
        <w:pStyle w:val="182"/>
        <w:numPr>
          <w:ilvl w:val="0"/>
          <w:numId w:val="82"/>
        </w:numPr>
        <w:ind w:left="845" w:hanging="425"/>
      </w:pPr>
      <w:r>
        <w:rPr>
          <w:rFonts w:hint="eastAsia"/>
        </w:rPr>
        <w:t>投料回填和封堵前需计算材料理论用量，投料过程中应随时测量并控制好回填高度；</w:t>
      </w:r>
    </w:p>
    <w:p w14:paraId="0909070E">
      <w:pPr>
        <w:pStyle w:val="182"/>
        <w:numPr>
          <w:ilvl w:val="0"/>
          <w:numId w:val="82"/>
        </w:numPr>
        <w:ind w:left="845" w:hanging="425"/>
      </w:pPr>
      <w:r>
        <w:rPr>
          <w:rFonts w:hint="eastAsia"/>
        </w:rPr>
        <w:t>捣实封堵完成后，在结构底板面部位的井管侧边开孔检验封堵效果；</w:t>
      </w:r>
    </w:p>
    <w:p w14:paraId="2B2F3B98">
      <w:pPr>
        <w:pStyle w:val="182"/>
        <w:numPr>
          <w:ilvl w:val="0"/>
          <w:numId w:val="82"/>
        </w:numPr>
        <w:ind w:left="845" w:hanging="425"/>
      </w:pPr>
      <w:r>
        <w:rPr>
          <w:rFonts w:hint="eastAsia"/>
        </w:rPr>
        <w:t>切除外露井管并设置止水钢板与井管口满焊止水，顶部设置压顶筋与底板钢筋焊接牢固；</w:t>
      </w:r>
    </w:p>
    <w:p w14:paraId="14D98956">
      <w:pPr>
        <w:pStyle w:val="182"/>
        <w:numPr>
          <w:ilvl w:val="0"/>
          <w:numId w:val="82"/>
        </w:numPr>
        <w:ind w:left="845" w:hanging="425"/>
      </w:pPr>
      <w:r>
        <w:rPr>
          <w:rFonts w:hint="eastAsia"/>
        </w:rPr>
        <w:t>对于部分封井难度较大的降水管井可采用化学注浆的方式封堵。</w:t>
      </w:r>
    </w:p>
    <w:p w14:paraId="0DC1E92F">
      <w:pPr>
        <w:pStyle w:val="113"/>
        <w:spacing w:before="156" w:after="156"/>
      </w:pPr>
      <w:bookmarkStart w:id="495" w:name="_Toc6597"/>
      <w:r>
        <w:rPr>
          <w:rFonts w:hint="eastAsia"/>
        </w:rPr>
        <w:t>周边环境影响风险控制</w:t>
      </w:r>
      <w:bookmarkEnd w:id="492"/>
      <w:bookmarkEnd w:id="493"/>
      <w:bookmarkEnd w:id="495"/>
    </w:p>
    <w:p w14:paraId="729AE7DD">
      <w:pPr>
        <w:pStyle w:val="173"/>
      </w:pPr>
      <w:r>
        <w:rPr>
          <w:rFonts w:hint="eastAsia"/>
        </w:rPr>
        <w:t>当基坑降水对周边环境产生影响时，其风险控制应考虑下列内容:</w:t>
      </w:r>
    </w:p>
    <w:p w14:paraId="5E8C1BB5">
      <w:pPr>
        <w:pStyle w:val="182"/>
        <w:numPr>
          <w:ilvl w:val="0"/>
          <w:numId w:val="83"/>
        </w:numPr>
        <w:ind w:left="845" w:hanging="425"/>
      </w:pPr>
      <w:r>
        <w:rPr>
          <w:rFonts w:hint="eastAsia"/>
        </w:rPr>
        <w:t>地面沉降；</w:t>
      </w:r>
    </w:p>
    <w:p w14:paraId="38594E61">
      <w:pPr>
        <w:pStyle w:val="182"/>
        <w:numPr>
          <w:ilvl w:val="0"/>
          <w:numId w:val="83"/>
        </w:numPr>
        <w:ind w:left="845" w:hanging="425"/>
      </w:pPr>
      <w:r>
        <w:rPr>
          <w:rFonts w:hint="eastAsia"/>
        </w:rPr>
        <w:t>道路、建（构）筑物、地下管线变形；</w:t>
      </w:r>
    </w:p>
    <w:p w14:paraId="43A568E2">
      <w:pPr>
        <w:pStyle w:val="182"/>
        <w:numPr>
          <w:ilvl w:val="0"/>
          <w:numId w:val="83"/>
        </w:numPr>
        <w:ind w:left="845" w:hanging="425"/>
      </w:pPr>
      <w:r>
        <w:rPr>
          <w:rFonts w:hint="eastAsia"/>
        </w:rPr>
        <w:t>对邻近的桥梁、铁路、轨道交通、堤防的影响应满足相关评估的要求。</w:t>
      </w:r>
    </w:p>
    <w:p w14:paraId="31E63192">
      <w:pPr>
        <w:pStyle w:val="173"/>
      </w:pPr>
      <w:r>
        <w:rPr>
          <w:rFonts w:hint="eastAsia"/>
        </w:rPr>
        <w:t>基坑降水对周边环境的影响，有下列情况之一时需要采取辅助工程措施：</w:t>
      </w:r>
    </w:p>
    <w:p w14:paraId="050029D3">
      <w:pPr>
        <w:pStyle w:val="182"/>
        <w:numPr>
          <w:ilvl w:val="0"/>
          <w:numId w:val="84"/>
        </w:numPr>
        <w:ind w:left="845" w:hanging="425"/>
      </w:pPr>
      <w:r>
        <w:rPr>
          <w:rFonts w:hint="eastAsia"/>
        </w:rPr>
        <w:t>基坑降水影响范围内有易燃、易爆、易漏的地下管线，基坑降水引起的累积沉降值超过该管线的允许沉降值；</w:t>
      </w:r>
    </w:p>
    <w:p w14:paraId="6D41EBD9">
      <w:pPr>
        <w:pStyle w:val="182"/>
        <w:numPr>
          <w:ilvl w:val="0"/>
          <w:numId w:val="84"/>
        </w:numPr>
        <w:ind w:left="845" w:hanging="425"/>
      </w:pPr>
      <w:r>
        <w:rPr>
          <w:rFonts w:hint="eastAsia"/>
        </w:rPr>
        <w:t>基坑降水影响范围内有</w:t>
      </w:r>
      <w:bookmarkStart w:id="496" w:name="_Hlk142074022"/>
      <w:r>
        <w:rPr>
          <w:rFonts w:hint="eastAsia"/>
        </w:rPr>
        <w:t>建（构）筑物</w:t>
      </w:r>
      <w:bookmarkEnd w:id="496"/>
      <w:r>
        <w:rPr>
          <w:rFonts w:hint="eastAsia"/>
        </w:rPr>
        <w:t>，基坑降水引起的累积沉降值超过该建（构）筑物的允许沉降值，或倾斜值大于0.2 %或该建（构）筑物的允许倾斜值；</w:t>
      </w:r>
    </w:p>
    <w:p w14:paraId="39F50780">
      <w:pPr>
        <w:pStyle w:val="182"/>
        <w:numPr>
          <w:ilvl w:val="0"/>
          <w:numId w:val="84"/>
        </w:numPr>
        <w:ind w:left="845" w:hanging="425"/>
      </w:pPr>
      <w:r>
        <w:rPr>
          <w:rFonts w:hint="eastAsia"/>
        </w:rPr>
        <w:t>基坑降水影响范围内有道路、桥梁、铁路、轨道交通、堤防等重要建（构）筑物；</w:t>
      </w:r>
    </w:p>
    <w:p w14:paraId="6E5E3423">
      <w:pPr>
        <w:pStyle w:val="182"/>
        <w:numPr>
          <w:ilvl w:val="0"/>
          <w:numId w:val="84"/>
        </w:numPr>
        <w:ind w:left="845" w:hanging="425"/>
      </w:pPr>
      <w:r>
        <w:rPr>
          <w:rFonts w:hint="eastAsia"/>
        </w:rPr>
        <w:t>基坑降水对周边交通环境、居住环境、生态环境影响较大。</w:t>
      </w:r>
    </w:p>
    <w:p w14:paraId="7A16709F">
      <w:pPr>
        <w:pStyle w:val="173"/>
      </w:pPr>
      <w:r>
        <w:rPr>
          <w:rFonts w:hint="eastAsia"/>
        </w:rPr>
        <w:t>降水工程施工前或基坑降水运行中，应根据降水对周边环境的影响预测以及监测资料，判断对工程环境影响程度，并采取相应的风险控制措施：</w:t>
      </w:r>
    </w:p>
    <w:p w14:paraId="733DD63E">
      <w:pPr>
        <w:pStyle w:val="182"/>
        <w:numPr>
          <w:ilvl w:val="0"/>
          <w:numId w:val="85"/>
        </w:numPr>
        <w:ind w:left="845" w:hanging="425"/>
      </w:pPr>
      <w:r>
        <w:rPr>
          <w:rFonts w:hint="eastAsia"/>
        </w:rPr>
        <w:t>根据周边环境条件和地质条件采取分层、分区降水方案；</w:t>
      </w:r>
    </w:p>
    <w:p w14:paraId="09EF23D7">
      <w:pPr>
        <w:pStyle w:val="182"/>
        <w:numPr>
          <w:ilvl w:val="0"/>
          <w:numId w:val="85"/>
        </w:numPr>
        <w:ind w:left="845" w:hanging="425"/>
      </w:pPr>
      <w:r>
        <w:rPr>
          <w:rFonts w:hint="eastAsia"/>
        </w:rPr>
        <w:t>根据周边环境条件和地质条件采取隔渗和降水相结合的地下水控制方案；当基坑开挖深度较大、水文地质条件复杂、基坑周边环境条件严峻时，可采用落底式帷幕并辅以降水管井的方法进行地下水控制；</w:t>
      </w:r>
    </w:p>
    <w:p w14:paraId="67F2A49E">
      <w:pPr>
        <w:pStyle w:val="182"/>
        <w:numPr>
          <w:ilvl w:val="0"/>
          <w:numId w:val="85"/>
        </w:numPr>
        <w:ind w:left="845" w:hanging="425"/>
      </w:pPr>
      <w:r>
        <w:rPr>
          <w:rFonts w:hint="eastAsia"/>
        </w:rPr>
        <w:t>降水系统的布置和施工应尽量减小保护对象的地下水位变化幅度；</w:t>
      </w:r>
    </w:p>
    <w:p w14:paraId="4100FFC8">
      <w:pPr>
        <w:pStyle w:val="182"/>
        <w:numPr>
          <w:ilvl w:val="0"/>
          <w:numId w:val="85"/>
        </w:numPr>
        <w:ind w:left="845" w:hanging="425"/>
      </w:pPr>
      <w:r>
        <w:rPr>
          <w:rFonts w:hint="eastAsia"/>
        </w:rPr>
        <w:t>降水管井应尽量远离保护对象；相距较近时，应采取措施减小保护对象处的水位降深；</w:t>
      </w:r>
    </w:p>
    <w:p w14:paraId="24D2B636">
      <w:pPr>
        <w:pStyle w:val="182"/>
        <w:numPr>
          <w:ilvl w:val="0"/>
          <w:numId w:val="85"/>
        </w:numPr>
        <w:ind w:left="845" w:hanging="425"/>
      </w:pPr>
      <w:r>
        <w:rPr>
          <w:rFonts w:hint="eastAsia"/>
        </w:rPr>
        <w:t>降水管井施工时，应避免采用可能危害保护对象的施工方法；</w:t>
      </w:r>
    </w:p>
    <w:p w14:paraId="15616A6C">
      <w:pPr>
        <w:pStyle w:val="182"/>
        <w:numPr>
          <w:ilvl w:val="0"/>
          <w:numId w:val="85"/>
        </w:numPr>
        <w:ind w:left="845" w:hanging="425"/>
      </w:pPr>
      <w:r>
        <w:rPr>
          <w:rFonts w:hint="eastAsia"/>
        </w:rPr>
        <w:t>在邻近保护对象一侧设置隔渗帷幕或回灌系统；</w:t>
      </w:r>
    </w:p>
    <w:p w14:paraId="058F3904">
      <w:pPr>
        <w:pStyle w:val="182"/>
        <w:numPr>
          <w:ilvl w:val="0"/>
          <w:numId w:val="85"/>
        </w:numPr>
        <w:ind w:left="845" w:hanging="425"/>
      </w:pPr>
      <w:r>
        <w:rPr>
          <w:rFonts w:hint="eastAsia"/>
        </w:rPr>
        <w:t>在厚度较大的粉细砂地层中钻井应做好护壁；</w:t>
      </w:r>
    </w:p>
    <w:p w14:paraId="05D23A9A">
      <w:pPr>
        <w:pStyle w:val="182"/>
        <w:numPr>
          <w:ilvl w:val="0"/>
          <w:numId w:val="85"/>
        </w:numPr>
        <w:ind w:left="845" w:hanging="425"/>
      </w:pPr>
      <w:r>
        <w:rPr>
          <w:rFonts w:hint="eastAsia"/>
        </w:rPr>
        <w:t>严格执行“按需降水”的原则，动态控制降水管井的开启和关闭。</w:t>
      </w:r>
    </w:p>
    <w:p w14:paraId="2B5FEED6">
      <w:pPr>
        <w:pStyle w:val="112"/>
        <w:spacing w:before="312" w:after="312"/>
      </w:pPr>
      <w:bookmarkStart w:id="497" w:name="_Toc16094"/>
      <w:r>
        <w:rPr>
          <w:rFonts w:hint="eastAsia"/>
        </w:rPr>
        <w:t>回灌</w:t>
      </w:r>
      <w:bookmarkEnd w:id="497"/>
    </w:p>
    <w:p w14:paraId="460A2D6B">
      <w:pPr>
        <w:pStyle w:val="113"/>
        <w:keepNext/>
        <w:spacing w:before="156" w:after="156"/>
      </w:pPr>
      <w:bookmarkStart w:id="498" w:name="_Toc224217424"/>
      <w:bookmarkStart w:id="499" w:name="_Toc24685"/>
      <w:bookmarkStart w:id="500" w:name="_Toc142730188"/>
      <w:r>
        <w:rPr>
          <w:rFonts w:hint="eastAsia"/>
        </w:rPr>
        <w:t>一般规定</w:t>
      </w:r>
      <w:bookmarkEnd w:id="498"/>
      <w:bookmarkEnd w:id="499"/>
      <w:bookmarkEnd w:id="500"/>
    </w:p>
    <w:p w14:paraId="5F3E1263">
      <w:pPr>
        <w:pStyle w:val="173"/>
      </w:pPr>
      <w:r>
        <w:rPr>
          <w:rFonts w:hint="eastAsia"/>
        </w:rPr>
        <w:t>当基坑降水引起地层沉降变形可能对周边建（构）筑物或地下管线的正常使用产生影响时，可采用地下水回灌措施。</w:t>
      </w:r>
    </w:p>
    <w:p w14:paraId="712605BD">
      <w:pPr>
        <w:pStyle w:val="173"/>
      </w:pPr>
      <w:r>
        <w:rPr>
          <w:rFonts w:hint="eastAsia"/>
        </w:rPr>
        <w:t>回灌不得恶化地下水环境，避免引起次生地质环境问题。</w:t>
      </w:r>
    </w:p>
    <w:p w14:paraId="3F185D1C">
      <w:pPr>
        <w:pStyle w:val="173"/>
      </w:pPr>
      <w:r>
        <w:rPr>
          <w:rFonts w:hint="eastAsia"/>
        </w:rPr>
        <w:t>回灌水源宜采用降水管井抽汲出的地下水，且水质不得低于目标含水层水质。</w:t>
      </w:r>
    </w:p>
    <w:p w14:paraId="0D6E422D">
      <w:pPr>
        <w:pStyle w:val="173"/>
      </w:pPr>
      <w:r>
        <w:rPr>
          <w:rFonts w:hint="eastAsia"/>
        </w:rPr>
        <w:t>回灌井管材质应采用钢管，井壁直径不宜小于325mm，壁厚不应小于6mm，弯曲度不应大于1.5mm/m。</w:t>
      </w:r>
    </w:p>
    <w:p w14:paraId="2BA4D9A8">
      <w:pPr>
        <w:pStyle w:val="173"/>
      </w:pPr>
      <w:r>
        <w:rPr>
          <w:rFonts w:hint="eastAsia"/>
        </w:rPr>
        <w:t>回灌井的控制区域应涵盖周边需保护的已有建（构）筑物或地下管线等受影响范围。</w:t>
      </w:r>
    </w:p>
    <w:p w14:paraId="11674715">
      <w:pPr>
        <w:pStyle w:val="113"/>
        <w:keepNext/>
        <w:spacing w:before="156" w:after="156"/>
      </w:pPr>
      <w:bookmarkStart w:id="501" w:name="_Toc10592"/>
      <w:bookmarkStart w:id="502" w:name="_Toc224217425"/>
      <w:bookmarkStart w:id="503" w:name="_Toc142730189"/>
      <w:r>
        <w:rPr>
          <w:rFonts w:hint="eastAsia"/>
        </w:rPr>
        <w:t>设计</w:t>
      </w:r>
      <w:bookmarkEnd w:id="501"/>
      <w:bookmarkEnd w:id="502"/>
      <w:bookmarkEnd w:id="503"/>
    </w:p>
    <w:p w14:paraId="20906190">
      <w:pPr>
        <w:pStyle w:val="173"/>
      </w:pPr>
      <w:r>
        <w:rPr>
          <w:rFonts w:hint="eastAsia"/>
        </w:rPr>
        <w:t>回灌宜采用管井回灌。</w:t>
      </w:r>
    </w:p>
    <w:p w14:paraId="5FDE9F02">
      <w:pPr>
        <w:pStyle w:val="173"/>
      </w:pPr>
      <w:r>
        <w:rPr>
          <w:rFonts w:hint="eastAsia"/>
        </w:rPr>
        <w:t>在回灌设计时，应进行回灌前后地下水渗流场变化的分析计算，以及基坑周边拟保护对象的变形计算，并根据其变形允许值确定回灌控制水位。</w:t>
      </w:r>
    </w:p>
    <w:p w14:paraId="084FBF50">
      <w:pPr>
        <w:pStyle w:val="173"/>
      </w:pPr>
      <w:r>
        <w:rPr>
          <w:rFonts w:hint="eastAsia"/>
        </w:rPr>
        <w:t>管井回灌应根据回灌控制水位、地质条件及周边环境等，选用重力回灌、加压回灌或组合回灌等方式。当重力回灌不能满足回灌控制目标的情况下，可进行加压回灌。</w:t>
      </w:r>
    </w:p>
    <w:p w14:paraId="43B8AB08">
      <w:pPr>
        <w:pStyle w:val="173"/>
      </w:pPr>
      <w:r>
        <w:rPr>
          <w:rFonts w:hint="eastAsia"/>
        </w:rPr>
        <w:t>采用加压回灌时，允许回灌压力P可按公式（14）计算。</w:t>
      </w:r>
    </w:p>
    <w:p w14:paraId="78EC8766">
      <w:pPr>
        <w:wordWrap w:val="0"/>
        <w:spacing w:line="240" w:lineRule="auto"/>
        <w:jc w:val="right"/>
        <w:rPr>
          <w:rFonts w:ascii="Times New Roman" w:hAnsi="Times New Roman"/>
        </w:rPr>
      </w:pPr>
      <w:r>
        <w:rPr>
          <w:rFonts w:hint="eastAsia" w:ascii="MS Gothic" w:hAnsi="MS Gothic" w:eastAsia="MS Gothic" w:cs="MS Gothic"/>
        </w:rPr>
        <w:fldChar w:fldCharType="begin"/>
      </w:r>
      <w:r>
        <w:rPr>
          <w:rFonts w:hint="eastAsia" w:ascii="MS Gothic" w:hAnsi="MS Gothic" w:eastAsia="MS Gothic" w:cs="MS Gothic"/>
        </w:rPr>
        <w:instrText xml:space="preserve"> QUOTE </w:instrText>
      </w:r>
      <w:r>
        <w:rPr>
          <w:position w:val="-23"/>
        </w:rPr>
        <w:pict>
          <v:shape id="_x0000_i1039" o:spt="75" type="#_x0000_t75" style="height:30.9pt;width:65.55pt;" filled="f" coordsize="21600,21600" equationxml="&lt;">
            <v:path/>
            <v:fill on="f" focussize="0,0"/>
            <v:stroke/>
            <v:imagedata r:id="rId81" chromakey="#FFFFFF" o:title=""/>
            <o:lock v:ext="edit" aspectratio="t"/>
            <w10:wrap type="none"/>
            <w10:anchorlock/>
          </v:shape>
        </w:pict>
      </w:r>
      <w:r>
        <w:rPr>
          <w:rFonts w:hint="eastAsia" w:ascii="MS Gothic" w:hAnsi="MS Gothic" w:eastAsia="MS Gothic" w:cs="MS Gothic"/>
        </w:rPr>
        <w:fldChar w:fldCharType="end"/>
      </w:r>
      <w:r>
        <w:rPr>
          <w:rFonts w:hint="eastAsia" w:ascii="宋体" w:hAnsi="宋体" w:cs="宋体"/>
        </w:rPr>
        <w:t xml:space="preserve">                  </w:t>
      </w:r>
      <w:bookmarkStart w:id="504" w:name="_Hlk207900027"/>
      <w:r>
        <w:rPr>
          <w:position w:val="-30"/>
        </w:rPr>
        <w:object>
          <v:shape id="_x0000_i1040" o:spt="75" type="#_x0000_t75" style="height:33.7pt;width:90.9pt;" o:ole="t" filled="f" coordsize="21600,21600">
            <v:path/>
            <v:fill on="f" focussize="0,0"/>
            <v:stroke/>
            <v:imagedata r:id="rId83" o:title=""/>
            <o:lock v:ext="edit" aspectratio="t"/>
            <w10:wrap type="none"/>
            <w10:anchorlock/>
          </v:shape>
          <o:OLEObject Type="Embed" ProgID="Equation.DSMT4" ShapeID="_x0000_i1040" DrawAspect="Content" ObjectID="_1468075739" r:id="rId82">
            <o:LockedField>false</o:LockedField>
          </o:OLEObject>
        </w:object>
      </w:r>
      <w:bookmarkEnd w:id="504"/>
      <w:r>
        <w:rPr>
          <w:rFonts w:hint="eastAsia" w:ascii="MS Gothic" w:hAnsi="MS Gothic" w:eastAsia="MS Gothic" w:cs="MS Gothic"/>
        </w:rPr>
        <w:fldChar w:fldCharType="begin"/>
      </w:r>
      <w:r>
        <w:rPr>
          <w:rFonts w:hint="eastAsia" w:ascii="MS Gothic" w:hAnsi="MS Gothic" w:eastAsia="MS Gothic" w:cs="MS Gothic"/>
        </w:rPr>
        <w:instrText xml:space="preserve"> QUOTE </w:instrText>
      </w:r>
      <w:r>
        <w:rPr>
          <w:position w:val="-23"/>
        </w:rPr>
        <w:pict>
          <v:shape id="_x0000_i1041" o:spt="75" type="#_x0000_t75" style="height:30.9pt;width:65.55pt;" filled="f" coordsize="21600,21600" equationxml="&lt;">
            <v:path/>
            <v:fill on="f" focussize="0,0"/>
            <v:stroke/>
            <v:imagedata r:id="rId81" chromakey="#FFFFFF" o:title=""/>
            <o:lock v:ext="edit" aspectratio="t"/>
            <w10:wrap type="none"/>
            <w10:anchorlock/>
          </v:shape>
        </w:pict>
      </w:r>
      <w:r>
        <w:rPr>
          <w:rFonts w:hint="eastAsia" w:ascii="MS Gothic" w:hAnsi="MS Gothic" w:eastAsia="MS Gothic" w:cs="MS Gothic"/>
        </w:rPr>
        <w:fldChar w:fldCharType="end"/>
      </w:r>
      <w:r>
        <w:rPr>
          <w:rFonts w:hint="eastAsia" w:ascii="宋体" w:hAnsi="宋体" w:cs="宋体"/>
        </w:rPr>
        <w:t xml:space="preserve">                      </w:t>
      </w:r>
      <w:r>
        <w:rPr>
          <w:rFonts w:ascii="Times New Roman" w:hAnsi="宋体"/>
        </w:rPr>
        <w:t>（</w:t>
      </w:r>
      <w:r>
        <w:rPr>
          <w:rFonts w:ascii="Times New Roman" w:hAnsi="Times New Roman"/>
        </w:rPr>
        <w:t>1</w:t>
      </w:r>
      <w:r>
        <w:rPr>
          <w:rFonts w:hint="eastAsia" w:ascii="Times New Roman" w:hAnsi="Times New Roman"/>
        </w:rPr>
        <w:t>4</w:t>
      </w:r>
      <w:r>
        <w:rPr>
          <w:rFonts w:ascii="Times New Roman" w:hAnsi="宋体"/>
        </w:rPr>
        <w:t>）</w:t>
      </w:r>
    </w:p>
    <w:p w14:paraId="5547DE10">
      <w:pPr>
        <w:spacing w:line="240" w:lineRule="auto"/>
        <w:ind w:left="630" w:leftChars="300"/>
        <w:jc w:val="left"/>
        <w:rPr>
          <w:rFonts w:hint="eastAsia" w:ascii="宋体" w:hAnsi="宋体" w:cs="宋体"/>
          <w:w w:val="105"/>
        </w:rPr>
      </w:pPr>
      <w:r>
        <w:rPr>
          <w:w w:val="105"/>
        </w:rPr>
        <w:t>式中：</w:t>
      </w:r>
    </w:p>
    <w:p w14:paraId="71B6D3CC">
      <w:pPr>
        <w:spacing w:line="240" w:lineRule="auto"/>
        <w:ind w:left="630" w:leftChars="300"/>
        <w:jc w:val="left"/>
        <w:rPr>
          <w:rFonts w:hint="eastAsia" w:ascii="宋体" w:hAnsi="宋体" w:cs="宋体"/>
        </w:rPr>
      </w:pPr>
      <w:r>
        <w:rPr>
          <w:rFonts w:ascii="Times New Roman" w:hAnsi="Times New Roman"/>
          <w:i/>
          <w:iCs/>
        </w:rPr>
        <w:t>P</w:t>
      </w:r>
      <w:r>
        <w:rPr>
          <w:rFonts w:hint="eastAsia" w:ascii="宋体" w:hAnsi="宋体" w:cs="宋体"/>
        </w:rPr>
        <w:t>——允许回灌压力，</w:t>
      </w:r>
      <w:r>
        <w:rPr>
          <w:rFonts w:ascii="Times New Roman" w:hAnsi="Times New Roman"/>
        </w:rPr>
        <w:t>kPa</w:t>
      </w:r>
      <w:r>
        <w:rPr>
          <w:rFonts w:hint="eastAsia" w:ascii="宋体" w:hAnsi="宋体" w:cs="宋体"/>
        </w:rPr>
        <w:t>；</w:t>
      </w:r>
    </w:p>
    <w:p w14:paraId="08ADE707">
      <w:pPr>
        <w:spacing w:line="240" w:lineRule="auto"/>
        <w:ind w:left="630" w:leftChars="300"/>
        <w:jc w:val="left"/>
        <w:rPr>
          <w:rFonts w:hint="eastAsia" w:ascii="宋体" w:hAnsi="宋体" w:cs="宋体"/>
          <w:spacing w:val="-6"/>
        </w:rPr>
      </w:pPr>
      <w:r>
        <w:rPr>
          <w:rFonts w:ascii="Times New Roman" w:hAnsi="Times New Roman"/>
          <w:i/>
          <w:iCs/>
        </w:rPr>
        <w:t>h</w:t>
      </w:r>
      <w:r>
        <w:rPr>
          <w:rFonts w:ascii="Times New Roman" w:hAnsi="Times New Roman"/>
          <w:i/>
          <w:iCs/>
          <w:vertAlign w:val="subscript"/>
        </w:rPr>
        <w:t>1</w:t>
      </w:r>
      <w:r>
        <w:rPr>
          <w:rFonts w:hint="eastAsia" w:ascii="宋体" w:hAnsi="宋体" w:cs="宋体"/>
        </w:rPr>
        <w:t>——</w:t>
      </w:r>
      <w:r>
        <w:rPr>
          <w:rFonts w:hint="eastAsia" w:ascii="宋体" w:hAnsi="宋体" w:cs="宋体"/>
          <w:spacing w:val="-6"/>
        </w:rPr>
        <w:t>隔水封闭层计算厚度，</w:t>
      </w:r>
      <w:r>
        <w:rPr>
          <w:rFonts w:ascii="Times New Roman" w:hAnsi="Times New Roman"/>
          <w:spacing w:val="-6"/>
        </w:rPr>
        <w:t>m</w:t>
      </w:r>
      <w:r>
        <w:rPr>
          <w:rFonts w:hint="eastAsia" w:ascii="Times New Roman" w:hAnsi="Times New Roman"/>
          <w:spacing w:val="-6"/>
        </w:rPr>
        <w:t>，</w:t>
      </w:r>
      <w:r>
        <w:rPr>
          <w:rFonts w:ascii="宋体" w:hAnsi="宋体" w:cs="宋体"/>
          <w:spacing w:val="-6"/>
        </w:rPr>
        <w:t>取井壁黏</w:t>
      </w:r>
      <w:r>
        <w:rPr>
          <w:rFonts w:hint="eastAsia" w:ascii="宋体" w:hAnsi="宋体" w:cs="宋体"/>
          <w:spacing w:val="-6"/>
        </w:rPr>
        <w:t>土球</w:t>
      </w:r>
      <w:r>
        <w:rPr>
          <w:rFonts w:ascii="宋体" w:hAnsi="宋体" w:cs="宋体"/>
          <w:spacing w:val="-6"/>
        </w:rPr>
        <w:t>封闭层底（或</w:t>
      </w:r>
      <w:r>
        <w:rPr>
          <w:rFonts w:hint="eastAsia" w:ascii="宋体" w:hAnsi="宋体" w:cs="宋体"/>
          <w:spacing w:val="-6"/>
        </w:rPr>
        <w:t>井壁外侧相对</w:t>
      </w:r>
      <w:r>
        <w:rPr>
          <w:rFonts w:ascii="宋体" w:hAnsi="宋体" w:cs="宋体"/>
          <w:spacing w:val="-6"/>
        </w:rPr>
        <w:t>隔水层底）至地面之间厚度两者取小值</w:t>
      </w:r>
      <w:r>
        <w:rPr>
          <w:rFonts w:hint="eastAsia" w:ascii="宋体" w:hAnsi="宋体" w:cs="宋体"/>
          <w:spacing w:val="-6"/>
        </w:rPr>
        <w:t>；</w:t>
      </w:r>
    </w:p>
    <w:p w14:paraId="478955D6">
      <w:pPr>
        <w:spacing w:line="240" w:lineRule="auto"/>
        <w:ind w:left="630" w:leftChars="300"/>
        <w:jc w:val="left"/>
        <w:rPr>
          <w:rFonts w:ascii="Times New Roman" w:hAnsi="Times New Roman"/>
        </w:rPr>
      </w:pPr>
      <w:r>
        <w:rPr>
          <w:rFonts w:ascii="Times New Roman" w:hAnsi="Times New Roman"/>
          <w:i/>
          <w:iCs/>
        </w:rPr>
        <w:t>γ</w:t>
      </w:r>
      <w:r>
        <w:rPr>
          <w:rFonts w:ascii="Times New Roman" w:hAnsi="Times New Roman"/>
          <w:i/>
          <w:iCs/>
          <w:vertAlign w:val="subscript"/>
        </w:rPr>
        <w:t>s</w:t>
      </w:r>
      <w:r>
        <w:rPr>
          <w:rFonts w:ascii="Times New Roman" w:hAnsi="Times New Roman"/>
          <w:i/>
          <w:iCs/>
        </w:rPr>
        <w:t xml:space="preserve"> </w:t>
      </w:r>
      <w:r>
        <w:rPr>
          <w:rFonts w:ascii="Times New Roman" w:hAnsi="Times New Roman"/>
        </w:rPr>
        <w:t>——</w:t>
      </w:r>
      <w:r>
        <w:rPr>
          <w:rFonts w:ascii="Times New Roman" w:hAnsi="Times New Roman"/>
          <w:i/>
          <w:iCs/>
        </w:rPr>
        <w:t>h</w:t>
      </w:r>
      <w:r>
        <w:rPr>
          <w:rFonts w:ascii="Times New Roman" w:hAnsi="Times New Roman"/>
          <w:i/>
          <w:iCs/>
          <w:vertAlign w:val="subscript"/>
        </w:rPr>
        <w:t>1</w:t>
      </w:r>
      <w:r>
        <w:rPr>
          <w:rFonts w:hint="eastAsia" w:ascii="Times New Roman" w:hAnsi="Times New Roman"/>
        </w:rPr>
        <w:t>长度范围内隔水封闭层</w:t>
      </w:r>
      <w:r>
        <w:rPr>
          <w:rFonts w:ascii="Times New Roman" w:hAnsi="Times New Roman"/>
        </w:rPr>
        <w:t>的平均</w:t>
      </w:r>
      <w:r>
        <w:rPr>
          <w:rFonts w:hint="eastAsia" w:ascii="Times New Roman" w:hAnsi="Times New Roman"/>
        </w:rPr>
        <w:t>天然</w:t>
      </w:r>
      <w:r>
        <w:rPr>
          <w:rFonts w:ascii="Times New Roman" w:hAnsi="Times New Roman"/>
        </w:rPr>
        <w:t>重度</w:t>
      </w:r>
      <w:r>
        <w:rPr>
          <w:rFonts w:hint="eastAsia" w:ascii="Times New Roman" w:hAnsi="Times New Roman"/>
        </w:rPr>
        <w:t>，</w:t>
      </w:r>
      <w:r>
        <w:rPr>
          <w:rFonts w:ascii="Times New Roman" w:hAnsi="Times New Roman"/>
        </w:rPr>
        <w:t>kN/m</w:t>
      </w:r>
      <w:r>
        <w:rPr>
          <w:rFonts w:ascii="Times New Roman" w:hAnsi="Times New Roman"/>
          <w:vertAlign w:val="superscript"/>
        </w:rPr>
        <w:t>3</w:t>
      </w:r>
      <w:r>
        <w:rPr>
          <w:rFonts w:ascii="Times New Roman" w:hAnsi="Times New Roman"/>
        </w:rPr>
        <w:t xml:space="preserve"> ；</w:t>
      </w:r>
    </w:p>
    <w:p w14:paraId="560D42C8">
      <w:pPr>
        <w:spacing w:line="240" w:lineRule="auto"/>
        <w:ind w:left="630" w:leftChars="300"/>
        <w:jc w:val="left"/>
        <w:rPr>
          <w:rFonts w:ascii="Times New Roman" w:hAnsi="Times New Roman"/>
        </w:rPr>
      </w:pPr>
      <w:r>
        <w:rPr>
          <w:rFonts w:ascii="Times New Roman" w:hAnsi="Times New Roman"/>
          <w:i/>
          <w:iCs/>
        </w:rPr>
        <w:t>γ</w:t>
      </w:r>
      <w:r>
        <w:rPr>
          <w:rFonts w:ascii="Times New Roman" w:hAnsi="Times New Roman"/>
          <w:i/>
          <w:iCs/>
          <w:vertAlign w:val="subscript"/>
        </w:rPr>
        <w:t>w</w:t>
      </w:r>
      <w:r>
        <w:rPr>
          <w:rFonts w:ascii="Times New Roman" w:hAnsi="Times New Roman"/>
          <w:i/>
          <w:iCs/>
        </w:rPr>
        <w:t xml:space="preserve"> </w:t>
      </w:r>
      <w:r>
        <w:rPr>
          <w:rFonts w:ascii="Times New Roman" w:hAnsi="Times New Roman"/>
        </w:rPr>
        <w:t>——水的重度，</w:t>
      </w:r>
      <w:r>
        <w:rPr>
          <w:rFonts w:hint="eastAsia" w:ascii="Times New Roman" w:hAnsi="Times New Roman"/>
        </w:rPr>
        <w:t>取10</w:t>
      </w:r>
      <w:r>
        <w:rPr>
          <w:rFonts w:ascii="Times New Roman" w:hAnsi="Times New Roman"/>
        </w:rPr>
        <w:t>kN/m</w:t>
      </w:r>
      <w:r>
        <w:rPr>
          <w:rFonts w:ascii="Times New Roman" w:hAnsi="Times New Roman"/>
          <w:vertAlign w:val="superscript"/>
        </w:rPr>
        <w:t>3</w:t>
      </w:r>
      <w:r>
        <w:rPr>
          <w:rFonts w:ascii="Times New Roman" w:hAnsi="Times New Roman"/>
        </w:rPr>
        <w:t xml:space="preserve"> ；</w:t>
      </w:r>
    </w:p>
    <w:p w14:paraId="0123F300">
      <w:pPr>
        <w:spacing w:line="240" w:lineRule="auto"/>
        <w:ind w:left="630" w:leftChars="300"/>
        <w:jc w:val="left"/>
        <w:rPr>
          <w:rFonts w:ascii="Times New Roman" w:hAnsi="Times New Roman"/>
        </w:rPr>
      </w:pPr>
      <w:r>
        <w:rPr>
          <w:rFonts w:hint="eastAsia" w:ascii="Times New Roman" w:hAnsi="Times New Roman"/>
          <w:i/>
          <w:iCs/>
        </w:rPr>
        <w:t>F</w:t>
      </w:r>
      <w:r>
        <w:rPr>
          <w:rFonts w:hint="eastAsia" w:ascii="Times New Roman" w:hAnsi="Times New Roman"/>
          <w:i/>
          <w:iCs/>
          <w:vertAlign w:val="subscript"/>
        </w:rPr>
        <w:t>s</w:t>
      </w:r>
      <w:r>
        <w:rPr>
          <w:rFonts w:hint="eastAsia" w:ascii="Times New Roman" w:hAnsi="Times New Roman"/>
        </w:rPr>
        <w:t>——井壁抗劈裂安全系数，取1.2～1.5</w:t>
      </w:r>
      <w:r>
        <w:rPr>
          <w:rFonts w:ascii="Times New Roman" w:hAnsi="Times New Roman"/>
        </w:rPr>
        <w:t>（</w:t>
      </w:r>
      <w:r>
        <w:rPr>
          <w:rFonts w:hint="eastAsia" w:ascii="Times New Roman" w:hAnsi="Times New Roman"/>
        </w:rPr>
        <w:t>当隔水封闭层采用黏土球封闭时取高值，采用注浆封闭时取低值</w:t>
      </w:r>
      <w:r>
        <w:rPr>
          <w:rFonts w:ascii="Times New Roman" w:hAnsi="Times New Roman"/>
        </w:rPr>
        <w:t>）</w:t>
      </w:r>
      <w:r>
        <w:rPr>
          <w:rFonts w:hint="eastAsia" w:ascii="Times New Roman" w:hAnsi="Times New Roman"/>
        </w:rPr>
        <w:t>。</w:t>
      </w:r>
    </w:p>
    <w:p w14:paraId="0F0CD917">
      <w:pPr>
        <w:pStyle w:val="173"/>
      </w:pPr>
      <w:r>
        <w:rPr>
          <w:rFonts w:ascii="Segoe UI Emoji" w:hAnsi="Segoe UI Emoji" w:eastAsia="Segoe UI Emoji" w:cs="Segoe UI Emoji"/>
          <w:sz w:val="19"/>
          <w:szCs w:val="19"/>
        </w:rPr>
        <w:t>应通过现场回灌试验，确定设计回灌压力、单井回灌量、回灌渗透系数及回灌影响半径等关键参数，并依据试验成果开展动态设计与方案优化</w:t>
      </w:r>
      <w:r>
        <w:rPr>
          <w:rFonts w:hint="eastAsia"/>
        </w:rPr>
        <w:t>。</w:t>
      </w:r>
    </w:p>
    <w:p w14:paraId="79BE3BC2">
      <w:pPr>
        <w:pStyle w:val="173"/>
      </w:pPr>
      <w:r>
        <w:rPr>
          <w:rFonts w:hint="eastAsia"/>
        </w:rPr>
        <w:t>同一种回灌管井结构，应进行不少于1组单井回灌试验，试验方法见本规程附录F。</w:t>
      </w:r>
    </w:p>
    <w:p w14:paraId="39C1A03B">
      <w:pPr>
        <w:pStyle w:val="173"/>
      </w:pPr>
      <w:r>
        <w:rPr>
          <w:rFonts w:hint="eastAsia"/>
        </w:rPr>
        <w:t>任意点的单井水位抬升可按公式（15）估算：</w:t>
      </w:r>
    </w:p>
    <w:p w14:paraId="4F0FD21E">
      <w:pPr>
        <w:wordWrap w:val="0"/>
        <w:spacing w:line="360" w:lineRule="auto"/>
        <w:ind w:firstLine="525" w:firstLineChars="250"/>
        <w:jc w:val="right"/>
        <w:rPr>
          <w:rFonts w:hint="eastAsia" w:ascii="宋体" w:hAnsi="宋体" w:cs="宋体"/>
        </w:rPr>
      </w:pPr>
      <w:r>
        <w:rPr>
          <w:color w:val="4472C4" w:themeColor="accent1"/>
          <w:position w:val="-24"/>
          <w14:textFill>
            <w14:solidFill>
              <w14:schemeClr w14:val="accent1"/>
            </w14:solidFill>
          </w14:textFill>
        </w:rPr>
        <w:object>
          <v:shape id="_x0000_i1042" o:spt="75" type="#_x0000_t75" style="height:33.25pt;width:115.8pt;" o:ole="t" filled="f" coordsize="21600,21600">
            <v:path/>
            <v:fill on="f" focussize="0,0"/>
            <v:stroke/>
            <v:imagedata r:id="rId85" o:title=""/>
            <o:lock v:ext="edit" aspectratio="t"/>
            <w10:wrap type="none"/>
            <w10:anchorlock/>
          </v:shape>
          <o:OLEObject Type="Embed" ProgID="Equation.DSMT4" ShapeID="_x0000_i1042" DrawAspect="Content" ObjectID="_1468075740" r:id="rId84">
            <o:LockedField>false</o:LockedField>
          </o:OLEObject>
        </w:object>
      </w:r>
      <w:r>
        <w:rPr>
          <w:rFonts w:hint="eastAsia" w:ascii="MS Gothic" w:hAnsi="MS Gothic" w:eastAsia="MS Gothic" w:cs="MS Gothic"/>
        </w:rPr>
        <w:fldChar w:fldCharType="begin"/>
      </w:r>
      <w:r>
        <w:rPr>
          <w:rFonts w:hint="eastAsia" w:ascii="MS Gothic" w:hAnsi="MS Gothic" w:eastAsia="MS Gothic" w:cs="MS Gothic"/>
        </w:rPr>
        <w:instrText xml:space="preserve"> QUOTE </w:instrText>
      </w:r>
      <w:r>
        <w:rPr>
          <w:position w:val="-23"/>
        </w:rPr>
        <w:pict>
          <v:shape id="_x0000_i1043" o:spt="75" type="#_x0000_t75" style="height:30.9pt;width:72.45pt;" filled="f" coordsize="21600,21600" equationxml="&lt;">
            <v:path/>
            <v:fill on="f" focussize="0,0"/>
            <v:stroke/>
            <v:imagedata r:id="rId86" chromakey="#FFFFFF" o:title=""/>
            <o:lock v:ext="edit" aspectratio="t"/>
            <w10:wrap type="none"/>
            <w10:anchorlock/>
          </v:shape>
        </w:pict>
      </w:r>
      <w:r>
        <w:rPr>
          <w:rFonts w:hint="eastAsia" w:ascii="MS Gothic" w:hAnsi="MS Gothic" w:eastAsia="MS Gothic" w:cs="MS Gothic"/>
        </w:rPr>
        <w:fldChar w:fldCharType="separate"/>
      </w:r>
      <w:r>
        <w:rPr>
          <w:rFonts w:hint="eastAsia" w:ascii="MS Gothic" w:hAnsi="MS Gothic" w:eastAsia="MS Gothic" w:cs="MS Gothic"/>
        </w:rPr>
        <w:fldChar w:fldCharType="end"/>
      </w:r>
      <w:r>
        <w:rPr>
          <w:rFonts w:hint="eastAsia" w:ascii="MS Gothic" w:hAnsi="MS Gothic" w:eastAsia="MS Gothic" w:cs="MS Gothic"/>
          <w:i/>
        </w:rPr>
        <w:t>  </w:t>
      </w:r>
      <w:r>
        <w:rPr>
          <w:rFonts w:hint="eastAsia" w:ascii="宋体" w:hAnsi="宋体" w:cs="宋体"/>
        </w:rPr>
        <w:t>                                         </w:t>
      </w:r>
      <w:bookmarkStart w:id="505" w:name="OLE_LINK5"/>
      <w:r>
        <w:rPr>
          <w:bCs/>
          <w:spacing w:val="4"/>
        </w:rPr>
        <w:t>（</w:t>
      </w:r>
      <w:r>
        <w:rPr>
          <w:rFonts w:hint="eastAsia" w:ascii="宋体" w:hAnsi="宋体" w:cs="宋体"/>
        </w:rPr>
        <w:t>15</w:t>
      </w:r>
      <w:r>
        <w:rPr>
          <w:bCs/>
          <w:spacing w:val="4"/>
        </w:rPr>
        <w:t>）</w:t>
      </w:r>
      <w:bookmarkEnd w:id="505"/>
    </w:p>
    <w:p w14:paraId="75EE34B8">
      <w:pPr>
        <w:pStyle w:val="15"/>
        <w:tabs>
          <w:tab w:val="left" w:pos="925"/>
          <w:tab w:val="left" w:pos="1613"/>
        </w:tabs>
        <w:spacing w:after="0" w:line="360" w:lineRule="auto"/>
        <w:ind w:left="630" w:leftChars="300"/>
        <w:jc w:val="left"/>
        <w:rPr>
          <w:w w:val="105"/>
        </w:rPr>
      </w:pPr>
      <w:r>
        <w:rPr>
          <w:w w:val="105"/>
        </w:rPr>
        <w:t>式中：</w:t>
      </w:r>
    </w:p>
    <w:p w14:paraId="77EBD053">
      <w:pPr>
        <w:spacing w:line="240" w:lineRule="auto"/>
        <w:ind w:left="630" w:leftChars="300"/>
        <w:jc w:val="left"/>
        <w:rPr>
          <w:rFonts w:hint="eastAsia" w:ascii="宋体" w:hAnsi="宋体" w:cs="宋体"/>
        </w:rPr>
      </w:pPr>
      <w:r>
        <w:rPr>
          <w:rFonts w:ascii="宋体" w:hAnsi="宋体" w:cs="宋体"/>
        </w:rPr>
        <w:t>Q</w:t>
      </w:r>
      <w:r>
        <w:rPr>
          <w:rFonts w:ascii="宋体" w:hAnsi="宋体" w:cs="宋体"/>
          <w:vertAlign w:val="superscript"/>
        </w:rPr>
        <w:t>*</w:t>
      </w:r>
      <w:r>
        <w:rPr>
          <w:rFonts w:hint="eastAsia" w:ascii="宋体" w:hAnsi="宋体" w:cs="宋体"/>
        </w:rPr>
        <w:fldChar w:fldCharType="begin"/>
      </w:r>
      <w:r>
        <w:rPr>
          <w:rFonts w:hint="eastAsia" w:ascii="宋体" w:hAnsi="宋体" w:cs="宋体"/>
        </w:rPr>
        <w:instrText xml:space="preserve"> QUOTE </w:instrText>
      </w:r>
      <w:r>
        <w:rPr>
          <w:position w:val="-8"/>
        </w:rPr>
        <w:pict>
          <v:shape id="_x0000_i1044" o:spt="75" type="#_x0000_t75" style="height:16.15pt;width:11.1pt;" filled="f" coordsize="21600,21600" equationxml="&lt;">
            <v:path/>
            <v:fill on="f" focussize="0,0"/>
            <v:stroke/>
            <v:imagedata r:id="rId87" chromakey="#FFFFFF" o:title=""/>
            <o:lock v:ext="edit" aspectratio="t"/>
            <w10:wrap type="none"/>
            <w10:anchorlock/>
          </v:shape>
        </w:pict>
      </w:r>
      <w:r>
        <w:rPr>
          <w:rFonts w:hint="eastAsia" w:ascii="宋体" w:hAnsi="宋体" w:cs="宋体"/>
        </w:rPr>
        <w:fldChar w:fldCharType="separate"/>
      </w:r>
      <w:r>
        <w:rPr>
          <w:rFonts w:hint="eastAsia" w:ascii="宋体" w:hAnsi="宋体" w:cs="宋体"/>
        </w:rPr>
        <w:fldChar w:fldCharType="end"/>
      </w:r>
      <w:r>
        <w:rPr>
          <w:rFonts w:hint="eastAsia" w:ascii="宋体" w:hAnsi="宋体" w:cs="宋体"/>
        </w:rPr>
        <w:t>——单井回灌量，m</w:t>
      </w:r>
      <w:r>
        <w:rPr>
          <w:rFonts w:hint="eastAsia" w:ascii="宋体" w:hAnsi="宋体" w:cs="宋体"/>
          <w:vertAlign w:val="superscript"/>
        </w:rPr>
        <w:t>3</w:t>
      </w:r>
      <w:r>
        <w:rPr>
          <w:rFonts w:hint="eastAsia" w:ascii="宋体" w:hAnsi="宋体" w:cs="宋体"/>
        </w:rPr>
        <w:t>/d，由回灌试验获取，试验方法见附录F；</w:t>
      </w:r>
    </w:p>
    <w:p w14:paraId="082F98F9">
      <w:pPr>
        <w:spacing w:line="240" w:lineRule="auto"/>
        <w:ind w:left="630" w:leftChars="300"/>
        <w:jc w:val="left"/>
        <w:rPr>
          <w:rFonts w:hint="eastAsia" w:ascii="宋体" w:hAnsi="宋体" w:cs="宋体"/>
        </w:rPr>
      </w:pPr>
      <w:r>
        <w:rPr>
          <w:rFonts w:hint="eastAsia" w:ascii="宋体" w:hAnsi="宋体" w:cs="宋体"/>
        </w:rPr>
        <w:t>K</w:t>
      </w:r>
      <w:r>
        <w:rPr>
          <w:rFonts w:ascii="宋体" w:hAnsi="宋体" w:cs="宋体"/>
          <w:vertAlign w:val="superscript"/>
        </w:rPr>
        <w:t>*</w:t>
      </w:r>
      <w:r>
        <w:rPr>
          <w:rFonts w:hint="eastAsia" w:ascii="宋体" w:hAnsi="宋体" w:cs="宋体"/>
        </w:rPr>
        <w:fldChar w:fldCharType="begin"/>
      </w:r>
      <w:r>
        <w:rPr>
          <w:rFonts w:hint="eastAsia" w:ascii="宋体" w:hAnsi="宋体" w:cs="宋体"/>
        </w:rPr>
        <w:instrText xml:space="preserve"> QUOTE </w:instrText>
      </w:r>
      <w:r>
        <w:rPr>
          <w:position w:val="-8"/>
        </w:rPr>
        <w:pict>
          <v:shape id="_x0000_i1045" o:spt="75" type="#_x0000_t75" style="height:16.15pt;width:12pt;" filled="f" coordsize="21600,21600" equationxml="&lt;">
            <v:path/>
            <v:fill on="f" focussize="0,0"/>
            <v:stroke/>
            <v:imagedata r:id="rId88" chromakey="#FFFFFF" o:title=""/>
            <o:lock v:ext="edit" aspectratio="t"/>
            <w10:wrap type="none"/>
            <w10:anchorlock/>
          </v:shape>
        </w:pict>
      </w:r>
      <w:r>
        <w:rPr>
          <w:rFonts w:hint="eastAsia" w:ascii="宋体" w:hAnsi="宋体" w:cs="宋体"/>
        </w:rPr>
        <w:fldChar w:fldCharType="separate"/>
      </w:r>
      <w:r>
        <w:rPr>
          <w:rFonts w:hint="eastAsia" w:ascii="宋体" w:hAnsi="宋体" w:cs="宋体"/>
        </w:rPr>
        <w:fldChar w:fldCharType="end"/>
      </w:r>
      <w:r>
        <w:rPr>
          <w:rFonts w:hint="eastAsia" w:ascii="宋体" w:hAnsi="宋体" w:cs="宋体"/>
        </w:rPr>
        <w:t>——回灌渗透系数，m/d</w:t>
      </w:r>
      <w:bookmarkStart w:id="506" w:name="OLE_LINK4"/>
      <w:r>
        <w:rPr>
          <w:rFonts w:hint="eastAsia" w:ascii="宋体" w:hAnsi="宋体" w:cs="宋体"/>
        </w:rPr>
        <w:t>，由回灌试验获取，试验方法见附录F；</w:t>
      </w:r>
      <w:bookmarkEnd w:id="506"/>
    </w:p>
    <w:p w14:paraId="2F2A6557">
      <w:pPr>
        <w:spacing w:line="240" w:lineRule="auto"/>
        <w:ind w:left="630" w:leftChars="300"/>
        <w:jc w:val="left"/>
        <w:rPr>
          <w:rFonts w:hint="eastAsia" w:ascii="宋体" w:hAnsi="宋体" w:cs="宋体"/>
        </w:rPr>
      </w:pPr>
      <w:r>
        <w:rPr>
          <w:rFonts w:hint="eastAsia" w:ascii="宋体" w:hAnsi="宋体" w:cs="宋体"/>
        </w:rPr>
        <w:t>S</w:t>
      </w:r>
      <w:r>
        <w:rPr>
          <w:rFonts w:ascii="宋体" w:hAnsi="宋体" w:cs="宋体"/>
          <w:vertAlign w:val="superscript"/>
        </w:rPr>
        <w:t>*</w:t>
      </w:r>
      <w:r>
        <w:rPr>
          <w:rFonts w:hint="eastAsia" w:ascii="宋体" w:hAnsi="宋体" w:cs="宋体"/>
        </w:rPr>
        <w:fldChar w:fldCharType="begin"/>
      </w:r>
      <w:r>
        <w:rPr>
          <w:rFonts w:hint="eastAsia" w:ascii="宋体" w:hAnsi="宋体" w:cs="宋体"/>
        </w:rPr>
        <w:instrText xml:space="preserve"> QUOTE </w:instrText>
      </w:r>
      <w:r>
        <w:rPr>
          <w:position w:val="-8"/>
        </w:rPr>
        <w:pict>
          <v:shape id="_x0000_i1046" o:spt="75" type="#_x0000_t75" style="height:16.15pt;width:10.6pt;" filled="f" coordsize="21600,21600" equationxml="&lt;">
            <v:path/>
            <v:fill on="f" focussize="0,0"/>
            <v:stroke/>
            <v:imagedata r:id="rId89" chromakey="#FFFFFF" o:title=""/>
            <o:lock v:ext="edit" aspectratio="t"/>
            <w10:wrap type="none"/>
            <w10:anchorlock/>
          </v:shape>
        </w:pict>
      </w:r>
      <w:r>
        <w:rPr>
          <w:rFonts w:hint="eastAsia" w:ascii="宋体" w:hAnsi="宋体" w:cs="宋体"/>
        </w:rPr>
        <w:fldChar w:fldCharType="separate"/>
      </w:r>
      <w:r>
        <w:rPr>
          <w:rFonts w:hint="eastAsia" w:ascii="宋体" w:hAnsi="宋体" w:cs="宋体"/>
        </w:rPr>
        <w:fldChar w:fldCharType="end"/>
      </w:r>
      <w:r>
        <w:rPr>
          <w:rFonts w:hint="eastAsia" w:ascii="宋体" w:hAnsi="宋体" w:cs="宋体"/>
        </w:rPr>
        <w:t>——水位抬升值，m；</w:t>
      </w:r>
    </w:p>
    <w:p w14:paraId="3545D594">
      <w:pPr>
        <w:spacing w:line="240" w:lineRule="auto"/>
        <w:ind w:left="630" w:leftChars="300"/>
        <w:jc w:val="left"/>
        <w:rPr>
          <w:rFonts w:hint="eastAsia" w:ascii="宋体" w:hAnsi="宋体" w:cs="宋体"/>
        </w:rPr>
      </w:pPr>
      <w:r>
        <w:rPr>
          <w:rFonts w:hint="eastAsia" w:ascii="宋体" w:hAnsi="宋体" w:cs="宋体"/>
        </w:rPr>
        <w:t>M——含水层厚度，m；</w:t>
      </w:r>
    </w:p>
    <w:p w14:paraId="54B7BC67">
      <w:pPr>
        <w:spacing w:line="240" w:lineRule="auto"/>
        <w:ind w:left="630" w:leftChars="300"/>
        <w:jc w:val="left"/>
        <w:rPr>
          <w:rFonts w:hint="eastAsia" w:ascii="宋体" w:hAnsi="宋体" w:cs="宋体"/>
          <w:iCs/>
        </w:rPr>
      </w:pPr>
      <w:r>
        <w:rPr>
          <w:rFonts w:hint="eastAsia" w:ascii="宋体" w:hAnsi="宋体" w:cs="宋体"/>
        </w:rPr>
        <w:t>R</w:t>
      </w:r>
      <w:r>
        <w:rPr>
          <w:rFonts w:ascii="宋体" w:hAnsi="宋体" w:cs="宋体"/>
          <w:vertAlign w:val="superscript"/>
        </w:rPr>
        <w:t>*</w:t>
      </w:r>
      <w:r>
        <w:rPr>
          <w:rFonts w:hint="eastAsia" w:ascii="宋体" w:hAnsi="宋体" w:cs="宋体"/>
        </w:rPr>
        <w:fldChar w:fldCharType="begin"/>
      </w:r>
      <w:r>
        <w:rPr>
          <w:rFonts w:hint="eastAsia" w:ascii="宋体" w:hAnsi="宋体" w:cs="宋体"/>
        </w:rPr>
        <w:instrText xml:space="preserve"> QUOTE </w:instrText>
      </w:r>
      <w:r>
        <w:rPr>
          <w:position w:val="-8"/>
        </w:rPr>
        <w:pict>
          <v:shape id="_x0000_i1047" o:spt="75" type="#_x0000_t75" style="height:16.15pt;width:11.1pt;" filled="f" coordsize="21600,21600" equationxml="&lt;">
            <v:path/>
            <v:fill on="f" focussize="0,0"/>
            <v:stroke/>
            <v:imagedata r:id="rId90" chromakey="#FFFFFF" o:title=""/>
            <o:lock v:ext="edit" aspectratio="t"/>
            <w10:wrap type="none"/>
            <w10:anchorlock/>
          </v:shape>
        </w:pict>
      </w:r>
      <w:r>
        <w:rPr>
          <w:rFonts w:hint="eastAsia" w:ascii="宋体" w:hAnsi="宋体" w:cs="宋体"/>
        </w:rPr>
        <w:fldChar w:fldCharType="separate"/>
      </w:r>
      <w:r>
        <w:rPr>
          <w:rFonts w:hint="eastAsia" w:ascii="宋体" w:hAnsi="宋体" w:cs="宋体"/>
        </w:rPr>
        <w:fldChar w:fldCharType="end"/>
      </w:r>
      <w:r>
        <w:rPr>
          <w:rFonts w:hint="eastAsia" w:ascii="宋体" w:hAnsi="宋体" w:cs="宋体"/>
        </w:rPr>
        <w:t>——回灌影响半径，m，由回灌试验获取，试验方法见</w:t>
      </w:r>
      <w:r>
        <w:rPr>
          <w:rFonts w:hint="eastAsia" w:ascii="宋体" w:hAnsi="宋体" w:cs="宋体"/>
          <w:iCs/>
        </w:rPr>
        <w:t>附录F；</w:t>
      </w:r>
    </w:p>
    <w:p w14:paraId="6E5FB872">
      <w:pPr>
        <w:spacing w:line="240" w:lineRule="auto"/>
        <w:ind w:left="630" w:leftChars="300"/>
        <w:jc w:val="left"/>
        <w:rPr>
          <w:rFonts w:hint="eastAsia" w:ascii="宋体" w:hAnsi="宋体" w:cs="宋体"/>
        </w:rPr>
      </w:pPr>
      <w:r>
        <w:rPr>
          <w:rFonts w:hint="eastAsia" w:ascii="宋体" w:hAnsi="宋体" w:cs="宋体"/>
        </w:rPr>
        <w:t>r</w:t>
      </w:r>
      <w:r>
        <w:rPr>
          <w:rFonts w:ascii="宋体" w:hAnsi="宋体" w:cs="宋体"/>
          <w:vertAlign w:val="superscript"/>
        </w:rPr>
        <w:t>*</w:t>
      </w:r>
      <w:r>
        <w:rPr>
          <w:rFonts w:hint="eastAsia" w:ascii="宋体" w:hAnsi="宋体" w:cs="宋体"/>
        </w:rPr>
        <w:fldChar w:fldCharType="begin"/>
      </w:r>
      <w:r>
        <w:rPr>
          <w:rFonts w:hint="eastAsia" w:ascii="宋体" w:hAnsi="宋体" w:cs="宋体"/>
        </w:rPr>
        <w:instrText xml:space="preserve"> QUOTE </w:instrText>
      </w:r>
      <w:r>
        <w:rPr>
          <w:position w:val="-8"/>
        </w:rPr>
        <w:pict>
          <v:shape id="_x0000_i1048" o:spt="75" type="#_x0000_t75" style="height:16.15pt;width:10.6pt;" filled="f" coordsize="21600,21600" equationxml="&lt;">
            <v:path/>
            <v:fill on="f" focussize="0,0"/>
            <v:stroke/>
            <v:imagedata r:id="rId91" chromakey="#FFFFFF" o:title=""/>
            <o:lock v:ext="edit" aspectratio="t"/>
            <w10:wrap type="none"/>
            <w10:anchorlock/>
          </v:shape>
        </w:pict>
      </w:r>
      <w:r>
        <w:rPr>
          <w:rFonts w:hint="eastAsia" w:ascii="宋体" w:hAnsi="宋体" w:cs="宋体"/>
        </w:rPr>
        <w:fldChar w:fldCharType="separate"/>
      </w:r>
      <w:r>
        <w:rPr>
          <w:rFonts w:hint="eastAsia" w:ascii="宋体" w:hAnsi="宋体" w:cs="宋体"/>
        </w:rPr>
        <w:fldChar w:fldCharType="end"/>
      </w:r>
      <w:r>
        <w:rPr>
          <w:rFonts w:hint="eastAsia" w:ascii="宋体" w:hAnsi="宋体" w:cs="宋体"/>
        </w:rPr>
        <w:t>——回灌井至计算点的距离，m。</w:t>
      </w:r>
    </w:p>
    <w:p w14:paraId="504397A1">
      <w:pPr>
        <w:pStyle w:val="173"/>
      </w:pPr>
      <w:r>
        <w:rPr>
          <w:rFonts w:hint="eastAsia"/>
        </w:rPr>
        <w:t>在回灌设计时应考虑帷幕的隔渗作用及多井回灌的井群效应，必要时可建立三维渗流模型通过数值方法求解。</w:t>
      </w:r>
    </w:p>
    <w:p w14:paraId="3F032557">
      <w:pPr>
        <w:pStyle w:val="173"/>
      </w:pPr>
      <w:r>
        <w:rPr>
          <w:rFonts w:hint="eastAsia"/>
        </w:rPr>
        <w:t>回灌井平面布设应遵循以下原则：</w:t>
      </w:r>
    </w:p>
    <w:p w14:paraId="35905ACD">
      <w:pPr>
        <w:pStyle w:val="182"/>
        <w:numPr>
          <w:ilvl w:val="0"/>
          <w:numId w:val="86"/>
        </w:numPr>
        <w:ind w:left="845" w:hanging="425"/>
      </w:pPr>
      <w:r>
        <w:rPr>
          <w:rFonts w:hint="eastAsia"/>
        </w:rPr>
        <w:t>回灌井与受保护建（构）筑物或基坑隔渗帷幕的距离应根据具体工程情况分析确定；</w:t>
      </w:r>
    </w:p>
    <w:p w14:paraId="3AB27A86">
      <w:pPr>
        <w:pStyle w:val="182"/>
        <w:numPr>
          <w:ilvl w:val="0"/>
          <w:numId w:val="86"/>
        </w:numPr>
        <w:ind w:left="845" w:hanging="425"/>
      </w:pPr>
      <w:r>
        <w:rPr>
          <w:rFonts w:hint="eastAsia"/>
        </w:rPr>
        <w:t>回灌井与降水管井间距不宜小于10m。</w:t>
      </w:r>
    </w:p>
    <w:p w14:paraId="1BA8691A">
      <w:pPr>
        <w:pStyle w:val="173"/>
        <w:rPr>
          <w:color w:val="000000" w:themeColor="text1"/>
          <w14:textFill>
            <w14:solidFill>
              <w14:schemeClr w14:val="tx1"/>
            </w14:solidFill>
          </w14:textFill>
        </w:rPr>
      </w:pPr>
      <w:r>
        <w:rPr>
          <w:rFonts w:hint="eastAsia"/>
          <w:color w:val="000000" w:themeColor="text1"/>
          <w14:textFill>
            <w14:solidFill>
              <w14:schemeClr w14:val="tx1"/>
            </w14:solidFill>
          </w14:textFill>
        </w:rPr>
        <w:t>回灌井间距应根据回灌控制水位、场地水文地质条件及回灌试验综合确定，回灌井水平间距宜控制在5m～10m之间。当回灌井邻近建（构）筑物时，回灌井宜成对布置，每一对回灌井间距不宜大于5m。</w:t>
      </w:r>
    </w:p>
    <w:p w14:paraId="14BDA86A">
      <w:pPr>
        <w:pStyle w:val="173"/>
        <w:rPr>
          <w:color w:val="000000" w:themeColor="text1"/>
          <w14:textFill>
            <w14:solidFill>
              <w14:schemeClr w14:val="tx1"/>
            </w14:solidFill>
          </w14:textFill>
        </w:rPr>
      </w:pPr>
      <w:r>
        <w:rPr>
          <w:rFonts w:hint="eastAsia"/>
        </w:rPr>
        <w:t>在回灌设计中应考虑备用回灌井，备用回灌井数量不宜小于设计回灌井井数</w:t>
      </w:r>
      <w:r>
        <w:rPr>
          <w:rFonts w:hint="eastAsia"/>
          <w:color w:val="000000" w:themeColor="text1"/>
          <w14:textFill>
            <w14:solidFill>
              <w14:schemeClr w14:val="tx1"/>
            </w14:solidFill>
          </w14:textFill>
        </w:rPr>
        <w:t>的25 %，且不应少于1口。备用回灌井可兼做水位观测井使用。</w:t>
      </w:r>
    </w:p>
    <w:p w14:paraId="124D604E">
      <w:pPr>
        <w:pStyle w:val="173"/>
        <w:rPr>
          <w:color w:val="000000" w:themeColor="text1"/>
          <w14:textFill>
            <w14:solidFill>
              <w14:schemeClr w14:val="tx1"/>
            </w14:solidFill>
          </w14:textFill>
        </w:rPr>
      </w:pPr>
      <w:r>
        <w:rPr>
          <w:rFonts w:hint="eastAsia"/>
          <w:color w:val="000000" w:themeColor="text1"/>
          <w14:textFill>
            <w14:solidFill>
              <w14:schemeClr w14:val="tx1"/>
            </w14:solidFill>
          </w14:textFill>
        </w:rPr>
        <w:t>回灌井结构应结合场地水文地质条件、帷幕深度、回灌压力、回灌方式、受保护建（构）筑物的基础形式等因素综合确定。回灌井一般由井壁管、过滤管、沉淀管、填砾层、隔水封闭层等组成。</w:t>
      </w:r>
    </w:p>
    <w:p w14:paraId="559ADBE0">
      <w:pPr>
        <w:pStyle w:val="173"/>
        <w:rPr>
          <w:color w:val="000000" w:themeColor="text1"/>
          <w14:textFill>
            <w14:solidFill>
              <w14:schemeClr w14:val="tx1"/>
            </w14:solidFill>
          </w14:textFill>
        </w:rPr>
      </w:pPr>
      <w:r>
        <w:rPr>
          <w:color w:val="000000" w:themeColor="text1"/>
          <w14:textFill>
            <w14:solidFill>
              <w14:schemeClr w14:val="tx1"/>
            </w14:solidFill>
          </w14:textFill>
        </w:rPr>
        <w:t>回灌井</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滤水管应满足下列要求：</w:t>
      </w:r>
    </w:p>
    <w:p w14:paraId="1662ACD1">
      <w:pPr>
        <w:pStyle w:val="182"/>
        <w:numPr>
          <w:ilvl w:val="0"/>
          <w:numId w:val="87"/>
        </w:numPr>
        <w:ind w:left="845" w:hanging="425"/>
      </w:pPr>
      <w:r>
        <w:rPr>
          <w:rFonts w:hint="eastAsia"/>
        </w:rPr>
        <w:t>宜采用桥式滤水管；</w:t>
      </w:r>
    </w:p>
    <w:p w14:paraId="4CE0279A">
      <w:pPr>
        <w:pStyle w:val="182"/>
        <w:numPr>
          <w:ilvl w:val="0"/>
          <w:numId w:val="87"/>
        </w:numPr>
        <w:ind w:left="845" w:hanging="425"/>
      </w:pPr>
      <w:r>
        <w:rPr>
          <w:rFonts w:hint="eastAsia"/>
        </w:rPr>
        <w:t>滤水管骨架管孔隙率不应小于25%；</w:t>
      </w:r>
    </w:p>
    <w:p w14:paraId="2ADEBA4F">
      <w:pPr>
        <w:pStyle w:val="182"/>
        <w:numPr>
          <w:ilvl w:val="0"/>
          <w:numId w:val="87"/>
        </w:numPr>
        <w:ind w:left="845" w:hanging="425"/>
      </w:pPr>
      <w:r>
        <w:rPr>
          <w:rFonts w:hint="eastAsia"/>
        </w:rPr>
        <w:t>滤水管外应采用单层30目～40目尼龙网包裹，尼龙网搭接长度应为尼龙网单幅宽度的20%</w:t>
      </w:r>
      <w:bookmarkStart w:id="507" w:name="OLE_LINK9"/>
      <w:r>
        <w:rPr>
          <w:rFonts w:hint="eastAsia"/>
        </w:rPr>
        <w:t>～</w:t>
      </w:r>
      <w:bookmarkEnd w:id="507"/>
      <w:r>
        <w:rPr>
          <w:rFonts w:hint="eastAsia"/>
        </w:rPr>
        <w:t xml:space="preserve">50%； </w:t>
      </w:r>
    </w:p>
    <w:p w14:paraId="53ACD6FD">
      <w:pPr>
        <w:pStyle w:val="182"/>
        <w:numPr>
          <w:ilvl w:val="0"/>
          <w:numId w:val="87"/>
        </w:numPr>
        <w:ind w:left="845" w:hanging="425"/>
        <w:rPr>
          <w:rFonts w:hint="eastAsia" w:hAnsi="宋体" w:cs="宋体"/>
          <w:color w:val="000000" w:themeColor="text1"/>
          <w:szCs w:val="21"/>
          <w14:textFill>
            <w14:solidFill>
              <w14:schemeClr w14:val="tx1"/>
            </w14:solidFill>
          </w14:textFill>
        </w:rPr>
      </w:pPr>
      <w:r>
        <w:rPr>
          <w:rFonts w:hint="eastAsia"/>
        </w:rPr>
        <w:t>桥式过滤器可不缠丝直接在滤水管外包尼龙网；缠丝过滤器的缠丝材料应采用无毒、抗拉强度大和膨胀</w:t>
      </w:r>
      <w:r>
        <w:rPr>
          <w:rFonts w:hAnsi="宋体" w:cs="宋体"/>
          <w:color w:val="000000" w:themeColor="text1"/>
          <w:szCs w:val="21"/>
          <w14:textFill>
            <w14:solidFill>
              <w14:schemeClr w14:val="tx1"/>
            </w14:solidFill>
          </w14:textFill>
        </w:rPr>
        <w:t>系数小的材料。缠丝断面形状宜为梯形或三角形，缠丝间距允许偏差为设计丝距的±20%。</w:t>
      </w:r>
    </w:p>
    <w:p w14:paraId="69B74212">
      <w:pPr>
        <w:pStyle w:val="173"/>
        <w:rPr>
          <w:color w:val="000000" w:themeColor="text1"/>
          <w14:textFill>
            <w14:solidFill>
              <w14:schemeClr w14:val="tx1"/>
            </w14:solidFill>
          </w14:textFill>
        </w:rPr>
      </w:pPr>
      <w:r>
        <w:rPr>
          <w:color w:val="000000" w:themeColor="text1"/>
          <w14:textFill>
            <w14:solidFill>
              <w14:schemeClr w14:val="tx1"/>
            </w14:solidFill>
          </w14:textFill>
        </w:rPr>
        <w:t>回灌井</w:t>
      </w:r>
      <w:r>
        <w:rPr>
          <w:rFonts w:hint="eastAsia"/>
          <w:color w:val="000000" w:themeColor="text1"/>
          <w14:textFill>
            <w14:solidFill>
              <w14:schemeClr w14:val="tx1"/>
            </w14:solidFill>
          </w14:textFill>
        </w:rPr>
        <w:t>的滤料应满足下列要求:</w:t>
      </w:r>
    </w:p>
    <w:p w14:paraId="4F1B4845">
      <w:pPr>
        <w:pStyle w:val="182"/>
        <w:numPr>
          <w:ilvl w:val="0"/>
          <w:numId w:val="88"/>
        </w:numPr>
        <w:ind w:left="845" w:hanging="425"/>
      </w:pPr>
      <w:r>
        <w:rPr>
          <w:rFonts w:hint="eastAsia"/>
          <w:color w:val="000000" w:themeColor="text1"/>
          <w14:textFill>
            <w14:solidFill>
              <w14:schemeClr w14:val="tx1"/>
            </w14:solidFill>
          </w14:textFill>
        </w:rPr>
        <w:t>砾</w:t>
      </w:r>
      <w:r>
        <w:rPr>
          <w:rFonts w:hint="eastAsia"/>
        </w:rPr>
        <w:t>料应采用磨圆度好的硅质砾石，严禁以碎石作滤料，含泥量应小于1%；</w:t>
      </w:r>
    </w:p>
    <w:p w14:paraId="6A43159A">
      <w:pPr>
        <w:pStyle w:val="182"/>
        <w:numPr>
          <w:ilvl w:val="0"/>
          <w:numId w:val="88"/>
        </w:numPr>
        <w:ind w:left="845" w:hanging="425"/>
      </w:pPr>
      <w:r>
        <w:rPr>
          <w:rFonts w:hint="eastAsia"/>
        </w:rPr>
        <w:t>填砾的中位粒径D50应为含水层中位粒径d50的8～12倍；</w:t>
      </w:r>
    </w:p>
    <w:p w14:paraId="4B734ADA">
      <w:pPr>
        <w:pStyle w:val="182"/>
        <w:numPr>
          <w:ilvl w:val="0"/>
          <w:numId w:val="88"/>
        </w:numPr>
        <w:ind w:left="845" w:hanging="425"/>
      </w:pPr>
      <w:r>
        <w:rPr>
          <w:rFonts w:hint="eastAsia"/>
        </w:rPr>
        <w:t>填砾高度应根据滤水管的位置确定，其顶面标高宜高出滤水管上端1m以上；</w:t>
      </w:r>
    </w:p>
    <w:p w14:paraId="362403B0">
      <w:pPr>
        <w:pStyle w:val="182"/>
        <w:numPr>
          <w:ilvl w:val="0"/>
          <w:numId w:val="88"/>
        </w:numPr>
        <w:ind w:left="845" w:hanging="425"/>
        <w:rPr>
          <w:color w:val="000000" w:themeColor="text1"/>
          <w14:textFill>
            <w14:solidFill>
              <w14:schemeClr w14:val="tx1"/>
            </w14:solidFill>
          </w14:textFill>
        </w:rPr>
      </w:pPr>
      <w:r>
        <w:rPr>
          <w:rFonts w:hint="eastAsia"/>
        </w:rPr>
        <w:t>井管外填砾</w:t>
      </w:r>
      <w:r>
        <w:rPr>
          <w:rFonts w:hint="eastAsia"/>
          <w:color w:val="000000" w:themeColor="text1"/>
          <w14:textFill>
            <w14:solidFill>
              <w14:schemeClr w14:val="tx1"/>
            </w14:solidFill>
          </w14:textFill>
        </w:rPr>
        <w:t>层厚度应均匀，填砾层厚度不宜小于150mm。</w:t>
      </w:r>
    </w:p>
    <w:p w14:paraId="5DC94B6C">
      <w:pPr>
        <w:pStyle w:val="173"/>
      </w:pPr>
      <w:r>
        <w:t>回灌系统由回灌井、地下水位观测井</w:t>
      </w:r>
      <w:r>
        <w:rPr>
          <w:rFonts w:hint="eastAsia"/>
        </w:rPr>
        <w:t>、管路系统、控制系统、计量系统、水源输送系统、水质处理系统、回扬系统等组成，采用加压回灌时应配置加压系统等相关设施。</w:t>
      </w:r>
    </w:p>
    <w:p w14:paraId="198C2CD2">
      <w:pPr>
        <w:pStyle w:val="113"/>
        <w:keepNext/>
        <w:spacing w:before="156" w:after="156"/>
      </w:pPr>
      <w:bookmarkStart w:id="508" w:name="_Toc25876"/>
      <w:bookmarkStart w:id="509" w:name="_Toc224217426"/>
      <w:r>
        <w:rPr>
          <w:rFonts w:hint="eastAsia"/>
        </w:rPr>
        <w:t>施工</w:t>
      </w:r>
      <w:bookmarkEnd w:id="508"/>
      <w:bookmarkEnd w:id="509"/>
    </w:p>
    <w:p w14:paraId="2747E7C3">
      <w:pPr>
        <w:pStyle w:val="173"/>
      </w:pPr>
      <w:bookmarkStart w:id="510" w:name="_Toc7875"/>
      <w:bookmarkStart w:id="511" w:name="_Toc9646"/>
      <w:r>
        <w:rPr>
          <w:rFonts w:hint="eastAsia"/>
        </w:rPr>
        <w:t>回灌井的成孔、井管安装、滤料投放、洗井等按本文件9.8.2条及湖北省地方标准DB42/T 830《基坑管井降水工程技术规程》的有关规定执行。</w:t>
      </w:r>
    </w:p>
    <w:bookmarkEnd w:id="510"/>
    <w:bookmarkEnd w:id="511"/>
    <w:p w14:paraId="0B9403F8">
      <w:pPr>
        <w:pStyle w:val="173"/>
        <w:rPr>
          <w:rFonts w:ascii="Times New Roman"/>
          <w:szCs w:val="21"/>
        </w:rPr>
      </w:pPr>
      <w:bookmarkStart w:id="512" w:name="_Toc21551"/>
      <w:bookmarkStart w:id="513" w:name="_Toc28192"/>
      <w:r>
        <w:rPr>
          <w:rFonts w:ascii="Times New Roman"/>
          <w:szCs w:val="21"/>
        </w:rPr>
        <w:t>隔水</w:t>
      </w:r>
      <w:bookmarkEnd w:id="512"/>
      <w:bookmarkEnd w:id="513"/>
      <w:r>
        <w:rPr>
          <w:rFonts w:hint="eastAsia" w:ascii="Times New Roman"/>
          <w:szCs w:val="21"/>
        </w:rPr>
        <w:t>封闭</w:t>
      </w:r>
      <w:r>
        <w:rPr>
          <w:rFonts w:hint="eastAsia"/>
        </w:rPr>
        <w:t>应符合下列要求：</w:t>
      </w:r>
    </w:p>
    <w:p w14:paraId="0A3D059D">
      <w:pPr>
        <w:pStyle w:val="182"/>
        <w:numPr>
          <w:ilvl w:val="0"/>
          <w:numId w:val="89"/>
        </w:numPr>
        <w:ind w:left="845" w:hanging="425"/>
      </w:pPr>
      <w:r>
        <w:rPr>
          <w:rFonts w:hint="eastAsia"/>
        </w:rPr>
        <w:t>井壁管隔水封闭方法应根据地层空间分布、地层特性、水头压力、地下水位等因素确定，宜采用两段式隔水封闭方法。滤料上方的黏土球封闭层的垂向厚度不宜小于3m，黏土球封闭层顶至地面段可采用浇筑混凝土或填入瓜米石后注浆封填；</w:t>
      </w:r>
    </w:p>
    <w:p w14:paraId="0868638B">
      <w:pPr>
        <w:pStyle w:val="182"/>
        <w:numPr>
          <w:ilvl w:val="0"/>
          <w:numId w:val="89"/>
        </w:numPr>
        <w:ind w:left="845" w:hanging="425"/>
      </w:pPr>
      <w:r>
        <w:rPr>
          <w:rFonts w:hint="eastAsia"/>
        </w:rPr>
        <w:t>封填黏土材料应采用压制成的风干、半风干黏土球，直径宜为20～30mm；制作黏土球的黏土要求粘粒含量20～40%，塑性指数大于17。同批次黏土球土性检测数量不应少于5个，采用搓条法检验；</w:t>
      </w:r>
    </w:p>
    <w:p w14:paraId="68D0968A">
      <w:pPr>
        <w:pStyle w:val="182"/>
        <w:numPr>
          <w:ilvl w:val="0"/>
          <w:numId w:val="89"/>
        </w:numPr>
        <w:ind w:left="845" w:hanging="425"/>
      </w:pPr>
      <w:r>
        <w:rPr>
          <w:rFonts w:hint="eastAsia"/>
        </w:rPr>
        <w:t>应将黏土球沿井壁四周均匀、分层、缓慢、连续填入，不得用装载机或手推车直接倒入，并随填随测填入高度与数量，投入量不得少于计算量的95%。当填入量与计算量及填入位置之间出现异常时，应及时分析原因并予以处理；</w:t>
      </w:r>
    </w:p>
    <w:p w14:paraId="3088AAD8">
      <w:pPr>
        <w:pStyle w:val="182"/>
        <w:numPr>
          <w:ilvl w:val="0"/>
          <w:numId w:val="89"/>
        </w:numPr>
        <w:ind w:left="845" w:hanging="425"/>
      </w:pPr>
      <w:bookmarkStart w:id="514" w:name="OLE_LINK3"/>
      <w:r>
        <w:rPr>
          <w:rFonts w:hint="eastAsia"/>
        </w:rPr>
        <w:t>注浆隔水宜布设“品”字形注浆点，沿回灌井管周围埋设3根注浆管，</w:t>
      </w:r>
      <w:bookmarkStart w:id="515" w:name="OLE_LINK2"/>
      <w:r>
        <w:rPr>
          <w:rFonts w:hint="eastAsia"/>
        </w:rPr>
        <w:t>均匀注浆至地表</w:t>
      </w:r>
      <w:bookmarkEnd w:id="515"/>
      <w:r>
        <w:rPr>
          <w:rFonts w:hint="eastAsia"/>
        </w:rPr>
        <w:t>。</w:t>
      </w:r>
      <w:bookmarkEnd w:id="514"/>
      <w:r>
        <w:rPr>
          <w:rFonts w:hint="eastAsia"/>
        </w:rPr>
        <w:t>注浆管应穿过填土层并宜埋入黏土球封填段一定深度，但应控制注浆深度及注浆压力，浆液不得沿井壁管注入下部滤料层内；</w:t>
      </w:r>
    </w:p>
    <w:p w14:paraId="18570448">
      <w:pPr>
        <w:pStyle w:val="182"/>
        <w:numPr>
          <w:ilvl w:val="0"/>
          <w:numId w:val="89"/>
        </w:numPr>
        <w:ind w:left="845" w:hanging="425"/>
      </w:pPr>
      <w:r>
        <w:rPr>
          <w:rFonts w:hint="eastAsia"/>
        </w:rPr>
        <w:t>井口附近采用预注浆形成止浆压盖时宜采用双液注浆工艺，注浆压力应结合扩散半径现场试验确定；</w:t>
      </w:r>
    </w:p>
    <w:p w14:paraId="2AFD7D76">
      <w:pPr>
        <w:pStyle w:val="182"/>
        <w:numPr>
          <w:ilvl w:val="0"/>
          <w:numId w:val="89"/>
        </w:numPr>
        <w:ind w:left="845" w:hanging="425"/>
      </w:pPr>
      <w:r>
        <w:rPr>
          <w:rFonts w:hint="eastAsia"/>
        </w:rPr>
        <w:t>注浆宜在滤料投放、黏土球封填完毕一周后实施。</w:t>
      </w:r>
    </w:p>
    <w:p w14:paraId="20583FC4">
      <w:pPr>
        <w:pStyle w:val="173"/>
        <w:rPr>
          <w:rFonts w:ascii="Times New Roman"/>
          <w:szCs w:val="21"/>
        </w:rPr>
      </w:pPr>
      <w:r>
        <w:rPr>
          <w:rFonts w:hint="eastAsia" w:ascii="Times New Roman"/>
          <w:szCs w:val="21"/>
        </w:rPr>
        <w:t>试验抽水</w:t>
      </w:r>
      <w:r>
        <w:rPr>
          <w:rFonts w:hint="eastAsia"/>
        </w:rPr>
        <w:t>应符合下列要求：</w:t>
      </w:r>
    </w:p>
    <w:p w14:paraId="6027421E">
      <w:pPr>
        <w:pStyle w:val="182"/>
        <w:numPr>
          <w:ilvl w:val="0"/>
          <w:numId w:val="90"/>
        </w:numPr>
        <w:ind w:left="845" w:hanging="425"/>
      </w:pPr>
      <w:r>
        <w:rPr>
          <w:rFonts w:hint="eastAsia"/>
        </w:rPr>
        <w:t>各回灌井均应进行单井试验抽水，并宜与洗井结合、连续进行；</w:t>
      </w:r>
    </w:p>
    <w:p w14:paraId="247BB820">
      <w:pPr>
        <w:pStyle w:val="182"/>
        <w:numPr>
          <w:ilvl w:val="0"/>
          <w:numId w:val="90"/>
        </w:numPr>
        <w:ind w:left="845" w:hanging="425"/>
      </w:pPr>
      <w:r>
        <w:rPr>
          <w:rFonts w:hint="eastAsia"/>
        </w:rPr>
        <w:t>对于相同地层特征、相同结构的回灌井，最小单井出水量应不小于降水管井最大单井出水量的70%，且不宜小于降水管井设计出水量；</w:t>
      </w:r>
    </w:p>
    <w:p w14:paraId="3C1DCA72">
      <w:pPr>
        <w:pStyle w:val="182"/>
        <w:numPr>
          <w:ilvl w:val="0"/>
          <w:numId w:val="90"/>
        </w:numPr>
        <w:ind w:left="845" w:hanging="425"/>
      </w:pPr>
      <w:r>
        <w:rPr>
          <w:rFonts w:hint="eastAsia"/>
        </w:rPr>
        <w:t>试验抽水结束前，井</w:t>
      </w:r>
      <w:r>
        <w:rPr>
          <w:rFonts w:hint="eastAsia" w:hAnsi="宋体" w:cs="宋体"/>
          <w:szCs w:val="21"/>
          <w:shd w:val="clear" w:color="auto" w:fill="FFFFFF"/>
        </w:rPr>
        <w:t>水的</w:t>
      </w:r>
      <w:r>
        <w:rPr>
          <w:rFonts w:hint="eastAsia"/>
        </w:rPr>
        <w:t>含砂量应小于20</w:t>
      </w:r>
      <w:r>
        <w:rPr>
          <w:rFonts w:ascii="Times New Roman"/>
        </w:rPr>
        <w:t> </w:t>
      </w:r>
      <w:r>
        <w:rPr>
          <w:rFonts w:hint="eastAsia"/>
        </w:rPr>
        <w:t>mg/L</w:t>
      </w:r>
      <w:r>
        <w:rPr>
          <w:rFonts w:ascii="Times New Roman"/>
        </w:rPr>
        <w:t> </w:t>
      </w:r>
      <w:r>
        <w:rPr>
          <w:rFonts w:hint="eastAsia"/>
        </w:rPr>
        <w:t>。</w:t>
      </w:r>
    </w:p>
    <w:p w14:paraId="247322D6">
      <w:pPr>
        <w:pStyle w:val="173"/>
      </w:pPr>
      <w:r>
        <w:rPr>
          <w:rFonts w:hint="eastAsia"/>
        </w:rPr>
        <w:t>在回灌实施阶段，应先期施工 2～3 口具有代表性的回灌管井并开展现场回灌试验，通过试验验证施工工艺可行性与回灌设计参数合理性，指导后续回灌管井施工。</w:t>
      </w:r>
    </w:p>
    <w:p w14:paraId="0FB5AAE2">
      <w:pPr>
        <w:pStyle w:val="173"/>
      </w:pPr>
      <w:r>
        <w:rPr>
          <w:rFonts w:hint="eastAsia"/>
        </w:rPr>
        <w:t>回灌井的实际回灌量不宜小于设计单井回灌量的70%；同一种回灌管井结构，最小单井回灌量不应小于最大单井回灌量的70%。</w:t>
      </w:r>
    </w:p>
    <w:p w14:paraId="7A5A2B64">
      <w:pPr>
        <w:pStyle w:val="173"/>
      </w:pPr>
      <w:r>
        <w:rPr>
          <w:rFonts w:hint="eastAsia"/>
        </w:rPr>
        <w:t>回灌井的隔水封闭施工完成后，应间隔不少于14天再进行单井回灌试验。</w:t>
      </w:r>
    </w:p>
    <w:p w14:paraId="1E8A1AA5">
      <w:pPr>
        <w:pStyle w:val="173"/>
      </w:pPr>
      <w:r>
        <w:rPr>
          <w:rFonts w:hint="eastAsia"/>
        </w:rPr>
        <w:t>回灌试验时，应考虑回灌管井邻近止水帷幕的龄期，避免因帷幕未达到设计强度即进行回灌而造成结构损伤。</w:t>
      </w:r>
    </w:p>
    <w:p w14:paraId="20F7656F">
      <w:pPr>
        <w:pStyle w:val="173"/>
      </w:pPr>
      <w:r>
        <w:rPr>
          <w:rFonts w:hint="eastAsia"/>
        </w:rPr>
        <w:t>回灌试验期间应同步监测基坑周边房屋、地下管线等重要建（构）筑物的变形情况。</w:t>
      </w:r>
    </w:p>
    <w:p w14:paraId="19294F60">
      <w:pPr>
        <w:pStyle w:val="113"/>
        <w:keepNext/>
        <w:spacing w:before="156" w:after="156"/>
      </w:pPr>
      <w:bookmarkStart w:id="516" w:name="_Toc142730190"/>
      <w:bookmarkStart w:id="517" w:name="_Toc224217427"/>
      <w:bookmarkStart w:id="518" w:name="_Toc20483"/>
      <w:r>
        <w:rPr>
          <w:rFonts w:hint="eastAsia"/>
        </w:rPr>
        <w:t>运行与维护</w:t>
      </w:r>
      <w:bookmarkEnd w:id="516"/>
      <w:bookmarkEnd w:id="517"/>
      <w:bookmarkEnd w:id="518"/>
    </w:p>
    <w:p w14:paraId="5DE313E3">
      <w:pPr>
        <w:pStyle w:val="173"/>
      </w:pPr>
      <w:r>
        <w:rPr>
          <w:rFonts w:hint="eastAsia"/>
        </w:rPr>
        <w:t>回灌井的运行维护应符合下列要求：</w:t>
      </w:r>
    </w:p>
    <w:p w14:paraId="3E0B61E0">
      <w:pPr>
        <w:pStyle w:val="182"/>
        <w:numPr>
          <w:ilvl w:val="0"/>
          <w:numId w:val="91"/>
        </w:numPr>
        <w:ind w:left="845" w:hanging="425"/>
      </w:pPr>
      <w:r>
        <w:rPr>
          <w:rFonts w:hint="eastAsia"/>
        </w:rPr>
        <w:t>回灌井启动回灌的时间应根据地下水位下降程度及其影响确定；</w:t>
      </w:r>
    </w:p>
    <w:p w14:paraId="7A48BF0B">
      <w:pPr>
        <w:pStyle w:val="182"/>
        <w:numPr>
          <w:ilvl w:val="0"/>
          <w:numId w:val="91"/>
        </w:numPr>
        <w:ind w:left="845" w:hanging="425"/>
      </w:pPr>
      <w:r>
        <w:rPr>
          <w:rFonts w:hint="eastAsia"/>
        </w:rPr>
        <w:t>回灌宜采用自动控制装置，根据地下水位变化实现回灌的自动开启与关闭；</w:t>
      </w:r>
    </w:p>
    <w:p w14:paraId="52F98901">
      <w:pPr>
        <w:pStyle w:val="182"/>
        <w:numPr>
          <w:ilvl w:val="0"/>
          <w:numId w:val="91"/>
        </w:numPr>
        <w:ind w:left="845" w:hanging="425"/>
      </w:pPr>
      <w:r>
        <w:rPr>
          <w:rFonts w:hint="eastAsia"/>
        </w:rPr>
        <w:t>回灌运行前应做好应急预案，应配置备用设备、备用电源等；</w:t>
      </w:r>
    </w:p>
    <w:p w14:paraId="7CAFE852">
      <w:pPr>
        <w:pStyle w:val="182"/>
        <w:numPr>
          <w:ilvl w:val="0"/>
          <w:numId w:val="91"/>
        </w:numPr>
        <w:ind w:left="845" w:hanging="425"/>
      </w:pPr>
      <w:r>
        <w:rPr>
          <w:rFonts w:hint="eastAsia"/>
        </w:rPr>
        <w:t>回灌井的回灌压力应由小到大，逐步调节，不得一次加至最大回灌压力；</w:t>
      </w:r>
    </w:p>
    <w:p w14:paraId="547395EB">
      <w:pPr>
        <w:pStyle w:val="182"/>
        <w:numPr>
          <w:ilvl w:val="0"/>
          <w:numId w:val="91"/>
        </w:numPr>
        <w:ind w:left="845" w:hanging="425"/>
      </w:pPr>
      <w:r>
        <w:rPr>
          <w:rFonts w:hint="eastAsia"/>
        </w:rPr>
        <w:t>回灌水位回升值应满足拟保护对象的变形控制要求，回灌量应根据地下水位的变化情况动态调整；</w:t>
      </w:r>
    </w:p>
    <w:p w14:paraId="7995B6C1">
      <w:pPr>
        <w:pStyle w:val="182"/>
        <w:numPr>
          <w:ilvl w:val="0"/>
          <w:numId w:val="91"/>
        </w:numPr>
        <w:ind w:left="845" w:hanging="425"/>
      </w:pPr>
      <w:r>
        <w:rPr>
          <w:rFonts w:hint="eastAsia"/>
        </w:rPr>
        <w:t>加压回灌时，回灌井封堵应满足回灌井侧壁不涌水的安全要求。</w:t>
      </w:r>
    </w:p>
    <w:p w14:paraId="6C5E5727">
      <w:pPr>
        <w:pStyle w:val="182"/>
        <w:numPr>
          <w:ilvl w:val="0"/>
          <w:numId w:val="91"/>
        </w:numPr>
        <w:ind w:left="845" w:hanging="425"/>
      </w:pPr>
      <w:r>
        <w:rPr>
          <w:rFonts w:hint="eastAsia"/>
        </w:rPr>
        <w:t>基坑内抽水停止后，应适当延长坑外回灌时间，并逐步减少回灌量，使地下水位逐步回稳，直至环境变形趋于稳定；</w:t>
      </w:r>
    </w:p>
    <w:p w14:paraId="0B2D3998">
      <w:pPr>
        <w:pStyle w:val="182"/>
        <w:numPr>
          <w:ilvl w:val="0"/>
          <w:numId w:val="91"/>
        </w:numPr>
        <w:ind w:left="845" w:hanging="425"/>
      </w:pPr>
      <w:r>
        <w:rPr>
          <w:rFonts w:hint="eastAsia"/>
        </w:rPr>
        <w:t>回灌完成后，回灌井及观测井应进行封填处理。</w:t>
      </w:r>
    </w:p>
    <w:p w14:paraId="2B1B8205">
      <w:pPr>
        <w:pStyle w:val="173"/>
      </w:pPr>
      <w:r>
        <w:rPr>
          <w:rFonts w:hint="eastAsia"/>
        </w:rPr>
        <w:t>回灌井的回扬应符合下列要求：</w:t>
      </w:r>
    </w:p>
    <w:p w14:paraId="38521D43">
      <w:pPr>
        <w:pStyle w:val="182"/>
        <w:numPr>
          <w:ilvl w:val="0"/>
          <w:numId w:val="92"/>
        </w:numPr>
        <w:ind w:left="845" w:hanging="425"/>
      </w:pPr>
      <w:r>
        <w:rPr>
          <w:rFonts w:hint="eastAsia"/>
        </w:rPr>
        <w:t>回灌井在正式运行前应对回灌管道及水处理装置进行回扬冲洗；</w:t>
      </w:r>
    </w:p>
    <w:p w14:paraId="0B8D7B2E">
      <w:pPr>
        <w:pStyle w:val="182"/>
        <w:numPr>
          <w:ilvl w:val="0"/>
          <w:numId w:val="92"/>
        </w:numPr>
        <w:ind w:left="845" w:hanging="425"/>
        <w:rPr>
          <w:color w:val="000000" w:themeColor="text1"/>
          <w14:textFill>
            <w14:solidFill>
              <w14:schemeClr w14:val="tx1"/>
            </w14:solidFill>
          </w14:textFill>
        </w:rPr>
      </w:pPr>
      <w:r>
        <w:rPr>
          <w:rFonts w:hint="eastAsia"/>
        </w:rPr>
        <w:t>回灌井运行期间应定期进行回扬冲洗；</w:t>
      </w:r>
      <w:r>
        <w:rPr>
          <w:rFonts w:hint="eastAsia"/>
          <w:color w:val="000000" w:themeColor="text1"/>
          <w14:textFill>
            <w14:solidFill>
              <w14:schemeClr w14:val="tx1"/>
            </w14:solidFill>
          </w14:textFill>
        </w:rPr>
        <w:t>临近建构筑物成对布置的回灌井，当对其中一个井进行回扬时，另一个井应同时进行回灌。</w:t>
      </w:r>
    </w:p>
    <w:p w14:paraId="4AE33F3B">
      <w:pPr>
        <w:pStyle w:val="182"/>
        <w:numPr>
          <w:ilvl w:val="0"/>
          <w:numId w:val="92"/>
        </w:numPr>
        <w:ind w:left="845" w:hanging="425"/>
      </w:pPr>
      <w:r>
        <w:rPr>
          <w:rFonts w:hint="eastAsia"/>
        </w:rPr>
        <w:t>当回灌发生空气阻塞时，可采取排气阀排气、回扬等有效措施及时排除回灌系统内的空气。当回灌发生淤积阻塞时，应立即实施回扬；</w:t>
      </w:r>
    </w:p>
    <w:p w14:paraId="52A18DCF">
      <w:pPr>
        <w:pStyle w:val="182"/>
        <w:numPr>
          <w:ilvl w:val="0"/>
          <w:numId w:val="92"/>
        </w:numPr>
        <w:ind w:left="845" w:hanging="425"/>
      </w:pPr>
      <w:r>
        <w:rPr>
          <w:rFonts w:hint="eastAsia"/>
        </w:rPr>
        <w:t>对一定时间内单井回灌量低于初期回灌量50%时，或定流量回灌的回灌压力增量超过20%时，应进行回扬；</w:t>
      </w:r>
    </w:p>
    <w:p w14:paraId="6F3D53A0">
      <w:pPr>
        <w:pStyle w:val="182"/>
        <w:numPr>
          <w:ilvl w:val="0"/>
          <w:numId w:val="92"/>
        </w:numPr>
        <w:ind w:left="845" w:hanging="425"/>
      </w:pPr>
      <w:r>
        <w:rPr>
          <w:rFonts w:hint="eastAsia"/>
        </w:rPr>
        <w:t>回灌井内回扬水泵的配置应与单井抽水量相匹配，扬程应大于井深；</w:t>
      </w:r>
    </w:p>
    <w:p w14:paraId="2AF04071">
      <w:pPr>
        <w:pStyle w:val="182"/>
        <w:numPr>
          <w:ilvl w:val="0"/>
          <w:numId w:val="92"/>
        </w:numPr>
        <w:ind w:left="845" w:hanging="425"/>
      </w:pPr>
      <w:r>
        <w:rPr>
          <w:rFonts w:hint="eastAsia"/>
        </w:rPr>
        <w:t>回扬应按多次循环控制，单次回扬宜在10min～30min后暂停20min～</w:t>
      </w:r>
      <w:r>
        <w:t>4</w:t>
      </w:r>
      <w:r>
        <w:rPr>
          <w:rFonts w:hint="eastAsia"/>
        </w:rPr>
        <w:t>0min，直至达到设计要求。</w:t>
      </w:r>
    </w:p>
    <w:p w14:paraId="75292158">
      <w:pPr>
        <w:pStyle w:val="173"/>
      </w:pPr>
      <w:r>
        <w:t>回灌</w:t>
      </w:r>
      <w:r>
        <w:rPr>
          <w:rFonts w:hint="eastAsia"/>
        </w:rPr>
        <w:t>运行</w:t>
      </w:r>
      <w:r>
        <w:t>时</w:t>
      </w:r>
      <w:r>
        <w:rPr>
          <w:rFonts w:hint="eastAsia"/>
        </w:rPr>
        <w:t>应</w:t>
      </w:r>
      <w:r>
        <w:t>及时观测</w:t>
      </w:r>
      <w:r>
        <w:rPr>
          <w:rFonts w:hint="eastAsia"/>
        </w:rPr>
        <w:t>回灌</w:t>
      </w:r>
      <w:r>
        <w:t>压力、流量、水位及回灌</w:t>
      </w:r>
      <w:r>
        <w:rPr>
          <w:rFonts w:hint="eastAsia"/>
        </w:rPr>
        <w:t>影响区域拟保护对象的变形情况</w:t>
      </w:r>
      <w:r>
        <w:t>。</w:t>
      </w:r>
    </w:p>
    <w:p w14:paraId="620DDC5A">
      <w:pPr>
        <w:pStyle w:val="112"/>
        <w:spacing w:before="312" w:after="312"/>
      </w:pPr>
      <w:bookmarkStart w:id="519" w:name="_Toc20487"/>
      <w:r>
        <w:rPr>
          <w:rFonts w:hint="eastAsia"/>
        </w:rPr>
        <w:t>检测与监测</w:t>
      </w:r>
      <w:bookmarkEnd w:id="519"/>
    </w:p>
    <w:p w14:paraId="7A3E8F67">
      <w:pPr>
        <w:pStyle w:val="113"/>
        <w:spacing w:before="156" w:after="156"/>
      </w:pPr>
      <w:bookmarkStart w:id="520" w:name="_Toc31923"/>
      <w:bookmarkStart w:id="521" w:name="_Toc10078"/>
      <w:r>
        <w:rPr>
          <w:rFonts w:hint="eastAsia"/>
        </w:rPr>
        <w:t>一般规定</w:t>
      </w:r>
      <w:bookmarkEnd w:id="520"/>
      <w:bookmarkEnd w:id="521"/>
    </w:p>
    <w:p w14:paraId="7B20C98F">
      <w:pPr>
        <w:pStyle w:val="173"/>
      </w:pPr>
      <w:bookmarkStart w:id="522" w:name="_Toc6101"/>
      <w:r>
        <w:rPr>
          <w:rFonts w:hint="eastAsia" w:hAnsi="宋体" w:cs="宋体"/>
        </w:rPr>
        <w:t>地下水</w:t>
      </w:r>
      <w:r>
        <w:rPr>
          <w:rFonts w:hint="eastAsia"/>
        </w:rPr>
        <w:t>控制工程应对隔渗帷幕的施工质量进行检测。</w:t>
      </w:r>
    </w:p>
    <w:p w14:paraId="31FAC09C">
      <w:pPr>
        <w:pStyle w:val="173"/>
        <w:rPr>
          <w:rFonts w:hint="eastAsia" w:hAnsi="宋体" w:cs="宋体"/>
          <w:szCs w:val="21"/>
          <w:shd w:val="clear" w:color="auto" w:fill="FFFFFF"/>
        </w:rPr>
      </w:pPr>
      <w:r>
        <w:rPr>
          <w:rFonts w:hint="eastAsia" w:hAnsi="宋体" w:cs="宋体"/>
        </w:rPr>
        <w:t>地下水</w:t>
      </w:r>
      <w:r>
        <w:rPr>
          <w:rFonts w:hint="eastAsia"/>
        </w:rPr>
        <w:t>控制工程应对降水管井井</w:t>
      </w:r>
      <w:r>
        <w:rPr>
          <w:rFonts w:hint="eastAsia" w:hAnsi="宋体" w:cs="宋体"/>
          <w:szCs w:val="21"/>
          <w:shd w:val="clear" w:color="auto" w:fill="FFFFFF"/>
        </w:rPr>
        <w:t>水的</w:t>
      </w:r>
      <w:r>
        <w:rPr>
          <w:rFonts w:hint="eastAsia"/>
        </w:rPr>
        <w:t>含砂量进行检测，对水位及周边环境的变形进行监测。</w:t>
      </w:r>
    </w:p>
    <w:p w14:paraId="02B28C03">
      <w:pPr>
        <w:pStyle w:val="173"/>
        <w:rPr>
          <w:rFonts w:hint="eastAsia" w:hAnsi="宋体" w:cs="宋体"/>
          <w:szCs w:val="21"/>
          <w:shd w:val="clear" w:color="auto" w:fill="FFFFFF"/>
        </w:rPr>
      </w:pPr>
      <w:r>
        <w:rPr>
          <w:rFonts w:hint="eastAsia" w:hAnsi="宋体" w:cs="宋体"/>
        </w:rPr>
        <w:t>地下水控制工程应对回灌井的回灌水质进行检测及监测，对水位及回灌压力进行监测。</w:t>
      </w:r>
    </w:p>
    <w:p w14:paraId="7622B206">
      <w:pPr>
        <w:pStyle w:val="173"/>
        <w:rPr>
          <w:rFonts w:hint="eastAsia" w:hAnsi="宋体" w:cs="宋体"/>
          <w:szCs w:val="21"/>
          <w:shd w:val="clear" w:color="auto" w:fill="FFFFFF"/>
        </w:rPr>
      </w:pPr>
      <w:r>
        <w:rPr>
          <w:rFonts w:hint="eastAsia" w:hAnsi="宋体" w:cs="宋体"/>
          <w:szCs w:val="21"/>
          <w:shd w:val="clear" w:color="auto" w:fill="FFFFFF"/>
        </w:rPr>
        <w:t>地下水控制工程的周边环境监测，应与基坑支护工程的监测统一设计、同步实施；并及时分析、处理、反馈监测数据，以指导信息化施工。</w:t>
      </w:r>
      <w:bookmarkEnd w:id="522"/>
    </w:p>
    <w:p w14:paraId="08E3B722">
      <w:pPr>
        <w:pStyle w:val="113"/>
        <w:spacing w:before="156" w:after="156"/>
      </w:pPr>
      <w:bookmarkStart w:id="523" w:name="_Toc25331"/>
      <w:r>
        <w:rPr>
          <w:rFonts w:hint="eastAsia"/>
        </w:rPr>
        <w:t>检测</w:t>
      </w:r>
      <w:bookmarkEnd w:id="523"/>
    </w:p>
    <w:p w14:paraId="2BE728BA">
      <w:pPr>
        <w:pStyle w:val="173"/>
        <w:rPr>
          <w:rFonts w:ascii="Times New Roman"/>
        </w:rPr>
      </w:pPr>
      <w:r>
        <w:rPr>
          <w:rFonts w:ascii="Times New Roman"/>
        </w:rPr>
        <w:t>隔渗帷幕</w:t>
      </w:r>
      <w:r>
        <w:rPr>
          <w:rFonts w:hint="eastAsia" w:ascii="Times New Roman"/>
        </w:rPr>
        <w:t>的</w:t>
      </w:r>
      <w:r>
        <w:rPr>
          <w:rFonts w:ascii="Times New Roman"/>
        </w:rPr>
        <w:t>检测应满足下列要求</w:t>
      </w:r>
      <w:r>
        <w:rPr>
          <w:rFonts w:hint="eastAsia" w:ascii="Times New Roman"/>
        </w:rPr>
        <w:t>：</w:t>
      </w:r>
    </w:p>
    <w:p w14:paraId="4A38BF88">
      <w:pPr>
        <w:pStyle w:val="182"/>
        <w:numPr>
          <w:ilvl w:val="0"/>
          <w:numId w:val="93"/>
        </w:numPr>
        <w:ind w:left="845" w:hanging="425"/>
        <w:rPr>
          <w:rFonts w:ascii="Times New Roman"/>
        </w:rPr>
      </w:pPr>
      <w:r>
        <w:rPr>
          <w:rFonts w:ascii="Times New Roman"/>
        </w:rPr>
        <w:t>采用水泥土桩（墙）作为隔渗帷幕时，</w:t>
      </w:r>
      <w:r>
        <w:rPr>
          <w:rFonts w:hint="eastAsia" w:ascii="Times New Roman"/>
        </w:rPr>
        <w:t>宜</w:t>
      </w:r>
      <w:r>
        <w:rPr>
          <w:rFonts w:ascii="Times New Roman"/>
        </w:rPr>
        <w:t>采用钻芯</w:t>
      </w:r>
      <w:r>
        <w:rPr>
          <w:rFonts w:hint="eastAsia" w:ascii="Times New Roman"/>
        </w:rPr>
        <w:t>取样</w:t>
      </w:r>
      <w:r>
        <w:rPr>
          <w:rFonts w:ascii="Times New Roman"/>
        </w:rPr>
        <w:t>法对</w:t>
      </w:r>
      <w:r>
        <w:rPr>
          <w:rFonts w:hint="eastAsia" w:ascii="Times New Roman"/>
        </w:rPr>
        <w:t>桩（墙）的</w:t>
      </w:r>
      <w:r>
        <w:rPr>
          <w:rFonts w:ascii="Times New Roman"/>
        </w:rPr>
        <w:t>连续性、完整性、深度</w:t>
      </w:r>
      <w:r>
        <w:rPr>
          <w:rFonts w:hint="eastAsia" w:ascii="Times New Roman"/>
        </w:rPr>
        <w:t>、</w:t>
      </w:r>
      <w:r>
        <w:rPr>
          <w:rFonts w:ascii="Times New Roman"/>
        </w:rPr>
        <w:t>无侧限抗压强度</w:t>
      </w:r>
      <w:r>
        <w:rPr>
          <w:rFonts w:hint="eastAsia" w:ascii="Times New Roman"/>
        </w:rPr>
        <w:t>及抗渗性能</w:t>
      </w:r>
      <w:r>
        <w:rPr>
          <w:rFonts w:ascii="Times New Roman"/>
        </w:rPr>
        <w:t>进行检测</w:t>
      </w:r>
      <w:r>
        <w:rPr>
          <w:rFonts w:hint="eastAsia" w:ascii="Times New Roman"/>
        </w:rPr>
        <w:t>；</w:t>
      </w:r>
    </w:p>
    <w:p w14:paraId="64639323">
      <w:pPr>
        <w:pStyle w:val="182"/>
        <w:numPr>
          <w:ilvl w:val="0"/>
          <w:numId w:val="93"/>
        </w:numPr>
        <w:ind w:left="845" w:hanging="425"/>
        <w:rPr>
          <w:rFonts w:ascii="Times New Roman"/>
        </w:rPr>
      </w:pPr>
      <w:r>
        <w:rPr>
          <w:rFonts w:ascii="Times New Roman"/>
        </w:rPr>
        <w:t>采用地下连续墙作为隔渗帷幕时</w:t>
      </w:r>
      <w:r>
        <w:rPr>
          <w:rFonts w:hint="eastAsia" w:ascii="Times New Roman"/>
        </w:rPr>
        <w:t>，宜</w:t>
      </w:r>
      <w:r>
        <w:rPr>
          <w:rFonts w:ascii="Times New Roman"/>
        </w:rPr>
        <w:t>采用钻芯</w:t>
      </w:r>
      <w:r>
        <w:rPr>
          <w:rFonts w:hint="eastAsia" w:ascii="Times New Roman"/>
        </w:rPr>
        <w:t>取样</w:t>
      </w:r>
      <w:r>
        <w:rPr>
          <w:rFonts w:ascii="Times New Roman"/>
        </w:rPr>
        <w:t>法、声波透射法或超声波检测法</w:t>
      </w:r>
      <w:r>
        <w:rPr>
          <w:rFonts w:hint="eastAsia" w:ascii="Times New Roman"/>
        </w:rPr>
        <w:t>对</w:t>
      </w:r>
      <w:r>
        <w:rPr>
          <w:rFonts w:ascii="Times New Roman"/>
        </w:rPr>
        <w:t>墙体</w:t>
      </w:r>
      <w:r>
        <w:rPr>
          <w:rFonts w:hint="eastAsia" w:ascii="Times New Roman"/>
        </w:rPr>
        <w:t>的</w:t>
      </w:r>
      <w:r>
        <w:rPr>
          <w:rFonts w:ascii="Times New Roman"/>
        </w:rPr>
        <w:t>连续性、完整性、深度</w:t>
      </w:r>
      <w:r>
        <w:rPr>
          <w:rFonts w:hint="eastAsia" w:ascii="Times New Roman"/>
        </w:rPr>
        <w:t>、</w:t>
      </w:r>
      <w:r>
        <w:rPr>
          <w:rFonts w:ascii="Times New Roman"/>
        </w:rPr>
        <w:t>无侧限抗压强度</w:t>
      </w:r>
      <w:r>
        <w:rPr>
          <w:rFonts w:hint="eastAsia" w:ascii="Times New Roman"/>
        </w:rPr>
        <w:t>及抗渗性能进行</w:t>
      </w:r>
      <w:r>
        <w:rPr>
          <w:rFonts w:ascii="Times New Roman"/>
        </w:rPr>
        <w:t>检测</w:t>
      </w:r>
      <w:r>
        <w:rPr>
          <w:rFonts w:hint="eastAsia" w:ascii="Times New Roman"/>
        </w:rPr>
        <w:t>；</w:t>
      </w:r>
    </w:p>
    <w:p w14:paraId="1741BB4C">
      <w:pPr>
        <w:pStyle w:val="182"/>
        <w:numPr>
          <w:ilvl w:val="0"/>
          <w:numId w:val="93"/>
        </w:numPr>
        <w:ind w:left="845" w:hanging="425"/>
        <w:rPr>
          <w:rFonts w:ascii="Times New Roman"/>
        </w:rPr>
      </w:pPr>
      <w:r>
        <w:rPr>
          <w:rFonts w:ascii="Times New Roman"/>
        </w:rPr>
        <w:t>拉森钢板桩和其他类型隔渗帷幕的质量检验应符合现行国家标准《建筑地基基础工程施工质量验收标准》GB 50202</w:t>
      </w:r>
      <w:r>
        <w:rPr>
          <w:rFonts w:hint="eastAsia" w:ascii="Times New Roman"/>
        </w:rPr>
        <w:t xml:space="preserve"> </w:t>
      </w:r>
      <w:r>
        <w:rPr>
          <w:rFonts w:ascii="Times New Roman"/>
        </w:rPr>
        <w:t>等有关标准的规定</w:t>
      </w:r>
      <w:r>
        <w:rPr>
          <w:rFonts w:hint="eastAsia" w:ascii="Times New Roman"/>
        </w:rPr>
        <w:t>。</w:t>
      </w:r>
    </w:p>
    <w:p w14:paraId="3A6682EC">
      <w:pPr>
        <w:pStyle w:val="173"/>
        <w:rPr>
          <w:rFonts w:ascii="Times New Roman"/>
        </w:rPr>
      </w:pPr>
      <w:r>
        <w:rPr>
          <w:rFonts w:ascii="Times New Roman"/>
        </w:rPr>
        <w:t>隔渗帷幕的检测部位应按下列要求综合确定</w:t>
      </w:r>
      <w:r>
        <w:rPr>
          <w:rFonts w:hint="eastAsia" w:ascii="Times New Roman"/>
        </w:rPr>
        <w:t>：</w:t>
      </w:r>
    </w:p>
    <w:p w14:paraId="7F3FC7CB">
      <w:pPr>
        <w:pStyle w:val="182"/>
        <w:numPr>
          <w:ilvl w:val="0"/>
          <w:numId w:val="94"/>
        </w:numPr>
        <w:ind w:left="845" w:hanging="425"/>
        <w:rPr>
          <w:rFonts w:ascii="Times New Roman"/>
        </w:rPr>
      </w:pPr>
      <w:r>
        <w:rPr>
          <w:rFonts w:ascii="Times New Roman"/>
        </w:rPr>
        <w:t>抽检点宜随机、均匀和有代表性；</w:t>
      </w:r>
    </w:p>
    <w:p w14:paraId="2578155B">
      <w:pPr>
        <w:pStyle w:val="182"/>
        <w:numPr>
          <w:ilvl w:val="0"/>
          <w:numId w:val="94"/>
        </w:numPr>
        <w:ind w:left="845" w:hanging="425"/>
        <w:rPr>
          <w:rFonts w:ascii="Times New Roman"/>
        </w:rPr>
      </w:pPr>
      <w:r>
        <w:rPr>
          <w:rFonts w:ascii="Times New Roman"/>
        </w:rPr>
        <w:t>周边环境较为复杂或重要的部位；</w:t>
      </w:r>
    </w:p>
    <w:p w14:paraId="4A954A75">
      <w:pPr>
        <w:pStyle w:val="182"/>
        <w:numPr>
          <w:ilvl w:val="0"/>
          <w:numId w:val="94"/>
        </w:numPr>
        <w:ind w:left="845" w:hanging="425"/>
        <w:rPr>
          <w:rFonts w:ascii="Times New Roman"/>
        </w:rPr>
      </w:pPr>
      <w:r>
        <w:rPr>
          <w:rFonts w:ascii="Times New Roman"/>
        </w:rPr>
        <w:t>岩土特性复杂可能影响施工质量的部位；</w:t>
      </w:r>
    </w:p>
    <w:p w14:paraId="263E5BC3">
      <w:pPr>
        <w:pStyle w:val="182"/>
        <w:numPr>
          <w:ilvl w:val="0"/>
          <w:numId w:val="94"/>
        </w:numPr>
        <w:ind w:left="845" w:hanging="425"/>
        <w:rPr>
          <w:rFonts w:ascii="Times New Roman"/>
        </w:rPr>
      </w:pPr>
      <w:r>
        <w:rPr>
          <w:rFonts w:ascii="Times New Roman"/>
        </w:rPr>
        <w:t>施工中出现异常情况的部位；</w:t>
      </w:r>
    </w:p>
    <w:p w14:paraId="400AB02A">
      <w:pPr>
        <w:pStyle w:val="182"/>
        <w:numPr>
          <w:ilvl w:val="0"/>
          <w:numId w:val="94"/>
        </w:numPr>
        <w:ind w:left="845" w:hanging="425"/>
        <w:rPr>
          <w:rFonts w:ascii="Times New Roman"/>
        </w:rPr>
      </w:pPr>
      <w:r>
        <w:rPr>
          <w:rFonts w:ascii="Times New Roman"/>
        </w:rPr>
        <w:t>帷幕的搭接或套接部位。</w:t>
      </w:r>
    </w:p>
    <w:p w14:paraId="3B622696">
      <w:pPr>
        <w:pStyle w:val="173"/>
        <w:rPr>
          <w:rFonts w:ascii="Times New Roman"/>
        </w:rPr>
      </w:pPr>
      <w:r>
        <w:rPr>
          <w:rFonts w:ascii="Times New Roman"/>
        </w:rPr>
        <w:t>采用钻芯取样法检测隔渗帷幕</w:t>
      </w:r>
      <w:r>
        <w:rPr>
          <w:rFonts w:hint="eastAsia" w:ascii="Times New Roman"/>
        </w:rPr>
        <w:t>的</w:t>
      </w:r>
      <w:r>
        <w:rPr>
          <w:rFonts w:ascii="Times New Roman"/>
        </w:rPr>
        <w:t>施工质量时，应符合下列规定：</w:t>
      </w:r>
    </w:p>
    <w:p w14:paraId="0BD8D2EF">
      <w:pPr>
        <w:pStyle w:val="182"/>
        <w:numPr>
          <w:ilvl w:val="0"/>
          <w:numId w:val="95"/>
        </w:numPr>
        <w:ind w:left="845" w:hanging="425"/>
        <w:rPr>
          <w:rFonts w:ascii="Times New Roman"/>
        </w:rPr>
      </w:pPr>
      <w:r>
        <w:rPr>
          <w:rFonts w:ascii="Times New Roman"/>
        </w:rPr>
        <w:t>钻具宜采用单动双管或三重管岩芯管，减小</w:t>
      </w:r>
      <w:r>
        <w:rPr>
          <w:rFonts w:hint="eastAsia" w:ascii="Times New Roman"/>
        </w:rPr>
        <w:t>钻进</w:t>
      </w:r>
      <w:r>
        <w:rPr>
          <w:rFonts w:ascii="Times New Roman"/>
        </w:rPr>
        <w:t>过程对芯样的扰动</w:t>
      </w:r>
      <w:r>
        <w:rPr>
          <w:rFonts w:hint="eastAsia" w:ascii="Times New Roman"/>
        </w:rPr>
        <w:t>；</w:t>
      </w:r>
      <w:r>
        <w:rPr>
          <w:rFonts w:ascii="Times New Roman"/>
        </w:rPr>
        <w:t>钻具垂直度应满足要求</w:t>
      </w:r>
      <w:r>
        <w:rPr>
          <w:rFonts w:hint="eastAsia" w:ascii="Times New Roman"/>
        </w:rPr>
        <w:t>；</w:t>
      </w:r>
    </w:p>
    <w:p w14:paraId="00335160">
      <w:pPr>
        <w:pStyle w:val="182"/>
        <w:numPr>
          <w:ilvl w:val="0"/>
          <w:numId w:val="95"/>
        </w:numPr>
        <w:ind w:left="845" w:hanging="425"/>
        <w:rPr>
          <w:rFonts w:ascii="Times New Roman"/>
        </w:rPr>
      </w:pPr>
      <w:r>
        <w:rPr>
          <w:rFonts w:ascii="Times New Roman"/>
        </w:rPr>
        <w:t>每回次钻进深度应保持一致，一般选1.5m</w:t>
      </w:r>
      <w:r>
        <w:rPr>
          <w:rFonts w:hint="eastAsia" w:ascii="Times New Roman"/>
        </w:rPr>
        <w:t>或者</w:t>
      </w:r>
      <w:r>
        <w:rPr>
          <w:rFonts w:ascii="Times New Roman"/>
        </w:rPr>
        <w:t>1.0m</w:t>
      </w:r>
      <w:r>
        <w:rPr>
          <w:rFonts w:hint="eastAsia" w:ascii="Times New Roman"/>
        </w:rPr>
        <w:t>；每</w:t>
      </w:r>
      <w:r>
        <w:rPr>
          <w:rFonts w:ascii="Times New Roman"/>
        </w:rPr>
        <w:t>回次提钻开管</w:t>
      </w:r>
      <w:r>
        <w:rPr>
          <w:rFonts w:hint="eastAsia" w:ascii="Times New Roman"/>
        </w:rPr>
        <w:t>应</w:t>
      </w:r>
      <w:r>
        <w:rPr>
          <w:rFonts w:ascii="Times New Roman"/>
        </w:rPr>
        <w:t>轻提</w:t>
      </w:r>
      <w:r>
        <w:rPr>
          <w:rFonts w:hint="eastAsia" w:ascii="Times New Roman"/>
        </w:rPr>
        <w:t>、</w:t>
      </w:r>
      <w:r>
        <w:rPr>
          <w:rFonts w:ascii="Times New Roman"/>
        </w:rPr>
        <w:t>轻放</w:t>
      </w:r>
      <w:r>
        <w:rPr>
          <w:rFonts w:hint="eastAsia" w:ascii="Times New Roman"/>
        </w:rPr>
        <w:t>，减少外力对芯样的扰动；</w:t>
      </w:r>
    </w:p>
    <w:p w14:paraId="2B7C9143">
      <w:pPr>
        <w:pStyle w:val="182"/>
        <w:numPr>
          <w:ilvl w:val="0"/>
          <w:numId w:val="95"/>
        </w:numPr>
        <w:ind w:left="845" w:hanging="425"/>
        <w:rPr>
          <w:rFonts w:ascii="Times New Roman"/>
        </w:rPr>
      </w:pPr>
      <w:r>
        <w:rPr>
          <w:rFonts w:ascii="Times New Roman"/>
        </w:rPr>
        <w:t>每管岩芯管开管、标识深度后立刻拍照留存</w:t>
      </w:r>
      <w:r>
        <w:rPr>
          <w:rFonts w:hint="eastAsia" w:ascii="Times New Roman"/>
        </w:rPr>
        <w:t>；</w:t>
      </w:r>
      <w:r>
        <w:rPr>
          <w:rFonts w:ascii="Times New Roman"/>
        </w:rPr>
        <w:t>钻芯取样全过程宜</w:t>
      </w:r>
      <w:r>
        <w:rPr>
          <w:rFonts w:hint="eastAsia" w:ascii="Times New Roman"/>
        </w:rPr>
        <w:t>进行</w:t>
      </w:r>
      <w:r>
        <w:rPr>
          <w:rFonts w:ascii="Times New Roman"/>
        </w:rPr>
        <w:t>影像记录，对重点部位或有特殊要求的区域应保存影像资料；</w:t>
      </w:r>
    </w:p>
    <w:p w14:paraId="78099B8D">
      <w:pPr>
        <w:pStyle w:val="182"/>
        <w:numPr>
          <w:ilvl w:val="0"/>
          <w:numId w:val="13"/>
        </w:numPr>
        <w:tabs>
          <w:tab w:val="clear" w:pos="851"/>
        </w:tabs>
        <w:ind w:left="845" w:hanging="425"/>
        <w:rPr>
          <w:rFonts w:ascii="Times New Roman"/>
        </w:rPr>
      </w:pPr>
      <w:r>
        <w:rPr>
          <w:rFonts w:hint="eastAsia" w:ascii="Times New Roman"/>
        </w:rPr>
        <w:t>摄像</w:t>
      </w:r>
      <w:r>
        <w:rPr>
          <w:rFonts w:ascii="Times New Roman"/>
        </w:rPr>
        <w:t>结束后</w:t>
      </w:r>
      <w:r>
        <w:rPr>
          <w:rFonts w:hint="eastAsia" w:ascii="Times New Roman"/>
        </w:rPr>
        <w:t>应及时对芯样采用</w:t>
      </w:r>
      <w:r>
        <w:rPr>
          <w:rFonts w:ascii="Times New Roman"/>
        </w:rPr>
        <w:t>保鲜膜</w:t>
      </w:r>
      <w:r>
        <w:rPr>
          <w:rFonts w:hint="eastAsia" w:ascii="Times New Roman"/>
        </w:rPr>
        <w:t>包覆后送检，</w:t>
      </w:r>
      <w:r>
        <w:rPr>
          <w:rFonts w:ascii="Times New Roman"/>
        </w:rPr>
        <w:t>抽芯检测孔应采用水泥浆或双液浆回填封堵</w:t>
      </w:r>
      <w:r>
        <w:rPr>
          <w:rFonts w:hint="eastAsia" w:ascii="Times New Roman"/>
        </w:rPr>
        <w:t>。</w:t>
      </w:r>
    </w:p>
    <w:p w14:paraId="4CE1936C">
      <w:pPr>
        <w:pStyle w:val="182"/>
        <w:numPr>
          <w:ilvl w:val="0"/>
          <w:numId w:val="95"/>
        </w:numPr>
        <w:ind w:left="845" w:hanging="425"/>
        <w:rPr>
          <w:rFonts w:ascii="Times New Roman"/>
        </w:rPr>
      </w:pPr>
      <w:r>
        <w:rPr>
          <w:rFonts w:ascii="Times New Roman"/>
        </w:rPr>
        <w:t>取芯数量不宜少于总桩数（墙幅数）的1%且不少于3根。隔渗帷幕采用TRD工法时，取芯数量宜沿帷幕每50延</w:t>
      </w:r>
      <w:r>
        <w:rPr>
          <w:rFonts w:hint="eastAsia" w:ascii="Times New Roman"/>
        </w:rPr>
        <w:t>m</w:t>
      </w:r>
      <w:r>
        <w:rPr>
          <w:rFonts w:ascii="Times New Roman"/>
        </w:rPr>
        <w:t>不应少于1个点；</w:t>
      </w:r>
    </w:p>
    <w:p w14:paraId="69A7A103">
      <w:pPr>
        <w:pStyle w:val="182"/>
        <w:numPr>
          <w:ilvl w:val="0"/>
          <w:numId w:val="95"/>
        </w:numPr>
        <w:ind w:left="845" w:hanging="425"/>
        <w:rPr>
          <w:rFonts w:ascii="Times New Roman"/>
        </w:rPr>
      </w:pPr>
      <w:r>
        <w:rPr>
          <w:rFonts w:ascii="Times New Roman"/>
        </w:rPr>
        <w:t>钻芯深度宜超过帷幕底部不小于1.5m；</w:t>
      </w:r>
    </w:p>
    <w:p w14:paraId="3384FC04">
      <w:pPr>
        <w:pStyle w:val="182"/>
        <w:numPr>
          <w:ilvl w:val="0"/>
          <w:numId w:val="95"/>
        </w:numPr>
        <w:tabs>
          <w:tab w:val="clear" w:pos="851"/>
        </w:tabs>
        <w:ind w:left="845" w:hanging="425"/>
        <w:rPr>
          <w:rFonts w:ascii="Times New Roman"/>
        </w:rPr>
      </w:pPr>
      <w:r>
        <w:rPr>
          <w:rFonts w:ascii="Times New Roman"/>
        </w:rPr>
        <w:t>对于MJS</w:t>
      </w:r>
      <w:r>
        <w:rPr>
          <w:rFonts w:hint="eastAsia" w:ascii="Times New Roman"/>
        </w:rPr>
        <w:t>、RJP</w:t>
      </w:r>
      <w:r>
        <w:rPr>
          <w:rFonts w:ascii="Times New Roman"/>
        </w:rPr>
        <w:t>等大直径</w:t>
      </w:r>
      <w:r>
        <w:rPr>
          <w:rFonts w:hint="eastAsia" w:ascii="Times New Roman"/>
        </w:rPr>
        <w:t>加固体作为</w:t>
      </w:r>
      <w:r>
        <w:rPr>
          <w:rFonts w:ascii="Times New Roman"/>
        </w:rPr>
        <w:t>隔渗帷幕</w:t>
      </w:r>
      <w:r>
        <w:rPr>
          <w:rFonts w:hint="eastAsia" w:ascii="Times New Roman"/>
        </w:rPr>
        <w:t>时</w:t>
      </w:r>
      <w:r>
        <w:rPr>
          <w:rFonts w:ascii="Times New Roman"/>
        </w:rPr>
        <w:t>，应选取不同距离、方向的多个抽芯孔验证其施工质量。桩径小于1.2m的钻孔数量宜为1个</w:t>
      </w:r>
      <w:r>
        <w:rPr>
          <w:rFonts w:hint="eastAsia" w:ascii="Times New Roman"/>
        </w:rPr>
        <w:t>～</w:t>
      </w:r>
      <w:r>
        <w:rPr>
          <w:rFonts w:ascii="Times New Roman"/>
        </w:rPr>
        <w:t>2个孔，桩径为1.2 m～1.6m的钻孔数量宜为2个孔，桩径大于1.6m的桩的钻孔数量宜为3个孔，钻芯孔的位置宜距离桩中心0.4D均匀对称布置</w:t>
      </w:r>
      <w:r>
        <w:rPr>
          <w:rFonts w:hint="eastAsia" w:ascii="Times New Roman"/>
        </w:rPr>
        <w:t>。</w:t>
      </w:r>
    </w:p>
    <w:p w14:paraId="1D2C2569">
      <w:pPr>
        <w:pStyle w:val="173"/>
        <w:rPr>
          <w:rFonts w:ascii="Times New Roman"/>
        </w:rPr>
      </w:pPr>
      <w:r>
        <w:rPr>
          <w:rFonts w:hint="eastAsia" w:ascii="Times New Roman"/>
        </w:rPr>
        <w:t>降水管井抽水稳定后，井水的含砂量不应大于</w:t>
      </w:r>
      <w:r>
        <w:rPr>
          <w:rFonts w:hint="eastAsia"/>
        </w:rPr>
        <w:t>20</w:t>
      </w:r>
      <w:r>
        <w:rPr>
          <w:rFonts w:ascii="Times New Roman"/>
        </w:rPr>
        <w:t> </w:t>
      </w:r>
      <w:r>
        <w:rPr>
          <w:rFonts w:hint="eastAsia"/>
        </w:rPr>
        <w:t>mg/L</w:t>
      </w:r>
      <w:r>
        <w:rPr>
          <w:rFonts w:ascii="Times New Roman"/>
        </w:rPr>
        <w:t> </w:t>
      </w:r>
      <w:r>
        <w:rPr>
          <w:rFonts w:hint="eastAsia" w:ascii="Times New Roman"/>
        </w:rPr>
        <w:t>。</w:t>
      </w:r>
    </w:p>
    <w:p w14:paraId="768C4775">
      <w:pPr>
        <w:pStyle w:val="173"/>
        <w:rPr>
          <w:rFonts w:ascii="Times New Roman"/>
        </w:rPr>
      </w:pPr>
      <w:r>
        <w:rPr>
          <w:rFonts w:hint="eastAsia"/>
        </w:rPr>
        <w:t>回灌水质检验方法应符合GB/T 14848的有关规定。</w:t>
      </w:r>
    </w:p>
    <w:p w14:paraId="4AD8DB83">
      <w:pPr>
        <w:pStyle w:val="113"/>
        <w:spacing w:before="156" w:after="156"/>
      </w:pPr>
      <w:bookmarkStart w:id="524" w:name="_Toc142730193"/>
      <w:bookmarkStart w:id="525" w:name="_Toc30625"/>
      <w:bookmarkStart w:id="526" w:name="_Toc21532"/>
      <w:r>
        <w:rPr>
          <w:rFonts w:hint="eastAsia"/>
        </w:rPr>
        <w:t>监测</w:t>
      </w:r>
      <w:bookmarkEnd w:id="524"/>
      <w:bookmarkEnd w:id="525"/>
      <w:bookmarkEnd w:id="526"/>
    </w:p>
    <w:p w14:paraId="627C6E54">
      <w:pPr>
        <w:pStyle w:val="173"/>
        <w:rPr>
          <w:rStyle w:val="270"/>
        </w:rPr>
      </w:pPr>
      <w:r>
        <w:t>地下水控制工程</w:t>
      </w:r>
      <w:r>
        <w:rPr>
          <w:rFonts w:hint="eastAsia"/>
        </w:rPr>
        <w:t>的</w:t>
      </w:r>
      <w:r>
        <w:t>监测方案除应符合基坑支护工程监测的相关规定外，尚应满足下列要求：</w:t>
      </w:r>
    </w:p>
    <w:p w14:paraId="4607133B">
      <w:pPr>
        <w:pStyle w:val="182"/>
        <w:numPr>
          <w:ilvl w:val="0"/>
          <w:numId w:val="96"/>
        </w:numPr>
        <w:ind w:left="840" w:hanging="425"/>
        <w:rPr>
          <w:rFonts w:ascii="Times New Roman"/>
        </w:rPr>
      </w:pPr>
      <w:r>
        <w:rPr>
          <w:rFonts w:ascii="Times New Roman"/>
        </w:rPr>
        <w:t>监测范围</w:t>
      </w:r>
      <w:r>
        <w:rPr>
          <w:rFonts w:hint="eastAsia" w:ascii="Times New Roman"/>
        </w:rPr>
        <w:t>应根据地下水控制工程的影响范围综合确定。当降水产生明显影响的范围内存在比较敏感的建（构）筑物及市政设施时，应适当扩大监测范围；</w:t>
      </w:r>
    </w:p>
    <w:p w14:paraId="70B1D970">
      <w:pPr>
        <w:pStyle w:val="182"/>
        <w:numPr>
          <w:ilvl w:val="0"/>
          <w:numId w:val="96"/>
        </w:numPr>
        <w:ind w:left="840" w:hanging="425"/>
        <w:rPr>
          <w:rFonts w:ascii="Times New Roman"/>
        </w:rPr>
      </w:pPr>
      <w:r>
        <w:rPr>
          <w:rFonts w:ascii="Times New Roman"/>
        </w:rPr>
        <w:t>监测工作应</w:t>
      </w:r>
      <w:r>
        <w:rPr>
          <w:rFonts w:hint="eastAsia" w:ascii="Times New Roman"/>
        </w:rPr>
        <w:t>持续至</w:t>
      </w:r>
      <w:r>
        <w:t>地下水控制工程</w:t>
      </w:r>
      <w:r>
        <w:rPr>
          <w:rFonts w:hint="eastAsia" w:ascii="Times New Roman"/>
        </w:rPr>
        <w:t>全过程完成后；终止时间应满足基坑回填、结构抗浮、环境保护及封井工作等的要求</w:t>
      </w:r>
      <w:r>
        <w:rPr>
          <w:rFonts w:ascii="Times New Roman"/>
        </w:rPr>
        <w:t>。当基坑</w:t>
      </w:r>
      <w:r>
        <w:rPr>
          <w:rFonts w:hint="eastAsia" w:ascii="Times New Roman"/>
        </w:rPr>
        <w:t>完成</w:t>
      </w:r>
      <w:r>
        <w:rPr>
          <w:rFonts w:ascii="Times New Roman"/>
        </w:rPr>
        <w:t>回填，但因结构抗浮或周边环境保护需要而继续运行</w:t>
      </w:r>
      <w:r>
        <w:rPr>
          <w:rFonts w:hint="eastAsia" w:ascii="Times New Roman"/>
        </w:rPr>
        <w:t>降水管井或回灌井</w:t>
      </w:r>
      <w:r>
        <w:rPr>
          <w:rFonts w:ascii="Times New Roman"/>
        </w:rPr>
        <w:t>时，监测应延续至全部</w:t>
      </w:r>
      <w:r>
        <w:rPr>
          <w:rFonts w:hint="eastAsia" w:ascii="Times New Roman"/>
        </w:rPr>
        <w:t>降水管井</w:t>
      </w:r>
      <w:r>
        <w:rPr>
          <w:rFonts w:ascii="Times New Roman"/>
        </w:rPr>
        <w:t>、回灌井停止工作并完成封井后，且延续时间不应少于1个月</w:t>
      </w:r>
      <w:r>
        <w:rPr>
          <w:rFonts w:hint="eastAsia" w:ascii="Times New Roman"/>
        </w:rPr>
        <w:t>；</w:t>
      </w:r>
    </w:p>
    <w:p w14:paraId="5C8D2AD2">
      <w:pPr>
        <w:pStyle w:val="182"/>
        <w:numPr>
          <w:ilvl w:val="0"/>
          <w:numId w:val="96"/>
        </w:numPr>
        <w:ind w:left="840" w:hanging="425"/>
        <w:rPr>
          <w:rFonts w:ascii="Times New Roman"/>
        </w:rPr>
      </w:pPr>
      <w:r>
        <w:rPr>
          <w:rFonts w:hint="eastAsia"/>
        </w:rPr>
        <w:t>当</w:t>
      </w:r>
      <w:r>
        <w:rPr>
          <w:rFonts w:hint="eastAsia" w:ascii="Times New Roman"/>
        </w:rPr>
        <w:t>监测点</w:t>
      </w:r>
      <w:r>
        <w:rPr>
          <w:rFonts w:hint="eastAsia"/>
        </w:rPr>
        <w:t>的累计变化率或变形速度超过预警值时，应适当加密监测；</w:t>
      </w:r>
    </w:p>
    <w:p w14:paraId="210EF8A7">
      <w:pPr>
        <w:pStyle w:val="182"/>
        <w:numPr>
          <w:ilvl w:val="0"/>
          <w:numId w:val="96"/>
        </w:numPr>
        <w:ind w:left="840" w:hanging="425"/>
        <w:rPr>
          <w:rFonts w:ascii="Times New Roman"/>
        </w:rPr>
      </w:pPr>
      <w:r>
        <w:rPr>
          <w:rFonts w:ascii="Times New Roman"/>
        </w:rPr>
        <w:t>其他未尽事</w:t>
      </w:r>
      <w:r>
        <w:rPr>
          <w:rFonts w:hint="eastAsia" w:hAnsi="宋体" w:cs="宋体"/>
        </w:rPr>
        <w:t>应按</w:t>
      </w:r>
      <w:r>
        <w:rPr>
          <w:rFonts w:hint="eastAsia"/>
          <w:szCs w:val="21"/>
        </w:rPr>
        <w:t>GB </w:t>
      </w:r>
      <w:r>
        <w:t>50497</w:t>
      </w:r>
      <w:r>
        <w:rPr>
          <w:rFonts w:hint="eastAsia"/>
          <w:szCs w:val="21"/>
        </w:rPr>
        <w:t>执行；</w:t>
      </w:r>
      <w:r>
        <w:rPr>
          <w:rFonts w:hint="eastAsia"/>
        </w:rPr>
        <w:t>在轨道交通影响范围内，应满足GB</w:t>
      </w:r>
      <w:r>
        <w:t xml:space="preserve"> </w:t>
      </w:r>
      <w:r>
        <w:rPr>
          <w:rFonts w:hint="eastAsia"/>
        </w:rPr>
        <w:t>50911的相关要求。</w:t>
      </w:r>
      <w:r>
        <w:rPr>
          <w:rFonts w:ascii="Times New Roman"/>
        </w:rPr>
        <w:t>。</w:t>
      </w:r>
    </w:p>
    <w:p w14:paraId="11FCFC36">
      <w:pPr>
        <w:pStyle w:val="173"/>
      </w:pPr>
      <w:r>
        <w:rPr>
          <w:rFonts w:hint="eastAsia"/>
        </w:rPr>
        <w:t>水位监测应符合下列要求：</w:t>
      </w:r>
    </w:p>
    <w:p w14:paraId="274F31D8">
      <w:pPr>
        <w:pStyle w:val="182"/>
        <w:numPr>
          <w:ilvl w:val="0"/>
          <w:numId w:val="97"/>
        </w:numPr>
        <w:ind w:left="840" w:hanging="425"/>
        <w:rPr>
          <w:rFonts w:ascii="Times New Roman"/>
        </w:rPr>
      </w:pPr>
      <w:r>
        <w:rPr>
          <w:rFonts w:hint="eastAsia" w:ascii="Times New Roman"/>
        </w:rPr>
        <w:t>坑内水位观测井的数量和位置应能满足基坑各个部位水位观测的要求；</w:t>
      </w:r>
      <w:r>
        <w:rPr>
          <w:rFonts w:ascii="Times New Roman"/>
        </w:rPr>
        <w:t>坑内水位监测点应具有代表性，宜根据设计目标在</w:t>
      </w:r>
      <w:r>
        <w:rPr>
          <w:rFonts w:hint="eastAsia" w:ascii="Times New Roman"/>
        </w:rPr>
        <w:t>典型降深区域、</w:t>
      </w:r>
      <w:r>
        <w:rPr>
          <w:rFonts w:ascii="Times New Roman"/>
        </w:rPr>
        <w:t>降深最大</w:t>
      </w:r>
      <w:r>
        <w:rPr>
          <w:rFonts w:hint="eastAsia" w:ascii="Times New Roman"/>
        </w:rPr>
        <w:t>区域分别</w:t>
      </w:r>
      <w:r>
        <w:rPr>
          <w:rFonts w:ascii="Times New Roman"/>
        </w:rPr>
        <w:t>布置</w:t>
      </w:r>
      <w:r>
        <w:rPr>
          <w:rFonts w:hint="eastAsia" w:ascii="Times New Roman"/>
        </w:rPr>
        <w:t>监测点；</w:t>
      </w:r>
    </w:p>
    <w:p w14:paraId="167CC9FC">
      <w:pPr>
        <w:pStyle w:val="182"/>
        <w:numPr>
          <w:ilvl w:val="0"/>
          <w:numId w:val="97"/>
        </w:numPr>
        <w:ind w:left="840" w:hanging="425"/>
        <w:rPr>
          <w:rFonts w:ascii="Times New Roman"/>
        </w:rPr>
      </w:pPr>
      <w:r>
        <w:rPr>
          <w:rFonts w:ascii="Times New Roman"/>
        </w:rPr>
        <w:t>坑外水位监测点应沿基坑周边布置</w:t>
      </w:r>
      <w:r>
        <w:rPr>
          <w:rFonts w:hint="eastAsia" w:ascii="Times New Roman"/>
        </w:rPr>
        <w:t>，</w:t>
      </w:r>
      <w:r>
        <w:rPr>
          <w:rFonts w:ascii="Times New Roman"/>
        </w:rPr>
        <w:t>并在地下水主要补给方向、环境保护重点区域及预测沉降较大区域加密布设</w:t>
      </w:r>
      <w:r>
        <w:rPr>
          <w:rFonts w:hint="eastAsia" w:ascii="Times New Roman"/>
        </w:rPr>
        <w:t>；</w:t>
      </w:r>
    </w:p>
    <w:p w14:paraId="6E3EE1D9">
      <w:pPr>
        <w:pStyle w:val="182"/>
        <w:numPr>
          <w:ilvl w:val="0"/>
          <w:numId w:val="97"/>
        </w:numPr>
        <w:ind w:left="840" w:hanging="425"/>
        <w:rPr>
          <w:rFonts w:ascii="Times New Roman"/>
        </w:rPr>
      </w:pPr>
      <w:r>
        <w:rPr>
          <w:rFonts w:hint="eastAsia" w:ascii="Times New Roman"/>
        </w:rPr>
        <w:t>水位观测井作为备用降水管井时，宜与降水管井结构一致；</w:t>
      </w:r>
    </w:p>
    <w:p w14:paraId="7ED230AD">
      <w:pPr>
        <w:pStyle w:val="182"/>
        <w:numPr>
          <w:ilvl w:val="0"/>
          <w:numId w:val="97"/>
        </w:numPr>
        <w:ind w:left="840" w:hanging="425"/>
        <w:rPr>
          <w:rFonts w:ascii="Times New Roman"/>
        </w:rPr>
      </w:pPr>
      <w:r>
        <w:rPr>
          <w:rFonts w:ascii="Times New Roman"/>
        </w:rPr>
        <w:t>根据监测条件、测量精度与频率要求，可采用电测水位计或自动监测仪监测水位</w:t>
      </w:r>
      <w:r>
        <w:rPr>
          <w:rFonts w:hint="eastAsia" w:ascii="Times New Roman"/>
        </w:rPr>
        <w:t>；</w:t>
      </w:r>
      <w:r>
        <w:rPr>
          <w:rFonts w:ascii="Times New Roman"/>
        </w:rPr>
        <w:t>地下水控制等级为一级时宜优先</w:t>
      </w:r>
      <w:r>
        <w:rPr>
          <w:rFonts w:hint="eastAsia" w:ascii="Times New Roman"/>
        </w:rPr>
        <w:t>选</w:t>
      </w:r>
      <w:r>
        <w:rPr>
          <w:rFonts w:ascii="Times New Roman"/>
        </w:rPr>
        <w:t>用自动</w:t>
      </w:r>
      <w:r>
        <w:rPr>
          <w:rFonts w:hint="eastAsia" w:ascii="Times New Roman"/>
        </w:rPr>
        <w:t>化</w:t>
      </w:r>
      <w:r>
        <w:rPr>
          <w:rFonts w:ascii="Times New Roman"/>
        </w:rPr>
        <w:t>监测；</w:t>
      </w:r>
    </w:p>
    <w:p w14:paraId="6DB14AEB">
      <w:pPr>
        <w:pStyle w:val="182"/>
        <w:numPr>
          <w:ilvl w:val="0"/>
          <w:numId w:val="97"/>
        </w:numPr>
        <w:ind w:left="840" w:hanging="425"/>
        <w:rPr>
          <w:rFonts w:ascii="Times New Roman"/>
        </w:rPr>
      </w:pPr>
      <w:r>
        <w:rPr>
          <w:rFonts w:ascii="Times New Roman"/>
        </w:rPr>
        <w:t>对使用自动监测仪的水位观测井，前3次用电测水位计实测水位进行核对，以后每1个月核对一次；</w:t>
      </w:r>
    </w:p>
    <w:p w14:paraId="21402344">
      <w:pPr>
        <w:pStyle w:val="182"/>
        <w:numPr>
          <w:ilvl w:val="0"/>
          <w:numId w:val="97"/>
        </w:numPr>
        <w:ind w:left="840" w:hanging="425"/>
        <w:rPr>
          <w:rFonts w:ascii="Times New Roman"/>
        </w:rPr>
      </w:pPr>
      <w:r>
        <w:rPr>
          <w:rFonts w:ascii="Times New Roman"/>
        </w:rPr>
        <w:t>地下水位量测精度不宜低于</w:t>
      </w:r>
      <w:r>
        <w:rPr>
          <w:rFonts w:hint="eastAsia" w:ascii="Times New Roman"/>
        </w:rPr>
        <w:t>1.0</w:t>
      </w:r>
      <w:r>
        <w:rPr>
          <w:rFonts w:ascii="Times New Roman"/>
        </w:rPr>
        <w:t>cm；</w:t>
      </w:r>
    </w:p>
    <w:p w14:paraId="0F49B8D1">
      <w:pPr>
        <w:pStyle w:val="173"/>
      </w:pPr>
      <w:r>
        <w:rPr>
          <w:rFonts w:hint="eastAsia"/>
        </w:rPr>
        <w:t>当回灌井采用加压回灌时，应对回灌压力进行监测；监测频率不应低于每日1次；当回灌压力发生异常波动时</w:t>
      </w:r>
      <w:r>
        <w:t>应立即预警</w:t>
      </w:r>
      <w:r>
        <w:rPr>
          <w:rFonts w:hint="eastAsia"/>
        </w:rPr>
        <w:t>，分析原因</w:t>
      </w:r>
      <w:r>
        <w:t>并采取处理措施</w:t>
      </w:r>
      <w:r>
        <w:rPr>
          <w:rFonts w:hint="eastAsia"/>
        </w:rPr>
        <w:t>。</w:t>
      </w:r>
    </w:p>
    <w:p w14:paraId="204CCB09">
      <w:pPr>
        <w:pStyle w:val="173"/>
      </w:pPr>
      <w:r>
        <w:rPr>
          <w:rFonts w:hint="eastAsia"/>
        </w:rPr>
        <w:t>回灌可能对地下水水质产生影响时，应定期对回灌水质进行监测。</w:t>
      </w:r>
    </w:p>
    <w:p w14:paraId="71C24809">
      <w:pPr>
        <w:pStyle w:val="173"/>
      </w:pPr>
      <w:r>
        <w:rPr>
          <w:rFonts w:hint="eastAsia"/>
        </w:rPr>
        <w:t>地下水控制工程实施过程中，应定期进行现场巡视检查，巡视检查应符合下列规定：</w:t>
      </w:r>
    </w:p>
    <w:p w14:paraId="165A6C80">
      <w:pPr>
        <w:pStyle w:val="182"/>
        <w:numPr>
          <w:ilvl w:val="0"/>
          <w:numId w:val="98"/>
        </w:numPr>
        <w:ind w:left="845" w:hanging="425"/>
        <w:rPr>
          <w:rFonts w:hint="eastAsia" w:hAnsi="宋体" w:cs="宋体"/>
          <w:szCs w:val="21"/>
        </w:rPr>
      </w:pPr>
      <w:r>
        <w:rPr>
          <w:rFonts w:hint="eastAsia" w:hAnsi="宋体" w:cs="宋体"/>
          <w:szCs w:val="21"/>
          <w:shd w:val="clear" w:color="auto" w:fill="FFFFFF"/>
        </w:rPr>
        <w:t>巡视检查</w:t>
      </w:r>
      <w:r>
        <w:rPr>
          <w:rFonts w:hint="eastAsia" w:cs="宋体"/>
          <w:szCs w:val="21"/>
          <w:shd w:val="clear" w:color="auto" w:fill="FFFFFF"/>
        </w:rPr>
        <w:t>工作</w:t>
      </w:r>
      <w:r>
        <w:rPr>
          <w:rFonts w:hint="eastAsia" w:hAnsi="宋体" w:cs="宋体"/>
          <w:szCs w:val="21"/>
          <w:shd w:val="clear" w:color="auto" w:fill="FFFFFF"/>
        </w:rPr>
        <w:t>应固定专人、定期进行，检查方式应以目测为主，并应辅助以锤、钎、量尺、影像记录等手段</w:t>
      </w:r>
      <w:r>
        <w:rPr>
          <w:rFonts w:hint="eastAsia" w:cs="宋体"/>
          <w:szCs w:val="21"/>
          <w:shd w:val="clear" w:color="auto" w:fill="FFFFFF"/>
        </w:rPr>
        <w:t>；</w:t>
      </w:r>
    </w:p>
    <w:p w14:paraId="3C098320">
      <w:pPr>
        <w:pStyle w:val="182"/>
        <w:numPr>
          <w:ilvl w:val="0"/>
          <w:numId w:val="98"/>
        </w:numPr>
        <w:ind w:left="845" w:hanging="425"/>
        <w:rPr>
          <w:rFonts w:hint="eastAsia" w:hAnsi="宋体" w:cs="宋体"/>
          <w:szCs w:val="21"/>
          <w:shd w:val="clear" w:color="auto" w:fill="FFFFFF"/>
        </w:rPr>
      </w:pPr>
      <w:r>
        <w:rPr>
          <w:rFonts w:hint="eastAsia" w:hAnsi="宋体" w:cs="宋体"/>
          <w:szCs w:val="21"/>
          <w:shd w:val="clear" w:color="auto" w:fill="FFFFFF"/>
        </w:rPr>
        <w:t>做好巡视检查记录，并应结合仪器监测数据开展综合分析</w:t>
      </w:r>
      <w:r>
        <w:rPr>
          <w:rFonts w:hint="eastAsia" w:cs="宋体"/>
          <w:szCs w:val="21"/>
          <w:shd w:val="clear" w:color="auto" w:fill="FFFFFF"/>
        </w:rPr>
        <w:t>；</w:t>
      </w:r>
    </w:p>
    <w:p w14:paraId="65D279F8">
      <w:pPr>
        <w:pStyle w:val="182"/>
        <w:numPr>
          <w:ilvl w:val="0"/>
          <w:numId w:val="98"/>
        </w:numPr>
        <w:ind w:left="845" w:hanging="425"/>
        <w:rPr>
          <w:rFonts w:hint="eastAsia" w:hAnsi="宋体" w:cs="宋体"/>
          <w:szCs w:val="21"/>
          <w:shd w:val="clear" w:color="auto" w:fill="FFFFFF"/>
        </w:rPr>
      </w:pPr>
      <w:r>
        <w:rPr>
          <w:rFonts w:hint="eastAsia" w:hAnsi="宋体" w:cs="宋体"/>
          <w:szCs w:val="21"/>
          <w:shd w:val="clear" w:color="auto" w:fill="FFFFFF"/>
        </w:rPr>
        <w:t>巡视</w:t>
      </w:r>
      <w:r>
        <w:rPr>
          <w:rFonts w:hint="eastAsia" w:cs="宋体"/>
          <w:szCs w:val="21"/>
          <w:shd w:val="clear" w:color="auto" w:fill="FFFFFF"/>
        </w:rPr>
        <w:t>检查</w:t>
      </w:r>
      <w:r>
        <w:rPr>
          <w:rFonts w:hint="eastAsia" w:hAnsi="宋体" w:cs="宋体"/>
          <w:szCs w:val="21"/>
          <w:shd w:val="clear" w:color="auto" w:fill="FFFFFF"/>
        </w:rPr>
        <w:t>中发现异常情况时，应立即预警，并分析原因、采取相应处理措施</w:t>
      </w:r>
      <w:r>
        <w:rPr>
          <w:rFonts w:hAnsi="宋体" w:cs="宋体"/>
          <w:szCs w:val="21"/>
          <w:shd w:val="clear" w:color="auto" w:fill="FFFFFF"/>
        </w:rPr>
        <w:t>。</w:t>
      </w:r>
    </w:p>
    <w:p w14:paraId="44F65454">
      <w:pPr>
        <w:pStyle w:val="173"/>
        <w:rPr>
          <w:rFonts w:hint="eastAsia" w:hAnsi="宋体" w:cs="宋体"/>
          <w:szCs w:val="21"/>
        </w:rPr>
      </w:pPr>
      <w:r>
        <w:rPr>
          <w:rFonts w:hint="eastAsia" w:hAnsi="宋体" w:cs="宋体"/>
          <w:szCs w:val="21"/>
          <w:shd w:val="clear" w:color="auto" w:fill="FFFFFF"/>
        </w:rPr>
        <w:t>巡视检查应包括下列主要内容：</w:t>
      </w:r>
    </w:p>
    <w:p w14:paraId="677DD36B">
      <w:pPr>
        <w:pStyle w:val="182"/>
        <w:numPr>
          <w:ilvl w:val="0"/>
          <w:numId w:val="99"/>
        </w:numPr>
        <w:ind w:left="840" w:hanging="425"/>
        <w:rPr>
          <w:rFonts w:ascii="Times New Roman"/>
        </w:rPr>
      </w:pPr>
      <w:r>
        <w:rPr>
          <w:rFonts w:hint="eastAsia" w:ascii="Times New Roman"/>
        </w:rPr>
        <w:t>地表及周边道路、管线和建（构）筑物出现的新增裂缝、沉降、隆起、倾斜等变形；</w:t>
      </w:r>
    </w:p>
    <w:p w14:paraId="064BF81F">
      <w:pPr>
        <w:pStyle w:val="182"/>
        <w:numPr>
          <w:ilvl w:val="0"/>
          <w:numId w:val="99"/>
        </w:numPr>
        <w:ind w:left="840" w:hanging="425"/>
        <w:rPr>
          <w:rFonts w:ascii="Times New Roman"/>
        </w:rPr>
      </w:pPr>
      <w:r>
        <w:rPr>
          <w:rFonts w:hint="eastAsia" w:ascii="Times New Roman"/>
        </w:rPr>
        <w:t>基坑侧壁、坑底、隔渗帷幕等部位出现的渗漏、涌水、涌沙现象；</w:t>
      </w:r>
    </w:p>
    <w:p w14:paraId="5B406F42">
      <w:pPr>
        <w:pStyle w:val="182"/>
        <w:numPr>
          <w:ilvl w:val="0"/>
          <w:numId w:val="99"/>
        </w:numPr>
        <w:ind w:left="840" w:hanging="425"/>
        <w:rPr>
          <w:rFonts w:ascii="Times New Roman"/>
        </w:rPr>
      </w:pPr>
      <w:r>
        <w:rPr>
          <w:rFonts w:hint="eastAsia" w:ascii="Times New Roman"/>
        </w:rPr>
        <w:t>降水、回灌及排水系统（含水泵、管道、电源等）的运行状态；</w:t>
      </w:r>
    </w:p>
    <w:p w14:paraId="4DAF3BE5">
      <w:pPr>
        <w:pStyle w:val="182"/>
        <w:numPr>
          <w:ilvl w:val="0"/>
          <w:numId w:val="99"/>
        </w:numPr>
        <w:ind w:left="840" w:hanging="425"/>
        <w:rPr>
          <w:rFonts w:ascii="Times New Roman"/>
        </w:rPr>
      </w:pPr>
      <w:r>
        <w:rPr>
          <w:rFonts w:hint="eastAsia" w:ascii="Times New Roman"/>
        </w:rPr>
        <w:t>其他可能影响工程安全与环境稳定的异常情况。</w:t>
      </w:r>
    </w:p>
    <w:p w14:paraId="11546A25">
      <w:pPr>
        <w:pStyle w:val="112"/>
        <w:spacing w:before="312" w:after="312"/>
        <w:rPr>
          <w:rFonts w:eastAsia="宋体"/>
        </w:rPr>
      </w:pPr>
      <w:bookmarkStart w:id="527" w:name="_Toc4365"/>
      <w:r>
        <w:rPr>
          <w:rFonts w:hint="eastAsia"/>
        </w:rPr>
        <w:t>标准实施与评价</w:t>
      </w:r>
      <w:bookmarkEnd w:id="527"/>
    </w:p>
    <w:p w14:paraId="02A862D7">
      <w:pPr>
        <w:pStyle w:val="170"/>
      </w:pPr>
      <w:r>
        <w:rPr>
          <w:rFonts w:hint="eastAsia"/>
        </w:rPr>
        <w:t>结合实际，认真做好标准实施准备，包括标准实施的方案准备、组织准备、知识准备、手段准备和物质条件准备等。</w:t>
      </w:r>
    </w:p>
    <w:p w14:paraId="61B7C909">
      <w:pPr>
        <w:pStyle w:val="170"/>
      </w:pPr>
      <w:r>
        <w:rPr>
          <w:rFonts w:hint="eastAsia"/>
        </w:rPr>
        <w:t>制定标准实施方案，明确适用对象和场景、提供实施必备条件和保障（组织、制度、资金、人员和设备等）、推荐方法路径，确定资源要素配置、关键环节和控制点，提出标准实施中的注意事项。</w:t>
      </w:r>
    </w:p>
    <w:p w14:paraId="07FF4C77">
      <w:pPr>
        <w:pStyle w:val="170"/>
      </w:pPr>
      <w:r>
        <w:rPr>
          <w:rFonts w:hint="eastAsia"/>
        </w:rPr>
        <w:t>针对相关方和具体对象进行标准宣贯和培训。</w:t>
      </w:r>
    </w:p>
    <w:p w14:paraId="2F610388">
      <w:pPr>
        <w:pStyle w:val="170"/>
      </w:pPr>
      <w:r>
        <w:rPr>
          <w:rFonts w:hint="eastAsia"/>
        </w:rPr>
        <w:t>标准实施主要应用湖北省建筑与市政工程的地下水控制。实施的重点是建筑与市政工程地下水控制技术的基本规定、水文地质勘察、隔渗、降水与集水明排、回灌、检测与监测等内容。</w:t>
      </w:r>
    </w:p>
    <w:p w14:paraId="530E59D3">
      <w:pPr>
        <w:pStyle w:val="170"/>
      </w:pPr>
      <w:r>
        <w:rPr>
          <w:rFonts w:hint="eastAsia"/>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方法和反馈渠道，定期整理并处理收集到的意见建议。</w:t>
      </w:r>
    </w:p>
    <w:p w14:paraId="59CB36BF">
      <w:pPr>
        <w:pStyle w:val="170"/>
      </w:pPr>
      <w:r>
        <w:rPr>
          <w:rFonts w:hint="eastAsia"/>
        </w:rPr>
        <w:t>对标准实施评价的基本依据是《中华人民共和国标准化法》等。</w:t>
      </w:r>
    </w:p>
    <w:p w14:paraId="16BDD11D">
      <w:pPr>
        <w:pStyle w:val="170"/>
      </w:pPr>
      <w:r>
        <w:rPr>
          <w:rFonts w:hint="eastAsia"/>
        </w:rPr>
        <w:t>在标准实施一定时间后，对照标准实施方案，开展标准实施效果评价分析，总结实施经验成效，梳理存在的薄弱环节。主要是评价标准实施的效果，主要从技术进步、使用者满意度、效率提高、节省时间等方面进行有效性评价，并评价标准实施带来的问题，以便为未来改进提供参考。</w:t>
      </w:r>
    </w:p>
    <w:p w14:paraId="6E56DD17">
      <w:pPr>
        <w:pStyle w:val="170"/>
      </w:pPr>
      <w:r>
        <w:rPr>
          <w:rFonts w:hint="eastAsia"/>
        </w:rPr>
        <w:t>适时向专业标准化技术委员会和标准归口管理单位反馈情况，提出标准推广、修改、补充、完善或者废止等意见建议。</w:t>
      </w:r>
    </w:p>
    <w:p w14:paraId="668F4B5C">
      <w:pPr>
        <w:pStyle w:val="170"/>
      </w:pPr>
      <w:r>
        <w:rPr>
          <w:rFonts w:hint="eastAsia"/>
        </w:rPr>
        <w:t>标准实施信息及意见反馈表相关示例见附录G。</w:t>
      </w:r>
    </w:p>
    <w:p w14:paraId="07A7A042">
      <w:pPr>
        <w:rPr>
          <w:rFonts w:hint="eastAsia" w:ascii="黑体" w:hAnsi="宋体" w:eastAsia="黑体" w:cs="黑体"/>
          <w:kern w:val="0"/>
          <w:sz w:val="20"/>
          <w:szCs w:val="20"/>
          <w:lang w:bidi="ar"/>
        </w:rPr>
      </w:pPr>
    </w:p>
    <w:p w14:paraId="36D41788">
      <w:pPr>
        <w:rPr>
          <w:rFonts w:hint="eastAsia" w:ascii="黑体" w:hAnsi="宋体" w:eastAsia="黑体" w:cs="黑体"/>
          <w:kern w:val="0"/>
          <w:sz w:val="20"/>
          <w:szCs w:val="20"/>
          <w:lang w:bidi="ar"/>
        </w:rPr>
      </w:pPr>
    </w:p>
    <w:bookmarkEnd w:id="4"/>
    <w:p w14:paraId="5A0BF716">
      <w:pPr>
        <w:widowControl/>
        <w:spacing w:line="240" w:lineRule="auto"/>
        <w:sectPr>
          <w:footerReference r:id="rId17" w:type="default"/>
          <w:footerReference r:id="rId18" w:type="even"/>
          <w:pgSz w:w="11906" w:h="16838"/>
          <w:pgMar w:top="1928" w:right="1134" w:bottom="1134" w:left="1134" w:header="1361" w:footer="1077" w:gutter="284"/>
          <w:cols w:space="425" w:num="1"/>
          <w:formProt w:val="0"/>
          <w:docGrid w:type="lines" w:linePitch="312" w:charSpace="0"/>
        </w:sectPr>
      </w:pPr>
      <w:bookmarkStart w:id="528" w:name="_Toc142730198"/>
      <w:bookmarkStart w:id="529" w:name="_Toc142730212"/>
      <w:bookmarkStart w:id="530" w:name="_Toc11828"/>
    </w:p>
    <w:p w14:paraId="5E4E66FD">
      <w:pPr>
        <w:pStyle w:val="206"/>
        <w:spacing w:line="240" w:lineRule="auto"/>
        <w:rPr>
          <w:rFonts w:hint="eastAsia"/>
        </w:rPr>
      </w:pPr>
    </w:p>
    <w:p w14:paraId="7F83D128">
      <w:pPr>
        <w:pStyle w:val="207"/>
        <w:spacing w:line="240" w:lineRule="auto"/>
      </w:pPr>
    </w:p>
    <w:p w14:paraId="0DF07715">
      <w:pPr>
        <w:pStyle w:val="84"/>
        <w:numPr>
          <w:ilvl w:val="0"/>
          <w:numId w:val="0"/>
        </w:numPr>
        <w:spacing w:after="157"/>
      </w:pPr>
      <w:bookmarkStart w:id="531" w:name="_Toc6872"/>
      <w:bookmarkStart w:id="532" w:name="_Toc18221"/>
      <w:bookmarkStart w:id="533" w:name="_Toc142730197"/>
      <w:r>
        <w:rPr>
          <w:spacing w:val="100"/>
        </w:rPr>
        <w:t>附录</w:t>
      </w:r>
      <w:r>
        <w:rPr>
          <w:rFonts w:hint="eastAsia"/>
          <w:spacing w:val="100"/>
        </w:rPr>
        <w:t>A</w:t>
      </w:r>
      <w:r>
        <w:br w:type="textWrapping"/>
      </w:r>
      <w:r>
        <w:rPr>
          <w:rFonts w:hint="eastAsia"/>
        </w:rPr>
        <w:t>（资料性）</w:t>
      </w:r>
      <w:r>
        <w:rPr>
          <w:rFonts w:hint="eastAsia"/>
        </w:rPr>
        <w:br w:type="textWrapping"/>
      </w:r>
      <w:r>
        <w:rPr>
          <w:rFonts w:hint="eastAsia"/>
        </w:rPr>
        <w:t>湖北地区水文地质概况</w:t>
      </w:r>
      <w:bookmarkEnd w:id="531"/>
      <w:bookmarkEnd w:id="532"/>
    </w:p>
    <w:bookmarkEnd w:id="533"/>
    <w:p w14:paraId="530FE1B0">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.1 </w:t>
      </w:r>
      <w:bookmarkEnd w:id="528"/>
      <w:r>
        <w:rPr>
          <w:rFonts w:hint="eastAsia" w:ascii="黑体" w:hAnsi="黑体" w:eastAsia="黑体"/>
          <w:bCs/>
        </w:rPr>
        <w:t>湖北省水文地质图</w:t>
      </w:r>
    </w:p>
    <w:p w14:paraId="39ACF6D3">
      <w:pPr>
        <w:spacing w:before="157" w:beforeLines="50" w:after="157" w:afterLines="50" w:line="240" w:lineRule="auto"/>
        <w:ind w:firstLine="364" w:firstLineChars="200"/>
        <w:jc w:val="left"/>
        <w:rPr>
          <w:rFonts w:hint="eastAsia" w:ascii="黑体" w:hAnsi="黑体" w:eastAsia="黑体"/>
          <w:bCs/>
        </w:rPr>
      </w:pPr>
      <w:r>
        <w:rPr>
          <w:rFonts w:hint="eastAsia" w:ascii="黑体" w:hAnsi="黑体" w:eastAsia="黑体" w:cs="黑体"/>
          <w:sz w:val="18"/>
          <w:szCs w:val="18"/>
        </w:rPr>
        <w:t>资料来源于《1:50万湖北省水文地质图》1998年，湖北省地质局水文地质工程地质大队。</w:t>
      </w:r>
    </w:p>
    <w:p w14:paraId="10309519">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.2  武汉</w:t>
      </w:r>
      <w:r>
        <w:rPr>
          <w:rFonts w:ascii="黑体" w:hAnsi="黑体" w:eastAsia="黑体"/>
          <w:bCs/>
        </w:rPr>
        <w:t>市</w:t>
      </w:r>
      <w:r>
        <w:rPr>
          <w:rFonts w:hint="eastAsia" w:ascii="黑体" w:hAnsi="黑体" w:eastAsia="黑体"/>
          <w:bCs/>
        </w:rPr>
        <w:t>水文地质图</w:t>
      </w:r>
    </w:p>
    <w:p w14:paraId="65F0F42B">
      <w:pPr>
        <w:spacing w:before="157" w:beforeLines="50" w:after="157" w:afterLines="50" w:line="240" w:lineRule="auto"/>
        <w:ind w:firstLine="364" w:firstLineChars="200"/>
        <w:jc w:val="left"/>
        <w:rPr>
          <w:rFonts w:hint="eastAsia" w:ascii="黑体" w:hAnsi="黑体" w:eastAsia="黑体" w:cs="黑体"/>
          <w:sz w:val="18"/>
          <w:szCs w:val="18"/>
        </w:rPr>
      </w:pPr>
      <w:r>
        <w:rPr>
          <w:rFonts w:hint="eastAsia" w:ascii="黑体" w:hAnsi="黑体" w:eastAsia="黑体" w:cs="黑体"/>
          <w:sz w:val="18"/>
          <w:szCs w:val="18"/>
        </w:rPr>
        <w:t>资料来源于中国地质调查出版物《支撑服务武汉市规划建设与绿色发展地质环境图集》2019年8月第1版。</w:t>
      </w:r>
    </w:p>
    <w:p w14:paraId="1EFCB05C">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.3  宜昌市水文地质图</w:t>
      </w:r>
    </w:p>
    <w:p w14:paraId="4623C9B9">
      <w:pPr>
        <w:spacing w:before="157" w:beforeLines="50" w:after="157" w:afterLines="50" w:line="240" w:lineRule="auto"/>
        <w:ind w:firstLine="364" w:firstLineChars="200"/>
        <w:jc w:val="left"/>
        <w:rPr>
          <w:rFonts w:hint="eastAsia" w:ascii="黑体" w:hAnsi="黑体" w:eastAsia="黑体"/>
          <w:bCs/>
        </w:rPr>
      </w:pPr>
      <w:r>
        <w:rPr>
          <w:rFonts w:hint="eastAsia" w:ascii="黑体" w:hAnsi="黑体" w:eastAsia="黑体" w:cs="黑体"/>
          <w:sz w:val="18"/>
          <w:szCs w:val="18"/>
        </w:rPr>
        <w:t>资料来源于《1:5万宜昌市水文地质图说明书》及《1:5万宜昌市地貌及第四纪地质图说明书》1988.12月，湖北省地质局水文地质工程地质大队。</w:t>
      </w:r>
    </w:p>
    <w:p w14:paraId="483736AE">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.4  恩施</w:t>
      </w:r>
      <w:r>
        <w:rPr>
          <w:rFonts w:ascii="黑体" w:hAnsi="黑体" w:eastAsia="黑体"/>
          <w:bCs/>
        </w:rPr>
        <w:t>市</w:t>
      </w:r>
      <w:r>
        <w:rPr>
          <w:rFonts w:hint="eastAsia" w:ascii="黑体" w:hAnsi="黑体" w:eastAsia="黑体"/>
          <w:bCs/>
        </w:rPr>
        <w:t>水文地质图</w:t>
      </w:r>
    </w:p>
    <w:p w14:paraId="228F1966">
      <w:pPr>
        <w:spacing w:before="157" w:beforeLines="50" w:after="157" w:afterLines="50" w:line="240" w:lineRule="auto"/>
        <w:ind w:firstLine="364" w:firstLineChars="200"/>
        <w:jc w:val="left"/>
        <w:rPr>
          <w:rFonts w:hint="eastAsia" w:ascii="黑体" w:hAnsi="黑体" w:eastAsia="黑体"/>
          <w:bCs/>
        </w:rPr>
      </w:pPr>
      <w:r>
        <w:rPr>
          <w:rFonts w:hint="eastAsia" w:ascii="黑体" w:hAnsi="黑体" w:eastAsia="黑体" w:cs="黑体"/>
          <w:sz w:val="18"/>
          <w:szCs w:val="18"/>
        </w:rPr>
        <w:t>资料来源于《湖北重点岩溶流域地下水勘查与开发示范——清江源岩溶流域报告》2012.12月，湖北省地质局水文地质工程地质大队。</w:t>
      </w:r>
    </w:p>
    <w:p w14:paraId="56C33014">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.5  荆州</w:t>
      </w:r>
      <w:r>
        <w:rPr>
          <w:rFonts w:ascii="黑体" w:hAnsi="黑体" w:eastAsia="黑体"/>
          <w:bCs/>
        </w:rPr>
        <w:t>市</w:t>
      </w:r>
      <w:r>
        <w:rPr>
          <w:rFonts w:hint="eastAsia" w:ascii="黑体" w:hAnsi="黑体" w:eastAsia="黑体"/>
          <w:bCs/>
        </w:rPr>
        <w:t>水文地质图</w:t>
      </w:r>
    </w:p>
    <w:p w14:paraId="38401881">
      <w:pPr>
        <w:spacing w:before="157" w:beforeLines="50" w:after="157" w:afterLines="50" w:line="240" w:lineRule="auto"/>
        <w:ind w:firstLine="364" w:firstLineChars="200"/>
        <w:jc w:val="left"/>
        <w:rPr>
          <w:rFonts w:hint="eastAsia" w:ascii="黑体" w:hAnsi="黑体" w:eastAsia="黑体"/>
          <w:bCs/>
        </w:rPr>
      </w:pPr>
      <w:r>
        <w:rPr>
          <w:rFonts w:hint="eastAsia" w:ascii="黑体" w:hAnsi="黑体" w:eastAsia="黑体" w:cs="黑体"/>
          <w:sz w:val="18"/>
          <w:szCs w:val="18"/>
        </w:rPr>
        <w:t>资料来源于《1:20万沙市幅水文地质图及说明书》1973.1月，湖北省地质局水文地质工程地质大队。</w:t>
      </w:r>
    </w:p>
    <w:p w14:paraId="6D05B81E">
      <w:pPr>
        <w:spacing w:before="157" w:beforeLines="50" w:after="157" w:afterLines="50" w:line="240" w:lineRule="auto"/>
        <w:jc w:val="left"/>
        <w:outlineLvl w:val="1"/>
        <w:rPr>
          <w:rFonts w:hint="eastAsia" w:ascii="黑体" w:hAnsi="黑体" w:eastAsia="黑体"/>
          <w:bCs/>
        </w:rPr>
      </w:pPr>
      <w:r>
        <w:rPr>
          <w:rFonts w:ascii="黑体" w:hAnsi="黑体" w:eastAsia="黑体"/>
          <w:bCs/>
        </w:rPr>
        <w:t>A</w:t>
      </w:r>
      <w:r>
        <w:rPr>
          <w:rFonts w:hint="eastAsia" w:ascii="黑体" w:hAnsi="黑体" w:eastAsia="黑体"/>
          <w:bCs/>
        </w:rPr>
        <w:t>.6  襄阳</w:t>
      </w:r>
      <w:r>
        <w:rPr>
          <w:rFonts w:ascii="黑体" w:hAnsi="黑体" w:eastAsia="黑体"/>
          <w:bCs/>
        </w:rPr>
        <w:t>市</w:t>
      </w:r>
      <w:r>
        <w:rPr>
          <w:rFonts w:hint="eastAsia" w:ascii="黑体" w:hAnsi="黑体" w:eastAsia="黑体"/>
          <w:bCs/>
        </w:rPr>
        <w:t>水文地质图</w:t>
      </w:r>
    </w:p>
    <w:p w14:paraId="25D9B4D9">
      <w:pPr>
        <w:spacing w:before="157" w:beforeLines="50" w:after="157" w:afterLines="50" w:line="240" w:lineRule="auto"/>
        <w:ind w:firstLine="364" w:firstLineChars="200"/>
        <w:jc w:val="left"/>
        <w:rPr>
          <w:rFonts w:hint="eastAsia" w:ascii="黑体" w:hAnsi="黑体" w:eastAsia="黑体"/>
          <w:bCs/>
        </w:rPr>
      </w:pPr>
      <w:r>
        <w:rPr>
          <w:rFonts w:hint="eastAsia" w:ascii="黑体" w:hAnsi="黑体" w:eastAsia="黑体" w:cs="黑体"/>
          <w:sz w:val="18"/>
          <w:szCs w:val="18"/>
        </w:rPr>
        <w:t>资料来源于《1:20万襄阳幅水文地质图及说明书》1979.1月，湖北省地质局水文地质工程地质大队。</w:t>
      </w:r>
    </w:p>
    <w:p w14:paraId="526869F2">
      <w:pPr>
        <w:pStyle w:val="32"/>
        <w:spacing w:line="240" w:lineRule="auto"/>
        <w:ind w:left="0" w:leftChars="0" w:firstLine="0" w:firstLineChars="0"/>
        <w:jc w:val="center"/>
        <w:rPr>
          <w:rFonts w:ascii="宋体" w:hAnsi="宋体" w:eastAsia="宋体" w:cs="宋体"/>
        </w:rPr>
        <w:sectPr>
          <w:footerReference r:id="rId19" w:type="default"/>
          <w:footerReference r:id="rId20" w:type="even"/>
          <w:pgSz w:w="11905" w:h="16838"/>
          <w:pgMar w:top="567" w:right="1134" w:bottom="1134" w:left="1418" w:header="851" w:footer="992" w:gutter="0"/>
          <w:cols w:space="0" w:num="1"/>
          <w:docGrid w:type="linesAndChars" w:linePitch="315" w:charSpace="525"/>
        </w:sectPr>
      </w:pPr>
    </w:p>
    <w:p w14:paraId="5839953C">
      <w:pPr>
        <w:pStyle w:val="84"/>
        <w:numPr>
          <w:ilvl w:val="0"/>
          <w:numId w:val="0"/>
        </w:numPr>
        <w:spacing w:after="156"/>
      </w:pPr>
      <w:bookmarkStart w:id="534" w:name="_Toc15278"/>
      <w:bookmarkStart w:id="535" w:name="_Toc142730207"/>
      <w:bookmarkStart w:id="536" w:name="_Toc9778"/>
      <w:r>
        <w:rPr>
          <w:spacing w:val="100"/>
        </w:rPr>
        <w:t>附录</w:t>
      </w:r>
      <w:r>
        <w:rPr>
          <w:rFonts w:hint="eastAsia"/>
          <w:spacing w:val="100"/>
        </w:rPr>
        <w:t>B</w:t>
      </w:r>
      <w:r>
        <w:br w:type="textWrapping"/>
      </w:r>
      <w:r>
        <w:rPr>
          <w:rFonts w:hint="eastAsia"/>
        </w:rPr>
        <w:t>（资料性）</w:t>
      </w:r>
      <w:r>
        <w:rPr>
          <w:rFonts w:hint="eastAsia"/>
        </w:rPr>
        <w:br w:type="textWrapping"/>
      </w:r>
      <w:r>
        <w:rPr>
          <w:rFonts w:hint="eastAsia"/>
        </w:rPr>
        <w:t>常见的成井方法</w:t>
      </w:r>
      <w:bookmarkEnd w:id="534"/>
      <w:bookmarkEnd w:id="535"/>
      <w:r>
        <w:rPr>
          <w:rFonts w:hint="eastAsia"/>
        </w:rPr>
        <w:t>及洗井工艺</w:t>
      </w:r>
      <w:bookmarkEnd w:id="536"/>
    </w:p>
    <w:p w14:paraId="6956428B">
      <w:pPr>
        <w:pStyle w:val="64"/>
        <w:ind w:firstLine="420"/>
        <w:jc w:val="center"/>
      </w:pPr>
      <w:r>
        <w:rPr>
          <w:rFonts w:hint="eastAsia" w:ascii="黑体" w:hAnsi="黑体" w:eastAsia="黑体" w:cs="黑体"/>
        </w:rPr>
        <w:t>表B.1 常见的成井方法</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276"/>
        <w:gridCol w:w="3118"/>
        <w:gridCol w:w="3041"/>
      </w:tblGrid>
      <w:tr w14:paraId="32A61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Merge w:val="restart"/>
            <w:tcBorders>
              <w:top w:val="single" w:color="auto" w:sz="12" w:space="0"/>
              <w:bottom w:val="single" w:color="auto" w:sz="12" w:space="0"/>
            </w:tcBorders>
            <w:vAlign w:val="center"/>
          </w:tcPr>
          <w:p w14:paraId="235BE34F">
            <w:pPr>
              <w:spacing w:line="240" w:lineRule="auto"/>
              <w:jc w:val="center"/>
              <w:rPr>
                <w:rFonts w:hint="eastAsia" w:ascii="宋体" w:hAnsi="宋体" w:cs="宋体"/>
                <w:sz w:val="18"/>
                <w:szCs w:val="18"/>
              </w:rPr>
            </w:pPr>
            <w:r>
              <w:rPr>
                <w:rFonts w:hint="eastAsia" w:ascii="宋体" w:hAnsi="宋体" w:cs="宋体"/>
                <w:sz w:val="18"/>
                <w:szCs w:val="18"/>
              </w:rPr>
              <w:t>钻进方法名称</w:t>
            </w:r>
          </w:p>
        </w:tc>
        <w:tc>
          <w:tcPr>
            <w:tcW w:w="4394" w:type="dxa"/>
            <w:gridSpan w:val="2"/>
            <w:tcBorders>
              <w:bottom w:val="single" w:color="auto" w:sz="4" w:space="0"/>
            </w:tcBorders>
            <w:vAlign w:val="center"/>
          </w:tcPr>
          <w:p w14:paraId="3A9A58F6">
            <w:pPr>
              <w:spacing w:line="240" w:lineRule="auto"/>
              <w:jc w:val="center"/>
              <w:rPr>
                <w:rFonts w:hint="eastAsia" w:ascii="宋体" w:hAnsi="宋体" w:cs="宋体"/>
                <w:sz w:val="18"/>
                <w:szCs w:val="18"/>
              </w:rPr>
            </w:pPr>
            <w:r>
              <w:rPr>
                <w:rFonts w:hint="eastAsia" w:ascii="宋体" w:hAnsi="宋体" w:cs="宋体"/>
                <w:sz w:val="18"/>
                <w:szCs w:val="18"/>
              </w:rPr>
              <w:t>适用范围</w:t>
            </w:r>
          </w:p>
        </w:tc>
        <w:tc>
          <w:tcPr>
            <w:tcW w:w="3041" w:type="dxa"/>
            <w:vMerge w:val="restart"/>
            <w:tcBorders>
              <w:top w:val="single" w:color="auto" w:sz="12" w:space="0"/>
              <w:bottom w:val="single" w:color="auto" w:sz="12" w:space="0"/>
            </w:tcBorders>
            <w:vAlign w:val="center"/>
          </w:tcPr>
          <w:p w14:paraId="5482BA7B">
            <w:pPr>
              <w:spacing w:line="240" w:lineRule="auto"/>
              <w:jc w:val="center"/>
              <w:rPr>
                <w:rFonts w:hint="eastAsia" w:ascii="宋体" w:hAnsi="宋体" w:cs="宋体"/>
                <w:sz w:val="18"/>
                <w:szCs w:val="18"/>
              </w:rPr>
            </w:pPr>
            <w:r>
              <w:rPr>
                <w:rFonts w:hint="eastAsia" w:ascii="宋体" w:hAnsi="宋体" w:cs="宋体"/>
                <w:sz w:val="18"/>
                <w:szCs w:val="18"/>
              </w:rPr>
              <w:t>优点</w:t>
            </w:r>
          </w:p>
        </w:tc>
      </w:tr>
      <w:tr w14:paraId="06E97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Merge w:val="continue"/>
            <w:tcBorders>
              <w:top w:val="single" w:color="auto" w:sz="4" w:space="0"/>
              <w:bottom w:val="single" w:color="auto" w:sz="12" w:space="0"/>
            </w:tcBorders>
            <w:vAlign w:val="center"/>
          </w:tcPr>
          <w:p w14:paraId="56C6135E">
            <w:pPr>
              <w:spacing w:line="240" w:lineRule="auto"/>
              <w:jc w:val="center"/>
              <w:rPr>
                <w:rFonts w:hint="eastAsia" w:ascii="宋体" w:hAnsi="宋体" w:cs="宋体"/>
                <w:sz w:val="18"/>
                <w:szCs w:val="18"/>
              </w:rPr>
            </w:pPr>
          </w:p>
        </w:tc>
        <w:tc>
          <w:tcPr>
            <w:tcW w:w="1276" w:type="dxa"/>
            <w:tcBorders>
              <w:top w:val="single" w:color="auto" w:sz="4" w:space="0"/>
              <w:bottom w:val="single" w:color="auto" w:sz="12" w:space="0"/>
            </w:tcBorders>
            <w:vAlign w:val="center"/>
          </w:tcPr>
          <w:p w14:paraId="66E65C2A">
            <w:pPr>
              <w:spacing w:line="240" w:lineRule="auto"/>
              <w:jc w:val="center"/>
              <w:rPr>
                <w:rFonts w:hint="eastAsia" w:ascii="宋体" w:hAnsi="宋体" w:cs="宋体"/>
                <w:sz w:val="18"/>
                <w:szCs w:val="18"/>
              </w:rPr>
            </w:pPr>
            <w:r>
              <w:rPr>
                <w:rFonts w:hint="eastAsia" w:ascii="宋体" w:hAnsi="宋体" w:cs="宋体"/>
                <w:sz w:val="18"/>
                <w:szCs w:val="18"/>
              </w:rPr>
              <w:t>可钻性（级）</w:t>
            </w:r>
          </w:p>
        </w:tc>
        <w:tc>
          <w:tcPr>
            <w:tcW w:w="3118" w:type="dxa"/>
            <w:tcBorders>
              <w:top w:val="single" w:color="auto" w:sz="4" w:space="0"/>
              <w:bottom w:val="single" w:color="auto" w:sz="12" w:space="0"/>
            </w:tcBorders>
            <w:vAlign w:val="center"/>
          </w:tcPr>
          <w:p w14:paraId="4D5EB3E3">
            <w:pPr>
              <w:spacing w:line="240" w:lineRule="auto"/>
              <w:jc w:val="center"/>
              <w:rPr>
                <w:rFonts w:hint="eastAsia" w:ascii="宋体" w:hAnsi="宋体" w:cs="宋体"/>
                <w:sz w:val="18"/>
                <w:szCs w:val="18"/>
              </w:rPr>
            </w:pPr>
            <w:r>
              <w:rPr>
                <w:rFonts w:hint="eastAsia" w:ascii="宋体" w:hAnsi="宋体" w:cs="宋体"/>
                <w:sz w:val="18"/>
                <w:szCs w:val="18"/>
              </w:rPr>
              <w:t>岩性及其他条件</w:t>
            </w:r>
          </w:p>
        </w:tc>
        <w:tc>
          <w:tcPr>
            <w:tcW w:w="3041" w:type="dxa"/>
            <w:vMerge w:val="continue"/>
            <w:tcBorders>
              <w:top w:val="single" w:color="auto" w:sz="4" w:space="0"/>
              <w:bottom w:val="single" w:color="auto" w:sz="12" w:space="0"/>
            </w:tcBorders>
            <w:vAlign w:val="center"/>
          </w:tcPr>
          <w:p w14:paraId="1C74613E">
            <w:pPr>
              <w:spacing w:line="240" w:lineRule="auto"/>
              <w:jc w:val="center"/>
              <w:rPr>
                <w:rFonts w:hint="eastAsia" w:ascii="宋体" w:hAnsi="宋体" w:cs="宋体"/>
                <w:sz w:val="18"/>
                <w:szCs w:val="18"/>
              </w:rPr>
            </w:pPr>
          </w:p>
        </w:tc>
      </w:tr>
      <w:tr w14:paraId="37A06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tcBorders>
              <w:top w:val="single" w:color="auto" w:sz="12" w:space="0"/>
            </w:tcBorders>
            <w:vAlign w:val="center"/>
          </w:tcPr>
          <w:p w14:paraId="6F881D3A">
            <w:pPr>
              <w:spacing w:line="240" w:lineRule="auto"/>
              <w:jc w:val="center"/>
              <w:rPr>
                <w:rFonts w:hint="eastAsia" w:ascii="宋体" w:hAnsi="宋体" w:cs="宋体"/>
                <w:sz w:val="18"/>
                <w:szCs w:val="18"/>
              </w:rPr>
            </w:pPr>
            <w:r>
              <w:rPr>
                <w:rFonts w:hint="eastAsia" w:ascii="宋体" w:hAnsi="宋体" w:cs="宋体"/>
                <w:sz w:val="18"/>
                <w:szCs w:val="18"/>
              </w:rPr>
              <w:t>牙轮钻进</w:t>
            </w:r>
          </w:p>
        </w:tc>
        <w:tc>
          <w:tcPr>
            <w:tcW w:w="1276" w:type="dxa"/>
            <w:tcBorders>
              <w:top w:val="single" w:color="auto" w:sz="12" w:space="0"/>
            </w:tcBorders>
            <w:vAlign w:val="center"/>
          </w:tcPr>
          <w:p w14:paraId="238A3E3D">
            <w:pPr>
              <w:spacing w:line="240" w:lineRule="auto"/>
              <w:jc w:val="center"/>
              <w:rPr>
                <w:rFonts w:hint="eastAsia" w:ascii="宋体" w:hAnsi="宋体" w:cs="宋体"/>
                <w:sz w:val="18"/>
                <w:szCs w:val="18"/>
              </w:rPr>
            </w:pPr>
            <w:r>
              <w:rPr>
                <w:rFonts w:hint="eastAsia" w:ascii="宋体" w:hAnsi="宋体" w:cs="宋体"/>
                <w:sz w:val="18"/>
                <w:szCs w:val="18"/>
              </w:rPr>
              <w:t>1～10</w:t>
            </w:r>
          </w:p>
        </w:tc>
        <w:tc>
          <w:tcPr>
            <w:tcW w:w="3118" w:type="dxa"/>
            <w:tcBorders>
              <w:top w:val="single" w:color="auto" w:sz="12" w:space="0"/>
            </w:tcBorders>
            <w:vAlign w:val="center"/>
          </w:tcPr>
          <w:p w14:paraId="167B5752">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适用于第四系松软地层、卵砾石地层，及完整、破碎、致密等基岩地层。常用于不取芯钻进</w:t>
            </w:r>
          </w:p>
        </w:tc>
        <w:tc>
          <w:tcPr>
            <w:tcW w:w="3041" w:type="dxa"/>
            <w:tcBorders>
              <w:top w:val="single" w:color="auto" w:sz="12" w:space="0"/>
            </w:tcBorders>
            <w:vAlign w:val="center"/>
          </w:tcPr>
          <w:p w14:paraId="5105CA78">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适用范围广、效率高，尤其在卵砾石及破碎地层钻进较其他回转钻进方法效果更好</w:t>
            </w:r>
          </w:p>
        </w:tc>
      </w:tr>
      <w:tr w14:paraId="4B025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Merge w:val="restart"/>
            <w:vAlign w:val="center"/>
          </w:tcPr>
          <w:p w14:paraId="5B6D2FE1">
            <w:pPr>
              <w:spacing w:line="240" w:lineRule="auto"/>
              <w:jc w:val="center"/>
              <w:rPr>
                <w:rFonts w:hint="eastAsia" w:ascii="宋体" w:hAnsi="宋体" w:cs="宋体"/>
                <w:sz w:val="18"/>
                <w:szCs w:val="18"/>
              </w:rPr>
            </w:pPr>
            <w:r>
              <w:rPr>
                <w:rFonts w:hint="eastAsia" w:ascii="宋体" w:hAnsi="宋体" w:cs="宋体"/>
                <w:sz w:val="18"/>
                <w:szCs w:val="18"/>
              </w:rPr>
              <w:t>硬质合金钻进</w:t>
            </w:r>
          </w:p>
        </w:tc>
        <w:tc>
          <w:tcPr>
            <w:tcW w:w="1276" w:type="dxa"/>
            <w:vAlign w:val="center"/>
          </w:tcPr>
          <w:p w14:paraId="21FD3D83">
            <w:pPr>
              <w:spacing w:line="240" w:lineRule="auto"/>
              <w:jc w:val="center"/>
              <w:rPr>
                <w:rFonts w:hint="eastAsia" w:ascii="宋体" w:hAnsi="宋体" w:cs="宋体"/>
                <w:sz w:val="18"/>
                <w:szCs w:val="18"/>
              </w:rPr>
            </w:pPr>
            <w:r>
              <w:rPr>
                <w:rFonts w:hint="eastAsia" w:ascii="宋体" w:hAnsi="宋体" w:cs="宋体"/>
                <w:sz w:val="18"/>
                <w:szCs w:val="18"/>
              </w:rPr>
              <w:t>常规口径1～6</w:t>
            </w:r>
          </w:p>
        </w:tc>
        <w:tc>
          <w:tcPr>
            <w:tcW w:w="3118" w:type="dxa"/>
            <w:vMerge w:val="restart"/>
            <w:vAlign w:val="center"/>
          </w:tcPr>
          <w:p w14:paraId="71EBF7BF">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适用于第四系松软地层及较致密、完整的基岩地层，不适合于卵砾石地层和破碎地层钻进</w:t>
            </w:r>
          </w:p>
        </w:tc>
        <w:tc>
          <w:tcPr>
            <w:tcW w:w="3041" w:type="dxa"/>
            <w:vMerge w:val="restart"/>
            <w:vAlign w:val="center"/>
          </w:tcPr>
          <w:p w14:paraId="090ACEF9">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钻头加工容易，成本较低</w:t>
            </w:r>
          </w:p>
        </w:tc>
      </w:tr>
      <w:tr w14:paraId="148B2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Merge w:val="continue"/>
            <w:vAlign w:val="center"/>
          </w:tcPr>
          <w:p w14:paraId="05BEDF73">
            <w:pPr>
              <w:spacing w:line="240" w:lineRule="auto"/>
              <w:jc w:val="center"/>
              <w:rPr>
                <w:rFonts w:hint="eastAsia" w:ascii="宋体" w:hAnsi="宋体" w:cs="宋体"/>
                <w:sz w:val="18"/>
                <w:szCs w:val="18"/>
              </w:rPr>
            </w:pPr>
          </w:p>
        </w:tc>
        <w:tc>
          <w:tcPr>
            <w:tcW w:w="1276" w:type="dxa"/>
            <w:vAlign w:val="center"/>
          </w:tcPr>
          <w:p w14:paraId="3CA1AA4B">
            <w:pPr>
              <w:spacing w:line="240" w:lineRule="auto"/>
              <w:jc w:val="center"/>
              <w:rPr>
                <w:rFonts w:hint="eastAsia" w:ascii="宋体" w:hAnsi="宋体" w:cs="宋体"/>
                <w:sz w:val="18"/>
                <w:szCs w:val="18"/>
              </w:rPr>
            </w:pPr>
            <w:r>
              <w:rPr>
                <w:rFonts w:hint="eastAsia" w:ascii="宋体" w:hAnsi="宋体" w:cs="宋体"/>
                <w:sz w:val="18"/>
                <w:szCs w:val="18"/>
              </w:rPr>
              <w:t>大口径</w:t>
            </w:r>
          </w:p>
          <w:p w14:paraId="729744D4">
            <w:pPr>
              <w:spacing w:line="240" w:lineRule="auto"/>
              <w:jc w:val="center"/>
              <w:rPr>
                <w:rFonts w:hint="eastAsia" w:ascii="宋体" w:hAnsi="宋体" w:cs="宋体"/>
                <w:sz w:val="18"/>
                <w:szCs w:val="18"/>
              </w:rPr>
            </w:pPr>
            <w:r>
              <w:rPr>
                <w:rFonts w:hint="eastAsia" w:ascii="宋体" w:hAnsi="宋体" w:cs="宋体"/>
                <w:sz w:val="18"/>
                <w:szCs w:val="18"/>
              </w:rPr>
              <w:t>1～4</w:t>
            </w:r>
          </w:p>
        </w:tc>
        <w:tc>
          <w:tcPr>
            <w:tcW w:w="3118" w:type="dxa"/>
            <w:vMerge w:val="continue"/>
            <w:vAlign w:val="center"/>
          </w:tcPr>
          <w:p w14:paraId="225E8567">
            <w:pPr>
              <w:spacing w:line="240" w:lineRule="auto"/>
              <w:jc w:val="left"/>
              <w:rPr>
                <w:rFonts w:hint="eastAsia" w:ascii="宋体" w:hAnsi="宋体" w:cs="宋体"/>
                <w:sz w:val="18"/>
                <w:szCs w:val="18"/>
              </w:rPr>
            </w:pPr>
          </w:p>
        </w:tc>
        <w:tc>
          <w:tcPr>
            <w:tcW w:w="3041" w:type="dxa"/>
            <w:vMerge w:val="continue"/>
            <w:vAlign w:val="center"/>
          </w:tcPr>
          <w:p w14:paraId="67B824EF">
            <w:pPr>
              <w:spacing w:line="240" w:lineRule="auto"/>
              <w:jc w:val="left"/>
              <w:rPr>
                <w:rFonts w:hint="eastAsia" w:ascii="宋体" w:hAnsi="宋体" w:cs="宋体"/>
                <w:sz w:val="18"/>
                <w:szCs w:val="18"/>
              </w:rPr>
            </w:pPr>
          </w:p>
        </w:tc>
      </w:tr>
      <w:tr w14:paraId="2B6A0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487DF38D">
            <w:pPr>
              <w:spacing w:line="240" w:lineRule="auto"/>
              <w:jc w:val="center"/>
              <w:rPr>
                <w:rFonts w:hint="eastAsia" w:ascii="宋体" w:hAnsi="宋体" w:cs="宋体"/>
                <w:sz w:val="18"/>
                <w:szCs w:val="18"/>
              </w:rPr>
            </w:pPr>
            <w:r>
              <w:rPr>
                <w:rFonts w:hint="eastAsia" w:ascii="宋体" w:hAnsi="宋体" w:cs="宋体"/>
                <w:sz w:val="18"/>
                <w:szCs w:val="18"/>
              </w:rPr>
              <w:t>泵吸反循环钻进</w:t>
            </w:r>
          </w:p>
        </w:tc>
        <w:tc>
          <w:tcPr>
            <w:tcW w:w="1276" w:type="dxa"/>
            <w:vAlign w:val="center"/>
          </w:tcPr>
          <w:p w14:paraId="7951D7FB">
            <w:pPr>
              <w:spacing w:line="240" w:lineRule="auto"/>
              <w:jc w:val="center"/>
              <w:rPr>
                <w:rFonts w:hint="eastAsia" w:ascii="宋体" w:hAnsi="宋体" w:cs="宋体"/>
                <w:sz w:val="18"/>
                <w:szCs w:val="18"/>
              </w:rPr>
            </w:pPr>
            <w:r>
              <w:rPr>
                <w:rFonts w:hint="eastAsia" w:ascii="宋体" w:hAnsi="宋体" w:cs="宋体"/>
                <w:sz w:val="18"/>
                <w:szCs w:val="18"/>
              </w:rPr>
              <w:t>—</w:t>
            </w:r>
          </w:p>
        </w:tc>
        <w:tc>
          <w:tcPr>
            <w:tcW w:w="3118" w:type="dxa"/>
            <w:vAlign w:val="center"/>
          </w:tcPr>
          <w:p w14:paraId="2A3FEB7C">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适用于第四系松散地层浅孔、大口径孔，孔深在100 m内效果较好。钻进时需保证充足的施工用水，在地下水位埋深小于3 m时，不易护壁，粒径超过钻杆内径的卵石层不宜使用此方法</w:t>
            </w:r>
          </w:p>
        </w:tc>
        <w:tc>
          <w:tcPr>
            <w:tcW w:w="3041" w:type="dxa"/>
            <w:vAlign w:val="center"/>
          </w:tcPr>
          <w:p w14:paraId="606B8A2C">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冲洗液上返速度快、洗孔彻底、钻进效率高，钻进安全，成本低，成井后易于洗井</w:t>
            </w:r>
          </w:p>
        </w:tc>
      </w:tr>
      <w:tr w14:paraId="43DEF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7106F74E">
            <w:pPr>
              <w:spacing w:line="240" w:lineRule="auto"/>
              <w:jc w:val="center"/>
              <w:rPr>
                <w:rFonts w:hint="eastAsia" w:ascii="宋体" w:hAnsi="宋体" w:cs="宋体"/>
                <w:sz w:val="18"/>
                <w:szCs w:val="18"/>
              </w:rPr>
            </w:pPr>
            <w:r>
              <w:rPr>
                <w:rFonts w:hint="eastAsia" w:ascii="宋体" w:hAnsi="宋体" w:cs="宋体"/>
                <w:sz w:val="18"/>
                <w:szCs w:val="18"/>
              </w:rPr>
              <w:t>气举反循环钻进</w:t>
            </w:r>
          </w:p>
        </w:tc>
        <w:tc>
          <w:tcPr>
            <w:tcW w:w="1276" w:type="dxa"/>
            <w:vAlign w:val="center"/>
          </w:tcPr>
          <w:p w14:paraId="476E5D5D">
            <w:pPr>
              <w:spacing w:line="240" w:lineRule="auto"/>
              <w:jc w:val="center"/>
              <w:rPr>
                <w:rFonts w:hint="eastAsia" w:ascii="宋体" w:hAnsi="宋体" w:cs="宋体"/>
                <w:sz w:val="18"/>
                <w:szCs w:val="18"/>
              </w:rPr>
            </w:pPr>
            <w:r>
              <w:rPr>
                <w:rFonts w:hint="eastAsia" w:ascii="宋体" w:hAnsi="宋体" w:cs="宋体"/>
                <w:sz w:val="18"/>
                <w:szCs w:val="18"/>
              </w:rPr>
              <w:t>—</w:t>
            </w:r>
          </w:p>
        </w:tc>
        <w:tc>
          <w:tcPr>
            <w:tcW w:w="3118" w:type="dxa"/>
            <w:vAlign w:val="center"/>
          </w:tcPr>
          <w:p w14:paraId="63BA642B">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适用于第四系松散地层以及硬度不大的基岩地层、大口径孔。孔深大于10 m开始使用，超过50 m后方能发挥其高效的特性，钻进时须保证充足的施工用水，在地下水埋深小于3 m时不易护壁。在黏土层不宜使用</w:t>
            </w:r>
          </w:p>
        </w:tc>
        <w:tc>
          <w:tcPr>
            <w:tcW w:w="3041" w:type="dxa"/>
            <w:vAlign w:val="center"/>
          </w:tcPr>
          <w:p w14:paraId="198E41B0">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冲洗液上返速度快、洗孔彻底，钻进效率高，钻进安全，成井后易于洗井</w:t>
            </w:r>
          </w:p>
          <w:p w14:paraId="40E5B5AD">
            <w:pPr>
              <w:spacing w:line="240" w:lineRule="auto"/>
              <w:jc w:val="left"/>
              <w:rPr>
                <w:rFonts w:hint="eastAsia" w:ascii="宋体" w:hAnsi="宋体" w:cs="宋体"/>
                <w:sz w:val="18"/>
                <w:szCs w:val="18"/>
              </w:rPr>
            </w:pPr>
          </w:p>
        </w:tc>
      </w:tr>
      <w:tr w14:paraId="4732A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54358D64">
            <w:pPr>
              <w:spacing w:line="240" w:lineRule="auto"/>
              <w:jc w:val="center"/>
              <w:rPr>
                <w:rFonts w:hint="eastAsia" w:ascii="宋体" w:hAnsi="宋体" w:cs="宋体"/>
                <w:sz w:val="18"/>
                <w:szCs w:val="18"/>
              </w:rPr>
            </w:pPr>
            <w:r>
              <w:rPr>
                <w:rFonts w:hint="eastAsia" w:ascii="宋体" w:hAnsi="宋体" w:cs="宋体"/>
                <w:sz w:val="18"/>
                <w:szCs w:val="18"/>
              </w:rPr>
              <w:t>气动潜孔锤正循环钻进</w:t>
            </w:r>
          </w:p>
        </w:tc>
        <w:tc>
          <w:tcPr>
            <w:tcW w:w="1276" w:type="dxa"/>
            <w:vAlign w:val="center"/>
          </w:tcPr>
          <w:p w14:paraId="3D7C1762">
            <w:pPr>
              <w:spacing w:line="240" w:lineRule="auto"/>
              <w:jc w:val="center"/>
              <w:rPr>
                <w:rFonts w:hint="eastAsia" w:ascii="宋体" w:hAnsi="宋体" w:cs="宋体"/>
                <w:sz w:val="18"/>
                <w:szCs w:val="18"/>
              </w:rPr>
            </w:pPr>
            <w:r>
              <w:rPr>
                <w:rFonts w:hint="eastAsia" w:ascii="宋体" w:hAnsi="宋体" w:cs="宋体"/>
                <w:sz w:val="18"/>
                <w:szCs w:val="18"/>
              </w:rPr>
              <w:t>5～12</w:t>
            </w:r>
          </w:p>
        </w:tc>
        <w:tc>
          <w:tcPr>
            <w:tcW w:w="3118" w:type="dxa"/>
            <w:vAlign w:val="center"/>
          </w:tcPr>
          <w:p w14:paraId="7C93A3EB">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适用于坚硬的基岩地层、第四系胶结和半胶结地层，以及卵砾石地层，尤其适用于缺水或供水困难地区。常用于不取芯钻进</w:t>
            </w:r>
          </w:p>
        </w:tc>
        <w:tc>
          <w:tcPr>
            <w:tcW w:w="3041" w:type="dxa"/>
            <w:vAlign w:val="center"/>
          </w:tcPr>
          <w:p w14:paraId="5465881B">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具有冲击和回转双重破岩作用，钻进效率高，成本低，且不污染含水层、成井后洗井容易，出水量大</w:t>
            </w:r>
          </w:p>
        </w:tc>
      </w:tr>
      <w:tr w14:paraId="34C7F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1F8134B6">
            <w:pPr>
              <w:spacing w:line="240" w:lineRule="auto"/>
              <w:jc w:val="center"/>
              <w:rPr>
                <w:rFonts w:hint="eastAsia" w:ascii="宋体" w:hAnsi="宋体" w:cs="宋体"/>
                <w:sz w:val="18"/>
                <w:szCs w:val="18"/>
              </w:rPr>
            </w:pPr>
            <w:r>
              <w:rPr>
                <w:rFonts w:hint="eastAsia" w:ascii="宋体" w:hAnsi="宋体" w:cs="宋体"/>
                <w:sz w:val="18"/>
                <w:szCs w:val="18"/>
              </w:rPr>
              <w:t>气动潜孔锤反循环钻进</w:t>
            </w:r>
          </w:p>
        </w:tc>
        <w:tc>
          <w:tcPr>
            <w:tcW w:w="1276" w:type="dxa"/>
            <w:vAlign w:val="center"/>
          </w:tcPr>
          <w:p w14:paraId="1A4407F1">
            <w:pPr>
              <w:spacing w:line="240" w:lineRule="auto"/>
              <w:jc w:val="center"/>
              <w:rPr>
                <w:rFonts w:hint="eastAsia" w:ascii="宋体" w:hAnsi="宋体" w:cs="宋体"/>
                <w:sz w:val="18"/>
                <w:szCs w:val="18"/>
              </w:rPr>
            </w:pPr>
            <w:r>
              <w:rPr>
                <w:rFonts w:hint="eastAsia" w:ascii="宋体" w:hAnsi="宋体" w:cs="宋体"/>
                <w:sz w:val="18"/>
                <w:szCs w:val="18"/>
              </w:rPr>
              <w:t>5～12</w:t>
            </w:r>
          </w:p>
        </w:tc>
        <w:tc>
          <w:tcPr>
            <w:tcW w:w="3118" w:type="dxa"/>
            <w:vAlign w:val="center"/>
          </w:tcPr>
          <w:p w14:paraId="721C41CE">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适用于坚硬的基岩地层、第四系胶结和半胶结地层，以及卵砾石地层，尤其适用于缺水或供水困难地区。常用于不取芯钻进</w:t>
            </w:r>
          </w:p>
        </w:tc>
        <w:tc>
          <w:tcPr>
            <w:tcW w:w="3041" w:type="dxa"/>
            <w:vAlign w:val="center"/>
          </w:tcPr>
          <w:p w14:paraId="2C63C19E">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除具有气动潜孔锤正循环钻进的全部优点外，在不稳定地层中钻进护孔效果优于气动潜孔锤正循环钻进</w:t>
            </w:r>
          </w:p>
        </w:tc>
      </w:tr>
      <w:tr w14:paraId="08E15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5C339188">
            <w:pPr>
              <w:spacing w:line="240" w:lineRule="auto"/>
              <w:jc w:val="center"/>
              <w:rPr>
                <w:rFonts w:hint="eastAsia" w:ascii="宋体" w:hAnsi="宋体" w:cs="宋体"/>
                <w:sz w:val="18"/>
                <w:szCs w:val="18"/>
              </w:rPr>
            </w:pPr>
            <w:r>
              <w:rPr>
                <w:rFonts w:hint="eastAsia" w:ascii="宋体" w:hAnsi="宋体" w:cs="宋体"/>
                <w:sz w:val="18"/>
                <w:szCs w:val="18"/>
              </w:rPr>
              <w:t>液动冲击回转钻进</w:t>
            </w:r>
          </w:p>
        </w:tc>
        <w:tc>
          <w:tcPr>
            <w:tcW w:w="1276" w:type="dxa"/>
            <w:vAlign w:val="center"/>
          </w:tcPr>
          <w:p w14:paraId="2796010B">
            <w:pPr>
              <w:spacing w:line="240" w:lineRule="auto"/>
              <w:jc w:val="center"/>
              <w:rPr>
                <w:rFonts w:hint="eastAsia" w:ascii="宋体" w:hAnsi="宋体" w:cs="宋体"/>
                <w:sz w:val="18"/>
                <w:szCs w:val="18"/>
              </w:rPr>
            </w:pPr>
            <w:r>
              <w:rPr>
                <w:rFonts w:hint="eastAsia" w:ascii="宋体" w:hAnsi="宋体" w:cs="宋体"/>
                <w:sz w:val="18"/>
                <w:szCs w:val="18"/>
              </w:rPr>
              <w:t>5～11</w:t>
            </w:r>
          </w:p>
        </w:tc>
        <w:tc>
          <w:tcPr>
            <w:tcW w:w="3118" w:type="dxa"/>
            <w:vAlign w:val="center"/>
          </w:tcPr>
          <w:p w14:paraId="14BE5C8B">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适用于硬度较大的基岩地层、第四系胶结和半胶结地层。多使用于常规口径钻孔，在大口径钻孔中应用较少</w:t>
            </w:r>
          </w:p>
        </w:tc>
        <w:tc>
          <w:tcPr>
            <w:tcW w:w="3041" w:type="dxa"/>
            <w:vAlign w:val="center"/>
          </w:tcPr>
          <w:p w14:paraId="4A4A40DC">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具有冲击和回转双重破岩作用，可利用泥浆护孔，不受水位埋深限制，钻进深度大</w:t>
            </w:r>
          </w:p>
        </w:tc>
      </w:tr>
      <w:tr w14:paraId="79351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61" w:type="dxa"/>
            <w:vAlign w:val="center"/>
          </w:tcPr>
          <w:p w14:paraId="17764194">
            <w:pPr>
              <w:spacing w:line="240" w:lineRule="auto"/>
              <w:jc w:val="center"/>
              <w:rPr>
                <w:rFonts w:hint="eastAsia" w:ascii="宋体" w:hAnsi="宋体" w:cs="宋体"/>
                <w:sz w:val="18"/>
                <w:szCs w:val="18"/>
              </w:rPr>
            </w:pPr>
            <w:r>
              <w:rPr>
                <w:rFonts w:hint="eastAsia" w:ascii="宋体" w:hAnsi="宋体" w:cs="宋体"/>
                <w:sz w:val="18"/>
                <w:szCs w:val="18"/>
              </w:rPr>
              <w:t>钢绳冲击钻进</w:t>
            </w:r>
          </w:p>
        </w:tc>
        <w:tc>
          <w:tcPr>
            <w:tcW w:w="1276" w:type="dxa"/>
            <w:vAlign w:val="center"/>
          </w:tcPr>
          <w:p w14:paraId="460EED99">
            <w:pPr>
              <w:spacing w:line="240" w:lineRule="auto"/>
              <w:jc w:val="center"/>
              <w:rPr>
                <w:rFonts w:hint="eastAsia" w:ascii="宋体" w:hAnsi="宋体" w:cs="宋体"/>
                <w:sz w:val="18"/>
                <w:szCs w:val="18"/>
              </w:rPr>
            </w:pPr>
            <w:r>
              <w:rPr>
                <w:rFonts w:hint="eastAsia" w:ascii="宋体" w:hAnsi="宋体" w:cs="宋体"/>
                <w:sz w:val="18"/>
                <w:szCs w:val="18"/>
              </w:rPr>
              <w:t>1～5</w:t>
            </w:r>
          </w:p>
        </w:tc>
        <w:tc>
          <w:tcPr>
            <w:tcW w:w="3118" w:type="dxa"/>
            <w:vAlign w:val="center"/>
          </w:tcPr>
          <w:p w14:paraId="7CF41FD8">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适用于第四系砂土、漂砾、卵砾石地层及风化破碎基岩地层中的大口径浅孔、中深孔钻进。钻进深度一般不超过200 m</w:t>
            </w:r>
          </w:p>
        </w:tc>
        <w:tc>
          <w:tcPr>
            <w:tcW w:w="3041" w:type="dxa"/>
            <w:vAlign w:val="center"/>
          </w:tcPr>
          <w:p w14:paraId="21B9AE05">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设备、钻具简单，钻进成本低，在砂土、卵砾石层浅孔钻进效果好</w:t>
            </w:r>
          </w:p>
        </w:tc>
      </w:tr>
      <w:tr w14:paraId="1BABF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261" w:type="dxa"/>
            <w:vAlign w:val="center"/>
          </w:tcPr>
          <w:p w14:paraId="7912F28E">
            <w:pPr>
              <w:spacing w:line="240" w:lineRule="auto"/>
              <w:jc w:val="center"/>
              <w:rPr>
                <w:rFonts w:hint="eastAsia" w:ascii="宋体" w:hAnsi="宋体" w:cs="宋体"/>
                <w:sz w:val="18"/>
                <w:szCs w:val="18"/>
              </w:rPr>
            </w:pPr>
            <w:r>
              <w:rPr>
                <w:rFonts w:hint="eastAsia" w:ascii="宋体" w:hAnsi="宋体" w:cs="宋体"/>
                <w:sz w:val="18"/>
                <w:szCs w:val="18"/>
              </w:rPr>
              <w:t>同步跟管钻进</w:t>
            </w:r>
          </w:p>
        </w:tc>
        <w:tc>
          <w:tcPr>
            <w:tcW w:w="1276" w:type="dxa"/>
            <w:vAlign w:val="center"/>
          </w:tcPr>
          <w:p w14:paraId="0014A7AA">
            <w:pPr>
              <w:spacing w:line="240" w:lineRule="auto"/>
              <w:jc w:val="center"/>
              <w:rPr>
                <w:rFonts w:hint="eastAsia" w:ascii="宋体" w:hAnsi="宋体" w:cs="宋体"/>
                <w:sz w:val="18"/>
                <w:szCs w:val="18"/>
              </w:rPr>
            </w:pPr>
            <w:r>
              <w:rPr>
                <w:rFonts w:hint="eastAsia" w:ascii="宋体" w:hAnsi="宋体" w:cs="宋体"/>
                <w:sz w:val="18"/>
                <w:szCs w:val="18"/>
              </w:rPr>
              <w:t>—</w:t>
            </w:r>
          </w:p>
        </w:tc>
        <w:tc>
          <w:tcPr>
            <w:tcW w:w="3118" w:type="dxa"/>
            <w:vAlign w:val="center"/>
          </w:tcPr>
          <w:p w14:paraId="3C7DF249">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适用于漂砾、流沙层、卵砾石层、冲积层等非稳定地层。须配备专用设备和工具</w:t>
            </w:r>
          </w:p>
        </w:tc>
        <w:tc>
          <w:tcPr>
            <w:tcW w:w="3041" w:type="dxa"/>
            <w:vAlign w:val="center"/>
          </w:tcPr>
          <w:p w14:paraId="52D66403">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在极不稳定的地层中钻进，能有效地防止塌孔，保证安全</w:t>
            </w:r>
          </w:p>
        </w:tc>
      </w:tr>
    </w:tbl>
    <w:p w14:paraId="78D6718D">
      <w:pPr>
        <w:pStyle w:val="64"/>
        <w:ind w:firstLine="420"/>
        <w:jc w:val="center"/>
        <w:rPr>
          <w:rFonts w:hint="eastAsia" w:ascii="黑体" w:hAnsi="黑体" w:eastAsia="黑体" w:cs="黑体"/>
        </w:rPr>
      </w:pPr>
      <w:r>
        <w:rPr>
          <w:rFonts w:ascii="黑体" w:hAnsi="黑体" w:eastAsia="黑体" w:cs="黑体"/>
          <w:kern w:val="44"/>
        </w:rPr>
        <w:br w:type="page"/>
      </w:r>
      <w:r>
        <w:rPr>
          <w:rFonts w:hint="eastAsia" w:ascii="黑体" w:hAnsi="黑体" w:eastAsia="黑体" w:cs="黑体"/>
        </w:rPr>
        <w:t>表B.2  常用的洗井工艺原理与适用场景</w:t>
      </w:r>
    </w:p>
    <w:tbl>
      <w:tblPr>
        <w:tblStyle w:val="33"/>
        <w:tblW w:w="448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15"/>
        <w:gridCol w:w="2420"/>
        <w:gridCol w:w="2420"/>
        <w:gridCol w:w="2422"/>
      </w:tblGrid>
      <w:tr w14:paraId="285D50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bottom w:val="single" w:color="000000" w:sz="12" w:space="0"/>
            </w:tcBorders>
            <w:shd w:val="clear" w:color="auto" w:fill="FFFFFF"/>
            <w:tcMar>
              <w:left w:w="108" w:type="dxa"/>
              <w:right w:w="108" w:type="dxa"/>
            </w:tcMar>
            <w:vAlign w:val="center"/>
          </w:tcPr>
          <w:p w14:paraId="7D96C5B9">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洗井工艺</w:t>
            </w:r>
          </w:p>
        </w:tc>
        <w:tc>
          <w:tcPr>
            <w:tcW w:w="1410" w:type="pct"/>
            <w:tcBorders>
              <w:bottom w:val="single" w:color="000000" w:sz="12" w:space="0"/>
            </w:tcBorders>
            <w:shd w:val="clear" w:color="auto" w:fill="FFFFFF"/>
            <w:tcMar>
              <w:left w:w="108" w:type="dxa"/>
              <w:right w:w="108" w:type="dxa"/>
            </w:tcMar>
            <w:vAlign w:val="center"/>
          </w:tcPr>
          <w:p w14:paraId="0BAFEBBE">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原理</w:t>
            </w:r>
          </w:p>
        </w:tc>
        <w:tc>
          <w:tcPr>
            <w:tcW w:w="1410" w:type="pct"/>
            <w:tcBorders>
              <w:bottom w:val="single" w:color="000000" w:sz="12" w:space="0"/>
            </w:tcBorders>
            <w:shd w:val="clear" w:color="auto" w:fill="FFFFFF"/>
            <w:tcMar>
              <w:left w:w="108" w:type="dxa"/>
              <w:right w:w="108" w:type="dxa"/>
            </w:tcMar>
            <w:vAlign w:val="center"/>
          </w:tcPr>
          <w:p w14:paraId="275D10EB">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适用场景</w:t>
            </w:r>
          </w:p>
        </w:tc>
        <w:tc>
          <w:tcPr>
            <w:tcW w:w="1411" w:type="pct"/>
            <w:tcBorders>
              <w:bottom w:val="single" w:color="000000" w:sz="12" w:space="0"/>
            </w:tcBorders>
            <w:shd w:val="clear" w:color="auto" w:fill="FFFFFF"/>
            <w:tcMar>
              <w:left w:w="108" w:type="dxa"/>
              <w:right w:w="108" w:type="dxa"/>
            </w:tcMar>
            <w:vAlign w:val="center"/>
          </w:tcPr>
          <w:p w14:paraId="79EA1F28">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优、缺点</w:t>
            </w:r>
          </w:p>
        </w:tc>
      </w:tr>
      <w:tr w14:paraId="28B61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top w:val="single" w:color="000000" w:sz="12" w:space="0"/>
              <w:tl2br w:val="nil"/>
              <w:tr2bl w:val="nil"/>
            </w:tcBorders>
            <w:shd w:val="clear" w:color="auto" w:fill="FFFFFF"/>
            <w:tcMar>
              <w:left w:w="108" w:type="dxa"/>
              <w:right w:w="108" w:type="dxa"/>
            </w:tcMar>
            <w:vAlign w:val="center"/>
          </w:tcPr>
          <w:p w14:paraId="712217F6">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活塞洗井</w:t>
            </w:r>
          </w:p>
        </w:tc>
        <w:tc>
          <w:tcPr>
            <w:tcW w:w="1410" w:type="pct"/>
            <w:tcBorders>
              <w:top w:val="single" w:color="000000" w:sz="12" w:space="0"/>
              <w:tl2br w:val="nil"/>
              <w:tr2bl w:val="nil"/>
            </w:tcBorders>
            <w:shd w:val="clear" w:color="auto" w:fill="FFFFFF"/>
            <w:tcMar>
              <w:left w:w="108" w:type="dxa"/>
              <w:right w:w="108" w:type="dxa"/>
            </w:tcMar>
            <w:vAlign w:val="center"/>
          </w:tcPr>
          <w:p w14:paraId="1D05EF38">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利用活塞在井管内上下运动，形成负压和水流冲击，剥离井壁泥皮、搅动滤料层杂质。</w:t>
            </w:r>
          </w:p>
        </w:tc>
        <w:tc>
          <w:tcPr>
            <w:tcW w:w="1410" w:type="pct"/>
            <w:tcBorders>
              <w:top w:val="single" w:color="000000" w:sz="12" w:space="0"/>
              <w:tl2br w:val="nil"/>
              <w:tr2bl w:val="nil"/>
            </w:tcBorders>
            <w:shd w:val="clear" w:color="auto" w:fill="FFFFFF"/>
            <w:tcMar>
              <w:left w:w="108" w:type="dxa"/>
              <w:right w:w="108" w:type="dxa"/>
            </w:tcMar>
            <w:vAlign w:val="center"/>
          </w:tcPr>
          <w:p w14:paraId="53844CA9">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细砂层、中砂层等松散含水层，井管强度较高的管井。</w:t>
            </w:r>
          </w:p>
        </w:tc>
        <w:tc>
          <w:tcPr>
            <w:tcW w:w="1411" w:type="pct"/>
            <w:tcBorders>
              <w:top w:val="single" w:color="000000" w:sz="12" w:space="0"/>
              <w:tl2br w:val="nil"/>
              <w:tr2bl w:val="nil"/>
            </w:tcBorders>
            <w:shd w:val="clear" w:color="auto" w:fill="FFFFFF"/>
            <w:tcMar>
              <w:left w:w="108" w:type="dxa"/>
              <w:right w:w="108" w:type="dxa"/>
            </w:tcMar>
            <w:vAlign w:val="center"/>
          </w:tcPr>
          <w:p w14:paraId="7D1A66EC">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优点：对含水层扰动小，适合精细洗井；</w:t>
            </w:r>
          </w:p>
          <w:p w14:paraId="3FD210D9">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缺点：对粗颗粒地层效果一般。</w:t>
            </w:r>
          </w:p>
        </w:tc>
      </w:tr>
      <w:tr w14:paraId="186B0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tl2br w:val="nil"/>
              <w:tr2bl w:val="nil"/>
            </w:tcBorders>
            <w:shd w:val="clear" w:color="auto" w:fill="FFFFFF"/>
            <w:tcMar>
              <w:left w:w="108" w:type="dxa"/>
              <w:right w:w="108" w:type="dxa"/>
            </w:tcMar>
            <w:vAlign w:val="center"/>
          </w:tcPr>
          <w:p w14:paraId="3A32833F">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空压机洗井</w:t>
            </w:r>
          </w:p>
        </w:tc>
        <w:tc>
          <w:tcPr>
            <w:tcW w:w="1410" w:type="pct"/>
            <w:tcBorders>
              <w:tl2br w:val="nil"/>
              <w:tr2bl w:val="nil"/>
            </w:tcBorders>
            <w:shd w:val="clear" w:color="auto" w:fill="FFFFFF"/>
            <w:tcMar>
              <w:left w:w="108" w:type="dxa"/>
              <w:right w:w="108" w:type="dxa"/>
            </w:tcMar>
            <w:vAlign w:val="center"/>
          </w:tcPr>
          <w:p w14:paraId="217CB70B">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压缩空气通过气管送入井内，气水混合后形成浮力，将含水层中的细颗粒、泥浆带出井口。</w:t>
            </w:r>
          </w:p>
        </w:tc>
        <w:tc>
          <w:tcPr>
            <w:tcW w:w="1410" w:type="pct"/>
            <w:tcBorders>
              <w:tl2br w:val="nil"/>
              <w:tr2bl w:val="nil"/>
            </w:tcBorders>
            <w:shd w:val="clear" w:color="auto" w:fill="FFFFFF"/>
            <w:tcMar>
              <w:left w:w="108" w:type="dxa"/>
              <w:right w:w="108" w:type="dxa"/>
            </w:tcMar>
            <w:vAlign w:val="center"/>
          </w:tcPr>
          <w:p w14:paraId="0BB0FB80">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各类松散含水层（砂、卵石）、基岩裂隙井。</w:t>
            </w:r>
          </w:p>
        </w:tc>
        <w:tc>
          <w:tcPr>
            <w:tcW w:w="1411" w:type="pct"/>
            <w:tcBorders>
              <w:tl2br w:val="nil"/>
              <w:tr2bl w:val="nil"/>
            </w:tcBorders>
            <w:shd w:val="clear" w:color="auto" w:fill="FFFFFF"/>
            <w:tcMar>
              <w:left w:w="108" w:type="dxa"/>
              <w:right w:w="108" w:type="dxa"/>
            </w:tcMar>
            <w:vAlign w:val="center"/>
          </w:tcPr>
          <w:p w14:paraId="3A70C93A">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优点：洗井效率高、穿透力强；</w:t>
            </w:r>
          </w:p>
          <w:p w14:paraId="62735C47">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缺点：对井管有一定振动，需控制气压。</w:t>
            </w:r>
          </w:p>
        </w:tc>
      </w:tr>
      <w:tr w14:paraId="785A14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tl2br w:val="nil"/>
              <w:tr2bl w:val="nil"/>
            </w:tcBorders>
            <w:shd w:val="clear" w:color="auto" w:fill="FFFFFF"/>
            <w:tcMar>
              <w:left w:w="108" w:type="dxa"/>
              <w:right w:w="108" w:type="dxa"/>
            </w:tcMar>
            <w:vAlign w:val="center"/>
          </w:tcPr>
          <w:p w14:paraId="6E98AF49">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抽水泵洗井</w:t>
            </w:r>
          </w:p>
        </w:tc>
        <w:tc>
          <w:tcPr>
            <w:tcW w:w="1410" w:type="pct"/>
            <w:tcBorders>
              <w:tl2br w:val="nil"/>
              <w:tr2bl w:val="nil"/>
            </w:tcBorders>
            <w:shd w:val="clear" w:color="auto" w:fill="FFFFFF"/>
            <w:tcMar>
              <w:left w:w="108" w:type="dxa"/>
              <w:right w:w="108" w:type="dxa"/>
            </w:tcMar>
            <w:vAlign w:val="center"/>
          </w:tcPr>
          <w:p w14:paraId="728F1E1A">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利用潜水泵、离心泵等抽水泵持续抽取井内水体，形成水位差，带动含水层中的水向井内流动，冲刷并带出井壁泥皮、滤料间的堵塞物。</w:t>
            </w:r>
          </w:p>
        </w:tc>
        <w:tc>
          <w:tcPr>
            <w:tcW w:w="1410" w:type="pct"/>
            <w:tcBorders>
              <w:tl2br w:val="nil"/>
              <w:tr2bl w:val="nil"/>
            </w:tcBorders>
            <w:shd w:val="clear" w:color="auto" w:fill="FFFFFF"/>
            <w:tcMar>
              <w:left w:w="108" w:type="dxa"/>
              <w:right w:w="108" w:type="dxa"/>
            </w:tcMar>
            <w:vAlign w:val="center"/>
          </w:tcPr>
          <w:p w14:paraId="6272511C">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浅至中等深度管井、砂层含水层；</w:t>
            </w:r>
          </w:p>
        </w:tc>
        <w:tc>
          <w:tcPr>
            <w:tcW w:w="1411" w:type="pct"/>
            <w:tcBorders>
              <w:tl2br w:val="nil"/>
              <w:tr2bl w:val="nil"/>
            </w:tcBorders>
            <w:shd w:val="clear" w:color="auto" w:fill="FFFFFF"/>
            <w:tcMar>
              <w:left w:w="108" w:type="dxa"/>
              <w:right w:w="108" w:type="dxa"/>
            </w:tcMar>
            <w:vAlign w:val="center"/>
          </w:tcPr>
          <w:p w14:paraId="0A13F16D">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优点：设备操作简单、成本低，适合大面积清理井内淤积；</w:t>
            </w:r>
          </w:p>
          <w:p w14:paraId="32042BF2">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缺点：对深层含水层疏通效果有限，单独使用难以彻底清除顽固堵塞物。</w:t>
            </w:r>
          </w:p>
        </w:tc>
      </w:tr>
      <w:tr w14:paraId="7E67C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07" w:hRule="atLeast"/>
          <w:jc w:val="center"/>
        </w:trPr>
        <w:tc>
          <w:tcPr>
            <w:tcW w:w="766" w:type="pct"/>
            <w:tcBorders>
              <w:tl2br w:val="nil"/>
              <w:tr2bl w:val="nil"/>
            </w:tcBorders>
            <w:shd w:val="clear" w:color="auto" w:fill="FFFFFF"/>
            <w:tcMar>
              <w:left w:w="108" w:type="dxa"/>
              <w:right w:w="108" w:type="dxa"/>
            </w:tcMar>
            <w:vAlign w:val="center"/>
          </w:tcPr>
          <w:p w14:paraId="08EDDED0">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注水冲孔洗井</w:t>
            </w:r>
          </w:p>
          <w:p w14:paraId="6496E7E8">
            <w:pPr>
              <w:spacing w:before="156" w:beforeLines="50" w:after="156" w:afterLines="50" w:line="240" w:lineRule="auto"/>
              <w:jc w:val="center"/>
              <w:rPr>
                <w:rFonts w:hint="eastAsia" w:ascii="宋体" w:hAnsi="宋体" w:cs="宋体"/>
                <w:color w:val="000000"/>
                <w:sz w:val="18"/>
                <w:szCs w:val="18"/>
              </w:rPr>
            </w:pPr>
          </w:p>
        </w:tc>
        <w:tc>
          <w:tcPr>
            <w:tcW w:w="1410" w:type="pct"/>
            <w:tcBorders>
              <w:tl2br w:val="nil"/>
              <w:tr2bl w:val="nil"/>
            </w:tcBorders>
            <w:shd w:val="clear" w:color="auto" w:fill="FFFFFF"/>
            <w:tcMar>
              <w:left w:w="108" w:type="dxa"/>
              <w:right w:w="108" w:type="dxa"/>
            </w:tcMar>
            <w:vAlign w:val="center"/>
          </w:tcPr>
          <w:p w14:paraId="61EDCB40">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通过高压水泵将清水（或清水+助洗剂）高压注入井内，利用高压水流的冲击力，冲刷井壁泥皮、松动滤料层间的细颗粒杂质，再通过排水管路将含杂质的污水排出，反复循环完成洗井。</w:t>
            </w:r>
          </w:p>
        </w:tc>
        <w:tc>
          <w:tcPr>
            <w:tcW w:w="1410" w:type="pct"/>
            <w:tcBorders>
              <w:tl2br w:val="nil"/>
              <w:tr2bl w:val="nil"/>
            </w:tcBorders>
            <w:shd w:val="clear" w:color="auto" w:fill="FFFFFF"/>
            <w:tcMar>
              <w:left w:w="108" w:type="dxa"/>
              <w:right w:w="108" w:type="dxa"/>
            </w:tcMar>
            <w:vAlign w:val="center"/>
          </w:tcPr>
          <w:p w14:paraId="1EF8AE13">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松散砂层、粉砂层、淤泥质含水层，滤料填充后有明显架空、淤堵的管井；可作为前期预处理洗井工。</w:t>
            </w:r>
          </w:p>
        </w:tc>
        <w:tc>
          <w:tcPr>
            <w:tcW w:w="1411" w:type="pct"/>
            <w:tcBorders>
              <w:tl2br w:val="nil"/>
              <w:tr2bl w:val="nil"/>
            </w:tcBorders>
            <w:shd w:val="clear" w:color="auto" w:fill="FFFFFF"/>
            <w:tcMar>
              <w:left w:w="108" w:type="dxa"/>
              <w:right w:w="108" w:type="dxa"/>
            </w:tcMar>
            <w:vAlign w:val="center"/>
          </w:tcPr>
          <w:p w14:paraId="09DD02FA">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优点：冲击力强，能快速清除井壁浮泥和滤料表面杂质，设备便携；</w:t>
            </w:r>
          </w:p>
          <w:p w14:paraId="7DAADA37">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缺点：耗水量大，对深层含水层孔隙内堵塞物清理效果有限，易造成滤料轻微流失，需控制注水压力。</w:t>
            </w:r>
          </w:p>
        </w:tc>
      </w:tr>
      <w:tr w14:paraId="0D7998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tl2br w:val="nil"/>
              <w:tr2bl w:val="nil"/>
            </w:tcBorders>
            <w:shd w:val="clear" w:color="auto" w:fill="FFFFFF"/>
            <w:tcMar>
              <w:left w:w="108" w:type="dxa"/>
              <w:right w:w="108" w:type="dxa"/>
            </w:tcMar>
            <w:vAlign w:val="center"/>
          </w:tcPr>
          <w:p w14:paraId="496E1349">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射流泵洗井</w:t>
            </w:r>
          </w:p>
        </w:tc>
        <w:tc>
          <w:tcPr>
            <w:tcW w:w="1410" w:type="pct"/>
            <w:tcBorders>
              <w:tl2br w:val="nil"/>
              <w:tr2bl w:val="nil"/>
            </w:tcBorders>
            <w:shd w:val="clear" w:color="auto" w:fill="FFFFFF"/>
            <w:tcMar>
              <w:left w:w="108" w:type="dxa"/>
              <w:right w:w="108" w:type="dxa"/>
            </w:tcMar>
            <w:vAlign w:val="center"/>
          </w:tcPr>
          <w:p w14:paraId="73E10685">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利用高压水流形成负压，抽吸井内泥浆和杂质。</w:t>
            </w:r>
          </w:p>
        </w:tc>
        <w:tc>
          <w:tcPr>
            <w:tcW w:w="1410" w:type="pct"/>
            <w:tcBorders>
              <w:tl2br w:val="nil"/>
              <w:tr2bl w:val="nil"/>
            </w:tcBorders>
            <w:shd w:val="clear" w:color="auto" w:fill="FFFFFF"/>
            <w:tcMar>
              <w:left w:w="108" w:type="dxa"/>
              <w:right w:w="108" w:type="dxa"/>
            </w:tcMar>
            <w:vAlign w:val="center"/>
          </w:tcPr>
          <w:p w14:paraId="3E391A48">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浅井、小型管井，或作为辅助洗井工艺。</w:t>
            </w:r>
          </w:p>
        </w:tc>
        <w:tc>
          <w:tcPr>
            <w:tcW w:w="1411" w:type="pct"/>
            <w:tcBorders>
              <w:tl2br w:val="nil"/>
              <w:tr2bl w:val="nil"/>
            </w:tcBorders>
            <w:shd w:val="clear" w:color="auto" w:fill="FFFFFF"/>
            <w:tcMar>
              <w:left w:w="108" w:type="dxa"/>
              <w:right w:w="108" w:type="dxa"/>
            </w:tcMar>
            <w:vAlign w:val="center"/>
          </w:tcPr>
          <w:p w14:paraId="7BDA2837">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优点：设备轻便；</w:t>
            </w:r>
          </w:p>
          <w:p w14:paraId="485C20D3">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缺点：洗井深度和力度有限。</w:t>
            </w:r>
          </w:p>
        </w:tc>
      </w:tr>
      <w:tr w14:paraId="26E50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66" w:type="pct"/>
            <w:tcBorders>
              <w:tl2br w:val="nil"/>
              <w:tr2bl w:val="nil"/>
            </w:tcBorders>
            <w:shd w:val="clear" w:color="auto" w:fill="FFFFFF"/>
            <w:tcMar>
              <w:left w:w="108" w:type="dxa"/>
              <w:right w:w="108" w:type="dxa"/>
            </w:tcMar>
            <w:vAlign w:val="center"/>
          </w:tcPr>
          <w:p w14:paraId="32EC0835">
            <w:pPr>
              <w:spacing w:before="156" w:beforeLines="50" w:after="156" w:afterLines="50" w:line="240" w:lineRule="auto"/>
              <w:jc w:val="center"/>
              <w:rPr>
                <w:rFonts w:hint="eastAsia" w:ascii="宋体" w:hAnsi="宋体" w:cs="宋体"/>
                <w:color w:val="000000"/>
                <w:sz w:val="18"/>
                <w:szCs w:val="18"/>
              </w:rPr>
            </w:pPr>
            <w:r>
              <w:rPr>
                <w:rFonts w:hint="eastAsia" w:ascii="宋体" w:hAnsi="宋体" w:cs="宋体"/>
                <w:color w:val="000000"/>
                <w:sz w:val="18"/>
                <w:szCs w:val="18"/>
              </w:rPr>
              <w:t>化学洗井</w:t>
            </w:r>
          </w:p>
        </w:tc>
        <w:tc>
          <w:tcPr>
            <w:tcW w:w="1410" w:type="pct"/>
            <w:tcBorders>
              <w:tl2br w:val="nil"/>
              <w:tr2bl w:val="nil"/>
            </w:tcBorders>
            <w:shd w:val="clear" w:color="auto" w:fill="FFFFFF"/>
            <w:tcMar>
              <w:left w:w="108" w:type="dxa"/>
              <w:right w:w="108" w:type="dxa"/>
            </w:tcMar>
            <w:vAlign w:val="center"/>
          </w:tcPr>
          <w:p w14:paraId="2A50588F">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采用酸、碱、表面活性剂等化学药剂溶解堵塞物（如碳酸钙、有机质）。</w:t>
            </w:r>
          </w:p>
        </w:tc>
        <w:tc>
          <w:tcPr>
            <w:tcW w:w="1410" w:type="pct"/>
            <w:tcBorders>
              <w:tl2br w:val="nil"/>
              <w:tr2bl w:val="nil"/>
            </w:tcBorders>
            <w:shd w:val="clear" w:color="auto" w:fill="FFFFFF"/>
            <w:tcMar>
              <w:left w:w="108" w:type="dxa"/>
              <w:right w:w="108" w:type="dxa"/>
            </w:tcMar>
            <w:vAlign w:val="center"/>
          </w:tcPr>
          <w:p w14:paraId="337946B1">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基岩裂隙、碳酸盐岩地层，或长期淤堵的管井。</w:t>
            </w:r>
          </w:p>
        </w:tc>
        <w:tc>
          <w:tcPr>
            <w:tcW w:w="1411" w:type="pct"/>
            <w:tcBorders>
              <w:tl2br w:val="nil"/>
              <w:tr2bl w:val="nil"/>
            </w:tcBorders>
            <w:shd w:val="clear" w:color="auto" w:fill="FFFFFF"/>
            <w:tcMar>
              <w:left w:w="108" w:type="dxa"/>
              <w:right w:w="108" w:type="dxa"/>
            </w:tcMar>
            <w:vAlign w:val="center"/>
          </w:tcPr>
          <w:p w14:paraId="16446959">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优点：针对性处理化学堵塞；</w:t>
            </w:r>
          </w:p>
          <w:p w14:paraId="627EAA68">
            <w:pPr>
              <w:spacing w:before="156" w:beforeLines="50" w:after="156" w:afterLines="50" w:line="240" w:lineRule="auto"/>
              <w:rPr>
                <w:rFonts w:hint="eastAsia" w:ascii="宋体" w:hAnsi="宋体" w:cs="宋体"/>
                <w:color w:val="000000"/>
                <w:sz w:val="18"/>
                <w:szCs w:val="18"/>
              </w:rPr>
            </w:pPr>
            <w:r>
              <w:rPr>
                <w:rFonts w:hint="eastAsia" w:ascii="宋体" w:hAnsi="宋体" w:cs="宋体"/>
                <w:color w:val="000000"/>
                <w:sz w:val="18"/>
                <w:szCs w:val="18"/>
              </w:rPr>
              <w:t>缺点：需控制药剂浓度，避免腐蚀井管。</w:t>
            </w:r>
          </w:p>
        </w:tc>
      </w:tr>
    </w:tbl>
    <w:p w14:paraId="5905D666">
      <w:pPr>
        <w:rPr>
          <w:rFonts w:ascii="黑体" w:hAnsi="Times New Roman" w:eastAsia="黑体"/>
          <w:spacing w:val="100"/>
        </w:rPr>
      </w:pPr>
      <w:r>
        <w:rPr>
          <w:rFonts w:ascii="黑体" w:hAnsi="Times New Roman" w:eastAsia="黑体"/>
          <w:spacing w:val="100"/>
        </w:rPr>
        <w:br w:type="page"/>
      </w:r>
    </w:p>
    <w:p w14:paraId="5B8860AE">
      <w:pPr>
        <w:pStyle w:val="84"/>
        <w:numPr>
          <w:ilvl w:val="0"/>
          <w:numId w:val="0"/>
        </w:numPr>
        <w:spacing w:after="156"/>
      </w:pPr>
      <w:bookmarkStart w:id="537" w:name="_Toc6886"/>
      <w:bookmarkStart w:id="538" w:name="_Toc8751"/>
      <w:bookmarkStart w:id="539" w:name="_Toc142730208"/>
      <w:r>
        <w:rPr>
          <w:spacing w:val="100"/>
        </w:rPr>
        <w:t>附录</w:t>
      </w:r>
      <w:r>
        <w:rPr>
          <w:rFonts w:hint="eastAsia"/>
          <w:spacing w:val="100"/>
        </w:rPr>
        <w:t>C</w:t>
      </w:r>
      <w:r>
        <w:br w:type="textWrapping"/>
      </w:r>
      <w:r>
        <w:rPr>
          <w:rFonts w:hint="eastAsia"/>
        </w:rPr>
        <w:t>（资料性）</w:t>
      </w:r>
      <w:r>
        <w:br w:type="textWrapping"/>
      </w:r>
      <w:r>
        <w:rPr>
          <w:rFonts w:hint="eastAsia"/>
        </w:rPr>
        <w:t>基坑隔渗帷幕方法</w:t>
      </w:r>
      <w:bookmarkEnd w:id="537"/>
      <w:bookmarkEnd w:id="538"/>
    </w:p>
    <w:p w14:paraId="65B4073A">
      <w:pPr>
        <w:pStyle w:val="64"/>
        <w:ind w:firstLine="420"/>
        <w:jc w:val="center"/>
      </w:pPr>
      <w:r>
        <w:rPr>
          <w:rFonts w:hint="eastAsia" w:ascii="黑体" w:hAnsi="黑体" w:eastAsia="黑体" w:cs="黑体"/>
        </w:rPr>
        <w:t>表C.1 基坑隔渗帷幕方法</w:t>
      </w:r>
    </w:p>
    <w:bookmarkEnd w:id="539"/>
    <w:tbl>
      <w:tblPr>
        <w:tblStyle w:val="34"/>
        <w:tblW w:w="88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4"/>
        <w:gridCol w:w="992"/>
        <w:gridCol w:w="2452"/>
        <w:gridCol w:w="4196"/>
      </w:tblGrid>
      <w:tr w14:paraId="772EA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214" w:type="dxa"/>
            <w:tcBorders>
              <w:top w:val="single" w:color="auto" w:sz="12" w:space="0"/>
              <w:bottom w:val="single" w:color="auto" w:sz="12" w:space="0"/>
            </w:tcBorders>
            <w:vAlign w:val="center"/>
          </w:tcPr>
          <w:p w14:paraId="586F731A">
            <w:pPr>
              <w:spacing w:line="240" w:lineRule="auto"/>
              <w:jc w:val="center"/>
              <w:rPr>
                <w:rFonts w:hint="eastAsia" w:ascii="宋体" w:hAnsi="宋体" w:cs="宋体"/>
                <w:sz w:val="18"/>
                <w:szCs w:val="18"/>
              </w:rPr>
            </w:pPr>
            <w:r>
              <w:rPr>
                <w:rFonts w:hint="eastAsia" w:ascii="宋体" w:hAnsi="宋体" w:cs="宋体"/>
                <w:sz w:val="18"/>
                <w:szCs w:val="18"/>
              </w:rPr>
              <w:t>隔渗方法</w:t>
            </w:r>
          </w:p>
        </w:tc>
        <w:tc>
          <w:tcPr>
            <w:tcW w:w="992" w:type="dxa"/>
            <w:tcBorders>
              <w:top w:val="single" w:color="auto" w:sz="12" w:space="0"/>
              <w:bottom w:val="single" w:color="auto" w:sz="12" w:space="0"/>
            </w:tcBorders>
            <w:vAlign w:val="center"/>
          </w:tcPr>
          <w:p w14:paraId="25942DB0">
            <w:pPr>
              <w:spacing w:line="240" w:lineRule="auto"/>
              <w:jc w:val="center"/>
              <w:rPr>
                <w:rFonts w:hint="eastAsia" w:ascii="宋体" w:hAnsi="宋体" w:cs="宋体"/>
                <w:sz w:val="18"/>
                <w:szCs w:val="18"/>
              </w:rPr>
            </w:pPr>
            <w:r>
              <w:rPr>
                <w:rFonts w:hint="eastAsia" w:ascii="宋体" w:hAnsi="宋体" w:cs="宋体"/>
                <w:sz w:val="18"/>
                <w:szCs w:val="18"/>
              </w:rPr>
              <w:t>分类</w:t>
            </w:r>
          </w:p>
        </w:tc>
        <w:tc>
          <w:tcPr>
            <w:tcW w:w="2452" w:type="dxa"/>
            <w:tcBorders>
              <w:top w:val="single" w:color="auto" w:sz="12" w:space="0"/>
              <w:bottom w:val="single" w:color="auto" w:sz="12" w:space="0"/>
            </w:tcBorders>
            <w:vAlign w:val="center"/>
          </w:tcPr>
          <w:p w14:paraId="65446C67">
            <w:pPr>
              <w:spacing w:line="240" w:lineRule="auto"/>
              <w:jc w:val="center"/>
              <w:rPr>
                <w:rFonts w:hint="eastAsia" w:ascii="宋体" w:hAnsi="宋体" w:cs="宋体"/>
                <w:sz w:val="18"/>
                <w:szCs w:val="18"/>
              </w:rPr>
            </w:pPr>
            <w:r>
              <w:rPr>
                <w:rFonts w:hint="eastAsia" w:ascii="宋体" w:hAnsi="宋体" w:cs="宋体"/>
                <w:sz w:val="18"/>
                <w:szCs w:val="18"/>
              </w:rPr>
              <w:t>常用规格、尺寸</w:t>
            </w:r>
          </w:p>
        </w:tc>
        <w:tc>
          <w:tcPr>
            <w:tcW w:w="4196" w:type="dxa"/>
            <w:tcBorders>
              <w:top w:val="single" w:color="auto" w:sz="12" w:space="0"/>
              <w:bottom w:val="single" w:color="auto" w:sz="12" w:space="0"/>
            </w:tcBorders>
            <w:vAlign w:val="center"/>
          </w:tcPr>
          <w:p w14:paraId="494FD2CD">
            <w:pPr>
              <w:spacing w:line="240" w:lineRule="auto"/>
              <w:jc w:val="center"/>
              <w:rPr>
                <w:rFonts w:hint="eastAsia" w:ascii="宋体" w:hAnsi="宋体" w:cs="宋体"/>
                <w:sz w:val="18"/>
                <w:szCs w:val="18"/>
              </w:rPr>
            </w:pPr>
            <w:r>
              <w:rPr>
                <w:rFonts w:hint="eastAsia" w:ascii="宋体" w:hAnsi="宋体" w:cs="宋体"/>
                <w:sz w:val="18"/>
                <w:szCs w:val="18"/>
              </w:rPr>
              <w:t>工艺特点</w:t>
            </w:r>
          </w:p>
        </w:tc>
      </w:tr>
      <w:tr w14:paraId="5BACD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8" w:hRule="atLeast"/>
          <w:jc w:val="center"/>
        </w:trPr>
        <w:tc>
          <w:tcPr>
            <w:tcW w:w="1214" w:type="dxa"/>
            <w:vMerge w:val="restart"/>
            <w:tcBorders>
              <w:top w:val="single" w:color="auto" w:sz="12" w:space="0"/>
            </w:tcBorders>
            <w:vAlign w:val="center"/>
          </w:tcPr>
          <w:p w14:paraId="6BBCEEF1">
            <w:pPr>
              <w:spacing w:line="240" w:lineRule="auto"/>
              <w:jc w:val="center"/>
              <w:rPr>
                <w:rFonts w:hint="eastAsia" w:ascii="宋体" w:hAnsi="宋体" w:cs="宋体"/>
                <w:sz w:val="18"/>
                <w:szCs w:val="18"/>
              </w:rPr>
            </w:pPr>
            <w:r>
              <w:rPr>
                <w:rFonts w:hint="eastAsia" w:ascii="宋体" w:hAnsi="宋体" w:cs="宋体"/>
                <w:sz w:val="18"/>
                <w:szCs w:val="18"/>
              </w:rPr>
              <w:t>高压喷射注浆法</w:t>
            </w:r>
          </w:p>
        </w:tc>
        <w:tc>
          <w:tcPr>
            <w:tcW w:w="992" w:type="dxa"/>
            <w:tcBorders>
              <w:top w:val="single" w:color="auto" w:sz="12" w:space="0"/>
            </w:tcBorders>
            <w:vAlign w:val="center"/>
          </w:tcPr>
          <w:p w14:paraId="5FAA62C3">
            <w:pPr>
              <w:spacing w:line="240" w:lineRule="auto"/>
              <w:jc w:val="center"/>
              <w:rPr>
                <w:rFonts w:hint="eastAsia" w:ascii="宋体" w:hAnsi="宋体" w:cs="宋体"/>
                <w:sz w:val="18"/>
                <w:szCs w:val="18"/>
              </w:rPr>
            </w:pPr>
            <w:r>
              <w:rPr>
                <w:rFonts w:hint="eastAsia" w:ascii="宋体" w:hAnsi="宋体" w:cs="宋体"/>
                <w:sz w:val="18"/>
                <w:szCs w:val="18"/>
              </w:rPr>
              <w:t>普通高压旋喷桩</w:t>
            </w:r>
          </w:p>
        </w:tc>
        <w:tc>
          <w:tcPr>
            <w:tcW w:w="2452" w:type="dxa"/>
            <w:tcBorders>
              <w:top w:val="single" w:color="auto" w:sz="12" w:space="0"/>
            </w:tcBorders>
            <w:vAlign w:val="center"/>
          </w:tcPr>
          <w:p w14:paraId="4B4387F4">
            <w:pPr>
              <w:spacing w:line="240" w:lineRule="auto"/>
              <w:jc w:val="center"/>
              <w:rPr>
                <w:rFonts w:hint="eastAsia" w:ascii="宋体" w:hAnsi="宋体" w:cs="宋体"/>
                <w:sz w:val="18"/>
                <w:szCs w:val="18"/>
              </w:rPr>
            </w:pPr>
            <w:r>
              <w:rPr>
                <w:rFonts w:hint="eastAsia" w:ascii="宋体" w:hAnsi="宋体" w:cs="宋体"/>
                <w:sz w:val="18"/>
                <w:szCs w:val="18"/>
              </w:rPr>
              <w:t>单管直径400mm～600 mm</w:t>
            </w:r>
          </w:p>
          <w:p w14:paraId="702CBEE2">
            <w:pPr>
              <w:spacing w:line="240" w:lineRule="auto"/>
              <w:jc w:val="center"/>
              <w:rPr>
                <w:rFonts w:hint="eastAsia" w:ascii="宋体" w:hAnsi="宋体" w:cs="宋体"/>
                <w:sz w:val="18"/>
                <w:szCs w:val="18"/>
              </w:rPr>
            </w:pPr>
            <w:r>
              <w:rPr>
                <w:rFonts w:hint="eastAsia" w:ascii="宋体" w:hAnsi="宋体" w:cs="宋体"/>
                <w:sz w:val="18"/>
                <w:szCs w:val="18"/>
              </w:rPr>
              <w:t>双重管直径500mm～700 mm</w:t>
            </w:r>
          </w:p>
          <w:p w14:paraId="1C70C5D7">
            <w:pPr>
              <w:spacing w:line="240" w:lineRule="auto"/>
              <w:jc w:val="center"/>
              <w:rPr>
                <w:rFonts w:hint="eastAsia" w:ascii="宋体" w:hAnsi="宋体" w:cs="宋体"/>
                <w:sz w:val="18"/>
                <w:szCs w:val="18"/>
              </w:rPr>
            </w:pPr>
            <w:r>
              <w:rPr>
                <w:rFonts w:hint="eastAsia" w:ascii="宋体" w:hAnsi="宋体" w:cs="宋体"/>
                <w:sz w:val="18"/>
                <w:szCs w:val="18"/>
              </w:rPr>
              <w:t>三重管直径600mm～800 mm</w:t>
            </w:r>
          </w:p>
        </w:tc>
        <w:tc>
          <w:tcPr>
            <w:tcW w:w="4196" w:type="dxa"/>
            <w:tcBorders>
              <w:top w:val="single" w:color="auto" w:sz="12" w:space="0"/>
            </w:tcBorders>
            <w:vAlign w:val="center"/>
          </w:tcPr>
          <w:p w14:paraId="3D4AC798">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高压旋喷桩是以旋转的喷嘴将高压水泥浆喷入土层与土体混合形成的水泥加固体。高压旋喷桩施工占地小、振动小、噪音较低，水泥用量高。压力控制是关键，需要熟练的技术工人施工。对于浅表3-5m厚度的杂填土、素填土及软弱土等，也可采用一般注浆法</w:t>
            </w:r>
          </w:p>
        </w:tc>
      </w:tr>
      <w:tr w14:paraId="6055B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214" w:type="dxa"/>
            <w:vMerge w:val="continue"/>
            <w:vAlign w:val="center"/>
          </w:tcPr>
          <w:p w14:paraId="11B23F7F">
            <w:pPr>
              <w:spacing w:line="240" w:lineRule="auto"/>
              <w:jc w:val="center"/>
              <w:rPr>
                <w:rFonts w:hint="eastAsia" w:ascii="宋体" w:hAnsi="宋体" w:cs="宋体"/>
                <w:sz w:val="18"/>
                <w:szCs w:val="18"/>
              </w:rPr>
            </w:pPr>
          </w:p>
        </w:tc>
        <w:tc>
          <w:tcPr>
            <w:tcW w:w="992" w:type="dxa"/>
            <w:vAlign w:val="center"/>
          </w:tcPr>
          <w:p w14:paraId="14527D75">
            <w:pPr>
              <w:spacing w:line="240" w:lineRule="auto"/>
              <w:jc w:val="center"/>
              <w:rPr>
                <w:rFonts w:hint="eastAsia" w:ascii="宋体" w:hAnsi="宋体" w:cs="宋体"/>
                <w:sz w:val="18"/>
                <w:szCs w:val="18"/>
              </w:rPr>
            </w:pPr>
            <w:r>
              <w:rPr>
                <w:rFonts w:hint="eastAsia" w:ascii="宋体" w:hAnsi="宋体" w:cs="宋体"/>
                <w:sz w:val="18"/>
                <w:szCs w:val="18"/>
              </w:rPr>
              <w:t>MJS</w:t>
            </w:r>
          </w:p>
        </w:tc>
        <w:tc>
          <w:tcPr>
            <w:tcW w:w="2452" w:type="dxa"/>
            <w:vAlign w:val="center"/>
          </w:tcPr>
          <w:p w14:paraId="07BF21CB">
            <w:pPr>
              <w:spacing w:line="240" w:lineRule="auto"/>
              <w:jc w:val="center"/>
              <w:rPr>
                <w:rFonts w:hint="eastAsia" w:ascii="宋体" w:hAnsi="宋体" w:cs="宋体"/>
                <w:sz w:val="18"/>
                <w:szCs w:val="18"/>
              </w:rPr>
            </w:pPr>
            <w:r>
              <w:rPr>
                <w:rFonts w:hint="eastAsia" w:ascii="宋体" w:hAnsi="宋体" w:cs="宋体"/>
                <w:sz w:val="18"/>
                <w:szCs w:val="18"/>
              </w:rPr>
              <w:t>直径1200mm～2400mm</w:t>
            </w:r>
          </w:p>
        </w:tc>
        <w:tc>
          <w:tcPr>
            <w:tcW w:w="4196" w:type="dxa"/>
            <w:vAlign w:val="center"/>
          </w:tcPr>
          <w:p w14:paraId="1060D7CD">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直径大，施工对周边环境扰动小，工程造价偏高</w:t>
            </w:r>
          </w:p>
        </w:tc>
      </w:tr>
      <w:tr w14:paraId="69474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14" w:type="dxa"/>
            <w:vMerge w:val="restart"/>
            <w:vAlign w:val="center"/>
          </w:tcPr>
          <w:p w14:paraId="33C19722">
            <w:pPr>
              <w:spacing w:line="240" w:lineRule="auto"/>
              <w:jc w:val="center"/>
              <w:rPr>
                <w:rFonts w:hint="eastAsia" w:ascii="宋体" w:hAnsi="宋体" w:cs="宋体"/>
                <w:sz w:val="18"/>
                <w:szCs w:val="18"/>
              </w:rPr>
            </w:pPr>
            <w:r>
              <w:rPr>
                <w:rFonts w:hint="eastAsia" w:ascii="宋体" w:hAnsi="宋体" w:cs="宋体"/>
                <w:sz w:val="18"/>
                <w:szCs w:val="18"/>
              </w:rPr>
              <w:t>水泥土搅拌类</w:t>
            </w:r>
          </w:p>
          <w:p w14:paraId="2AA79B76">
            <w:pPr>
              <w:pStyle w:val="252"/>
              <w:spacing w:line="240" w:lineRule="auto"/>
              <w:ind w:left="420"/>
              <w:rPr>
                <w:rFonts w:hint="eastAsia" w:ascii="宋体" w:hAnsi="宋体" w:cs="宋体"/>
                <w:sz w:val="18"/>
                <w:szCs w:val="18"/>
              </w:rPr>
            </w:pPr>
          </w:p>
        </w:tc>
        <w:tc>
          <w:tcPr>
            <w:tcW w:w="992" w:type="dxa"/>
            <w:vAlign w:val="center"/>
          </w:tcPr>
          <w:p w14:paraId="3B368D9C">
            <w:pPr>
              <w:spacing w:line="240" w:lineRule="auto"/>
              <w:jc w:val="center"/>
              <w:rPr>
                <w:rFonts w:hint="eastAsia" w:ascii="宋体" w:hAnsi="宋体" w:cs="宋体"/>
                <w:sz w:val="18"/>
                <w:szCs w:val="18"/>
              </w:rPr>
            </w:pPr>
            <w:r>
              <w:rPr>
                <w:rFonts w:hint="eastAsia" w:ascii="宋体" w:hAnsi="宋体" w:cs="宋体"/>
                <w:sz w:val="18"/>
                <w:szCs w:val="18"/>
              </w:rPr>
              <w:t>单轴水泥土搅拌桩</w:t>
            </w:r>
          </w:p>
        </w:tc>
        <w:tc>
          <w:tcPr>
            <w:tcW w:w="2452" w:type="dxa"/>
            <w:vAlign w:val="center"/>
          </w:tcPr>
          <w:p w14:paraId="4A3C7032">
            <w:pPr>
              <w:spacing w:line="240" w:lineRule="auto"/>
              <w:jc w:val="center"/>
              <w:rPr>
                <w:rFonts w:hint="eastAsia" w:ascii="宋体" w:hAnsi="宋体" w:cs="宋体"/>
                <w:sz w:val="18"/>
                <w:szCs w:val="18"/>
              </w:rPr>
            </w:pPr>
            <w:r>
              <w:rPr>
                <w:rFonts w:hint="eastAsia" w:ascii="宋体" w:hAnsi="宋体" w:cs="宋体"/>
                <w:sz w:val="18"/>
                <w:szCs w:val="18"/>
              </w:rPr>
              <w:t>直径500mm/600mm</w:t>
            </w:r>
          </w:p>
        </w:tc>
        <w:tc>
          <w:tcPr>
            <w:tcW w:w="4196" w:type="dxa"/>
            <w:vAlign w:val="center"/>
          </w:tcPr>
          <w:p w14:paraId="20528DF9">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利用水泥作为固化剂，通过特制的单轴搅拌机械，在地基深处将软土和固化剂强制搅拌，利用固化剂和软土之间所产生的一系列物理化学反应，使软土硬结。根据地层情况可采用干法和湿法工艺。施工深度不宜超过15.0m，帷幕深度范围内有地基承载力130kPa以上的地层应通过试验确定其成桩可行性</w:t>
            </w:r>
          </w:p>
        </w:tc>
      </w:tr>
      <w:tr w14:paraId="4C308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214" w:type="dxa"/>
            <w:vMerge w:val="continue"/>
            <w:vAlign w:val="center"/>
          </w:tcPr>
          <w:p w14:paraId="3E6E5A94">
            <w:pPr>
              <w:spacing w:line="240" w:lineRule="auto"/>
              <w:jc w:val="center"/>
              <w:rPr>
                <w:rFonts w:hint="eastAsia" w:ascii="宋体" w:hAnsi="宋体" w:cs="宋体"/>
                <w:sz w:val="18"/>
                <w:szCs w:val="18"/>
              </w:rPr>
            </w:pPr>
          </w:p>
        </w:tc>
        <w:tc>
          <w:tcPr>
            <w:tcW w:w="992" w:type="dxa"/>
            <w:vAlign w:val="center"/>
          </w:tcPr>
          <w:p w14:paraId="7468E51A">
            <w:pPr>
              <w:spacing w:line="240" w:lineRule="auto"/>
              <w:jc w:val="center"/>
              <w:rPr>
                <w:rFonts w:hint="eastAsia" w:ascii="宋体" w:hAnsi="宋体" w:cs="宋体"/>
                <w:sz w:val="18"/>
                <w:szCs w:val="18"/>
              </w:rPr>
            </w:pPr>
            <w:r>
              <w:rPr>
                <w:rFonts w:hint="eastAsia" w:ascii="宋体" w:hAnsi="宋体" w:cs="宋体"/>
                <w:sz w:val="18"/>
                <w:szCs w:val="18"/>
              </w:rPr>
              <w:t>三轴水泥土搅拌桩</w:t>
            </w:r>
          </w:p>
        </w:tc>
        <w:tc>
          <w:tcPr>
            <w:tcW w:w="2452" w:type="dxa"/>
            <w:vAlign w:val="center"/>
          </w:tcPr>
          <w:p w14:paraId="55ADD33A">
            <w:pPr>
              <w:spacing w:line="240" w:lineRule="auto"/>
              <w:jc w:val="center"/>
              <w:rPr>
                <w:rFonts w:hint="eastAsia" w:ascii="宋体" w:hAnsi="宋体" w:cs="宋体"/>
                <w:sz w:val="18"/>
                <w:szCs w:val="18"/>
              </w:rPr>
            </w:pPr>
            <w:r>
              <w:rPr>
                <w:rFonts w:hint="eastAsia" w:ascii="宋体" w:hAnsi="宋体" w:cs="宋体"/>
                <w:sz w:val="18"/>
                <w:szCs w:val="18"/>
              </w:rPr>
              <w:t>Φ850@600mm、</w:t>
            </w:r>
          </w:p>
          <w:p w14:paraId="5082FF42">
            <w:pPr>
              <w:spacing w:line="240" w:lineRule="auto"/>
              <w:jc w:val="center"/>
              <w:rPr>
                <w:rFonts w:hint="eastAsia" w:ascii="宋体" w:hAnsi="宋体" w:cs="宋体"/>
                <w:sz w:val="18"/>
                <w:szCs w:val="18"/>
              </w:rPr>
            </w:pPr>
            <w:r>
              <w:rPr>
                <w:rFonts w:hint="eastAsia" w:ascii="宋体" w:hAnsi="宋体" w:cs="宋体"/>
                <w:sz w:val="18"/>
                <w:szCs w:val="18"/>
              </w:rPr>
              <w:t>Φ650@450mm</w:t>
            </w:r>
          </w:p>
        </w:tc>
        <w:tc>
          <w:tcPr>
            <w:tcW w:w="4196" w:type="dxa"/>
            <w:vAlign w:val="center"/>
          </w:tcPr>
          <w:p w14:paraId="1D1FF78A">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相对于单轴搅拌桩具有三根钻杆，搅拌成桩效率更高，施工功率更高。施工深度不宜超过28.0m</w:t>
            </w:r>
          </w:p>
        </w:tc>
      </w:tr>
      <w:tr w14:paraId="19622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214" w:type="dxa"/>
            <w:vMerge w:val="continue"/>
            <w:vAlign w:val="center"/>
          </w:tcPr>
          <w:p w14:paraId="734CAB21">
            <w:pPr>
              <w:spacing w:line="240" w:lineRule="auto"/>
              <w:jc w:val="center"/>
              <w:rPr>
                <w:rFonts w:hint="eastAsia" w:ascii="宋体" w:hAnsi="宋体" w:cs="宋体"/>
                <w:sz w:val="18"/>
                <w:szCs w:val="18"/>
              </w:rPr>
            </w:pPr>
          </w:p>
        </w:tc>
        <w:tc>
          <w:tcPr>
            <w:tcW w:w="992" w:type="dxa"/>
            <w:vAlign w:val="center"/>
          </w:tcPr>
          <w:p w14:paraId="554266DC">
            <w:pPr>
              <w:spacing w:line="240" w:lineRule="auto"/>
              <w:jc w:val="center"/>
              <w:rPr>
                <w:rFonts w:hint="eastAsia" w:ascii="宋体" w:hAnsi="宋体" w:cs="宋体"/>
                <w:sz w:val="18"/>
                <w:szCs w:val="18"/>
              </w:rPr>
            </w:pPr>
            <w:r>
              <w:rPr>
                <w:rFonts w:hint="eastAsia" w:ascii="宋体" w:hAnsi="宋体" w:cs="宋体"/>
                <w:sz w:val="18"/>
                <w:szCs w:val="18"/>
              </w:rPr>
              <w:t>TRD</w:t>
            </w:r>
          </w:p>
        </w:tc>
        <w:tc>
          <w:tcPr>
            <w:tcW w:w="2452" w:type="dxa"/>
            <w:vAlign w:val="center"/>
          </w:tcPr>
          <w:p w14:paraId="4A648923">
            <w:pPr>
              <w:spacing w:line="240" w:lineRule="auto"/>
              <w:jc w:val="center"/>
              <w:rPr>
                <w:rFonts w:hint="eastAsia" w:ascii="宋体" w:hAnsi="宋体" w:cs="宋体"/>
                <w:sz w:val="18"/>
                <w:szCs w:val="18"/>
              </w:rPr>
            </w:pPr>
            <w:r>
              <w:rPr>
                <w:rFonts w:hint="eastAsia" w:ascii="宋体" w:hAnsi="宋体" w:cs="宋体"/>
                <w:sz w:val="18"/>
                <w:szCs w:val="18"/>
              </w:rPr>
              <w:t>700mm/800mm/850mm</w:t>
            </w:r>
          </w:p>
        </w:tc>
        <w:tc>
          <w:tcPr>
            <w:tcW w:w="4196" w:type="dxa"/>
            <w:vAlign w:val="center"/>
          </w:tcPr>
          <w:p w14:paraId="49CFCFF2">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通过主机带动竖向插入岩土层的链锯式切割箱横向移动、切割及灌注水泥浆，在槽内进行混合、搅拌、固结形成等厚度水泥土搅拌墙。施工机架高度低，稳定性好。墙体平面布置宜简单、规则，宜采用直线布置。武汉地区可实现落底式帷幕</w:t>
            </w:r>
          </w:p>
        </w:tc>
      </w:tr>
      <w:tr w14:paraId="568A1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214" w:type="dxa"/>
            <w:vMerge w:val="continue"/>
            <w:vAlign w:val="center"/>
          </w:tcPr>
          <w:p w14:paraId="28804D94">
            <w:pPr>
              <w:spacing w:line="240" w:lineRule="auto"/>
              <w:jc w:val="center"/>
              <w:rPr>
                <w:rFonts w:hint="eastAsia" w:ascii="宋体" w:hAnsi="宋体" w:cs="宋体"/>
                <w:sz w:val="18"/>
                <w:szCs w:val="18"/>
              </w:rPr>
            </w:pPr>
          </w:p>
        </w:tc>
        <w:tc>
          <w:tcPr>
            <w:tcW w:w="992" w:type="dxa"/>
            <w:vAlign w:val="center"/>
          </w:tcPr>
          <w:p w14:paraId="54887731">
            <w:pPr>
              <w:spacing w:line="240" w:lineRule="auto"/>
              <w:jc w:val="center"/>
              <w:rPr>
                <w:rFonts w:hint="eastAsia" w:ascii="宋体" w:hAnsi="宋体" w:cs="宋体"/>
                <w:sz w:val="18"/>
                <w:szCs w:val="18"/>
              </w:rPr>
            </w:pPr>
            <w:r>
              <w:rPr>
                <w:rFonts w:hint="eastAsia" w:ascii="宋体" w:hAnsi="宋体" w:cs="宋体"/>
                <w:sz w:val="18"/>
                <w:szCs w:val="18"/>
              </w:rPr>
              <w:t>CSM</w:t>
            </w:r>
          </w:p>
        </w:tc>
        <w:tc>
          <w:tcPr>
            <w:tcW w:w="2452" w:type="dxa"/>
            <w:vAlign w:val="center"/>
          </w:tcPr>
          <w:p w14:paraId="2F8A8DBE">
            <w:pPr>
              <w:spacing w:line="240" w:lineRule="auto"/>
              <w:jc w:val="center"/>
              <w:rPr>
                <w:rFonts w:hint="eastAsia" w:ascii="宋体" w:hAnsi="宋体" w:cs="宋体"/>
                <w:sz w:val="18"/>
                <w:szCs w:val="18"/>
              </w:rPr>
            </w:pPr>
            <w:r>
              <w:rPr>
                <w:rFonts w:hint="eastAsia" w:ascii="宋体" w:hAnsi="宋体" w:cs="宋体"/>
                <w:sz w:val="18"/>
                <w:szCs w:val="18"/>
              </w:rPr>
              <w:t>700mm/800mm/850mm</w:t>
            </w:r>
          </w:p>
        </w:tc>
        <w:tc>
          <w:tcPr>
            <w:tcW w:w="4196" w:type="dxa"/>
            <w:vAlign w:val="center"/>
          </w:tcPr>
          <w:p w14:paraId="190AF5A5">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采用铣削式设备，在槽内通过铣轮的钻进、提升、喷浆搅拌、固结形成等厚度水泥土搅拌墙。工法设备移动灵活。设备施工效率高。武汉地区可实现落底式帷幕</w:t>
            </w:r>
          </w:p>
        </w:tc>
      </w:tr>
      <w:tr w14:paraId="669F7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214" w:type="dxa"/>
            <w:vAlign w:val="center"/>
          </w:tcPr>
          <w:p w14:paraId="4A173BE1">
            <w:pPr>
              <w:spacing w:line="240" w:lineRule="auto"/>
              <w:jc w:val="center"/>
              <w:rPr>
                <w:rFonts w:hint="eastAsia" w:ascii="宋体" w:hAnsi="宋体" w:cs="宋体"/>
                <w:sz w:val="18"/>
                <w:szCs w:val="18"/>
              </w:rPr>
            </w:pPr>
            <w:r>
              <w:rPr>
                <w:rFonts w:hint="eastAsia" w:ascii="宋体" w:hAnsi="宋体" w:cs="宋体"/>
                <w:sz w:val="18"/>
                <w:szCs w:val="18"/>
              </w:rPr>
              <w:t>地下连续墙</w:t>
            </w:r>
          </w:p>
        </w:tc>
        <w:tc>
          <w:tcPr>
            <w:tcW w:w="992" w:type="dxa"/>
            <w:vAlign w:val="center"/>
          </w:tcPr>
          <w:p w14:paraId="425B12F7">
            <w:pPr>
              <w:spacing w:line="240" w:lineRule="auto"/>
              <w:jc w:val="center"/>
              <w:rPr>
                <w:rFonts w:hint="eastAsia" w:ascii="宋体" w:hAnsi="宋体" w:cs="宋体"/>
                <w:sz w:val="18"/>
                <w:szCs w:val="18"/>
              </w:rPr>
            </w:pPr>
            <w:r>
              <w:rPr>
                <w:rFonts w:hint="eastAsia" w:ascii="宋体" w:hAnsi="宋体" w:cs="宋体"/>
                <w:sz w:val="18"/>
                <w:szCs w:val="18"/>
              </w:rPr>
              <w:t>—</w:t>
            </w:r>
          </w:p>
        </w:tc>
        <w:tc>
          <w:tcPr>
            <w:tcW w:w="2452" w:type="dxa"/>
            <w:vAlign w:val="center"/>
          </w:tcPr>
          <w:p w14:paraId="5237E3C7">
            <w:pPr>
              <w:spacing w:line="240" w:lineRule="auto"/>
              <w:jc w:val="center"/>
              <w:rPr>
                <w:rFonts w:hint="eastAsia" w:ascii="宋体" w:hAnsi="宋体" w:cs="宋体"/>
                <w:sz w:val="18"/>
                <w:szCs w:val="18"/>
              </w:rPr>
            </w:pPr>
            <w:r>
              <w:rPr>
                <w:rFonts w:hint="eastAsia" w:ascii="宋体" w:hAnsi="宋体" w:cs="宋体"/>
                <w:sz w:val="18"/>
                <w:szCs w:val="18"/>
              </w:rPr>
              <w:t>800mm/1000mm/1200mm/</w:t>
            </w:r>
          </w:p>
          <w:p w14:paraId="63757254">
            <w:pPr>
              <w:spacing w:line="240" w:lineRule="auto"/>
              <w:jc w:val="center"/>
              <w:rPr>
                <w:rFonts w:hint="eastAsia" w:ascii="宋体" w:hAnsi="宋体" w:cs="宋体"/>
                <w:sz w:val="18"/>
                <w:szCs w:val="18"/>
              </w:rPr>
            </w:pPr>
            <w:r>
              <w:rPr>
                <w:rFonts w:hint="eastAsia" w:ascii="宋体" w:hAnsi="宋体" w:cs="宋体"/>
                <w:sz w:val="18"/>
                <w:szCs w:val="18"/>
              </w:rPr>
              <w:t>1500mm</w:t>
            </w:r>
          </w:p>
        </w:tc>
        <w:tc>
          <w:tcPr>
            <w:tcW w:w="4196" w:type="dxa"/>
            <w:vAlign w:val="center"/>
          </w:tcPr>
          <w:p w14:paraId="17B4A63C">
            <w:pPr>
              <w:spacing w:line="240" w:lineRule="auto"/>
              <w:jc w:val="left"/>
              <w:rPr>
                <w:rFonts w:hint="eastAsia" w:ascii="宋体" w:hAnsi="宋体" w:cs="宋体"/>
                <w:sz w:val="18"/>
                <w:szCs w:val="18"/>
              </w:rPr>
            </w:pPr>
            <w:r>
              <w:rPr>
                <w:rFonts w:hint="eastAsia" w:ascii="宋体" w:hAnsi="宋体" w:cs="宋体"/>
                <w:sz w:val="18"/>
                <w:szCs w:val="18"/>
              </w:rPr>
              <w:t>施工设备多，对施工场地承载力要求高，施工精度要求高。刚度大，可结合主体设计实现多墙合</w:t>
            </w:r>
          </w:p>
        </w:tc>
      </w:tr>
      <w:tr w14:paraId="5576F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3" w:hRule="atLeast"/>
          <w:jc w:val="center"/>
        </w:trPr>
        <w:tc>
          <w:tcPr>
            <w:tcW w:w="1214" w:type="dxa"/>
            <w:vAlign w:val="center"/>
          </w:tcPr>
          <w:p w14:paraId="39FB5E21">
            <w:pPr>
              <w:spacing w:line="240" w:lineRule="auto"/>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咬合式排桩</w:t>
            </w:r>
          </w:p>
        </w:tc>
        <w:tc>
          <w:tcPr>
            <w:tcW w:w="992" w:type="dxa"/>
            <w:vAlign w:val="center"/>
          </w:tcPr>
          <w:p w14:paraId="73292C6B">
            <w:pPr>
              <w:spacing w:line="240" w:lineRule="auto"/>
              <w:jc w:val="center"/>
              <w:rPr>
                <w:rFonts w:hint="eastAsia" w:ascii="宋体" w:hAnsi="宋体" w:cs="宋体"/>
                <w:sz w:val="18"/>
                <w:szCs w:val="18"/>
              </w:rPr>
            </w:pPr>
            <w:r>
              <w:rPr>
                <w:rFonts w:hint="eastAsia" w:ascii="宋体" w:hAnsi="宋体" w:cs="宋体"/>
                <w:sz w:val="18"/>
                <w:szCs w:val="18"/>
              </w:rPr>
              <w:t>—</w:t>
            </w:r>
          </w:p>
        </w:tc>
        <w:tc>
          <w:tcPr>
            <w:tcW w:w="2452" w:type="dxa"/>
            <w:vAlign w:val="center"/>
          </w:tcPr>
          <w:p w14:paraId="3ED44073">
            <w:pPr>
              <w:spacing w:line="240" w:lineRule="auto"/>
              <w:jc w:val="center"/>
              <w:rPr>
                <w:rFonts w:hint="eastAsia" w:ascii="宋体" w:hAnsi="宋体" w:cs="宋体"/>
                <w:sz w:val="18"/>
                <w:szCs w:val="18"/>
              </w:rPr>
            </w:pPr>
            <w:r>
              <w:rPr>
                <w:rFonts w:hint="eastAsia" w:ascii="宋体" w:hAnsi="宋体" w:cs="宋体"/>
                <w:sz w:val="18"/>
                <w:szCs w:val="18"/>
              </w:rPr>
              <w:t>常用规格直径1000mm/1200mm/1400mm/1600mm</w:t>
            </w:r>
          </w:p>
          <w:p w14:paraId="4E9368A8">
            <w:pPr>
              <w:spacing w:line="240" w:lineRule="auto"/>
              <w:jc w:val="center"/>
              <w:rPr>
                <w:rFonts w:hint="eastAsia" w:ascii="宋体" w:hAnsi="宋体" w:cs="宋体"/>
                <w:sz w:val="18"/>
                <w:szCs w:val="18"/>
              </w:rPr>
            </w:pPr>
          </w:p>
        </w:tc>
        <w:tc>
          <w:tcPr>
            <w:tcW w:w="4196" w:type="dxa"/>
            <w:vAlign w:val="center"/>
          </w:tcPr>
          <w:p w14:paraId="5F520434">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相邻混凝土</w:t>
            </w:r>
            <w:r>
              <w:fldChar w:fldCharType="begin"/>
            </w:r>
            <w:r>
              <w:instrText xml:space="preserve"> HYPERLINK "https://baike.baidu.com/item/%E6%8E%92%E6%A1%A9/4405338" \t "https://baike.baidu.com/item/%E5%92%AC%E5%90%88%E6%A1%A9/_blank" </w:instrText>
            </w:r>
            <w:r>
              <w:fldChar w:fldCharType="separate"/>
            </w:r>
            <w:r>
              <w:rPr>
                <w:rFonts w:hint="eastAsia" w:ascii="宋体" w:hAnsi="宋体" w:cs="宋体"/>
                <w:sz w:val="18"/>
                <w:szCs w:val="18"/>
              </w:rPr>
              <w:t>排桩</w:t>
            </w:r>
            <w:r>
              <w:rPr>
                <w:rFonts w:hint="eastAsia" w:ascii="宋体" w:hAnsi="宋体" w:cs="宋体"/>
                <w:sz w:val="18"/>
                <w:szCs w:val="18"/>
              </w:rPr>
              <w:fldChar w:fldCharType="end"/>
            </w:r>
            <w:r>
              <w:rPr>
                <w:rFonts w:hint="eastAsia" w:ascii="宋体" w:hAnsi="宋体" w:cs="宋体"/>
                <w:sz w:val="18"/>
                <w:szCs w:val="18"/>
              </w:rPr>
              <w:t>间部分圆周相嵌，并于后序次相间施工的桩内置入</w:t>
            </w:r>
            <w:r>
              <w:fldChar w:fldCharType="begin"/>
            </w:r>
            <w:r>
              <w:instrText xml:space="preserve"> HYPERLINK "https://baike.baidu.com/item/%E9%92%A2%E7%AD%8B%E7%AC%BC/4906394" \t "https://baike.baidu.com/item/%E5%92%AC%E5%90%88%E6%A1%A9/_blank" </w:instrText>
            </w:r>
            <w:r>
              <w:fldChar w:fldCharType="separate"/>
            </w:r>
            <w:r>
              <w:rPr>
                <w:rFonts w:hint="eastAsia" w:ascii="宋体" w:hAnsi="宋体" w:cs="宋体"/>
                <w:sz w:val="18"/>
                <w:szCs w:val="18"/>
              </w:rPr>
              <w:t>钢筋笼</w:t>
            </w:r>
            <w:r>
              <w:rPr>
                <w:rFonts w:hint="eastAsia" w:ascii="宋体" w:hAnsi="宋体" w:cs="宋体"/>
                <w:sz w:val="18"/>
                <w:szCs w:val="18"/>
              </w:rPr>
              <w:fldChar w:fldCharType="end"/>
            </w:r>
            <w:r>
              <w:rPr>
                <w:rFonts w:hint="eastAsia" w:ascii="宋体" w:hAnsi="宋体" w:cs="宋体"/>
                <w:sz w:val="18"/>
                <w:szCs w:val="18"/>
              </w:rPr>
              <w:t>，使之形成具有良好防渗作用的</w:t>
            </w:r>
            <w:r>
              <w:fldChar w:fldCharType="begin"/>
            </w:r>
            <w:r>
              <w:instrText xml:space="preserve"> HYPERLINK "https://baike.baidu.com/item/%E6%95%B4%E4%BD%93/7193606" \t "https://baike.baidu.com/item/%E5%92%AC%E5%90%88%E6%A1%A9/_blank" </w:instrText>
            </w:r>
            <w:r>
              <w:fldChar w:fldCharType="separate"/>
            </w:r>
            <w:r>
              <w:rPr>
                <w:rFonts w:hint="eastAsia" w:ascii="宋体" w:hAnsi="宋体" w:cs="宋体"/>
                <w:sz w:val="18"/>
                <w:szCs w:val="18"/>
              </w:rPr>
              <w:t>整体</w:t>
            </w:r>
            <w:r>
              <w:rPr>
                <w:rFonts w:hint="eastAsia" w:ascii="宋体" w:hAnsi="宋体" w:cs="宋体"/>
                <w:sz w:val="18"/>
                <w:szCs w:val="18"/>
              </w:rPr>
              <w:fldChar w:fldCharType="end"/>
            </w:r>
            <w:r>
              <w:rPr>
                <w:rFonts w:hint="eastAsia" w:ascii="宋体" w:hAnsi="宋体" w:cs="宋体"/>
                <w:sz w:val="18"/>
                <w:szCs w:val="18"/>
              </w:rPr>
              <w:t>连续防水、挡土</w:t>
            </w:r>
            <w:r>
              <w:fldChar w:fldCharType="begin"/>
            </w:r>
            <w:r>
              <w:instrText xml:space="preserve"> HYPERLINK "https://baike.baidu.com/item/%E5%9B%B4%E6%8A%A4%E7%BB%93%E6%9E%84/10957466" \t "https://baike.baidu.com/item/%E5%92%AC%E5%90%88%E6%A1%A9/_blank" </w:instrText>
            </w:r>
            <w:r>
              <w:fldChar w:fldCharType="separate"/>
            </w:r>
            <w:r>
              <w:rPr>
                <w:rFonts w:hint="eastAsia" w:ascii="宋体" w:hAnsi="宋体" w:cs="宋体"/>
                <w:sz w:val="18"/>
                <w:szCs w:val="18"/>
              </w:rPr>
              <w:t>支护结构</w:t>
            </w:r>
            <w:r>
              <w:rPr>
                <w:rFonts w:hint="eastAsia" w:ascii="宋体" w:hAnsi="宋体" w:cs="宋体"/>
                <w:sz w:val="18"/>
                <w:szCs w:val="18"/>
              </w:rPr>
              <w:fldChar w:fldCharType="end"/>
            </w:r>
            <w:r>
              <w:rPr>
                <w:rFonts w:hint="eastAsia" w:ascii="宋体" w:hAnsi="宋体" w:cs="宋体"/>
                <w:sz w:val="18"/>
                <w:szCs w:val="18"/>
              </w:rPr>
              <w:t>。施工部署要求高，施工精度要求高</w:t>
            </w:r>
          </w:p>
        </w:tc>
      </w:tr>
      <w:tr w14:paraId="4465F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7" w:hRule="atLeast"/>
          <w:jc w:val="center"/>
        </w:trPr>
        <w:tc>
          <w:tcPr>
            <w:tcW w:w="1214" w:type="dxa"/>
            <w:vAlign w:val="center"/>
          </w:tcPr>
          <w:p w14:paraId="16C9E8D2">
            <w:pPr>
              <w:spacing w:line="240" w:lineRule="auto"/>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钢板桩及其他装配式隔渗桩型</w:t>
            </w:r>
          </w:p>
        </w:tc>
        <w:tc>
          <w:tcPr>
            <w:tcW w:w="992" w:type="dxa"/>
            <w:vAlign w:val="center"/>
          </w:tcPr>
          <w:p w14:paraId="7E48D28E">
            <w:pPr>
              <w:spacing w:line="240" w:lineRule="auto"/>
              <w:jc w:val="center"/>
              <w:rPr>
                <w:rFonts w:hint="eastAsia" w:ascii="宋体" w:hAnsi="宋体" w:cs="宋体"/>
                <w:sz w:val="18"/>
                <w:szCs w:val="18"/>
              </w:rPr>
            </w:pPr>
            <w:r>
              <w:rPr>
                <w:rFonts w:hint="eastAsia" w:ascii="宋体" w:hAnsi="宋体" w:cs="宋体"/>
                <w:sz w:val="18"/>
                <w:szCs w:val="18"/>
              </w:rPr>
              <w:t>—</w:t>
            </w:r>
          </w:p>
        </w:tc>
        <w:tc>
          <w:tcPr>
            <w:tcW w:w="2452" w:type="dxa"/>
            <w:vAlign w:val="center"/>
          </w:tcPr>
          <w:p w14:paraId="539CA822">
            <w:pPr>
              <w:spacing w:line="240" w:lineRule="auto"/>
              <w:jc w:val="center"/>
              <w:rPr>
                <w:rFonts w:hint="eastAsia" w:ascii="宋体" w:hAnsi="宋体" w:cs="宋体"/>
                <w:sz w:val="18"/>
                <w:szCs w:val="18"/>
              </w:rPr>
            </w:pPr>
            <w:r>
              <w:rPr>
                <w:rFonts w:hint="eastAsia" w:ascii="宋体" w:hAnsi="宋体" w:cs="宋体"/>
                <w:sz w:val="18"/>
                <w:szCs w:val="18"/>
              </w:rPr>
              <w:t>Ⅲ、IV、VI型</w:t>
            </w:r>
          </w:p>
        </w:tc>
        <w:tc>
          <w:tcPr>
            <w:tcW w:w="4196" w:type="dxa"/>
            <w:vAlign w:val="center"/>
          </w:tcPr>
          <w:p w14:paraId="5FFCB0C1">
            <w:pPr>
              <w:spacing w:line="240" w:lineRule="auto"/>
              <w:ind w:firstLine="180" w:firstLineChars="100"/>
              <w:jc w:val="left"/>
              <w:rPr>
                <w:rFonts w:hint="eastAsia" w:ascii="宋体" w:hAnsi="宋体" w:cs="宋体"/>
                <w:sz w:val="18"/>
                <w:szCs w:val="18"/>
              </w:rPr>
            </w:pPr>
            <w:r>
              <w:rPr>
                <w:rFonts w:hint="eastAsia" w:ascii="宋体" w:hAnsi="宋体" w:cs="宋体"/>
                <w:sz w:val="18"/>
                <w:szCs w:val="18"/>
              </w:rPr>
              <w:t>绿色、环保而且施工速度快、施工费用低，具有很好的隔渗功能。可多次重复使用，无龄期限制。结合钢管桩可形成组合支护结构，钢管桩挡土，拉森桩隔渗。</w:t>
            </w:r>
            <w:r>
              <w:rPr>
                <w:rFonts w:hint="eastAsia" w:ascii="宋体" w:hAnsi="宋体" w:cs="宋体"/>
                <w:spacing w:val="-6"/>
                <w:sz w:val="18"/>
                <w:szCs w:val="18"/>
              </w:rPr>
              <w:t>桩长一般6.0m/9.0m/12.0m/15.0m/18.0m</w:t>
            </w:r>
          </w:p>
        </w:tc>
      </w:tr>
    </w:tbl>
    <w:p w14:paraId="17D043CB">
      <w:pPr>
        <w:pStyle w:val="84"/>
        <w:numPr>
          <w:ilvl w:val="0"/>
          <w:numId w:val="0"/>
        </w:numPr>
        <w:spacing w:after="156"/>
      </w:pPr>
      <w:bookmarkStart w:id="540" w:name="_Toc9615"/>
      <w:bookmarkStart w:id="541" w:name="_Toc6189"/>
      <w:bookmarkStart w:id="542" w:name="_Toc142730209"/>
      <w:r>
        <w:rPr>
          <w:spacing w:val="100"/>
        </w:rPr>
        <w:t>附录</w:t>
      </w:r>
      <w:r>
        <w:rPr>
          <w:rFonts w:hint="eastAsia"/>
          <w:spacing w:val="100"/>
        </w:rPr>
        <w:t>D</w:t>
      </w:r>
      <w:r>
        <w:br w:type="textWrapping"/>
      </w:r>
      <w:r>
        <w:rPr>
          <w:rFonts w:hint="eastAsia"/>
        </w:rPr>
        <w:t>（规范性）</w:t>
      </w:r>
      <w:r>
        <w:br w:type="textWrapping"/>
      </w:r>
      <w:r>
        <w:rPr>
          <w:rFonts w:hint="eastAsia"/>
        </w:rPr>
        <w:t>基坑工程连通性抽水试验</w:t>
      </w:r>
      <w:bookmarkEnd w:id="540"/>
      <w:bookmarkEnd w:id="541"/>
    </w:p>
    <w:bookmarkEnd w:id="542"/>
    <w:p w14:paraId="088B3EE6">
      <w:pPr>
        <w:pStyle w:val="252"/>
        <w:spacing w:before="156" w:beforeLines="50" w:after="156" w:afterLines="50" w:line="240" w:lineRule="auto"/>
        <w:ind w:left="0" w:leftChars="0"/>
        <w:rPr>
          <w:rFonts w:hint="eastAsia" w:ascii="黑体" w:hAnsi="黑体" w:eastAsia="黑体" w:cs="黑体"/>
          <w:bCs/>
        </w:rPr>
      </w:pPr>
      <w:r>
        <w:rPr>
          <w:rFonts w:hint="eastAsia" w:ascii="黑体" w:hAnsi="黑体" w:eastAsia="黑体" w:cs="黑体"/>
          <w:bCs/>
        </w:rPr>
        <w:t>D. 1  </w:t>
      </w:r>
      <w:r>
        <w:rPr>
          <w:rFonts w:hint="eastAsia" w:ascii="黑体" w:hAnsi="黑体" w:eastAsia="黑体" w:cs="黑体"/>
          <w:bCs/>
          <w:kern w:val="44"/>
        </w:rPr>
        <w:t>一般规定</w:t>
      </w:r>
    </w:p>
    <w:p w14:paraId="0679A965">
      <w:pPr>
        <w:spacing w:line="240" w:lineRule="auto"/>
        <w:rPr>
          <w:bCs/>
        </w:rPr>
      </w:pPr>
      <w:r>
        <w:rPr>
          <w:rFonts w:hint="eastAsia" w:ascii="黑体" w:hAnsi="黑体" w:eastAsia="黑体" w:cs="黑体"/>
          <w:bCs/>
        </w:rPr>
        <w:t>D.1.1 </w:t>
      </w:r>
      <w:r>
        <w:rPr>
          <w:rFonts w:hint="eastAsia"/>
          <w:bCs/>
        </w:rPr>
        <w:t> 基坑工程</w:t>
      </w:r>
      <w:r>
        <w:rPr>
          <w:bCs/>
        </w:rPr>
        <w:t>连通性</w:t>
      </w:r>
      <w:r>
        <w:rPr>
          <w:rFonts w:hint="eastAsia"/>
          <w:bCs/>
        </w:rPr>
        <w:t>抽水</w:t>
      </w:r>
      <w:r>
        <w:rPr>
          <w:bCs/>
        </w:rPr>
        <w:t>试验</w:t>
      </w:r>
      <w:r>
        <w:rPr>
          <w:rFonts w:hint="eastAsia"/>
          <w:bCs/>
        </w:rPr>
        <w:t>是在</w:t>
      </w:r>
      <w:r>
        <w:rPr>
          <w:bCs/>
        </w:rPr>
        <w:t>落底式帷幕条件下，</w:t>
      </w:r>
      <w:r>
        <w:rPr>
          <w:rFonts w:hint="eastAsia"/>
          <w:bCs/>
        </w:rPr>
        <w:t>通过帷幕内抽水井抽水，同步观测帷幕外观测井的水位变化情况，以判断隔渗帷幕内外水力联系的方法。</w:t>
      </w:r>
    </w:p>
    <w:p w14:paraId="2B1AEE97">
      <w:pPr>
        <w:spacing w:line="240" w:lineRule="auto"/>
        <w:rPr>
          <w:bCs/>
        </w:rPr>
      </w:pPr>
      <w:r>
        <w:rPr>
          <w:rFonts w:hint="eastAsia" w:ascii="黑体" w:hAnsi="黑体" w:eastAsia="黑体" w:cs="黑体"/>
          <w:bCs/>
        </w:rPr>
        <w:t>D.1.2 </w:t>
      </w:r>
      <w:r>
        <w:rPr>
          <w:rFonts w:hint="eastAsia" w:ascii="宋体" w:hAnsi="宋体" w:cs="宋体"/>
          <w:bCs/>
        </w:rPr>
        <w:t> 通过无帷幕条件下的抽水试验和帷幕封闭后的连通性抽水试验，获得隔水系数</w:t>
      </w:r>
      <w:r>
        <w:rPr>
          <w:rFonts w:hint="eastAsia" w:ascii="宋体" w:hAnsi="宋体" w:cs="宋体"/>
        </w:rPr>
        <w:t>λ</w:t>
      </w:r>
      <w:r>
        <w:rPr>
          <w:rFonts w:hint="eastAsia" w:ascii="宋体" w:hAnsi="宋体" w:cs="宋体"/>
          <w:bCs/>
        </w:rPr>
        <w:t>、表观渗透系数</w:t>
      </w:r>
      <w:r>
        <w:rPr>
          <w:rFonts w:hint="eastAsia" w:ascii="宋体" w:hAnsi="宋体" w:cs="宋体"/>
          <w:bCs/>
          <w:i/>
          <w:iCs/>
        </w:rPr>
        <w:t>K＇</w:t>
      </w:r>
      <w:r>
        <w:rPr>
          <w:rFonts w:hint="eastAsia" w:ascii="宋体" w:hAnsi="宋体" w:cs="宋体"/>
          <w:bCs/>
        </w:rPr>
        <w:t>、表观影响半径</w:t>
      </w:r>
      <w:r>
        <w:rPr>
          <w:rFonts w:hint="eastAsia" w:ascii="宋体" w:hAnsi="宋体" w:cs="宋体"/>
          <w:bCs/>
          <w:i/>
          <w:iCs/>
        </w:rPr>
        <w:t>R＇</w:t>
      </w:r>
      <w:r>
        <w:rPr>
          <w:rFonts w:hint="eastAsia" w:ascii="宋体" w:hAnsi="宋体" w:cs="宋体"/>
          <w:bCs/>
        </w:rPr>
        <w:t>，用以指导降水设计的方法，为表观参数法。</w:t>
      </w:r>
    </w:p>
    <w:p w14:paraId="59E53BA7">
      <w:pPr>
        <w:spacing w:line="240" w:lineRule="auto"/>
        <w:rPr>
          <w:bCs/>
        </w:rPr>
      </w:pPr>
      <w:r>
        <w:rPr>
          <w:rFonts w:hint="eastAsia" w:ascii="黑体" w:hAnsi="黑体" w:eastAsia="黑体" w:cs="黑体"/>
          <w:bCs/>
        </w:rPr>
        <w:t>D.1.3 </w:t>
      </w:r>
      <w:r>
        <w:rPr>
          <w:rFonts w:hint="eastAsia"/>
          <w:bCs/>
        </w:rPr>
        <w:t> 基坑工程</w:t>
      </w:r>
      <w:r>
        <w:rPr>
          <w:bCs/>
        </w:rPr>
        <w:t>连通性</w:t>
      </w:r>
      <w:r>
        <w:rPr>
          <w:rFonts w:hint="eastAsia"/>
          <w:bCs/>
        </w:rPr>
        <w:t>抽水</w:t>
      </w:r>
      <w:r>
        <w:rPr>
          <w:bCs/>
        </w:rPr>
        <w:t>试验</w:t>
      </w:r>
      <w:r>
        <w:rPr>
          <w:rFonts w:hint="eastAsia"/>
          <w:bCs/>
        </w:rPr>
        <w:t>目的：</w:t>
      </w:r>
    </w:p>
    <w:p w14:paraId="79DB1AE4">
      <w:pPr>
        <w:pStyle w:val="182"/>
        <w:numPr>
          <w:ilvl w:val="0"/>
          <w:numId w:val="100"/>
        </w:numPr>
        <w:ind w:left="845" w:hanging="425"/>
      </w:pPr>
      <w:r>
        <w:rPr>
          <w:rFonts w:hint="eastAsia"/>
        </w:rPr>
        <w:t>单井连通性抽水试验用于获取隔水系数λ，为降水设计提供依据，初步判定帷幕的封闭效果；</w:t>
      </w:r>
    </w:p>
    <w:p w14:paraId="0B45AF00">
      <w:pPr>
        <w:pStyle w:val="182"/>
        <w:numPr>
          <w:ilvl w:val="0"/>
          <w:numId w:val="100"/>
        </w:numPr>
        <w:ind w:left="845" w:hanging="425"/>
      </w:pPr>
      <w:r>
        <w:rPr>
          <w:rFonts w:hint="eastAsia"/>
        </w:rPr>
        <w:t>群井试验判定降水效果，群井试验的技术要求按本文件第11.2.5条相关规定执行；</w:t>
      </w:r>
    </w:p>
    <w:p w14:paraId="06518E57">
      <w:pPr>
        <w:pStyle w:val="252"/>
        <w:spacing w:before="156" w:beforeLines="50" w:after="156" w:afterLines="50" w:line="240" w:lineRule="auto"/>
        <w:ind w:left="0" w:leftChars="0"/>
        <w:rPr>
          <w:rFonts w:hint="eastAsia" w:ascii="黑体" w:hAnsi="黑体" w:eastAsia="黑体" w:cs="黑体"/>
          <w:bCs/>
        </w:rPr>
      </w:pPr>
      <w:r>
        <w:rPr>
          <w:rFonts w:hint="eastAsia" w:ascii="黑体" w:hAnsi="黑体" w:eastAsia="黑体" w:cs="黑体"/>
          <w:bCs/>
        </w:rPr>
        <w:t>D. 2  单井连通性抽水试验</w:t>
      </w:r>
    </w:p>
    <w:p w14:paraId="351585C9">
      <w:pPr>
        <w:spacing w:line="240" w:lineRule="auto"/>
        <w:rPr>
          <w:bCs/>
        </w:rPr>
      </w:pPr>
      <w:r>
        <w:rPr>
          <w:rFonts w:hint="eastAsia" w:ascii="黑体" w:hAnsi="黑体" w:eastAsia="黑体" w:cs="黑体"/>
          <w:bCs/>
        </w:rPr>
        <w:t>D.2.1 </w:t>
      </w:r>
      <w:r>
        <w:rPr>
          <w:rFonts w:hint="eastAsia"/>
          <w:bCs/>
        </w:rPr>
        <w:t> 每组试验应由</w:t>
      </w:r>
      <w:r>
        <w:rPr>
          <w:bCs/>
        </w:rPr>
        <w:t>无帷幕条件下的抽水试验</w:t>
      </w:r>
      <w:r>
        <w:rPr>
          <w:rFonts w:hint="eastAsia"/>
          <w:bCs/>
        </w:rPr>
        <w:t>与</w:t>
      </w:r>
      <w:r>
        <w:rPr>
          <w:bCs/>
        </w:rPr>
        <w:t>帷幕封闭后的</w:t>
      </w:r>
      <w:r>
        <w:rPr>
          <w:rFonts w:hint="eastAsia"/>
          <w:bCs/>
        </w:rPr>
        <w:t>抽水</w:t>
      </w:r>
      <w:r>
        <w:rPr>
          <w:bCs/>
        </w:rPr>
        <w:t>试验</w:t>
      </w:r>
      <w:r>
        <w:rPr>
          <w:rFonts w:hint="eastAsia"/>
          <w:bCs/>
        </w:rPr>
        <w:t>组成，前后试验条件宜基本一致。连通性抽水试验井布设宜结合现场实际情况，兼顾后续施工使用，应符合下列要求：</w:t>
      </w:r>
    </w:p>
    <w:p w14:paraId="1B28EAD6">
      <w:pPr>
        <w:pStyle w:val="182"/>
        <w:numPr>
          <w:ilvl w:val="0"/>
          <w:numId w:val="101"/>
        </w:numPr>
        <w:ind w:left="845" w:hanging="425"/>
      </w:pPr>
      <w:r>
        <w:rPr>
          <w:rFonts w:hint="eastAsia"/>
        </w:rPr>
        <w:t>每组试验由一个抽水井与至少一个帷幕外的观测井组成，观测线宜均匀、对称。试验井平面布置示意图如图D.1；</w:t>
      </w:r>
    </w:p>
    <w:p w14:paraId="421F5BAD">
      <w:pPr>
        <w:pStyle w:val="182"/>
        <w:numPr>
          <w:ilvl w:val="0"/>
          <w:numId w:val="101"/>
        </w:numPr>
        <w:ind w:left="845" w:hanging="425"/>
      </w:pPr>
      <w:r>
        <w:rPr>
          <w:rFonts w:hint="eastAsia"/>
        </w:rPr>
        <w:t>试验井宜靠近隔渗帷幕，距离隔渗帷幕不宜大于5 m，试验井剖面示意图如图D.2；</w:t>
      </w:r>
    </w:p>
    <w:p w14:paraId="04B5A5D3">
      <w:pPr>
        <w:pStyle w:val="182"/>
        <w:numPr>
          <w:ilvl w:val="0"/>
          <w:numId w:val="101"/>
        </w:numPr>
        <w:ind w:left="845" w:hanging="425"/>
      </w:pPr>
      <w:r>
        <w:rPr>
          <w:rFonts w:hint="eastAsia"/>
        </w:rPr>
        <w:t>试验井宜优先布设在隔渗帷幕施工质量可能存在缺陷或周边环境对地下水控制要求较高的位置，其余位置可均匀、分段布设。</w:t>
      </w:r>
    </w:p>
    <w:p w14:paraId="0F2D61A2">
      <w:pPr>
        <w:spacing w:line="240" w:lineRule="auto"/>
        <w:rPr>
          <w:bCs/>
        </w:rPr>
      </w:pPr>
      <w:r>
        <w:rPr>
          <w:rFonts w:hint="eastAsia" w:ascii="黑体" w:hAnsi="黑体" w:eastAsia="黑体" w:cs="黑体"/>
          <w:bCs/>
        </w:rPr>
        <w:t>D.2.2</w:t>
      </w:r>
      <w:r>
        <w:rPr>
          <w:rFonts w:hint="eastAsia"/>
          <w:bCs/>
        </w:rPr>
        <w:t>  连通性抽水试验过程应符合下列要求：</w:t>
      </w:r>
    </w:p>
    <w:p w14:paraId="2E3078E5">
      <w:pPr>
        <w:pStyle w:val="182"/>
        <w:numPr>
          <w:ilvl w:val="0"/>
          <w:numId w:val="102"/>
        </w:numPr>
        <w:ind w:left="845" w:hanging="425"/>
      </w:pPr>
      <w:r>
        <w:rPr>
          <w:rFonts w:hint="eastAsia"/>
        </w:rPr>
        <w:t>宜进行不少于6组连通性抽水试验，选择最小的隔水系数λ作为降水设计的依据；</w:t>
      </w:r>
    </w:p>
    <w:p w14:paraId="12F52717">
      <w:pPr>
        <w:pStyle w:val="182"/>
        <w:numPr>
          <w:ilvl w:val="0"/>
          <w:numId w:val="102"/>
        </w:numPr>
        <w:ind w:left="845" w:hanging="425"/>
      </w:pPr>
      <w:r>
        <w:rPr>
          <w:rFonts w:hint="eastAsia"/>
        </w:rPr>
        <w:t>试验用泵可结合降水设计抽水泵量进行选择； </w:t>
      </w:r>
    </w:p>
    <w:p w14:paraId="7E12BF71">
      <w:pPr>
        <w:pStyle w:val="182"/>
        <w:numPr>
          <w:ilvl w:val="0"/>
          <w:numId w:val="102"/>
        </w:numPr>
        <w:ind w:left="845" w:hanging="425"/>
      </w:pPr>
      <w:r>
        <w:rPr>
          <w:rFonts w:hint="eastAsia"/>
        </w:rPr>
        <w:t>动水位和涌水量同时观测，抽水井和观测井同时观测，抽水开始后第5 min、10 min、15 min、20 min、25 min、30 min各观测一次，根据水位的稳定趋势，以后每隔15 min或30 min观测一次； </w:t>
      </w:r>
    </w:p>
    <w:p w14:paraId="4F01F084">
      <w:pPr>
        <w:pStyle w:val="182"/>
        <w:numPr>
          <w:ilvl w:val="0"/>
          <w:numId w:val="102"/>
        </w:numPr>
        <w:ind w:left="845" w:hanging="425"/>
      </w:pPr>
      <w:r>
        <w:rPr>
          <w:rFonts w:hint="eastAsia"/>
        </w:rPr>
        <w:t>抽水井与观测井水位基本趋于稳定并维持不少于8 h方可终止试验；</w:t>
      </w:r>
    </w:p>
    <w:p w14:paraId="50738D53">
      <w:pPr>
        <w:pStyle w:val="182"/>
        <w:numPr>
          <w:ilvl w:val="0"/>
          <w:numId w:val="102"/>
        </w:numPr>
        <w:ind w:left="845" w:hanging="425"/>
      </w:pPr>
      <w:r>
        <w:rPr>
          <w:rFonts w:hint="eastAsia"/>
        </w:rPr>
        <w:t>观测井水位量测精确到mm，同一试验应采用同一方法和工具。</w:t>
      </w:r>
    </w:p>
    <w:p w14:paraId="5803D192">
      <w:pPr>
        <w:pStyle w:val="32"/>
        <w:spacing w:before="156" w:beforeLines="50" w:after="156" w:afterLines="50" w:line="240" w:lineRule="auto"/>
        <w:ind w:left="0" w:leftChars="0" w:firstLine="0" w:firstLineChars="0"/>
        <w:jc w:val="center"/>
      </w:pPr>
      <w:r>
        <w:rPr>
          <w:rFonts w:ascii="宋体" w:hAnsi="宋体" w:eastAsia="宋体" w:cs="宋体"/>
          <w:sz w:val="24"/>
        </w:rPr>
        <w:drawing>
          <wp:inline distT="0" distB="0" distL="114300" distR="114300">
            <wp:extent cx="4512310" cy="2671445"/>
            <wp:effectExtent l="0" t="0" r="2540" b="14605"/>
            <wp:docPr id="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56"/>
                    <pic:cNvPicPr>
                      <a:picLocks noChangeAspect="1"/>
                    </pic:cNvPicPr>
                  </pic:nvPicPr>
                  <pic:blipFill>
                    <a:blip r:embed="rId92"/>
                    <a:stretch>
                      <a:fillRect/>
                    </a:stretch>
                  </pic:blipFill>
                  <pic:spPr>
                    <a:xfrm>
                      <a:off x="0" y="0"/>
                      <a:ext cx="4512310" cy="2671445"/>
                    </a:xfrm>
                    <a:prstGeom prst="rect">
                      <a:avLst/>
                    </a:prstGeom>
                    <a:noFill/>
                    <a:ln w="9525">
                      <a:noFill/>
                    </a:ln>
                  </pic:spPr>
                </pic:pic>
              </a:graphicData>
            </a:graphic>
          </wp:inline>
        </w:drawing>
      </w:r>
    </w:p>
    <w:p w14:paraId="43768B5E">
      <w:pPr>
        <w:spacing w:before="156" w:beforeLines="50" w:after="156" w:afterLines="50" w:line="240" w:lineRule="auto"/>
        <w:ind w:firstLine="420" w:firstLineChars="200"/>
        <w:jc w:val="center"/>
        <w:rPr>
          <w:rFonts w:hint="eastAsia" w:ascii="黑体" w:hAnsi="黑体" w:eastAsia="黑体" w:cs="宋体"/>
        </w:rPr>
      </w:pPr>
      <w:r>
        <w:rPr>
          <w:rFonts w:ascii="黑体" w:hAnsi="黑体" w:eastAsia="黑体" w:cs="宋体"/>
        </w:rPr>
        <w:t>图D.1</w:t>
      </w:r>
      <w:r>
        <w:rPr>
          <w:rFonts w:hint="eastAsia" w:ascii="黑体" w:hAnsi="黑体" w:eastAsia="黑体" w:cs="宋体"/>
        </w:rPr>
        <w:t xml:space="preserve"> </w:t>
      </w:r>
      <w:r>
        <w:rPr>
          <w:rFonts w:ascii="黑体" w:hAnsi="黑体" w:eastAsia="黑体" w:cs="宋体"/>
        </w:rPr>
        <w:t xml:space="preserve"> 连通性抽水试验</w:t>
      </w:r>
      <w:r>
        <w:rPr>
          <w:rFonts w:hint="eastAsia" w:ascii="黑体" w:hAnsi="黑体" w:eastAsia="黑体" w:cs="宋体"/>
        </w:rPr>
        <w:t>平面布置示意图</w:t>
      </w:r>
    </w:p>
    <w:p w14:paraId="7FDCA742">
      <w:pPr>
        <w:spacing w:line="240" w:lineRule="auto"/>
        <w:jc w:val="center"/>
      </w:pPr>
      <w:r>
        <w:rPr>
          <w:rFonts w:ascii="宋体" w:hAnsi="宋体" w:cs="宋体"/>
          <w:sz w:val="24"/>
        </w:rPr>
        <w:drawing>
          <wp:inline distT="0" distB="0" distL="114300" distR="114300">
            <wp:extent cx="4453255" cy="2778125"/>
            <wp:effectExtent l="0" t="0" r="4445" b="3175"/>
            <wp:docPr id="15"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56"/>
                    <pic:cNvPicPr>
                      <a:picLocks noChangeAspect="1"/>
                    </pic:cNvPicPr>
                  </pic:nvPicPr>
                  <pic:blipFill>
                    <a:blip r:embed="rId93"/>
                    <a:stretch>
                      <a:fillRect/>
                    </a:stretch>
                  </pic:blipFill>
                  <pic:spPr>
                    <a:xfrm>
                      <a:off x="0" y="0"/>
                      <a:ext cx="4453255" cy="2778125"/>
                    </a:xfrm>
                    <a:prstGeom prst="rect">
                      <a:avLst/>
                    </a:prstGeom>
                    <a:noFill/>
                    <a:ln w="9525">
                      <a:noFill/>
                    </a:ln>
                  </pic:spPr>
                </pic:pic>
              </a:graphicData>
            </a:graphic>
          </wp:inline>
        </w:drawing>
      </w:r>
    </w:p>
    <w:p w14:paraId="04DA3204">
      <w:pPr>
        <w:spacing w:before="156" w:beforeLines="50" w:after="156" w:afterLines="50" w:line="240" w:lineRule="auto"/>
        <w:ind w:firstLine="420" w:firstLineChars="200"/>
        <w:jc w:val="center"/>
        <w:rPr>
          <w:rFonts w:hint="eastAsia" w:ascii="黑体" w:hAnsi="黑体" w:eastAsia="黑体" w:cs="宋体"/>
        </w:rPr>
      </w:pPr>
      <w:r>
        <w:rPr>
          <w:rFonts w:ascii="黑体" w:hAnsi="黑体" w:eastAsia="黑体" w:cs="宋体"/>
        </w:rPr>
        <w:t>图D.2</w:t>
      </w:r>
      <w:r>
        <w:rPr>
          <w:rFonts w:hint="eastAsia" w:ascii="黑体" w:hAnsi="黑体" w:eastAsia="黑体" w:cs="宋体"/>
        </w:rPr>
        <w:t xml:space="preserve"> </w:t>
      </w:r>
      <w:r>
        <w:rPr>
          <w:rFonts w:ascii="黑体" w:hAnsi="黑体" w:eastAsia="黑体" w:cs="宋体"/>
        </w:rPr>
        <w:t xml:space="preserve"> 连通</w:t>
      </w:r>
      <w:r>
        <w:rPr>
          <w:rFonts w:hint="eastAsia" w:ascii="黑体" w:hAnsi="黑体" w:eastAsia="黑体" w:cs="宋体"/>
        </w:rPr>
        <w:t>性抽水</w:t>
      </w:r>
      <w:r>
        <w:rPr>
          <w:rFonts w:ascii="黑体" w:hAnsi="黑体" w:eastAsia="黑体" w:cs="宋体"/>
        </w:rPr>
        <w:t>试验</w:t>
      </w:r>
      <w:r>
        <w:rPr>
          <w:rFonts w:hint="eastAsia" w:ascii="黑体" w:hAnsi="黑体" w:eastAsia="黑体" w:cs="宋体"/>
        </w:rPr>
        <w:t>剖面布置</w:t>
      </w:r>
      <w:r>
        <w:rPr>
          <w:rFonts w:ascii="黑体" w:hAnsi="黑体" w:eastAsia="黑体" w:cs="宋体"/>
        </w:rPr>
        <w:t>示意图</w:t>
      </w:r>
    </w:p>
    <w:p w14:paraId="0D9DB44D">
      <w:pPr>
        <w:spacing w:line="240" w:lineRule="auto"/>
        <w:rPr>
          <w:bCs/>
        </w:rPr>
      </w:pPr>
      <w:r>
        <w:rPr>
          <w:rFonts w:hint="eastAsia" w:ascii="黑体" w:hAnsi="黑体" w:eastAsia="黑体" w:cs="黑体"/>
          <w:bCs/>
        </w:rPr>
        <w:t>D.2.3 </w:t>
      </w:r>
      <w:r>
        <w:rPr>
          <w:rFonts w:hint="eastAsia"/>
          <w:bCs/>
        </w:rPr>
        <w:t> 成果整理</w:t>
      </w:r>
    </w:p>
    <w:p w14:paraId="54C793D4">
      <w:pPr>
        <w:pStyle w:val="182"/>
        <w:numPr>
          <w:ilvl w:val="0"/>
          <w:numId w:val="103"/>
        </w:numPr>
        <w:ind w:left="845" w:hanging="425"/>
      </w:pPr>
      <w:r>
        <w:rPr>
          <w:rFonts w:hint="eastAsia"/>
        </w:rPr>
        <w:t>基坑工程连通性抽水试验记录表宜参照表D.1，试验成果依据本文件第D.3条进行整理，成果表参照表D.2；</w:t>
      </w:r>
    </w:p>
    <w:p w14:paraId="3BE070E3">
      <w:pPr>
        <w:pStyle w:val="182"/>
        <w:numPr>
          <w:ilvl w:val="0"/>
          <w:numId w:val="103"/>
        </w:numPr>
        <w:ind w:left="845" w:hanging="425"/>
      </w:pPr>
      <w:r>
        <w:rPr>
          <w:rFonts w:hint="eastAsia"/>
        </w:rPr>
        <w:t>绘制观测井水位降深随时间t变化的过程曲线，求取隔水系数</w:t>
      </w:r>
      <w:r>
        <w:rPr>
          <w:rFonts w:hint="eastAsia" w:ascii="Times New Roman"/>
          <w:sz w:val="24"/>
        </w:rPr>
        <w:t>λ</w:t>
      </w:r>
      <w:r>
        <w:rPr>
          <w:rFonts w:hint="eastAsia"/>
        </w:rPr>
        <w:t>，评估帷幕隔渗效果，优化降水设计方案。 </w:t>
      </w:r>
    </w:p>
    <w:p w14:paraId="55C47539">
      <w:pPr>
        <w:spacing w:before="156" w:beforeLines="50" w:after="156" w:afterLines="50" w:line="240" w:lineRule="auto"/>
        <w:ind w:firstLine="420" w:firstLineChars="200"/>
        <w:jc w:val="center"/>
        <w:rPr>
          <w:rFonts w:hint="eastAsia" w:ascii="黑体" w:hAnsi="黑体" w:eastAsia="黑体" w:cs="宋体"/>
        </w:rPr>
      </w:pPr>
      <w:r>
        <w:rPr>
          <w:rFonts w:hint="eastAsia" w:ascii="黑体" w:hAnsi="黑体" w:eastAsia="黑体" w:cs="宋体"/>
        </w:rPr>
        <w:t xml:space="preserve">表D.1 </w:t>
      </w:r>
      <w:r>
        <w:rPr>
          <w:rFonts w:ascii="黑体" w:hAnsi="黑体" w:eastAsia="黑体" w:cs="宋体"/>
        </w:rPr>
        <w:t xml:space="preserve"> </w:t>
      </w:r>
      <w:r>
        <w:rPr>
          <w:rFonts w:hint="eastAsia" w:ascii="黑体" w:hAnsi="黑体" w:eastAsia="黑体" w:cs="宋体"/>
        </w:rPr>
        <w:t>连通性抽水试验记录表</w:t>
      </w:r>
    </w:p>
    <w:tbl>
      <w:tblPr>
        <w:tblStyle w:val="33"/>
        <w:tblW w:w="9483"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15" w:type="dxa"/>
          <w:left w:w="15" w:type="dxa"/>
          <w:bottom w:w="15" w:type="dxa"/>
          <w:right w:w="15" w:type="dxa"/>
        </w:tblCellMar>
      </w:tblPr>
      <w:tblGrid>
        <w:gridCol w:w="630"/>
        <w:gridCol w:w="631"/>
        <w:gridCol w:w="1418"/>
        <w:gridCol w:w="1454"/>
        <w:gridCol w:w="1358"/>
        <w:gridCol w:w="1358"/>
        <w:gridCol w:w="1358"/>
        <w:gridCol w:w="638"/>
        <w:gridCol w:w="638"/>
      </w:tblGrid>
      <w:tr w14:paraId="62E99A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653" w:hRule="atLeast"/>
          <w:jc w:val="center"/>
        </w:trPr>
        <w:tc>
          <w:tcPr>
            <w:tcW w:w="630" w:type="dxa"/>
            <w:tcBorders>
              <w:top w:val="single" w:color="000000" w:themeColor="text1" w:sz="12" w:space="0"/>
              <w:bottom w:val="single" w:color="000000" w:themeColor="text1" w:sz="12" w:space="0"/>
            </w:tcBorders>
            <w:vAlign w:val="center"/>
          </w:tcPr>
          <w:p w14:paraId="008FFB01">
            <w:pPr>
              <w:pStyle w:val="257"/>
              <w:spacing w:line="240" w:lineRule="auto"/>
              <w:rPr>
                <w:rFonts w:hint="eastAsia" w:ascii="宋体" w:hAnsi="宋体" w:cs="宋体"/>
                <w:sz w:val="18"/>
                <w:szCs w:val="18"/>
              </w:rPr>
            </w:pPr>
            <w:r>
              <w:rPr>
                <w:rFonts w:hint="eastAsia" w:ascii="宋体" w:hAnsi="宋体" w:cs="宋体"/>
                <w:sz w:val="18"/>
                <w:szCs w:val="18"/>
              </w:rPr>
              <w:t>组号</w:t>
            </w:r>
          </w:p>
        </w:tc>
        <w:tc>
          <w:tcPr>
            <w:tcW w:w="631" w:type="dxa"/>
            <w:tcBorders>
              <w:top w:val="single" w:color="000000" w:themeColor="text1" w:sz="12" w:space="0"/>
              <w:bottom w:val="single" w:color="000000" w:themeColor="text1" w:sz="12" w:space="0"/>
            </w:tcBorders>
            <w:vAlign w:val="center"/>
          </w:tcPr>
          <w:p w14:paraId="67594065">
            <w:pPr>
              <w:pStyle w:val="257"/>
              <w:spacing w:line="240" w:lineRule="auto"/>
              <w:rPr>
                <w:rFonts w:hint="eastAsia" w:ascii="宋体" w:hAnsi="宋体" w:cs="宋体"/>
                <w:sz w:val="18"/>
                <w:szCs w:val="18"/>
              </w:rPr>
            </w:pPr>
            <w:r>
              <w:rPr>
                <w:rFonts w:hint="eastAsia" w:ascii="宋体" w:hAnsi="宋体" w:cs="宋体"/>
                <w:sz w:val="18"/>
                <w:szCs w:val="18"/>
              </w:rPr>
              <w:t>时间</w:t>
            </w:r>
          </w:p>
        </w:tc>
        <w:tc>
          <w:tcPr>
            <w:tcW w:w="1418" w:type="dxa"/>
            <w:tcBorders>
              <w:top w:val="single" w:color="000000" w:themeColor="text1" w:sz="12" w:space="0"/>
              <w:bottom w:val="single" w:color="000000" w:themeColor="text1" w:sz="12" w:space="0"/>
            </w:tcBorders>
            <w:vAlign w:val="center"/>
          </w:tcPr>
          <w:p w14:paraId="10325FDA">
            <w:pPr>
              <w:pStyle w:val="257"/>
              <w:spacing w:line="240" w:lineRule="auto"/>
              <w:rPr>
                <w:rFonts w:hint="eastAsia" w:ascii="宋体" w:hAnsi="宋体" w:cs="宋体"/>
                <w:sz w:val="18"/>
                <w:szCs w:val="18"/>
              </w:rPr>
            </w:pPr>
            <w:r>
              <w:rPr>
                <w:rFonts w:hint="eastAsia" w:ascii="宋体" w:hAnsi="宋体" w:cs="宋体"/>
                <w:sz w:val="18"/>
                <w:szCs w:val="18"/>
              </w:rPr>
              <w:t>抽水井编号</w:t>
            </w:r>
          </w:p>
        </w:tc>
        <w:tc>
          <w:tcPr>
            <w:tcW w:w="1454" w:type="dxa"/>
            <w:tcBorders>
              <w:top w:val="single" w:color="000000" w:themeColor="text1" w:sz="12" w:space="0"/>
              <w:bottom w:val="single" w:color="000000" w:themeColor="text1" w:sz="12" w:space="0"/>
            </w:tcBorders>
            <w:vAlign w:val="center"/>
          </w:tcPr>
          <w:p w14:paraId="447D6A3A">
            <w:pPr>
              <w:pStyle w:val="257"/>
              <w:spacing w:line="240" w:lineRule="auto"/>
              <w:rPr>
                <w:rFonts w:hint="eastAsia" w:ascii="宋体" w:hAnsi="宋体" w:cs="宋体"/>
                <w:i/>
                <w:iCs/>
                <w:sz w:val="18"/>
                <w:szCs w:val="18"/>
              </w:rPr>
            </w:pPr>
            <w:r>
              <w:rPr>
                <w:rFonts w:hint="eastAsia" w:ascii="宋体" w:hAnsi="宋体" w:cs="宋体"/>
                <w:sz w:val="18"/>
                <w:szCs w:val="18"/>
              </w:rPr>
              <w:t>涌水量</w:t>
            </w:r>
            <w:r>
              <w:rPr>
                <w:rFonts w:hint="eastAsia" w:ascii="宋体" w:hAnsi="宋体" w:cs="宋体"/>
                <w:i/>
                <w:iCs/>
                <w:sz w:val="18"/>
                <w:szCs w:val="18"/>
              </w:rPr>
              <w:t>Q</w:t>
            </w:r>
          </w:p>
          <w:p w14:paraId="112B4830">
            <w:pPr>
              <w:pStyle w:val="257"/>
              <w:spacing w:line="240" w:lineRule="auto"/>
              <w:rPr>
                <w:rFonts w:hint="eastAsia"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/d）</w:t>
            </w:r>
          </w:p>
        </w:tc>
        <w:tc>
          <w:tcPr>
            <w:tcW w:w="1358" w:type="dxa"/>
            <w:tcBorders>
              <w:top w:val="single" w:color="000000" w:themeColor="text1" w:sz="12" w:space="0"/>
              <w:bottom w:val="single" w:color="000000" w:themeColor="text1" w:sz="12" w:space="0"/>
            </w:tcBorders>
            <w:vAlign w:val="center"/>
          </w:tcPr>
          <w:p w14:paraId="754AE503">
            <w:pPr>
              <w:pStyle w:val="257"/>
              <w:spacing w:line="240" w:lineRule="auto"/>
              <w:rPr>
                <w:rFonts w:hint="eastAsia" w:ascii="宋体" w:hAnsi="宋体" w:cs="宋体"/>
                <w:sz w:val="18"/>
                <w:szCs w:val="18"/>
              </w:rPr>
            </w:pPr>
            <w:r>
              <w:rPr>
                <w:rFonts w:hint="eastAsia" w:ascii="宋体" w:hAnsi="宋体" w:cs="宋体"/>
                <w:sz w:val="18"/>
                <w:szCs w:val="18"/>
              </w:rPr>
              <w:t>抽水井水位</w:t>
            </w:r>
          </w:p>
          <w:p w14:paraId="2F1B83F5">
            <w:pPr>
              <w:pStyle w:val="257"/>
              <w:spacing w:line="240" w:lineRule="auto"/>
              <w:rPr>
                <w:rFonts w:hint="eastAsia" w:ascii="宋体" w:hAnsi="宋体" w:cs="宋体"/>
                <w:sz w:val="18"/>
                <w:szCs w:val="18"/>
              </w:rPr>
            </w:pPr>
            <w:r>
              <w:rPr>
                <w:rFonts w:hint="eastAsia" w:ascii="宋体" w:hAnsi="宋体" w:cs="宋体"/>
                <w:sz w:val="18"/>
                <w:szCs w:val="18"/>
              </w:rPr>
              <w:t>（m）</w:t>
            </w:r>
          </w:p>
        </w:tc>
        <w:tc>
          <w:tcPr>
            <w:tcW w:w="1358" w:type="dxa"/>
            <w:tcBorders>
              <w:top w:val="single" w:color="000000" w:themeColor="text1" w:sz="12" w:space="0"/>
              <w:bottom w:val="single" w:color="000000" w:themeColor="text1" w:sz="12" w:space="0"/>
            </w:tcBorders>
            <w:vAlign w:val="center"/>
          </w:tcPr>
          <w:p w14:paraId="1599A297">
            <w:pPr>
              <w:pStyle w:val="257"/>
              <w:spacing w:line="240" w:lineRule="auto"/>
              <w:rPr>
                <w:rFonts w:hint="eastAsia" w:ascii="宋体" w:hAnsi="宋体" w:cs="宋体"/>
                <w:sz w:val="18"/>
                <w:szCs w:val="18"/>
              </w:rPr>
            </w:pPr>
            <w:r>
              <w:rPr>
                <w:rFonts w:hint="eastAsia" w:ascii="宋体" w:hAnsi="宋体" w:cs="宋体"/>
                <w:sz w:val="18"/>
                <w:szCs w:val="18"/>
              </w:rPr>
              <w:t>观测井编号</w:t>
            </w:r>
          </w:p>
        </w:tc>
        <w:tc>
          <w:tcPr>
            <w:tcW w:w="1358" w:type="dxa"/>
            <w:tcBorders>
              <w:top w:val="single" w:color="000000" w:themeColor="text1" w:sz="12" w:space="0"/>
              <w:bottom w:val="single" w:color="000000" w:themeColor="text1" w:sz="12" w:space="0"/>
            </w:tcBorders>
            <w:vAlign w:val="center"/>
          </w:tcPr>
          <w:p w14:paraId="0B8EFBF2">
            <w:pPr>
              <w:pStyle w:val="257"/>
              <w:spacing w:line="240" w:lineRule="auto"/>
              <w:rPr>
                <w:rFonts w:hint="eastAsia" w:ascii="宋体" w:hAnsi="宋体" w:cs="宋体"/>
                <w:sz w:val="18"/>
                <w:szCs w:val="18"/>
              </w:rPr>
            </w:pPr>
            <w:r>
              <w:rPr>
                <w:rFonts w:hint="eastAsia" w:ascii="宋体" w:hAnsi="宋体" w:cs="宋体"/>
                <w:sz w:val="18"/>
                <w:szCs w:val="18"/>
              </w:rPr>
              <w:t>观测井水位</w:t>
            </w:r>
          </w:p>
          <w:p w14:paraId="5A71D044">
            <w:pPr>
              <w:pStyle w:val="257"/>
              <w:spacing w:line="240" w:lineRule="auto"/>
              <w:rPr>
                <w:rFonts w:hint="eastAsia" w:ascii="宋体" w:hAnsi="宋体" w:cs="宋体"/>
                <w:sz w:val="18"/>
                <w:szCs w:val="18"/>
              </w:rPr>
            </w:pPr>
            <w:r>
              <w:rPr>
                <w:rFonts w:hint="eastAsia" w:ascii="宋体" w:hAnsi="宋体" w:cs="宋体"/>
                <w:sz w:val="18"/>
                <w:szCs w:val="18"/>
              </w:rPr>
              <w:t>（m）</w:t>
            </w:r>
          </w:p>
        </w:tc>
        <w:tc>
          <w:tcPr>
            <w:tcW w:w="638" w:type="dxa"/>
            <w:tcBorders>
              <w:top w:val="single" w:color="000000" w:themeColor="text1" w:sz="12" w:space="0"/>
              <w:bottom w:val="single" w:color="000000" w:themeColor="text1" w:sz="12" w:space="0"/>
            </w:tcBorders>
            <w:vAlign w:val="center"/>
          </w:tcPr>
          <w:p w14:paraId="3F1A97D5">
            <w:pPr>
              <w:pStyle w:val="257"/>
              <w:spacing w:line="240" w:lineRule="auto"/>
              <w:rPr>
                <w:rFonts w:hint="eastAsia" w:ascii="宋体" w:hAnsi="宋体" w:cs="宋体"/>
                <w:sz w:val="18"/>
                <w:szCs w:val="18"/>
              </w:rPr>
            </w:pPr>
            <w:r>
              <w:rPr>
                <w:rFonts w:hint="eastAsia" w:ascii="宋体" w:hAnsi="宋体" w:cs="宋体"/>
                <w:sz w:val="18"/>
                <w:szCs w:val="18"/>
              </w:rPr>
              <w:t>天气</w:t>
            </w:r>
          </w:p>
        </w:tc>
        <w:tc>
          <w:tcPr>
            <w:tcW w:w="638" w:type="dxa"/>
            <w:tcBorders>
              <w:top w:val="single" w:color="000000" w:themeColor="text1" w:sz="12" w:space="0"/>
              <w:bottom w:val="single" w:color="000000" w:themeColor="text1" w:sz="12" w:space="0"/>
            </w:tcBorders>
            <w:vAlign w:val="center"/>
          </w:tcPr>
          <w:p w14:paraId="413922EC">
            <w:pPr>
              <w:pStyle w:val="257"/>
              <w:spacing w:line="240" w:lineRule="auto"/>
              <w:rPr>
                <w:rFonts w:hint="eastAsia" w:ascii="宋体" w:hAnsi="宋体" w:cs="宋体"/>
                <w:sz w:val="18"/>
                <w:szCs w:val="18"/>
              </w:rPr>
            </w:pPr>
            <w:r>
              <w:rPr>
                <w:rFonts w:hint="eastAsia" w:ascii="宋体" w:hAnsi="宋体" w:cs="宋体"/>
                <w:sz w:val="18"/>
                <w:szCs w:val="18"/>
              </w:rPr>
              <w:t>备注</w:t>
            </w:r>
          </w:p>
        </w:tc>
      </w:tr>
      <w:tr w14:paraId="152ACCC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86" w:hRule="atLeast"/>
          <w:jc w:val="center"/>
        </w:trPr>
        <w:tc>
          <w:tcPr>
            <w:tcW w:w="630" w:type="dxa"/>
            <w:tcBorders>
              <w:top w:val="single" w:color="000000" w:themeColor="text1" w:sz="12" w:space="0"/>
            </w:tcBorders>
            <w:vAlign w:val="center"/>
          </w:tcPr>
          <w:p w14:paraId="1734CCAD">
            <w:pPr>
              <w:pStyle w:val="257"/>
              <w:spacing w:line="240" w:lineRule="auto"/>
              <w:rPr>
                <w:rFonts w:hint="eastAsia" w:ascii="宋体" w:hAnsi="宋体" w:cs="宋体"/>
                <w:sz w:val="18"/>
                <w:szCs w:val="18"/>
              </w:rPr>
            </w:pPr>
          </w:p>
        </w:tc>
        <w:tc>
          <w:tcPr>
            <w:tcW w:w="631" w:type="dxa"/>
            <w:tcBorders>
              <w:top w:val="single" w:color="000000" w:themeColor="text1" w:sz="12" w:space="0"/>
            </w:tcBorders>
            <w:vAlign w:val="center"/>
          </w:tcPr>
          <w:p w14:paraId="5356D516">
            <w:pPr>
              <w:pStyle w:val="257"/>
              <w:spacing w:line="240" w:lineRule="auto"/>
              <w:rPr>
                <w:rFonts w:hint="eastAsia" w:ascii="宋体" w:hAnsi="宋体" w:cs="宋体"/>
                <w:sz w:val="18"/>
                <w:szCs w:val="18"/>
              </w:rPr>
            </w:pPr>
          </w:p>
        </w:tc>
        <w:tc>
          <w:tcPr>
            <w:tcW w:w="1418" w:type="dxa"/>
            <w:tcBorders>
              <w:top w:val="single" w:color="000000" w:themeColor="text1" w:sz="12" w:space="0"/>
            </w:tcBorders>
            <w:vAlign w:val="center"/>
          </w:tcPr>
          <w:p w14:paraId="3002162B">
            <w:pPr>
              <w:pStyle w:val="257"/>
              <w:spacing w:line="240" w:lineRule="auto"/>
              <w:rPr>
                <w:rFonts w:hint="eastAsia" w:ascii="宋体" w:hAnsi="宋体" w:cs="宋体"/>
                <w:sz w:val="18"/>
                <w:szCs w:val="18"/>
              </w:rPr>
            </w:pPr>
          </w:p>
        </w:tc>
        <w:tc>
          <w:tcPr>
            <w:tcW w:w="1454" w:type="dxa"/>
            <w:tcBorders>
              <w:top w:val="single" w:color="000000" w:themeColor="text1" w:sz="12" w:space="0"/>
            </w:tcBorders>
            <w:vAlign w:val="center"/>
          </w:tcPr>
          <w:p w14:paraId="7C968459">
            <w:pPr>
              <w:pStyle w:val="257"/>
              <w:spacing w:line="240" w:lineRule="auto"/>
              <w:rPr>
                <w:rFonts w:hint="eastAsia" w:ascii="宋体" w:hAnsi="宋体" w:cs="宋体"/>
                <w:sz w:val="18"/>
                <w:szCs w:val="18"/>
              </w:rPr>
            </w:pPr>
          </w:p>
        </w:tc>
        <w:tc>
          <w:tcPr>
            <w:tcW w:w="1358" w:type="dxa"/>
            <w:tcBorders>
              <w:top w:val="single" w:color="000000" w:themeColor="text1" w:sz="12" w:space="0"/>
            </w:tcBorders>
            <w:vAlign w:val="center"/>
          </w:tcPr>
          <w:p w14:paraId="395614B9">
            <w:pPr>
              <w:pStyle w:val="257"/>
              <w:spacing w:line="240" w:lineRule="auto"/>
              <w:rPr>
                <w:rFonts w:hint="eastAsia" w:ascii="宋体" w:hAnsi="宋体" w:cs="宋体"/>
                <w:sz w:val="18"/>
                <w:szCs w:val="18"/>
              </w:rPr>
            </w:pPr>
          </w:p>
        </w:tc>
        <w:tc>
          <w:tcPr>
            <w:tcW w:w="1358" w:type="dxa"/>
            <w:tcBorders>
              <w:top w:val="single" w:color="000000" w:themeColor="text1" w:sz="12" w:space="0"/>
            </w:tcBorders>
            <w:vAlign w:val="center"/>
          </w:tcPr>
          <w:p w14:paraId="47626629">
            <w:pPr>
              <w:pStyle w:val="257"/>
              <w:spacing w:line="240" w:lineRule="auto"/>
              <w:rPr>
                <w:rFonts w:hint="eastAsia" w:ascii="宋体" w:hAnsi="宋体" w:cs="宋体"/>
                <w:sz w:val="18"/>
                <w:szCs w:val="18"/>
              </w:rPr>
            </w:pPr>
          </w:p>
        </w:tc>
        <w:tc>
          <w:tcPr>
            <w:tcW w:w="1358" w:type="dxa"/>
            <w:tcBorders>
              <w:top w:val="single" w:color="000000" w:themeColor="text1" w:sz="12" w:space="0"/>
            </w:tcBorders>
            <w:vAlign w:val="center"/>
          </w:tcPr>
          <w:p w14:paraId="5AAE35C3">
            <w:pPr>
              <w:pStyle w:val="257"/>
              <w:spacing w:line="240" w:lineRule="auto"/>
              <w:rPr>
                <w:rFonts w:hint="eastAsia" w:ascii="宋体" w:hAnsi="宋体" w:cs="宋体"/>
                <w:sz w:val="18"/>
                <w:szCs w:val="18"/>
              </w:rPr>
            </w:pPr>
          </w:p>
        </w:tc>
        <w:tc>
          <w:tcPr>
            <w:tcW w:w="638" w:type="dxa"/>
            <w:tcBorders>
              <w:top w:val="single" w:color="000000" w:themeColor="text1" w:sz="12" w:space="0"/>
            </w:tcBorders>
            <w:vAlign w:val="center"/>
          </w:tcPr>
          <w:p w14:paraId="6BCC54D3">
            <w:pPr>
              <w:pStyle w:val="257"/>
              <w:spacing w:line="240" w:lineRule="auto"/>
              <w:rPr>
                <w:rFonts w:hint="eastAsia" w:ascii="宋体" w:hAnsi="宋体" w:cs="宋体"/>
                <w:sz w:val="18"/>
                <w:szCs w:val="18"/>
              </w:rPr>
            </w:pPr>
          </w:p>
        </w:tc>
        <w:tc>
          <w:tcPr>
            <w:tcW w:w="638" w:type="dxa"/>
            <w:tcBorders>
              <w:top w:val="single" w:color="000000" w:themeColor="text1" w:sz="12" w:space="0"/>
            </w:tcBorders>
            <w:vAlign w:val="center"/>
          </w:tcPr>
          <w:p w14:paraId="1DC653F2">
            <w:pPr>
              <w:pStyle w:val="257"/>
              <w:spacing w:line="240" w:lineRule="auto"/>
              <w:rPr>
                <w:rFonts w:hint="eastAsia" w:ascii="宋体" w:hAnsi="宋体" w:cs="宋体"/>
                <w:sz w:val="18"/>
                <w:szCs w:val="18"/>
              </w:rPr>
            </w:pPr>
          </w:p>
        </w:tc>
      </w:tr>
    </w:tbl>
    <w:p w14:paraId="037504BD">
      <w:pPr>
        <w:spacing w:before="156" w:beforeLines="50" w:after="156" w:afterLines="50" w:line="240" w:lineRule="auto"/>
        <w:ind w:firstLine="420" w:firstLineChars="200"/>
        <w:jc w:val="center"/>
        <w:rPr>
          <w:rFonts w:hint="eastAsia" w:ascii="黑体" w:hAnsi="黑体" w:eastAsia="黑体" w:cs="宋体"/>
        </w:rPr>
      </w:pPr>
    </w:p>
    <w:p w14:paraId="625D42B8">
      <w:pPr>
        <w:keepNext/>
        <w:spacing w:before="156" w:beforeLines="50" w:after="156" w:afterLines="50" w:line="240" w:lineRule="auto"/>
        <w:ind w:firstLine="420" w:firstLineChars="200"/>
        <w:jc w:val="center"/>
        <w:rPr>
          <w:rFonts w:hint="eastAsia" w:ascii="黑体" w:hAnsi="黑体" w:eastAsia="黑体" w:cs="宋体"/>
        </w:rPr>
      </w:pPr>
      <w:r>
        <w:rPr>
          <w:rFonts w:hint="eastAsia" w:ascii="黑体" w:hAnsi="黑体" w:eastAsia="黑体" w:cs="宋体"/>
        </w:rPr>
        <w:t xml:space="preserve">表D.2 </w:t>
      </w:r>
      <w:r>
        <w:rPr>
          <w:rFonts w:ascii="黑体" w:hAnsi="黑体" w:eastAsia="黑体" w:cs="宋体"/>
        </w:rPr>
        <w:t xml:space="preserve"> </w:t>
      </w:r>
      <w:r>
        <w:rPr>
          <w:rFonts w:hint="eastAsia" w:ascii="黑体" w:hAnsi="黑体" w:eastAsia="黑体" w:cs="宋体"/>
        </w:rPr>
        <w:t>连通性抽水试验成果表</w:t>
      </w:r>
    </w:p>
    <w:tbl>
      <w:tblPr>
        <w:tblStyle w:val="33"/>
        <w:tblW w:w="905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15" w:type="dxa"/>
          <w:left w:w="15" w:type="dxa"/>
          <w:bottom w:w="15" w:type="dxa"/>
          <w:right w:w="15" w:type="dxa"/>
        </w:tblCellMar>
      </w:tblPr>
      <w:tblGrid>
        <w:gridCol w:w="438"/>
        <w:gridCol w:w="1258"/>
        <w:gridCol w:w="699"/>
        <w:gridCol w:w="709"/>
        <w:gridCol w:w="709"/>
        <w:gridCol w:w="992"/>
        <w:gridCol w:w="684"/>
        <w:gridCol w:w="602"/>
        <w:gridCol w:w="567"/>
        <w:gridCol w:w="958"/>
        <w:gridCol w:w="716"/>
        <w:gridCol w:w="722"/>
      </w:tblGrid>
      <w:tr w14:paraId="3EFCC4E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551" w:hRule="atLeast"/>
          <w:tblHeader/>
          <w:jc w:val="center"/>
        </w:trPr>
        <w:tc>
          <w:tcPr>
            <w:tcW w:w="438" w:type="dxa"/>
            <w:vMerge w:val="restart"/>
            <w:tcBorders>
              <w:top w:val="single" w:color="000000" w:themeColor="text1" w:sz="12" w:space="0"/>
              <w:bottom w:val="single" w:color="000000" w:themeColor="text1" w:sz="12" w:space="0"/>
            </w:tcBorders>
            <w:vAlign w:val="center"/>
          </w:tcPr>
          <w:p w14:paraId="3151D61D">
            <w:pPr>
              <w:pStyle w:val="257"/>
              <w:spacing w:line="240" w:lineRule="auto"/>
              <w:rPr>
                <w:rFonts w:hint="eastAsia" w:ascii="宋体" w:hAnsi="宋体" w:cs="宋体"/>
                <w:sz w:val="18"/>
                <w:szCs w:val="18"/>
              </w:rPr>
            </w:pPr>
            <w:r>
              <w:rPr>
                <w:rFonts w:hint="eastAsia" w:ascii="宋体" w:hAnsi="宋体" w:cs="宋体"/>
                <w:sz w:val="18"/>
                <w:szCs w:val="18"/>
              </w:rPr>
              <w:t>组</w:t>
            </w:r>
          </w:p>
          <w:p w14:paraId="641727BD">
            <w:pPr>
              <w:pStyle w:val="257"/>
              <w:spacing w:line="240" w:lineRule="auto"/>
              <w:rPr>
                <w:rFonts w:hint="eastAsia" w:ascii="宋体" w:hAnsi="宋体" w:cs="宋体"/>
                <w:sz w:val="18"/>
                <w:szCs w:val="18"/>
              </w:rPr>
            </w:pPr>
            <w:r>
              <w:rPr>
                <w:rFonts w:hint="eastAsia" w:ascii="宋体" w:hAnsi="宋体" w:cs="宋体"/>
                <w:sz w:val="18"/>
                <w:szCs w:val="18"/>
              </w:rPr>
              <w:t>号</w:t>
            </w:r>
          </w:p>
        </w:tc>
        <w:tc>
          <w:tcPr>
            <w:tcW w:w="1258" w:type="dxa"/>
            <w:vMerge w:val="restart"/>
            <w:tcBorders>
              <w:top w:val="single" w:color="000000" w:themeColor="text1" w:sz="12" w:space="0"/>
              <w:bottom w:val="single" w:color="000000" w:themeColor="text1" w:sz="12" w:space="0"/>
            </w:tcBorders>
            <w:vAlign w:val="center"/>
          </w:tcPr>
          <w:p w14:paraId="501BBD75">
            <w:pPr>
              <w:pStyle w:val="257"/>
              <w:spacing w:line="240" w:lineRule="auto"/>
              <w:rPr>
                <w:rFonts w:hint="eastAsia" w:ascii="宋体" w:hAnsi="宋体" w:cs="宋体"/>
                <w:sz w:val="18"/>
                <w:szCs w:val="18"/>
              </w:rPr>
            </w:pPr>
            <w:r>
              <w:rPr>
                <w:rFonts w:hint="eastAsia" w:ascii="宋体" w:hAnsi="宋体" w:cs="宋体"/>
                <w:sz w:val="18"/>
                <w:szCs w:val="18"/>
              </w:rPr>
              <w:t>试验阶段</w:t>
            </w:r>
          </w:p>
        </w:tc>
        <w:tc>
          <w:tcPr>
            <w:tcW w:w="699" w:type="dxa"/>
            <w:vMerge w:val="restart"/>
            <w:tcBorders>
              <w:top w:val="single" w:color="000000" w:themeColor="text1" w:sz="12" w:space="0"/>
              <w:bottom w:val="single" w:color="000000" w:themeColor="text1" w:sz="12" w:space="0"/>
            </w:tcBorders>
            <w:vAlign w:val="center"/>
          </w:tcPr>
          <w:p w14:paraId="23DEE5D0">
            <w:pPr>
              <w:pStyle w:val="257"/>
              <w:spacing w:line="240" w:lineRule="auto"/>
              <w:rPr>
                <w:rFonts w:hint="eastAsia" w:ascii="宋体" w:hAnsi="宋体" w:cs="宋体"/>
                <w:sz w:val="18"/>
                <w:szCs w:val="18"/>
              </w:rPr>
            </w:pPr>
            <w:r>
              <w:rPr>
                <w:rFonts w:hint="eastAsia" w:ascii="宋体" w:hAnsi="宋体" w:cs="宋体"/>
                <w:sz w:val="18"/>
                <w:szCs w:val="18"/>
              </w:rPr>
              <w:t>含水层</w:t>
            </w:r>
          </w:p>
          <w:p w14:paraId="0FB4E23A">
            <w:pPr>
              <w:pStyle w:val="257"/>
              <w:spacing w:line="240" w:lineRule="auto"/>
              <w:rPr>
                <w:rFonts w:hint="eastAsia" w:ascii="宋体" w:hAnsi="宋体" w:cs="宋体"/>
                <w:sz w:val="18"/>
                <w:szCs w:val="18"/>
              </w:rPr>
            </w:pPr>
            <w:r>
              <w:rPr>
                <w:rFonts w:hint="eastAsia" w:ascii="宋体" w:hAnsi="宋体" w:cs="宋体"/>
                <w:sz w:val="18"/>
                <w:szCs w:val="18"/>
              </w:rPr>
              <w:t>层厚</w:t>
            </w:r>
          </w:p>
          <w:p w14:paraId="5D119F3F">
            <w:pPr>
              <w:pStyle w:val="257"/>
              <w:spacing w:line="240" w:lineRule="auto"/>
              <w:rPr>
                <w:rFonts w:hint="eastAsia" w:ascii="宋体" w:hAnsi="宋体" w:cs="宋体"/>
                <w:i/>
                <w:iCs/>
                <w:sz w:val="18"/>
                <w:szCs w:val="18"/>
              </w:rPr>
            </w:pPr>
            <w:r>
              <w:rPr>
                <w:rFonts w:hint="eastAsia" w:ascii="宋体" w:hAnsi="宋体" w:cs="宋体"/>
                <w:i/>
                <w:iCs/>
                <w:sz w:val="18"/>
                <w:szCs w:val="18"/>
              </w:rPr>
              <w:t>M</w:t>
            </w:r>
          </w:p>
          <w:p w14:paraId="0EB49C0D">
            <w:pPr>
              <w:pStyle w:val="257"/>
              <w:spacing w:line="240" w:lineRule="auto"/>
              <w:rPr>
                <w:rFonts w:hint="eastAsia" w:ascii="宋体" w:hAnsi="宋体" w:cs="宋体"/>
                <w:sz w:val="18"/>
                <w:szCs w:val="18"/>
              </w:rPr>
            </w:pPr>
            <w:r>
              <w:rPr>
                <w:rFonts w:hint="eastAsia" w:ascii="宋体" w:hAnsi="宋体" w:cs="宋体"/>
                <w:sz w:val="18"/>
                <w:szCs w:val="18"/>
              </w:rPr>
              <w:t>（m）</w:t>
            </w:r>
          </w:p>
        </w:tc>
        <w:tc>
          <w:tcPr>
            <w:tcW w:w="3094" w:type="dxa"/>
            <w:gridSpan w:val="4"/>
            <w:tcBorders>
              <w:bottom w:val="single" w:color="000000" w:themeColor="text1" w:sz="6" w:space="0"/>
            </w:tcBorders>
            <w:vAlign w:val="center"/>
          </w:tcPr>
          <w:p w14:paraId="741079EB">
            <w:pPr>
              <w:pStyle w:val="257"/>
              <w:spacing w:line="240" w:lineRule="auto"/>
              <w:rPr>
                <w:rFonts w:hint="eastAsia" w:ascii="宋体" w:hAnsi="宋体" w:cs="宋体"/>
                <w:sz w:val="18"/>
                <w:szCs w:val="18"/>
              </w:rPr>
            </w:pPr>
            <w:r>
              <w:rPr>
                <w:rFonts w:hint="eastAsia" w:ascii="宋体" w:hAnsi="宋体" w:cs="宋体"/>
                <w:sz w:val="18"/>
                <w:szCs w:val="18"/>
              </w:rPr>
              <w:t>抽水井</w:t>
            </w:r>
          </w:p>
        </w:tc>
        <w:tc>
          <w:tcPr>
            <w:tcW w:w="2843" w:type="dxa"/>
            <w:gridSpan w:val="4"/>
            <w:tcBorders>
              <w:bottom w:val="single" w:color="000000" w:themeColor="text1" w:sz="6" w:space="0"/>
            </w:tcBorders>
            <w:vAlign w:val="center"/>
          </w:tcPr>
          <w:p w14:paraId="5DAB426C">
            <w:pPr>
              <w:pStyle w:val="257"/>
              <w:spacing w:line="240" w:lineRule="auto"/>
              <w:rPr>
                <w:rFonts w:hint="eastAsia" w:ascii="宋体" w:hAnsi="宋体" w:cs="宋体"/>
                <w:sz w:val="18"/>
                <w:szCs w:val="18"/>
              </w:rPr>
            </w:pPr>
            <w:r>
              <w:rPr>
                <w:rFonts w:hint="eastAsia" w:ascii="宋体" w:hAnsi="宋体" w:cs="宋体"/>
                <w:sz w:val="18"/>
                <w:szCs w:val="18"/>
              </w:rPr>
              <w:t>观测井</w:t>
            </w:r>
          </w:p>
        </w:tc>
        <w:tc>
          <w:tcPr>
            <w:tcW w:w="722" w:type="dxa"/>
            <w:vMerge w:val="restart"/>
            <w:tcBorders>
              <w:top w:val="single" w:color="000000" w:themeColor="text1" w:sz="12" w:space="0"/>
              <w:bottom w:val="single" w:color="000000" w:themeColor="text1" w:sz="12" w:space="0"/>
            </w:tcBorders>
            <w:vAlign w:val="center"/>
          </w:tcPr>
          <w:p w14:paraId="0371DC2D">
            <w:pPr>
              <w:pStyle w:val="257"/>
              <w:spacing w:line="240" w:lineRule="auto"/>
              <w:rPr>
                <w:rFonts w:hint="eastAsia" w:ascii="宋体" w:hAnsi="宋体" w:cs="宋体"/>
                <w:sz w:val="18"/>
                <w:szCs w:val="18"/>
              </w:rPr>
            </w:pPr>
            <w:r>
              <w:rPr>
                <w:rFonts w:hint="eastAsia" w:ascii="宋体" w:hAnsi="宋体" w:cs="宋体"/>
                <w:sz w:val="18"/>
                <w:szCs w:val="18"/>
              </w:rPr>
              <w:t>隔水系数</w:t>
            </w:r>
            <m:oMath>
              <m:r>
                <m:rPr>
                  <m:sty m:val="p"/>
                </m:rPr>
                <w:rPr>
                  <w:rFonts w:hint="eastAsia" w:ascii="Cambria Math" w:hAnsi="Cambria Math" w:cs="宋体"/>
                  <w:sz w:val="18"/>
                  <w:szCs w:val="18"/>
                </w:rPr>
                <m:t>λ</m:t>
              </m:r>
            </m:oMath>
          </w:p>
        </w:tc>
      </w:tr>
      <w:tr w14:paraId="2DAFA6E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1035" w:hRule="atLeast"/>
          <w:tblHeader/>
          <w:jc w:val="center"/>
        </w:trPr>
        <w:tc>
          <w:tcPr>
            <w:tcW w:w="438" w:type="dxa"/>
            <w:vMerge w:val="continue"/>
            <w:tcBorders>
              <w:top w:val="single" w:color="000000" w:themeColor="text1" w:sz="6" w:space="0"/>
              <w:bottom w:val="single" w:color="000000" w:themeColor="text1" w:sz="12" w:space="0"/>
            </w:tcBorders>
            <w:vAlign w:val="center"/>
          </w:tcPr>
          <w:p w14:paraId="742D8357">
            <w:pPr>
              <w:pStyle w:val="257"/>
              <w:spacing w:line="240" w:lineRule="auto"/>
              <w:rPr>
                <w:rFonts w:hint="eastAsia" w:ascii="宋体" w:hAnsi="宋体" w:cs="宋体"/>
                <w:sz w:val="18"/>
                <w:szCs w:val="18"/>
              </w:rPr>
            </w:pPr>
          </w:p>
        </w:tc>
        <w:tc>
          <w:tcPr>
            <w:tcW w:w="1258" w:type="dxa"/>
            <w:vMerge w:val="continue"/>
            <w:tcBorders>
              <w:top w:val="single" w:color="000000" w:themeColor="text1" w:sz="6" w:space="0"/>
              <w:bottom w:val="single" w:color="000000" w:themeColor="text1" w:sz="12" w:space="0"/>
            </w:tcBorders>
            <w:vAlign w:val="center"/>
          </w:tcPr>
          <w:p w14:paraId="514DD60F">
            <w:pPr>
              <w:pStyle w:val="257"/>
              <w:spacing w:line="240" w:lineRule="auto"/>
              <w:rPr>
                <w:rFonts w:hint="eastAsia" w:ascii="宋体" w:hAnsi="宋体" w:cs="宋体"/>
                <w:sz w:val="18"/>
                <w:szCs w:val="18"/>
              </w:rPr>
            </w:pPr>
          </w:p>
        </w:tc>
        <w:tc>
          <w:tcPr>
            <w:tcW w:w="699" w:type="dxa"/>
            <w:vMerge w:val="continue"/>
            <w:tcBorders>
              <w:top w:val="single" w:color="000000" w:themeColor="text1" w:sz="6" w:space="0"/>
              <w:bottom w:val="single" w:color="000000" w:themeColor="text1" w:sz="12" w:space="0"/>
            </w:tcBorders>
            <w:vAlign w:val="center"/>
          </w:tcPr>
          <w:p w14:paraId="27DFD0E8">
            <w:pPr>
              <w:pStyle w:val="257"/>
              <w:spacing w:line="240" w:lineRule="auto"/>
              <w:rPr>
                <w:rFonts w:hint="eastAsia" w:ascii="宋体" w:hAnsi="宋体" w:cs="宋体"/>
                <w:sz w:val="18"/>
                <w:szCs w:val="18"/>
              </w:rPr>
            </w:pPr>
          </w:p>
        </w:tc>
        <w:tc>
          <w:tcPr>
            <w:tcW w:w="709" w:type="dxa"/>
            <w:tcBorders>
              <w:top w:val="single" w:color="000000" w:themeColor="text1" w:sz="6" w:space="0"/>
              <w:bottom w:val="single" w:color="000000" w:themeColor="text1" w:sz="12" w:space="0"/>
            </w:tcBorders>
            <w:vAlign w:val="center"/>
          </w:tcPr>
          <w:p w14:paraId="7AEFEC89">
            <w:pPr>
              <w:pStyle w:val="257"/>
              <w:spacing w:line="240" w:lineRule="auto"/>
              <w:rPr>
                <w:rFonts w:hint="eastAsia" w:ascii="宋体" w:hAnsi="宋体" w:cs="宋体"/>
                <w:sz w:val="18"/>
                <w:szCs w:val="18"/>
              </w:rPr>
            </w:pPr>
            <w:r>
              <w:rPr>
                <w:rFonts w:hint="eastAsia" w:ascii="宋体" w:hAnsi="宋体" w:cs="宋体"/>
                <w:sz w:val="18"/>
                <w:szCs w:val="18"/>
              </w:rPr>
              <w:t>井径</w:t>
            </w:r>
          </w:p>
          <w:p w14:paraId="54594BDD">
            <w:pPr>
              <w:pStyle w:val="257"/>
              <w:spacing w:line="240" w:lineRule="auto"/>
              <w:rPr>
                <w:rFonts w:hint="eastAsia" w:ascii="宋体" w:hAnsi="宋体" w:cs="宋体"/>
                <w:sz w:val="18"/>
                <w:szCs w:val="18"/>
              </w:rPr>
            </w:pPr>
            <w:r>
              <w:rPr>
                <w:rFonts w:hint="eastAsia" w:ascii="宋体" w:hAnsi="宋体" w:cs="宋体"/>
                <w:sz w:val="18"/>
                <w:szCs w:val="18"/>
              </w:rPr>
              <w:t>（m）</w:t>
            </w:r>
          </w:p>
        </w:tc>
        <w:tc>
          <w:tcPr>
            <w:tcW w:w="709" w:type="dxa"/>
            <w:tcBorders>
              <w:top w:val="single" w:color="000000" w:themeColor="text1" w:sz="6" w:space="0"/>
              <w:bottom w:val="single" w:color="000000" w:themeColor="text1" w:sz="12" w:space="0"/>
            </w:tcBorders>
            <w:vAlign w:val="center"/>
          </w:tcPr>
          <w:p w14:paraId="2B97308C">
            <w:pPr>
              <w:pStyle w:val="257"/>
              <w:spacing w:line="240" w:lineRule="auto"/>
              <w:rPr>
                <w:rFonts w:hint="eastAsia" w:ascii="宋体" w:hAnsi="宋体" w:cs="宋体"/>
                <w:sz w:val="18"/>
                <w:szCs w:val="18"/>
              </w:rPr>
            </w:pPr>
            <w:r>
              <w:rPr>
                <w:rFonts w:hint="eastAsia" w:ascii="宋体" w:hAnsi="宋体" w:cs="宋体"/>
                <w:sz w:val="18"/>
                <w:szCs w:val="18"/>
              </w:rPr>
              <w:t>井深</w:t>
            </w:r>
          </w:p>
          <w:p w14:paraId="105DF7E1">
            <w:pPr>
              <w:pStyle w:val="257"/>
              <w:spacing w:line="240" w:lineRule="auto"/>
              <w:rPr>
                <w:rFonts w:hint="eastAsia" w:ascii="宋体" w:hAnsi="宋体" w:cs="宋体"/>
                <w:sz w:val="18"/>
                <w:szCs w:val="18"/>
              </w:rPr>
            </w:pPr>
            <w:r>
              <w:rPr>
                <w:rFonts w:hint="eastAsia" w:ascii="宋体" w:hAnsi="宋体" w:cs="宋体"/>
                <w:sz w:val="18"/>
                <w:szCs w:val="18"/>
              </w:rPr>
              <w:t>（m）</w:t>
            </w:r>
          </w:p>
        </w:tc>
        <w:tc>
          <w:tcPr>
            <w:tcW w:w="992" w:type="dxa"/>
            <w:tcBorders>
              <w:top w:val="single" w:color="000000" w:themeColor="text1" w:sz="6" w:space="0"/>
              <w:bottom w:val="single" w:color="000000" w:themeColor="text1" w:sz="12" w:space="0"/>
            </w:tcBorders>
            <w:vAlign w:val="center"/>
          </w:tcPr>
          <w:p w14:paraId="1C62C1B5">
            <w:pPr>
              <w:pStyle w:val="257"/>
              <w:spacing w:line="240" w:lineRule="auto"/>
              <w:rPr>
                <w:rFonts w:hint="eastAsia" w:ascii="宋体" w:hAnsi="宋体" w:cs="宋体"/>
                <w:i/>
                <w:iCs/>
                <w:sz w:val="18"/>
                <w:szCs w:val="18"/>
              </w:rPr>
            </w:pPr>
            <w:r>
              <w:rPr>
                <w:rFonts w:hint="eastAsia" w:ascii="宋体" w:hAnsi="宋体" w:cs="宋体"/>
                <w:sz w:val="18"/>
                <w:szCs w:val="18"/>
              </w:rPr>
              <w:t>涌水量</w:t>
            </w:r>
            <w:r>
              <w:rPr>
                <w:rFonts w:hint="eastAsia" w:ascii="宋体" w:hAnsi="宋体" w:cs="宋体"/>
                <w:i/>
                <w:iCs/>
                <w:sz w:val="18"/>
                <w:szCs w:val="18"/>
              </w:rPr>
              <w:t>Q</w:t>
            </w:r>
          </w:p>
          <w:p w14:paraId="4C1F5EAE">
            <w:pPr>
              <w:pStyle w:val="257"/>
              <w:spacing w:line="240" w:lineRule="auto"/>
              <w:rPr>
                <w:rFonts w:hint="eastAsia"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/d）</w:t>
            </w:r>
          </w:p>
        </w:tc>
        <w:tc>
          <w:tcPr>
            <w:tcW w:w="684" w:type="dxa"/>
            <w:tcBorders>
              <w:top w:val="single" w:color="000000" w:themeColor="text1" w:sz="6" w:space="0"/>
              <w:bottom w:val="single" w:color="000000" w:themeColor="text1" w:sz="12" w:space="0"/>
            </w:tcBorders>
            <w:vAlign w:val="center"/>
          </w:tcPr>
          <w:p w14:paraId="5E16CFCF">
            <w:pPr>
              <w:pStyle w:val="257"/>
              <w:spacing w:line="240" w:lineRule="auto"/>
              <w:rPr>
                <w:rFonts w:hint="eastAsia" w:ascii="宋体" w:hAnsi="宋体" w:cs="宋体"/>
                <w:sz w:val="18"/>
                <w:szCs w:val="18"/>
              </w:rPr>
            </w:pPr>
            <w:r>
              <w:rPr>
                <w:rFonts w:hint="eastAsia" w:ascii="宋体" w:hAnsi="宋体" w:cs="宋体"/>
                <w:sz w:val="18"/>
                <w:szCs w:val="18"/>
              </w:rPr>
              <w:t>降深</w:t>
            </w:r>
          </w:p>
          <w:p w14:paraId="29E8E987">
            <w:pPr>
              <w:pStyle w:val="257"/>
              <w:spacing w:line="240" w:lineRule="auto"/>
              <w:rPr>
                <w:rFonts w:hint="eastAsia" w:ascii="宋体" w:hAnsi="宋体" w:cs="宋体"/>
                <w:sz w:val="18"/>
                <w:szCs w:val="18"/>
              </w:rPr>
            </w:pPr>
            <w:r>
              <w:rPr>
                <w:rFonts w:hint="eastAsia" w:ascii="宋体" w:hAnsi="宋体" w:cs="宋体"/>
                <w:sz w:val="18"/>
                <w:szCs w:val="18"/>
              </w:rPr>
              <w:t>（m）</w:t>
            </w:r>
          </w:p>
        </w:tc>
        <w:tc>
          <w:tcPr>
            <w:tcW w:w="602" w:type="dxa"/>
            <w:tcBorders>
              <w:top w:val="single" w:color="000000" w:themeColor="text1" w:sz="6" w:space="0"/>
              <w:bottom w:val="single" w:color="000000" w:themeColor="text1" w:sz="12" w:space="0"/>
            </w:tcBorders>
            <w:vAlign w:val="center"/>
          </w:tcPr>
          <w:p w14:paraId="45ECC3C1">
            <w:pPr>
              <w:pStyle w:val="257"/>
              <w:spacing w:line="240" w:lineRule="auto"/>
              <w:rPr>
                <w:rFonts w:hint="eastAsia" w:ascii="宋体" w:hAnsi="宋体" w:cs="宋体"/>
                <w:sz w:val="18"/>
                <w:szCs w:val="18"/>
              </w:rPr>
            </w:pPr>
            <w:r>
              <w:rPr>
                <w:rFonts w:hint="eastAsia" w:ascii="宋体" w:hAnsi="宋体" w:cs="宋体"/>
                <w:sz w:val="18"/>
                <w:szCs w:val="18"/>
              </w:rPr>
              <w:t>井径（m）</w:t>
            </w:r>
          </w:p>
        </w:tc>
        <w:tc>
          <w:tcPr>
            <w:tcW w:w="567" w:type="dxa"/>
            <w:tcBorders>
              <w:top w:val="single" w:color="000000" w:themeColor="text1" w:sz="6" w:space="0"/>
              <w:bottom w:val="single" w:color="000000" w:themeColor="text1" w:sz="12" w:space="0"/>
            </w:tcBorders>
            <w:vAlign w:val="center"/>
          </w:tcPr>
          <w:p w14:paraId="7DF4038C">
            <w:pPr>
              <w:pStyle w:val="257"/>
              <w:spacing w:line="240" w:lineRule="auto"/>
              <w:rPr>
                <w:rFonts w:hint="eastAsia" w:ascii="宋体" w:hAnsi="宋体" w:cs="宋体"/>
                <w:sz w:val="18"/>
                <w:szCs w:val="18"/>
              </w:rPr>
            </w:pPr>
            <w:r>
              <w:rPr>
                <w:rFonts w:hint="eastAsia" w:ascii="宋体" w:hAnsi="宋体" w:cs="宋体"/>
                <w:sz w:val="18"/>
                <w:szCs w:val="18"/>
              </w:rPr>
              <w:t>井深（m）</w:t>
            </w:r>
          </w:p>
        </w:tc>
        <w:tc>
          <w:tcPr>
            <w:tcW w:w="958" w:type="dxa"/>
            <w:tcBorders>
              <w:top w:val="single" w:color="000000" w:themeColor="text1" w:sz="6" w:space="0"/>
              <w:bottom w:val="single" w:color="000000" w:themeColor="text1" w:sz="12" w:space="0"/>
            </w:tcBorders>
            <w:vAlign w:val="center"/>
          </w:tcPr>
          <w:p w14:paraId="5B805CE9">
            <w:pPr>
              <w:pStyle w:val="257"/>
              <w:spacing w:line="240" w:lineRule="auto"/>
              <w:rPr>
                <w:rFonts w:hint="eastAsia" w:ascii="宋体" w:hAnsi="宋体" w:cs="宋体"/>
                <w:sz w:val="18"/>
                <w:szCs w:val="18"/>
              </w:rPr>
            </w:pPr>
            <w:r>
              <w:rPr>
                <w:rFonts w:hint="eastAsia" w:ascii="宋体" w:hAnsi="宋体" w:cs="宋体"/>
                <w:sz w:val="18"/>
                <w:szCs w:val="18"/>
              </w:rPr>
              <w:t>距抽水井距离（m）</w:t>
            </w:r>
          </w:p>
        </w:tc>
        <w:tc>
          <w:tcPr>
            <w:tcW w:w="716" w:type="dxa"/>
            <w:tcBorders>
              <w:top w:val="single" w:color="000000" w:themeColor="text1" w:sz="6" w:space="0"/>
              <w:bottom w:val="single" w:color="000000" w:themeColor="text1" w:sz="12" w:space="0"/>
            </w:tcBorders>
            <w:vAlign w:val="center"/>
          </w:tcPr>
          <w:p w14:paraId="7813EC45">
            <w:pPr>
              <w:pStyle w:val="257"/>
              <w:spacing w:line="240" w:lineRule="auto"/>
              <w:rPr>
                <w:rFonts w:hint="eastAsia" w:ascii="宋体" w:hAnsi="宋体" w:cs="宋体"/>
                <w:sz w:val="18"/>
                <w:szCs w:val="18"/>
              </w:rPr>
            </w:pPr>
            <w:r>
              <w:rPr>
                <w:rFonts w:hint="eastAsia" w:ascii="宋体" w:hAnsi="宋体" w:cs="宋体"/>
                <w:sz w:val="18"/>
                <w:szCs w:val="18"/>
              </w:rPr>
              <w:t>降深</w:t>
            </w:r>
          </w:p>
          <w:p w14:paraId="399F7E66">
            <w:pPr>
              <w:pStyle w:val="257"/>
              <w:spacing w:line="240" w:lineRule="auto"/>
              <w:rPr>
                <w:rFonts w:hint="eastAsia" w:ascii="宋体" w:hAnsi="宋体" w:cs="宋体"/>
                <w:sz w:val="18"/>
                <w:szCs w:val="18"/>
              </w:rPr>
            </w:pPr>
            <w:r>
              <w:rPr>
                <w:rFonts w:hint="eastAsia" w:ascii="宋体" w:hAnsi="宋体" w:cs="宋体"/>
                <w:sz w:val="18"/>
                <w:szCs w:val="18"/>
              </w:rPr>
              <w:t>（m）</w:t>
            </w:r>
          </w:p>
        </w:tc>
        <w:tc>
          <w:tcPr>
            <w:tcW w:w="722" w:type="dxa"/>
            <w:vMerge w:val="continue"/>
            <w:tcBorders>
              <w:top w:val="single" w:color="000000" w:themeColor="text1" w:sz="6" w:space="0"/>
              <w:bottom w:val="single" w:color="000000" w:themeColor="text1" w:sz="12" w:space="0"/>
            </w:tcBorders>
            <w:vAlign w:val="center"/>
          </w:tcPr>
          <w:p w14:paraId="6A35C3E9">
            <w:pPr>
              <w:pStyle w:val="257"/>
              <w:spacing w:line="240" w:lineRule="auto"/>
              <w:rPr>
                <w:rFonts w:hint="eastAsia" w:ascii="宋体" w:hAnsi="宋体" w:cs="宋体"/>
                <w:sz w:val="18"/>
                <w:szCs w:val="18"/>
              </w:rPr>
            </w:pPr>
          </w:p>
        </w:tc>
      </w:tr>
      <w:tr w14:paraId="36384F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76" w:hRule="atLeast"/>
          <w:jc w:val="center"/>
        </w:trPr>
        <w:tc>
          <w:tcPr>
            <w:tcW w:w="438" w:type="dxa"/>
            <w:vMerge w:val="restart"/>
            <w:tcBorders>
              <w:top w:val="single" w:color="000000" w:themeColor="text1" w:sz="12" w:space="0"/>
            </w:tcBorders>
            <w:vAlign w:val="center"/>
          </w:tcPr>
          <w:p w14:paraId="324FE32C">
            <w:pPr>
              <w:pStyle w:val="257"/>
              <w:spacing w:line="240" w:lineRule="auto"/>
              <w:rPr>
                <w:rFonts w:hint="eastAsia" w:ascii="宋体" w:hAnsi="宋体" w:cs="宋体"/>
                <w:sz w:val="18"/>
                <w:szCs w:val="18"/>
              </w:rPr>
            </w:pPr>
          </w:p>
        </w:tc>
        <w:tc>
          <w:tcPr>
            <w:tcW w:w="1258" w:type="dxa"/>
            <w:tcBorders>
              <w:top w:val="single" w:color="000000" w:themeColor="text1" w:sz="12" w:space="0"/>
            </w:tcBorders>
            <w:vAlign w:val="center"/>
          </w:tcPr>
          <w:p w14:paraId="0709A881">
            <w:pPr>
              <w:pStyle w:val="257"/>
              <w:spacing w:line="240" w:lineRule="auto"/>
              <w:rPr>
                <w:rFonts w:hint="eastAsia" w:ascii="宋体" w:hAnsi="宋体" w:cs="宋体"/>
                <w:sz w:val="18"/>
                <w:szCs w:val="18"/>
              </w:rPr>
            </w:pPr>
            <w:r>
              <w:rPr>
                <w:rFonts w:hint="eastAsia" w:ascii="宋体" w:hAnsi="宋体" w:cs="宋体"/>
                <w:sz w:val="18"/>
                <w:szCs w:val="18"/>
              </w:rPr>
              <w:t>无帷幕条件</w:t>
            </w:r>
          </w:p>
          <w:p w14:paraId="53780C36">
            <w:pPr>
              <w:pStyle w:val="257"/>
              <w:spacing w:line="240" w:lineRule="auto"/>
              <w:rPr>
                <w:rFonts w:hint="eastAsia" w:ascii="宋体" w:hAnsi="宋体" w:cs="宋体"/>
                <w:sz w:val="18"/>
                <w:szCs w:val="18"/>
              </w:rPr>
            </w:pPr>
            <w:r>
              <w:rPr>
                <w:rFonts w:hint="eastAsia" w:ascii="宋体" w:hAnsi="宋体" w:cs="宋体"/>
                <w:sz w:val="18"/>
                <w:szCs w:val="18"/>
              </w:rPr>
              <w:t>抽水试验</w:t>
            </w:r>
          </w:p>
        </w:tc>
        <w:tc>
          <w:tcPr>
            <w:tcW w:w="699" w:type="dxa"/>
            <w:tcBorders>
              <w:top w:val="single" w:color="000000" w:themeColor="text1" w:sz="12" w:space="0"/>
            </w:tcBorders>
            <w:vAlign w:val="center"/>
          </w:tcPr>
          <w:p w14:paraId="55182C44">
            <w:pPr>
              <w:pStyle w:val="257"/>
              <w:spacing w:line="240" w:lineRule="auto"/>
              <w:rPr>
                <w:rFonts w:hint="eastAsia" w:ascii="宋体" w:hAnsi="宋体" w:cs="宋体"/>
                <w:sz w:val="18"/>
                <w:szCs w:val="18"/>
              </w:rPr>
            </w:pPr>
          </w:p>
        </w:tc>
        <w:tc>
          <w:tcPr>
            <w:tcW w:w="709" w:type="dxa"/>
            <w:tcBorders>
              <w:top w:val="single" w:color="000000" w:themeColor="text1" w:sz="12" w:space="0"/>
            </w:tcBorders>
            <w:vAlign w:val="center"/>
          </w:tcPr>
          <w:p w14:paraId="23FCB3E2">
            <w:pPr>
              <w:pStyle w:val="257"/>
              <w:spacing w:line="240" w:lineRule="auto"/>
              <w:rPr>
                <w:rFonts w:hint="eastAsia" w:ascii="宋体" w:hAnsi="宋体" w:cs="宋体"/>
                <w:sz w:val="18"/>
                <w:szCs w:val="18"/>
              </w:rPr>
            </w:pPr>
          </w:p>
        </w:tc>
        <w:tc>
          <w:tcPr>
            <w:tcW w:w="709" w:type="dxa"/>
            <w:tcBorders>
              <w:top w:val="single" w:color="000000" w:themeColor="text1" w:sz="12" w:space="0"/>
            </w:tcBorders>
            <w:vAlign w:val="center"/>
          </w:tcPr>
          <w:p w14:paraId="5ADCFFEE">
            <w:pPr>
              <w:pStyle w:val="257"/>
              <w:spacing w:line="240" w:lineRule="auto"/>
              <w:rPr>
                <w:rFonts w:hint="eastAsia" w:ascii="宋体" w:hAnsi="宋体" w:cs="宋体"/>
                <w:sz w:val="18"/>
                <w:szCs w:val="18"/>
              </w:rPr>
            </w:pPr>
          </w:p>
        </w:tc>
        <w:tc>
          <w:tcPr>
            <w:tcW w:w="992" w:type="dxa"/>
            <w:tcBorders>
              <w:top w:val="single" w:color="000000" w:themeColor="text1" w:sz="12" w:space="0"/>
            </w:tcBorders>
            <w:vAlign w:val="center"/>
          </w:tcPr>
          <w:p w14:paraId="7B56A911">
            <w:pPr>
              <w:pStyle w:val="257"/>
              <w:spacing w:line="240" w:lineRule="auto"/>
              <w:rPr>
                <w:rFonts w:hint="eastAsia" w:ascii="宋体" w:hAnsi="宋体" w:cs="宋体"/>
                <w:sz w:val="18"/>
                <w:szCs w:val="18"/>
              </w:rPr>
            </w:pPr>
          </w:p>
        </w:tc>
        <w:tc>
          <w:tcPr>
            <w:tcW w:w="684" w:type="dxa"/>
            <w:tcBorders>
              <w:top w:val="single" w:color="000000" w:themeColor="text1" w:sz="12" w:space="0"/>
            </w:tcBorders>
            <w:vAlign w:val="center"/>
          </w:tcPr>
          <w:p w14:paraId="0BCF8ACE">
            <w:pPr>
              <w:pStyle w:val="257"/>
              <w:spacing w:line="240" w:lineRule="auto"/>
              <w:rPr>
                <w:rFonts w:hint="eastAsia" w:ascii="宋体" w:hAnsi="宋体" w:cs="宋体"/>
                <w:sz w:val="18"/>
                <w:szCs w:val="18"/>
              </w:rPr>
            </w:pPr>
          </w:p>
        </w:tc>
        <w:tc>
          <w:tcPr>
            <w:tcW w:w="602" w:type="dxa"/>
            <w:tcBorders>
              <w:top w:val="single" w:color="000000" w:themeColor="text1" w:sz="12" w:space="0"/>
            </w:tcBorders>
            <w:vAlign w:val="center"/>
          </w:tcPr>
          <w:p w14:paraId="0F89C79D">
            <w:pPr>
              <w:pStyle w:val="257"/>
              <w:spacing w:line="240" w:lineRule="auto"/>
              <w:rPr>
                <w:rFonts w:hint="eastAsia" w:ascii="宋体" w:hAnsi="宋体" w:cs="宋体"/>
                <w:sz w:val="18"/>
                <w:szCs w:val="18"/>
              </w:rPr>
            </w:pPr>
          </w:p>
        </w:tc>
        <w:tc>
          <w:tcPr>
            <w:tcW w:w="567" w:type="dxa"/>
            <w:tcBorders>
              <w:top w:val="single" w:color="000000" w:themeColor="text1" w:sz="12" w:space="0"/>
            </w:tcBorders>
            <w:vAlign w:val="center"/>
          </w:tcPr>
          <w:p w14:paraId="16D132C3">
            <w:pPr>
              <w:pStyle w:val="257"/>
              <w:spacing w:line="240" w:lineRule="auto"/>
              <w:rPr>
                <w:rFonts w:hint="eastAsia" w:ascii="宋体" w:hAnsi="宋体" w:cs="宋体"/>
                <w:sz w:val="18"/>
                <w:szCs w:val="18"/>
              </w:rPr>
            </w:pPr>
          </w:p>
        </w:tc>
        <w:tc>
          <w:tcPr>
            <w:tcW w:w="958" w:type="dxa"/>
            <w:tcBorders>
              <w:top w:val="single" w:color="000000" w:themeColor="text1" w:sz="12" w:space="0"/>
            </w:tcBorders>
            <w:vAlign w:val="center"/>
          </w:tcPr>
          <w:p w14:paraId="2C10D121">
            <w:pPr>
              <w:pStyle w:val="257"/>
              <w:spacing w:line="240" w:lineRule="auto"/>
              <w:rPr>
                <w:rFonts w:hint="eastAsia" w:ascii="宋体" w:hAnsi="宋体" w:cs="宋体"/>
                <w:sz w:val="18"/>
                <w:szCs w:val="18"/>
              </w:rPr>
            </w:pPr>
          </w:p>
        </w:tc>
        <w:tc>
          <w:tcPr>
            <w:tcW w:w="716" w:type="dxa"/>
            <w:tcBorders>
              <w:top w:val="single" w:color="000000" w:themeColor="text1" w:sz="12" w:space="0"/>
            </w:tcBorders>
            <w:vAlign w:val="center"/>
          </w:tcPr>
          <w:p w14:paraId="61C44881">
            <w:pPr>
              <w:pStyle w:val="257"/>
              <w:spacing w:line="240" w:lineRule="auto"/>
              <w:rPr>
                <w:rFonts w:hint="eastAsia" w:ascii="宋体" w:hAnsi="宋体" w:cs="宋体"/>
                <w:sz w:val="18"/>
                <w:szCs w:val="18"/>
              </w:rPr>
            </w:pPr>
          </w:p>
        </w:tc>
        <w:tc>
          <w:tcPr>
            <w:tcW w:w="722" w:type="dxa"/>
            <w:tcBorders>
              <w:top w:val="single" w:color="000000" w:themeColor="text1" w:sz="12" w:space="0"/>
            </w:tcBorders>
            <w:vAlign w:val="center"/>
          </w:tcPr>
          <w:p w14:paraId="2C2B83D7">
            <w:pPr>
              <w:pStyle w:val="257"/>
              <w:spacing w:line="240" w:lineRule="auto"/>
              <w:rPr>
                <w:rFonts w:hint="eastAsia" w:ascii="宋体" w:hAnsi="宋体" w:cs="宋体"/>
                <w:sz w:val="18"/>
                <w:szCs w:val="18"/>
              </w:rPr>
            </w:pPr>
          </w:p>
        </w:tc>
      </w:tr>
      <w:tr w14:paraId="6F98B73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76" w:hRule="atLeast"/>
          <w:jc w:val="center"/>
        </w:trPr>
        <w:tc>
          <w:tcPr>
            <w:tcW w:w="438" w:type="dxa"/>
            <w:vMerge w:val="continue"/>
            <w:vAlign w:val="center"/>
          </w:tcPr>
          <w:p w14:paraId="053E22CA">
            <w:pPr>
              <w:pStyle w:val="257"/>
              <w:spacing w:line="240" w:lineRule="auto"/>
              <w:rPr>
                <w:rFonts w:hint="eastAsia" w:ascii="宋体" w:hAnsi="宋体" w:cs="宋体"/>
                <w:sz w:val="18"/>
                <w:szCs w:val="18"/>
              </w:rPr>
            </w:pPr>
          </w:p>
        </w:tc>
        <w:tc>
          <w:tcPr>
            <w:tcW w:w="1258" w:type="dxa"/>
            <w:vAlign w:val="center"/>
          </w:tcPr>
          <w:p w14:paraId="660ECB45">
            <w:pPr>
              <w:pStyle w:val="14"/>
              <w:spacing w:line="240" w:lineRule="auto"/>
              <w:jc w:val="center"/>
              <w:rPr>
                <w:rFonts w:hint="eastAsia" w:ascii="宋体" w:hAnsi="宋体" w:cs="宋体"/>
                <w:sz w:val="18"/>
                <w:szCs w:val="18"/>
              </w:rPr>
            </w:pPr>
            <w:r>
              <w:rPr>
                <w:rFonts w:hint="eastAsia" w:ascii="宋体" w:hAnsi="宋体" w:cs="宋体"/>
                <w:sz w:val="18"/>
                <w:szCs w:val="18"/>
              </w:rPr>
              <w:t>帷幕封闭条件抽水试验</w:t>
            </w:r>
          </w:p>
        </w:tc>
        <w:tc>
          <w:tcPr>
            <w:tcW w:w="699" w:type="dxa"/>
            <w:vAlign w:val="center"/>
          </w:tcPr>
          <w:p w14:paraId="55F88D2B">
            <w:pPr>
              <w:pStyle w:val="257"/>
              <w:spacing w:line="240" w:lineRule="auto"/>
              <w:rPr>
                <w:rFonts w:hint="eastAsia" w:ascii="宋体" w:hAnsi="宋体" w:cs="宋体"/>
                <w:sz w:val="18"/>
                <w:szCs w:val="18"/>
              </w:rPr>
            </w:pPr>
          </w:p>
        </w:tc>
        <w:tc>
          <w:tcPr>
            <w:tcW w:w="709" w:type="dxa"/>
            <w:vAlign w:val="center"/>
          </w:tcPr>
          <w:p w14:paraId="64C4993F">
            <w:pPr>
              <w:pStyle w:val="257"/>
              <w:spacing w:line="240" w:lineRule="auto"/>
              <w:rPr>
                <w:rFonts w:hint="eastAsia" w:ascii="宋体" w:hAnsi="宋体" w:cs="宋体"/>
                <w:sz w:val="18"/>
                <w:szCs w:val="18"/>
              </w:rPr>
            </w:pPr>
          </w:p>
        </w:tc>
        <w:tc>
          <w:tcPr>
            <w:tcW w:w="709" w:type="dxa"/>
            <w:vAlign w:val="center"/>
          </w:tcPr>
          <w:p w14:paraId="6DDBEBE0">
            <w:pPr>
              <w:pStyle w:val="257"/>
              <w:spacing w:line="240" w:lineRule="auto"/>
              <w:rPr>
                <w:rFonts w:hint="eastAsia" w:ascii="宋体" w:hAnsi="宋体" w:cs="宋体"/>
                <w:sz w:val="18"/>
                <w:szCs w:val="18"/>
              </w:rPr>
            </w:pPr>
          </w:p>
        </w:tc>
        <w:tc>
          <w:tcPr>
            <w:tcW w:w="992" w:type="dxa"/>
            <w:vAlign w:val="center"/>
          </w:tcPr>
          <w:p w14:paraId="444DC72E">
            <w:pPr>
              <w:pStyle w:val="257"/>
              <w:spacing w:line="240" w:lineRule="auto"/>
              <w:rPr>
                <w:rFonts w:hint="eastAsia" w:ascii="宋体" w:hAnsi="宋体" w:cs="宋体"/>
                <w:sz w:val="18"/>
                <w:szCs w:val="18"/>
              </w:rPr>
            </w:pPr>
          </w:p>
        </w:tc>
        <w:tc>
          <w:tcPr>
            <w:tcW w:w="684" w:type="dxa"/>
            <w:vAlign w:val="center"/>
          </w:tcPr>
          <w:p w14:paraId="1F96D527">
            <w:pPr>
              <w:pStyle w:val="257"/>
              <w:spacing w:line="240" w:lineRule="auto"/>
              <w:rPr>
                <w:rFonts w:hint="eastAsia" w:ascii="宋体" w:hAnsi="宋体" w:cs="宋体"/>
                <w:sz w:val="18"/>
                <w:szCs w:val="18"/>
              </w:rPr>
            </w:pPr>
          </w:p>
        </w:tc>
        <w:tc>
          <w:tcPr>
            <w:tcW w:w="602" w:type="dxa"/>
            <w:vAlign w:val="center"/>
          </w:tcPr>
          <w:p w14:paraId="7F813838">
            <w:pPr>
              <w:pStyle w:val="257"/>
              <w:spacing w:line="240" w:lineRule="auto"/>
              <w:rPr>
                <w:rFonts w:hint="eastAsia" w:ascii="宋体" w:hAnsi="宋体" w:cs="宋体"/>
                <w:sz w:val="18"/>
                <w:szCs w:val="18"/>
              </w:rPr>
            </w:pPr>
          </w:p>
        </w:tc>
        <w:tc>
          <w:tcPr>
            <w:tcW w:w="567" w:type="dxa"/>
            <w:vAlign w:val="center"/>
          </w:tcPr>
          <w:p w14:paraId="0BD61B42">
            <w:pPr>
              <w:pStyle w:val="257"/>
              <w:spacing w:line="240" w:lineRule="auto"/>
              <w:rPr>
                <w:rFonts w:hint="eastAsia" w:ascii="宋体" w:hAnsi="宋体" w:cs="宋体"/>
                <w:sz w:val="18"/>
                <w:szCs w:val="18"/>
              </w:rPr>
            </w:pPr>
          </w:p>
        </w:tc>
        <w:tc>
          <w:tcPr>
            <w:tcW w:w="958" w:type="dxa"/>
            <w:vAlign w:val="center"/>
          </w:tcPr>
          <w:p w14:paraId="75E36B98">
            <w:pPr>
              <w:pStyle w:val="257"/>
              <w:spacing w:line="240" w:lineRule="auto"/>
              <w:rPr>
                <w:rFonts w:hint="eastAsia" w:ascii="宋体" w:hAnsi="宋体" w:cs="宋体"/>
                <w:sz w:val="18"/>
                <w:szCs w:val="18"/>
              </w:rPr>
            </w:pPr>
          </w:p>
        </w:tc>
        <w:tc>
          <w:tcPr>
            <w:tcW w:w="716" w:type="dxa"/>
            <w:vAlign w:val="center"/>
          </w:tcPr>
          <w:p w14:paraId="13E70F9C">
            <w:pPr>
              <w:pStyle w:val="257"/>
              <w:spacing w:line="240" w:lineRule="auto"/>
              <w:rPr>
                <w:rFonts w:hint="eastAsia" w:ascii="宋体" w:hAnsi="宋体" w:cs="宋体"/>
                <w:sz w:val="18"/>
                <w:szCs w:val="18"/>
              </w:rPr>
            </w:pPr>
          </w:p>
        </w:tc>
        <w:tc>
          <w:tcPr>
            <w:tcW w:w="722" w:type="dxa"/>
            <w:vAlign w:val="center"/>
          </w:tcPr>
          <w:p w14:paraId="6DE2E0F0">
            <w:pPr>
              <w:pStyle w:val="257"/>
              <w:spacing w:line="240" w:lineRule="auto"/>
              <w:rPr>
                <w:rFonts w:hint="eastAsia" w:ascii="宋体" w:hAnsi="宋体" w:cs="宋体"/>
                <w:sz w:val="18"/>
                <w:szCs w:val="18"/>
              </w:rPr>
            </w:pPr>
          </w:p>
        </w:tc>
      </w:tr>
    </w:tbl>
    <w:p w14:paraId="13E3AD2F">
      <w:pPr>
        <w:pStyle w:val="252"/>
        <w:keepNext/>
        <w:spacing w:before="156" w:beforeLines="50" w:after="156" w:afterLines="50" w:line="240" w:lineRule="auto"/>
        <w:ind w:left="0" w:leftChars="0"/>
        <w:rPr>
          <w:rFonts w:hint="eastAsia" w:ascii="黑体" w:hAnsi="黑体" w:eastAsia="黑体" w:cs="黑体"/>
          <w:bCs/>
        </w:rPr>
      </w:pPr>
      <w:r>
        <w:rPr>
          <w:rFonts w:hint="eastAsia" w:ascii="黑体" w:hAnsi="黑体" w:eastAsia="黑体" w:cs="黑体"/>
          <w:bCs/>
        </w:rPr>
        <w:t>D. 3  表观参数法</w:t>
      </w:r>
    </w:p>
    <w:p w14:paraId="3B274EAC">
      <w:pPr>
        <w:keepNext/>
        <w:spacing w:line="240" w:lineRule="auto"/>
        <w:rPr>
          <w:bCs/>
        </w:rPr>
      </w:pPr>
      <w:r>
        <w:rPr>
          <w:rFonts w:hint="eastAsia" w:ascii="黑体" w:hAnsi="黑体" w:eastAsia="黑体" w:cs="黑体"/>
          <w:bCs/>
        </w:rPr>
        <w:t>D.3.1</w:t>
      </w:r>
      <w:r>
        <w:rPr>
          <w:rFonts w:hint="eastAsia"/>
          <w:bCs/>
        </w:rPr>
        <w:t>  计算方法</w:t>
      </w:r>
    </w:p>
    <w:p w14:paraId="5D543430">
      <w:pPr>
        <w:pStyle w:val="182"/>
        <w:keepNext/>
        <w:numPr>
          <w:ilvl w:val="0"/>
          <w:numId w:val="104"/>
        </w:numPr>
        <w:ind w:left="845" w:hanging="425"/>
      </w:pPr>
      <w:r>
        <w:rPr>
          <w:rFonts w:hint="eastAsia"/>
        </w:rPr>
        <w:t>隔水系数λ</w:t>
      </w:r>
    </w:p>
    <w:p w14:paraId="3545348E">
      <w:pPr>
        <w:spacing w:line="240" w:lineRule="auto"/>
        <w:jc w:val="right"/>
        <w:rPr>
          <w:rFonts w:hint="eastAsia" w:ascii="宋体" w:hAnsi="宋体" w:cs="宋体"/>
        </w:rPr>
      </w:pPr>
      <m:oMath>
        <m:r>
          <m:rPr/>
          <w:rPr>
            <w:rFonts w:hint="eastAsia" w:ascii="Cambria Math" w:hAnsi="Cambria Math" w:cs="宋体"/>
          </w:rPr>
          <m:t>λ=</m:t>
        </m:r>
        <m:f>
          <m:fPr>
            <m:ctrlPr>
              <w:rPr>
                <w:rFonts w:hint="eastAsia" w:ascii="Cambria Math" w:hAnsi="Cambria Math" w:cs="宋体"/>
                <w:i/>
                <w:iCs/>
              </w:rPr>
            </m:ctrlPr>
          </m:fPr>
          <m:num>
            <m:sSub>
              <m:sSubPr>
                <m:ctrlPr>
                  <w:rPr>
                    <w:rFonts w:hint="eastAsia" w:ascii="Cambria Math" w:hAnsi="Cambria Math" w:cs="宋体"/>
                    <w:i/>
                    <w:iCs/>
                  </w:rPr>
                </m:ctrlPr>
              </m:sSubPr>
              <m:e>
                <m:r>
                  <m:rPr/>
                  <w:rPr>
                    <w:rFonts w:hint="eastAsia" w:ascii="Cambria Math" w:hAnsi="Cambria Math" w:cs="宋体"/>
                  </w:rPr>
                  <m:t>S</m:t>
                </m:r>
                <m:ctrlPr>
                  <w:rPr>
                    <w:rFonts w:hint="eastAsia" w:ascii="Cambria Math" w:hAnsi="Cambria Math" w:cs="宋体"/>
                    <w:i/>
                    <w:iCs/>
                  </w:rPr>
                </m:ctrlPr>
              </m:e>
              <m:sub>
                <m:r>
                  <m:rPr/>
                  <w:rPr>
                    <w:rFonts w:hint="eastAsia" w:ascii="Cambria Math" w:hAnsi="Cambria Math" w:cs="宋体"/>
                  </w:rPr>
                  <m:t>G</m:t>
                </m:r>
                <m:r>
                  <m:rPr>
                    <m:sty m:val="p"/>
                  </m:rPr>
                  <w:rPr>
                    <w:rFonts w:hint="eastAsia" w:ascii="Cambria Math" w:hAnsi="Cambria Math" w:cs="宋体"/>
                  </w:rPr>
                  <m:t>1抽</m:t>
                </m:r>
                <m:ctrlPr>
                  <w:rPr>
                    <w:rFonts w:hint="eastAsia" w:ascii="Cambria Math" w:hAnsi="Cambria Math" w:cs="宋体"/>
                    <w:i/>
                    <w:iCs/>
                  </w:rPr>
                </m:ctrlPr>
              </m:sub>
            </m:sSub>
            <m:r>
              <m:rPr/>
              <w:rPr>
                <w:rFonts w:hint="eastAsia" w:ascii="微软雅黑" w:hAnsi="微软雅黑" w:eastAsia="微软雅黑" w:cs="微软雅黑"/>
              </w:rPr>
              <m:t>−</m:t>
            </m:r>
            <m:sSub>
              <m:sSubPr>
                <m:ctrlPr>
                  <w:rPr>
                    <w:rFonts w:hint="eastAsia" w:ascii="Cambria Math" w:hAnsi="Cambria Math" w:cs="宋体"/>
                    <w:i/>
                    <w:iCs/>
                  </w:rPr>
                </m:ctrlPr>
              </m:sSubPr>
              <m:e>
                <m:r>
                  <m:rPr/>
                  <w:rPr>
                    <w:rFonts w:hint="eastAsia" w:ascii="Cambria Math" w:hAnsi="Cambria Math" w:cs="宋体"/>
                  </w:rPr>
                  <m:t>S</m:t>
                </m:r>
                <m:ctrlPr>
                  <w:rPr>
                    <w:rFonts w:hint="eastAsia" w:ascii="Cambria Math" w:hAnsi="Cambria Math" w:cs="宋体"/>
                    <w:i/>
                    <w:iCs/>
                  </w:rPr>
                </m:ctrlPr>
              </m:e>
              <m:sub>
                <m:r>
                  <m:rPr/>
                  <w:rPr>
                    <w:rFonts w:hint="eastAsia" w:ascii="Cambria Math" w:hAnsi="Cambria Math" w:cs="宋体"/>
                  </w:rPr>
                  <m:t>G</m:t>
                </m:r>
                <m:r>
                  <m:rPr>
                    <m:sty m:val="p"/>
                  </m:rPr>
                  <w:rPr>
                    <w:rFonts w:hint="eastAsia" w:ascii="Cambria Math" w:hAnsi="Cambria Math" w:cs="宋体"/>
                  </w:rPr>
                  <m:t>1连</m:t>
                </m:r>
                <m:ctrlPr>
                  <w:rPr>
                    <w:rFonts w:hint="eastAsia" w:ascii="Cambria Math" w:hAnsi="Cambria Math" w:cs="宋体"/>
                    <w:i/>
                    <w:iCs/>
                  </w:rPr>
                </m:ctrlPr>
              </m:sub>
            </m:sSub>
            <m:ctrlPr>
              <w:rPr>
                <w:rFonts w:hint="eastAsia" w:ascii="Cambria Math" w:hAnsi="Cambria Math" w:cs="宋体"/>
                <w:i/>
                <w:iCs/>
              </w:rPr>
            </m:ctrlPr>
          </m:num>
          <m:den>
            <m:sSub>
              <m:sSubPr>
                <m:ctrlPr>
                  <w:rPr>
                    <w:rFonts w:hint="eastAsia" w:ascii="Cambria Math" w:hAnsi="Cambria Math" w:cs="宋体"/>
                    <w:i/>
                    <w:iCs/>
                  </w:rPr>
                </m:ctrlPr>
              </m:sSubPr>
              <m:e>
                <m:r>
                  <m:rPr/>
                  <w:rPr>
                    <w:rFonts w:hint="eastAsia" w:ascii="Cambria Math" w:hAnsi="Cambria Math" w:cs="宋体"/>
                  </w:rPr>
                  <m:t>S</m:t>
                </m:r>
                <m:ctrlPr>
                  <w:rPr>
                    <w:rFonts w:hint="eastAsia" w:ascii="Cambria Math" w:hAnsi="Cambria Math" w:cs="宋体"/>
                    <w:i/>
                    <w:iCs/>
                  </w:rPr>
                </m:ctrlPr>
              </m:e>
              <m:sub>
                <m:r>
                  <m:rPr/>
                  <w:rPr>
                    <w:rFonts w:hint="eastAsia" w:ascii="Cambria Math" w:hAnsi="Cambria Math" w:cs="宋体"/>
                  </w:rPr>
                  <m:t>G</m:t>
                </m:r>
                <m:r>
                  <m:rPr>
                    <m:sty m:val="p"/>
                  </m:rPr>
                  <w:rPr>
                    <w:rFonts w:hint="eastAsia" w:ascii="Cambria Math" w:hAnsi="Cambria Math" w:cs="宋体"/>
                  </w:rPr>
                  <m:t>1抽</m:t>
                </m:r>
                <m:ctrlPr>
                  <w:rPr>
                    <w:rFonts w:hint="eastAsia" w:ascii="Cambria Math" w:hAnsi="Cambria Math" w:cs="宋体"/>
                    <w:i/>
                    <w:iCs/>
                  </w:rPr>
                </m:ctrlPr>
              </m:sub>
            </m:sSub>
            <m:ctrlPr>
              <w:rPr>
                <w:rFonts w:hint="eastAsia" w:ascii="Cambria Math" w:hAnsi="Cambria Math" w:cs="宋体"/>
                <w:i/>
                <w:iCs/>
              </w:rPr>
            </m:ctrlPr>
          </m:den>
        </m:f>
      </m:oMath>
      <w:r>
        <w:rPr>
          <w:rFonts w:hint="eastAsia" w:ascii="MS Gothic" w:hAnsi="MS Gothic" w:eastAsia="MS Gothic" w:cs="MS Gothic"/>
          <w:i/>
          <w:iCs/>
          <w:position w:val="-22"/>
        </w:rPr>
        <w:t> </w:t>
      </w:r>
      <w:r>
        <w:rPr>
          <w:rFonts w:hint="eastAsia" w:ascii="宋体" w:hAnsi="宋体" w:cs="宋体"/>
          <w:position w:val="-22"/>
        </w:rPr>
        <w:t xml:space="preserve">                                     </w:t>
      </w:r>
      <w:r>
        <w:rPr>
          <w:rFonts w:ascii="宋体" w:hAnsi="宋体" w:cs="宋体"/>
          <w:position w:val="-22"/>
        </w:rPr>
        <w:t xml:space="preserve">              </w:t>
      </w:r>
      <w:r>
        <w:rPr>
          <w:rFonts w:hint="eastAsia" w:ascii="宋体" w:hAnsi="宋体" w:cs="宋体"/>
          <w:position w:val="-22"/>
        </w:rPr>
        <w:t>        </w:t>
      </w:r>
      <w:r>
        <w:rPr>
          <w:rFonts w:hint="eastAsia" w:ascii="宋体" w:hAnsi="宋体" w:cs="宋体"/>
        </w:rPr>
        <w:t>（D-1）</w:t>
      </w:r>
    </w:p>
    <w:p w14:paraId="1464E75C">
      <w:pPr>
        <w:spacing w:line="240" w:lineRule="auto"/>
        <w:ind w:left="630" w:leftChars="300"/>
        <w:jc w:val="left"/>
        <w:rPr>
          <w:rFonts w:hint="eastAsia" w:ascii="宋体" w:hAnsi="宋体" w:cs="宋体"/>
        </w:rPr>
      </w:pPr>
      <w:r>
        <w:rPr>
          <w:rFonts w:hint="eastAsia" w:ascii="宋体" w:hAnsi="宋体" w:cs="宋体"/>
        </w:rPr>
        <w:t>式中：</w:t>
      </w:r>
    </w:p>
    <w:p w14:paraId="7FE54DE9">
      <w:pPr>
        <w:spacing w:line="240" w:lineRule="auto"/>
        <w:ind w:left="630" w:leftChars="300"/>
        <w:jc w:val="left"/>
        <w:rPr>
          <w:rFonts w:hint="eastAsia" w:ascii="宋体" w:hAnsi="宋体" w:cs="宋体"/>
        </w:rPr>
      </w:pPr>
      <w:r>
        <w:rPr>
          <w:rFonts w:hint="eastAsia" w:ascii="宋体" w:hAnsi="宋体" w:cs="宋体"/>
        </w:rPr>
        <w:t>S</w:t>
      </w:r>
      <w:r>
        <w:rPr>
          <w:rFonts w:hint="eastAsia" w:ascii="宋体" w:hAnsi="宋体" w:cs="宋体"/>
          <w:vertAlign w:val="subscript"/>
        </w:rPr>
        <w:t>G1抽</w:t>
      </w:r>
      <w:r>
        <w:rPr>
          <w:rFonts w:hint="eastAsia" w:ascii="宋体" w:hAnsi="宋体" w:cs="宋体"/>
        </w:rPr>
        <w:t>——无帷幕条件下进行抽水试验稳定时坑外观测井G</w:t>
      </w:r>
      <w:r>
        <w:rPr>
          <w:rFonts w:hint="eastAsia" w:ascii="宋体" w:hAnsi="宋体" w:cs="宋体"/>
          <w:vertAlign w:val="subscript"/>
        </w:rPr>
        <w:t>1</w:t>
      </w:r>
      <w:r>
        <w:rPr>
          <w:rFonts w:hint="eastAsia" w:ascii="宋体" w:hAnsi="宋体" w:cs="宋体"/>
        </w:rPr>
        <w:t>的水位降深，m；</w:t>
      </w:r>
    </w:p>
    <w:p w14:paraId="4695CDAD">
      <w:pPr>
        <w:spacing w:line="240" w:lineRule="auto"/>
        <w:ind w:left="630" w:leftChars="300"/>
        <w:jc w:val="left"/>
        <w:rPr>
          <w:rFonts w:hint="eastAsia" w:ascii="宋体" w:hAnsi="宋体" w:cs="宋体"/>
        </w:rPr>
      </w:pPr>
      <w:r>
        <w:rPr>
          <w:rFonts w:hint="eastAsia" w:ascii="宋体" w:hAnsi="宋体" w:cs="宋体"/>
        </w:rPr>
        <w:t>S</w:t>
      </w:r>
      <w:r>
        <w:rPr>
          <w:rFonts w:hint="eastAsia" w:ascii="宋体" w:hAnsi="宋体" w:cs="宋体"/>
          <w:vertAlign w:val="subscript"/>
        </w:rPr>
        <w:t>G1连</w:t>
      </w:r>
      <w:r>
        <w:rPr>
          <w:rFonts w:hint="eastAsia" w:ascii="宋体" w:hAnsi="宋体" w:cs="宋体"/>
        </w:rPr>
        <w:t>——帷幕封闭后进行抽水试验稳定时坑外观测井G</w:t>
      </w:r>
      <w:r>
        <w:rPr>
          <w:rFonts w:hint="eastAsia" w:ascii="宋体" w:hAnsi="宋体" w:cs="宋体"/>
          <w:vertAlign w:val="subscript"/>
        </w:rPr>
        <w:t>1</w:t>
      </w:r>
      <w:r>
        <w:rPr>
          <w:rFonts w:hint="eastAsia" w:ascii="宋体" w:hAnsi="宋体" w:cs="宋体"/>
        </w:rPr>
        <w:t>的水位降深，m；</w:t>
      </w:r>
    </w:p>
    <w:p w14:paraId="427D921D">
      <w:pPr>
        <w:spacing w:line="240" w:lineRule="auto"/>
        <w:ind w:left="630" w:leftChars="300"/>
        <w:jc w:val="left"/>
        <w:rPr>
          <w:rFonts w:hint="eastAsia" w:ascii="宋体" w:hAnsi="宋体" w:cs="宋体"/>
        </w:rPr>
      </w:pPr>
      <w:r>
        <w:rPr>
          <w:rFonts w:hint="eastAsia" w:ascii="宋体" w:hAnsi="宋体" w:cs="宋体"/>
        </w:rPr>
        <w:t>λ——隔水系数，为反映帷幕隔水作用的系数，无量纲</w:t>
      </w:r>
      <w:r>
        <w:rPr>
          <w:rFonts w:hint="eastAsia" w:ascii="宋体" w:hAnsi="宋体" w:cs="宋体"/>
          <w:bCs/>
        </w:rPr>
        <w:t>；可判断落底式帷幕隔渗效果，如表D.3</w:t>
      </w:r>
      <w:r>
        <w:rPr>
          <w:rFonts w:hint="eastAsia" w:ascii="宋体" w:hAnsi="宋体" w:cs="宋体"/>
        </w:rPr>
        <w:t>；</w:t>
      </w:r>
    </w:p>
    <w:p w14:paraId="688F06A2">
      <w:pPr>
        <w:pStyle w:val="182"/>
        <w:numPr>
          <w:ilvl w:val="0"/>
          <w:numId w:val="104"/>
        </w:numPr>
        <w:ind w:left="845" w:hanging="425"/>
      </w:pPr>
      <w:r>
        <w:rPr>
          <w:rFonts w:hint="eastAsia"/>
        </w:rPr>
        <w:t>表观渗透系数</w:t>
      </w:r>
      <w:r>
        <w:rPr>
          <w:rFonts w:hint="eastAsia"/>
          <w:i/>
          <w:iCs/>
        </w:rPr>
        <w:t>K＇</w:t>
      </w:r>
      <w:r>
        <w:rPr>
          <w:rFonts w:hint="eastAsia"/>
        </w:rPr>
        <w:t>和表观影响半径</w:t>
      </w:r>
      <w:r>
        <w:rPr>
          <w:rFonts w:hint="eastAsia"/>
          <w:i/>
          <w:iCs/>
        </w:rPr>
        <w:t>R＇</w:t>
      </w:r>
    </w:p>
    <w:p w14:paraId="6B591E97">
      <w:pPr>
        <w:spacing w:line="240" w:lineRule="auto"/>
        <w:jc w:val="right"/>
        <w:rPr>
          <w:rFonts w:hint="eastAsia" w:ascii="宋体" w:hAnsi="宋体" w:cs="宋体"/>
          <w:sz w:val="18"/>
          <w:szCs w:val="18"/>
        </w:rPr>
      </w:pPr>
      <m:oMath>
        <m:r>
          <m:rPr/>
          <w:rPr>
            <w:rFonts w:hint="eastAsia" w:ascii="Cambria Math" w:hAnsi="Cambria Math" w:cs="宋体"/>
            <w:sz w:val="18"/>
            <w:szCs w:val="18"/>
          </w:rPr>
          <m:t>K</m:t>
        </m:r>
        <m:r>
          <m:rPr/>
          <w:rPr>
            <w:rFonts w:ascii="Cambria Math" w:hAnsi="Cambria Math" w:cs="宋体"/>
            <w:sz w:val="18"/>
            <w:szCs w:val="18"/>
          </w:rPr>
          <m:t>'</m:t>
        </m:r>
        <m:r>
          <m:rPr/>
          <w:rPr>
            <w:rFonts w:hint="eastAsia" w:ascii="Cambria Math" w:hAnsi="Cambria Math" w:cs="宋体"/>
            <w:sz w:val="18"/>
            <w:szCs w:val="18"/>
          </w:rPr>
          <m:t>=</m:t>
        </m:r>
        <m:d>
          <m:dPr>
            <m:ctrlPr>
              <w:rPr>
                <w:rFonts w:hint="eastAsia" w:ascii="Cambria Math" w:hAnsi="Cambria Math" w:cs="宋体"/>
                <w:i/>
                <w:iCs/>
                <w:sz w:val="18"/>
                <w:szCs w:val="18"/>
              </w:rPr>
            </m:ctrlPr>
          </m:dPr>
          <m:e>
            <m:r>
              <m:rPr/>
              <w:rPr>
                <w:rFonts w:hint="eastAsia" w:ascii="Cambria Math" w:hAnsi="Cambria Math" w:cs="宋体"/>
                <w:sz w:val="18"/>
                <w:szCs w:val="18"/>
              </w:rPr>
              <m:t>1</m:t>
            </m:r>
            <m:r>
              <m:rPr/>
              <w:rPr>
                <w:rFonts w:hint="eastAsia" w:ascii="微软雅黑" w:hAnsi="微软雅黑" w:eastAsia="微软雅黑" w:cs="微软雅黑"/>
                <w:sz w:val="18"/>
                <w:szCs w:val="18"/>
              </w:rPr>
              <m:t>−</m:t>
            </m:r>
            <m:r>
              <m:rPr/>
              <w:rPr>
                <w:rFonts w:hint="eastAsia" w:ascii="Cambria Math" w:hAnsi="Cambria Math" w:cs="宋体"/>
                <w:sz w:val="18"/>
                <w:szCs w:val="18"/>
              </w:rPr>
              <m:t>λ</m:t>
            </m:r>
            <m:ctrlPr>
              <w:rPr>
                <w:rFonts w:hint="eastAsia" w:ascii="Cambria Math" w:hAnsi="Cambria Math" w:cs="宋体"/>
                <w:i/>
                <w:iCs/>
                <w:sz w:val="18"/>
                <w:szCs w:val="18"/>
              </w:rPr>
            </m:ctrlPr>
          </m:e>
        </m:d>
        <m:r>
          <m:rPr/>
          <w:rPr>
            <w:rFonts w:hint="eastAsia" w:ascii="Cambria Math" w:hAnsi="Cambria Math" w:cs="宋体"/>
            <w:sz w:val="18"/>
            <w:szCs w:val="18"/>
          </w:rPr>
          <m:t>K，0</m:t>
        </m:r>
      </m:oMath>
      <w:r>
        <w:rPr>
          <w:rFonts w:hint="eastAsia" w:ascii="宋体" w:hAnsi="宋体" w:cs="宋体"/>
          <w:sz w:val="18"/>
          <w:szCs w:val="18"/>
        </w:rPr>
        <w:t>≤</w:t>
      </w:r>
      <m:oMath>
        <m:r>
          <m:rPr/>
          <w:rPr>
            <w:rFonts w:hint="eastAsia" w:ascii="Cambria Math" w:hAnsi="Cambria Math" w:cs="宋体"/>
            <w:sz w:val="18"/>
            <w:szCs w:val="18"/>
          </w:rPr>
          <m:t>K</m:t>
        </m:r>
        <m:r>
          <m:rPr/>
          <w:rPr>
            <w:rFonts w:ascii="Cambria Math" w:hAnsi="Cambria Math" w:cs="宋体"/>
            <w:sz w:val="18"/>
            <w:szCs w:val="18"/>
          </w:rPr>
          <m:t>'</m:t>
        </m:r>
      </m:oMath>
      <w:r>
        <w:rPr>
          <w:rFonts w:hint="eastAsia" w:ascii="宋体" w:hAnsi="宋体" w:cs="宋体"/>
          <w:iCs/>
          <w:sz w:val="18"/>
          <w:szCs w:val="18"/>
        </w:rPr>
        <w:t>≤</w:t>
      </w:r>
      <m:oMath>
        <m:r>
          <m:rPr/>
          <w:rPr>
            <w:rFonts w:hint="eastAsia" w:ascii="Cambria Math" w:hAnsi="Cambria Math" w:cs="宋体"/>
            <w:sz w:val="18"/>
            <w:szCs w:val="18"/>
          </w:rPr>
          <m:t>K</m:t>
        </m:r>
      </m:oMath>
      <w:r>
        <w:rPr>
          <w:rFonts w:hint="eastAsia" w:ascii="宋体" w:hAnsi="宋体" w:cs="宋体"/>
          <w:position w:val="-22"/>
          <w:sz w:val="18"/>
          <w:szCs w:val="18"/>
        </w:rPr>
        <w:t xml:space="preserve">        </w:t>
      </w:r>
      <w:r>
        <w:rPr>
          <w:rFonts w:ascii="宋体" w:hAnsi="宋体" w:cs="宋体"/>
          <w:position w:val="-22"/>
          <w:sz w:val="18"/>
          <w:szCs w:val="18"/>
        </w:rPr>
        <w:t xml:space="preserve">                       </w:t>
      </w:r>
      <w:r>
        <w:rPr>
          <w:rFonts w:hint="eastAsia" w:ascii="宋体" w:hAnsi="宋体" w:cs="宋体"/>
          <w:position w:val="-22"/>
          <w:sz w:val="18"/>
          <w:szCs w:val="18"/>
        </w:rPr>
        <w:t>                 </w:t>
      </w:r>
      <w:r>
        <w:rPr>
          <w:rFonts w:hint="eastAsia" w:ascii="宋体" w:hAnsi="宋体" w:cs="宋体"/>
        </w:rPr>
        <w:t> （D-2）</w:t>
      </w:r>
    </w:p>
    <w:p w14:paraId="7CAAA05A">
      <w:pPr>
        <w:pStyle w:val="32"/>
        <w:spacing w:after="0" w:line="240" w:lineRule="auto"/>
        <w:ind w:left="0" w:leftChars="0" w:firstLine="0" w:firstLineChars="0"/>
        <w:jc w:val="right"/>
        <w:rPr>
          <w:rFonts w:ascii="宋体" w:hAnsi="宋体" w:eastAsia="宋体" w:cs="宋体"/>
          <w:sz w:val="18"/>
          <w:szCs w:val="18"/>
        </w:rPr>
      </w:pPr>
      <m:oMath>
        <m:r>
          <m:rPr/>
          <w:rPr>
            <w:rFonts w:ascii="Cambria Math" w:hAnsi="Cambria Math" w:eastAsia="宋体" w:cs="宋体"/>
            <w:sz w:val="18"/>
            <w:szCs w:val="18"/>
          </w:rPr>
          <m:t>R</m:t>
        </m:r>
        <m:r>
          <m:rPr/>
          <w:rPr>
            <w:rFonts w:hint="default" w:ascii="Cambria Math" w:hAnsi="Cambria Math" w:eastAsia="宋体" w:cs="宋体"/>
            <w:sz w:val="18"/>
            <w:szCs w:val="18"/>
          </w:rPr>
          <m:t>'</m:t>
        </m:r>
        <m:r>
          <m:rPr/>
          <w:rPr>
            <w:rFonts w:ascii="Cambria Math" w:hAnsi="Cambria Math" w:eastAsia="宋体" w:cs="宋体"/>
            <w:sz w:val="18"/>
            <w:szCs w:val="18"/>
          </w:rPr>
          <m:t>=</m:t>
        </m:r>
        <m:d>
          <m:dPr>
            <m:begChr m:val="（"/>
            <m:endChr m:val="）"/>
            <m:ctrlPr>
              <w:rPr>
                <w:rFonts w:ascii="Cambria Math" w:hAnsi="Cambria Math" w:eastAsia="宋体" w:cs="宋体"/>
                <w:i/>
                <w:iCs/>
                <w:sz w:val="18"/>
                <w:szCs w:val="18"/>
              </w:rPr>
            </m:ctrlPr>
          </m:dPr>
          <m:e>
            <m:r>
              <m:rPr/>
              <w:rPr>
                <w:rFonts w:ascii="Cambria Math" w:hAnsi="Cambria Math" w:eastAsia="宋体" w:cs="宋体"/>
                <w:sz w:val="18"/>
                <w:szCs w:val="18"/>
              </w:rPr>
              <m:t>1</m:t>
            </m:r>
            <m:r>
              <m:rPr/>
              <w:rPr>
                <w:rFonts w:ascii="微软雅黑" w:hAnsi="微软雅黑" w:eastAsia="微软雅黑" w:cs="微软雅黑"/>
                <w:sz w:val="18"/>
                <w:szCs w:val="18"/>
              </w:rPr>
              <m:t>−</m:t>
            </m:r>
            <m:r>
              <m:rPr/>
              <w:rPr>
                <w:rFonts w:ascii="Cambria Math" w:hAnsi="Cambria Math" w:eastAsia="宋体" w:cs="宋体"/>
                <w:sz w:val="18"/>
                <w:szCs w:val="18"/>
              </w:rPr>
              <m:t>λ</m:t>
            </m:r>
            <m:ctrlPr>
              <w:rPr>
                <w:rFonts w:ascii="Cambria Math" w:hAnsi="Cambria Math" w:eastAsia="宋体" w:cs="宋体"/>
                <w:i/>
                <w:iCs/>
                <w:sz w:val="18"/>
                <w:szCs w:val="18"/>
              </w:rPr>
            </m:ctrlPr>
          </m:e>
        </m:d>
        <m:r>
          <m:rPr/>
          <w:rPr>
            <w:rFonts w:ascii="Cambria Math" w:hAnsi="Cambria Math" w:eastAsia="宋体" w:cs="宋体"/>
            <w:sz w:val="18"/>
            <w:szCs w:val="18"/>
          </w:rPr>
          <m:t>×</m:t>
        </m:r>
        <m:d>
          <m:dPr>
            <m:begChr m:val="（"/>
            <m:endChr m:val="）"/>
            <m:ctrlPr>
              <w:rPr>
                <w:rFonts w:ascii="Cambria Math" w:hAnsi="Cambria Math" w:eastAsia="宋体" w:cs="宋体"/>
                <w:i/>
                <w:iCs/>
                <w:sz w:val="18"/>
                <w:szCs w:val="18"/>
              </w:rPr>
            </m:ctrlPr>
          </m:dPr>
          <m:e>
            <m:r>
              <m:rPr/>
              <w:rPr>
                <w:rFonts w:ascii="Cambria Math" w:hAnsi="Cambria Math" w:eastAsia="宋体" w:cs="宋体"/>
                <w:sz w:val="18"/>
                <w:szCs w:val="18"/>
              </w:rPr>
              <m:t>R</m:t>
            </m:r>
            <m:r>
              <m:rPr/>
              <w:rPr>
                <w:rFonts w:ascii="微软雅黑" w:hAnsi="微软雅黑" w:eastAsia="微软雅黑" w:cs="微软雅黑"/>
                <w:sz w:val="18"/>
                <w:szCs w:val="18"/>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ctrlPr>
              <w:rPr>
                <w:rFonts w:ascii="Cambria Math" w:hAnsi="Cambria Math" w:eastAsia="宋体" w:cs="宋体"/>
                <w:i/>
                <w:iCs/>
                <w:sz w:val="18"/>
                <w:szCs w:val="18"/>
              </w:rPr>
            </m:ctrlPr>
          </m:e>
        </m:d>
        <m:r>
          <m:rPr/>
          <w:rPr>
            <w:rFonts w:ascii="Cambria Math" w:hAnsi="Cambria Math" w:eastAsia="宋体" w:cs="宋体"/>
            <w:sz w:val="18"/>
            <w:szCs w:val="18"/>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r>
          <m:rPr/>
          <w:rPr>
            <w:rFonts w:ascii="Cambria Math" w:hAnsi="Cambria Math" w:eastAsia="宋体" w:cs="宋体"/>
            <w:sz w:val="18"/>
            <w:szCs w:val="18"/>
            <w:vertAlign w:val="subscript"/>
          </w:rPr>
          <m:t>，</m:t>
        </m:r>
        <m:sSub>
          <m:sSubPr>
            <m:ctrlPr>
              <w:rPr>
                <w:rFonts w:ascii="Cambria Math" w:hAnsi="Cambria Math" w:eastAsia="宋体" w:cs="宋体"/>
                <w:i/>
                <w:iCs/>
                <w:sz w:val="18"/>
                <w:szCs w:val="18"/>
                <w:vertAlign w:val="subscript"/>
              </w:rPr>
            </m:ctrlPr>
          </m:sSubPr>
          <m:e>
            <m:r>
              <m:rPr/>
              <w:rPr>
                <w:rFonts w:ascii="Cambria Math" w:hAnsi="Cambria Math" w:eastAsia="宋体" w:cs="宋体"/>
                <w:sz w:val="18"/>
                <w:szCs w:val="18"/>
                <w:vertAlign w:val="subscript"/>
              </w:rPr>
              <m:t>r</m:t>
            </m:r>
            <m:ctrlPr>
              <w:rPr>
                <w:rFonts w:ascii="Cambria Math" w:hAnsi="Cambria Math" w:eastAsia="宋体" w:cs="宋体"/>
                <w:i/>
                <w:iCs/>
                <w:sz w:val="18"/>
                <w:szCs w:val="18"/>
                <w:vertAlign w:val="subscript"/>
              </w:rPr>
            </m:ctrlPr>
          </m:e>
          <m:sub>
            <m:r>
              <m:rPr/>
              <w:rPr>
                <w:rFonts w:ascii="Cambria Math" w:hAnsi="Cambria Math" w:eastAsia="宋体" w:cs="宋体"/>
                <w:sz w:val="18"/>
                <w:szCs w:val="18"/>
                <w:vertAlign w:val="subscript"/>
              </w:rPr>
              <m:t>0</m:t>
            </m:r>
            <m:ctrlPr>
              <w:rPr>
                <w:rFonts w:ascii="Cambria Math" w:hAnsi="Cambria Math" w:eastAsia="宋体" w:cs="宋体"/>
                <w:i/>
                <w:iCs/>
                <w:sz w:val="18"/>
                <w:szCs w:val="18"/>
                <w:vertAlign w:val="subscript"/>
              </w:rPr>
            </m:ctrlPr>
          </m:sub>
        </m:sSub>
      </m:oMath>
      <w:r>
        <w:rPr>
          <w:rFonts w:ascii="宋体" w:hAnsi="宋体" w:eastAsia="宋体" w:cs="宋体"/>
          <w:iCs/>
          <w:sz w:val="18"/>
          <w:szCs w:val="18"/>
        </w:rPr>
        <w:t>≤</w:t>
      </w:r>
      <m:oMath>
        <m:r>
          <m:rPr/>
          <w:rPr>
            <w:rFonts w:ascii="Cambria Math" w:hAnsi="Cambria Math" w:eastAsia="宋体" w:cs="宋体"/>
            <w:sz w:val="18"/>
            <w:szCs w:val="18"/>
          </w:rPr>
          <m:t>R</m:t>
        </m:r>
        <m:r>
          <m:rPr/>
          <w:rPr>
            <w:rFonts w:hint="default" w:ascii="Cambria Math" w:hAnsi="Cambria Math" w:eastAsia="宋体" w:cs="宋体"/>
            <w:sz w:val="18"/>
            <w:szCs w:val="18"/>
          </w:rPr>
          <m:t>'</m:t>
        </m:r>
      </m:oMath>
      <w:r>
        <w:rPr>
          <w:rFonts w:ascii="宋体" w:hAnsi="宋体" w:eastAsia="宋体" w:cs="宋体"/>
          <w:iCs/>
          <w:sz w:val="18"/>
          <w:szCs w:val="18"/>
        </w:rPr>
        <w:t>≤</w:t>
      </w:r>
      <m:oMath>
        <m:r>
          <m:rPr/>
          <w:rPr>
            <w:rFonts w:ascii="Cambria Math" w:hAnsi="Cambria Math" w:eastAsia="宋体" w:cs="宋体"/>
            <w:sz w:val="18"/>
            <w:szCs w:val="18"/>
          </w:rPr>
          <m:t>R</m:t>
        </m:r>
      </m:oMath>
      <w:r>
        <w:rPr>
          <w:rFonts w:ascii="MS Gothic" w:hAnsi="MS Gothic" w:eastAsia="MS Gothic" w:cs="MS Gothic"/>
          <w:sz w:val="18"/>
          <w:szCs w:val="18"/>
        </w:rPr>
        <w:t> </w:t>
      </w:r>
      <w:r>
        <w:rPr>
          <w:rFonts w:ascii="MS Gothic" w:hAnsi="MS Gothic" w:eastAsia="MS Gothic" w:cs="MS Gothic"/>
        </w:rPr>
        <w:t> </w:t>
      </w:r>
      <w:r>
        <w:rPr>
          <w:rFonts w:ascii="MS Gothic" w:hAnsi="MS Gothic" w:cs="MS Gothic" w:eastAsiaTheme="minorEastAsia"/>
        </w:rPr>
        <w:t xml:space="preserve"> </w:t>
      </w:r>
      <w:r>
        <w:rPr>
          <w:rFonts w:hint="default" w:ascii="MS Gothic" w:hAnsi="MS Gothic" w:cs="MS Gothic" w:eastAsiaTheme="minorEastAsia"/>
        </w:rPr>
        <w:t xml:space="preserve">                     </w:t>
      </w:r>
      <w:r>
        <w:rPr>
          <w:rFonts w:ascii="宋体" w:hAnsi="宋体" w:eastAsia="宋体" w:cs="宋体"/>
        </w:rPr>
        <w:t>（D-3）</w:t>
      </w:r>
    </w:p>
    <w:p w14:paraId="620DFFC2">
      <w:pPr>
        <w:spacing w:line="240" w:lineRule="auto"/>
        <w:ind w:left="630" w:leftChars="300"/>
        <w:jc w:val="left"/>
        <w:rPr>
          <w:rFonts w:hint="eastAsia" w:ascii="宋体" w:hAnsi="宋体" w:cs="宋体"/>
        </w:rPr>
      </w:pPr>
      <w:r>
        <w:rPr>
          <w:rFonts w:hint="eastAsia" w:ascii="宋体" w:hAnsi="宋体" w:cs="宋体"/>
        </w:rPr>
        <w:t>式中：</w:t>
      </w:r>
    </w:p>
    <w:p w14:paraId="0D1E6F6C">
      <w:pPr>
        <w:spacing w:line="240" w:lineRule="auto"/>
        <w:ind w:left="630" w:leftChars="300"/>
        <w:jc w:val="left"/>
        <w:rPr>
          <w:rFonts w:hint="eastAsia" w:ascii="宋体" w:hAnsi="宋体" w:cs="宋体"/>
        </w:rPr>
      </w:pPr>
      <w:r>
        <w:rPr>
          <w:rFonts w:hint="eastAsia" w:ascii="宋体" w:hAnsi="宋体" w:cs="宋体"/>
          <w:i/>
          <w:iCs/>
        </w:rPr>
        <w:t>K</w:t>
      </w:r>
      <w:r>
        <w:rPr>
          <w:rFonts w:hint="eastAsia" w:ascii="宋体" w:hAnsi="宋体" w:cs="宋体"/>
        </w:rPr>
        <w:t>——渗透系数，m/d；</w:t>
      </w:r>
    </w:p>
    <w:p w14:paraId="1A4FFEEE">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rPr>
        <w:t>——抽水影响半径，m；</w:t>
      </w:r>
    </w:p>
    <w:p w14:paraId="0D35CE9B">
      <w:pPr>
        <w:pStyle w:val="182"/>
        <w:numPr>
          <w:ilvl w:val="0"/>
          <w:numId w:val="104"/>
        </w:numPr>
        <w:ind w:left="845" w:hanging="425"/>
      </w:pPr>
      <w:r>
        <w:rPr>
          <w:rFonts w:hint="eastAsia"/>
        </w:rPr>
        <w:t>基坑计算涌水量Q</w:t>
      </w:r>
    </w:p>
    <w:p w14:paraId="5819174D">
      <w:pPr>
        <w:spacing w:line="240" w:lineRule="auto"/>
        <w:jc w:val="right"/>
        <w:rPr>
          <w:rFonts w:hint="eastAsia" w:ascii="宋体" w:hAnsi="宋体" w:cs="宋体"/>
        </w:rPr>
      </w:pPr>
      <m:oMath>
        <m:r>
          <m:rPr/>
          <w:rPr>
            <w:rFonts w:hint="eastAsia" w:ascii="Cambria Math" w:hAnsi="Cambria Math" w:cs="宋体"/>
          </w:rPr>
          <m:t>Q=</m:t>
        </m:r>
        <m:f>
          <m:fPr>
            <m:ctrlPr>
              <w:rPr>
                <w:rFonts w:hint="eastAsia" w:ascii="Cambria Math" w:hAnsi="Cambria Math" w:cs="宋体"/>
                <w:i/>
                <w:iCs/>
              </w:rPr>
            </m:ctrlPr>
          </m:fPr>
          <m:num>
            <m:r>
              <m:rPr/>
              <w:rPr>
                <w:rFonts w:hint="eastAsia" w:ascii="Cambria Math" w:hAnsi="Cambria Math" w:cs="宋体"/>
              </w:rPr>
              <m:t>2.73</m:t>
            </m:r>
            <m:sSup>
              <m:sSupPr>
                <m:ctrlPr>
                  <w:rPr>
                    <w:rFonts w:ascii="Cambria Math" w:hAnsi="Cambria Math" w:cs="宋体"/>
                    <w:i/>
                    <w:iCs/>
                    <w:kern w:val="0"/>
                    <w:sz w:val="18"/>
                    <w:szCs w:val="18"/>
                  </w:rPr>
                </m:ctrlPr>
              </m:sSupPr>
              <m:e>
                <m:r>
                  <m:rPr/>
                  <w:rPr>
                    <w:rFonts w:hint="eastAsia" w:ascii="Cambria Math" w:hAnsi="Cambria Math" w:cs="宋体"/>
                    <w:kern w:val="0"/>
                    <w:sz w:val="18"/>
                    <w:szCs w:val="18"/>
                  </w:rPr>
                  <m:t>K</m:t>
                </m:r>
                <m:ctrlPr>
                  <w:rPr>
                    <w:rFonts w:hint="eastAsia" w:ascii="Cambria Math" w:hAnsi="Cambria Math" w:cs="宋体"/>
                    <w:i/>
                    <w:iCs/>
                    <w:kern w:val="0"/>
                    <w:sz w:val="18"/>
                    <w:szCs w:val="18"/>
                  </w:rPr>
                </m:ctrlPr>
              </m:e>
              <m:sup>
                <m:r>
                  <m:rPr/>
                  <w:rPr>
                    <w:rFonts w:ascii="Cambria Math" w:hAnsi="Cambria Math" w:cs="宋体"/>
                    <w:kern w:val="0"/>
                    <w:sz w:val="18"/>
                    <w:szCs w:val="18"/>
                  </w:rPr>
                  <m:t>'</m:t>
                </m:r>
                <m:ctrlPr>
                  <w:rPr>
                    <w:rFonts w:ascii="Cambria Math" w:hAnsi="Cambria Math" w:cs="宋体"/>
                    <w:i/>
                    <w:iCs/>
                    <w:kern w:val="0"/>
                    <w:sz w:val="18"/>
                    <w:szCs w:val="18"/>
                  </w:rPr>
                </m:ctrlPr>
              </m:sup>
            </m:sSup>
            <m:r>
              <m:rPr/>
              <w:rPr>
                <w:rFonts w:hint="eastAsia" w:ascii="Cambria Math" w:hAnsi="Cambria Math" w:cs="宋体"/>
              </w:rPr>
              <m:t>S</m:t>
            </m:r>
            <m:ctrlPr>
              <w:rPr>
                <w:rFonts w:hint="eastAsia" w:ascii="Cambria Math" w:hAnsi="Cambria Math" w:cs="宋体"/>
                <w:i/>
                <w:iCs/>
              </w:rPr>
            </m:ctrlPr>
          </m:num>
          <m:den>
            <m:func>
              <m:funcPr>
                <m:ctrlPr>
                  <w:rPr>
                    <w:rFonts w:hint="eastAsia" w:ascii="Cambria Math" w:hAnsi="Cambria Math" w:cs="宋体"/>
                    <w:i/>
                    <w:iCs/>
                    <w:kern w:val="0"/>
                  </w:rPr>
                </m:ctrlPr>
              </m:funcPr>
              <m:fName>
                <m:r>
                  <m:rPr>
                    <m:sty m:val="p"/>
                  </m:rPr>
                  <w:rPr>
                    <w:rFonts w:hint="eastAsia" w:ascii="Cambria Math" w:hAnsi="Cambria Math" w:cs="宋体"/>
                    <w:kern w:val="0"/>
                  </w:rPr>
                  <m:t>lg</m:t>
                </m:r>
                <m:ctrlPr>
                  <w:rPr>
                    <w:rFonts w:hint="eastAsia" w:ascii="Cambria Math" w:hAnsi="Cambria Math" w:cs="宋体"/>
                    <w:i/>
                    <w:iCs/>
                    <w:kern w:val="0"/>
                  </w:rPr>
                </m:ctrlPr>
              </m:fName>
              <m:e>
                <m:d>
                  <m:dPr>
                    <m:begChr m:val="（"/>
                    <m:endChr m:val="）"/>
                    <m:ctrlPr>
                      <w:rPr>
                        <w:rFonts w:ascii="Cambria Math" w:hAnsi="Cambria Math" w:cs="宋体"/>
                        <w:i/>
                        <w:iCs/>
                        <w:kern w:val="0"/>
                      </w:rPr>
                    </m:ctrlPr>
                  </m:dPr>
                  <m:e>
                    <m:sSup>
                      <m:sSupPr>
                        <m:ctrlPr>
                          <w:rPr>
                            <w:rFonts w:ascii="Cambria Math" w:hAnsi="Cambria Math" w:cs="宋体"/>
                            <w:i/>
                            <w:iCs/>
                            <w:kern w:val="0"/>
                            <w:sz w:val="18"/>
                            <w:szCs w:val="18"/>
                          </w:rPr>
                        </m:ctrlPr>
                      </m:sSupPr>
                      <m:e>
                        <m:r>
                          <m:rPr/>
                          <w:rPr>
                            <w:rFonts w:hint="eastAsia" w:ascii="Cambria Math" w:hAnsi="Cambria Math" w:cs="宋体"/>
                            <w:kern w:val="0"/>
                            <w:sz w:val="18"/>
                            <w:szCs w:val="18"/>
                          </w:rPr>
                          <m:t>R</m:t>
                        </m:r>
                        <m:ctrlPr>
                          <w:rPr>
                            <w:rFonts w:hint="eastAsia" w:ascii="Cambria Math" w:hAnsi="Cambria Math" w:cs="宋体"/>
                            <w:i/>
                            <w:iCs/>
                            <w:kern w:val="0"/>
                            <w:sz w:val="18"/>
                            <w:szCs w:val="18"/>
                          </w:rPr>
                        </m:ctrlPr>
                      </m:e>
                      <m:sup>
                        <m:r>
                          <m:rPr/>
                          <w:rPr>
                            <w:rFonts w:ascii="Cambria Math" w:hAnsi="Cambria Math" w:cs="宋体"/>
                            <w:kern w:val="0"/>
                            <w:sz w:val="18"/>
                            <w:szCs w:val="18"/>
                          </w:rPr>
                          <m:t>'</m:t>
                        </m:r>
                        <m:ctrlPr>
                          <w:rPr>
                            <w:rFonts w:ascii="Cambria Math" w:hAnsi="Cambria Math" w:cs="宋体"/>
                            <w:i/>
                            <w:iCs/>
                            <w:kern w:val="0"/>
                            <w:sz w:val="18"/>
                            <w:szCs w:val="18"/>
                          </w:rPr>
                        </m:ctrlPr>
                      </m:sup>
                    </m:sSup>
                    <m:r>
                      <m:rPr/>
                      <w:rPr>
                        <w:rFonts w:hint="eastAsia" w:ascii="Cambria Math" w:hAnsi="Cambria Math" w:cs="宋体"/>
                        <w:kern w:val="0"/>
                      </w:rPr>
                      <m:t>+</m:t>
                    </m:r>
                    <m:sSub>
                      <m:sSubPr>
                        <m:ctrlPr>
                          <w:rPr>
                            <w:rFonts w:hint="eastAsia" w:ascii="Cambria Math" w:hAnsi="Cambria Math" w:cs="宋体"/>
                            <w:i/>
                            <w:iCs/>
                            <w:kern w:val="0"/>
                          </w:rPr>
                        </m:ctrlPr>
                      </m:sSubPr>
                      <m:e>
                        <m:r>
                          <m:rPr/>
                          <w:rPr>
                            <w:rFonts w:hint="eastAsia" w:ascii="Cambria Math" w:hAnsi="Cambria Math" w:cs="宋体"/>
                            <w:kern w:val="0"/>
                          </w:rPr>
                          <m:t>r</m:t>
                        </m:r>
                        <m:ctrlPr>
                          <w:rPr>
                            <w:rFonts w:hint="eastAsia" w:ascii="Cambria Math" w:hAnsi="Cambria Math" w:cs="宋体"/>
                            <w:i/>
                            <w:iCs/>
                            <w:kern w:val="0"/>
                          </w:rPr>
                        </m:ctrlPr>
                      </m:e>
                      <m:sub>
                        <m:r>
                          <m:rPr/>
                          <w:rPr>
                            <w:rFonts w:hint="eastAsia" w:ascii="Cambria Math" w:hAnsi="Cambria Math" w:cs="宋体"/>
                            <w:kern w:val="0"/>
                          </w:rPr>
                          <m:t>0</m:t>
                        </m:r>
                        <m:ctrlPr>
                          <w:rPr>
                            <w:rFonts w:hint="eastAsia" w:ascii="Cambria Math" w:hAnsi="Cambria Math" w:cs="宋体"/>
                            <w:i/>
                            <w:iCs/>
                            <w:kern w:val="0"/>
                          </w:rPr>
                        </m:ctrlPr>
                      </m:sub>
                    </m:sSub>
                    <m:ctrlPr>
                      <w:rPr>
                        <w:rFonts w:ascii="Cambria Math" w:hAnsi="Cambria Math" w:cs="宋体"/>
                        <w:i/>
                        <w:iCs/>
                        <w:kern w:val="0"/>
                      </w:rPr>
                    </m:ctrlPr>
                  </m:e>
                </m:d>
                <m:ctrlPr>
                  <w:rPr>
                    <w:rFonts w:hint="eastAsia" w:ascii="Cambria Math" w:hAnsi="Cambria Math" w:cs="宋体"/>
                    <w:i/>
                    <w:iCs/>
                    <w:kern w:val="0"/>
                  </w:rPr>
                </m:ctrlPr>
              </m:e>
            </m:func>
            <m:r>
              <m:rPr/>
              <w:rPr>
                <w:rFonts w:hint="eastAsia" w:ascii="微软雅黑" w:hAnsi="微软雅黑" w:eastAsia="微软雅黑" w:cs="微软雅黑"/>
                <w:kern w:val="0"/>
              </w:rPr>
              <m:t>−</m:t>
            </m:r>
            <m:func>
              <m:funcPr>
                <m:ctrlPr>
                  <w:rPr>
                    <w:rFonts w:hint="eastAsia" w:ascii="Cambria Math" w:hAnsi="Cambria Math" w:cs="宋体"/>
                    <w:i/>
                    <w:iCs/>
                    <w:kern w:val="0"/>
                  </w:rPr>
                </m:ctrlPr>
              </m:funcPr>
              <m:fName>
                <m:r>
                  <m:rPr>
                    <m:sty m:val="p"/>
                  </m:rPr>
                  <w:rPr>
                    <w:rFonts w:hint="eastAsia" w:ascii="Cambria Math" w:hAnsi="Cambria Math" w:cs="宋体"/>
                    <w:kern w:val="0"/>
                  </w:rPr>
                  <m:t>lg</m:t>
                </m:r>
                <m:ctrlPr>
                  <w:rPr>
                    <w:rFonts w:hint="eastAsia" w:ascii="Cambria Math" w:hAnsi="Cambria Math" w:cs="宋体"/>
                    <w:i/>
                    <w:iCs/>
                    <w:kern w:val="0"/>
                  </w:rPr>
                </m:ctrlPr>
              </m:fName>
              <m:e>
                <m:sSub>
                  <m:sSubPr>
                    <m:ctrlPr>
                      <w:rPr>
                        <w:rFonts w:hint="eastAsia" w:ascii="Cambria Math" w:hAnsi="Cambria Math" w:cs="宋体"/>
                        <w:i/>
                        <w:iCs/>
                        <w:kern w:val="0"/>
                      </w:rPr>
                    </m:ctrlPr>
                  </m:sSubPr>
                  <m:e>
                    <m:r>
                      <m:rPr/>
                      <w:rPr>
                        <w:rFonts w:hint="eastAsia" w:ascii="Cambria Math" w:hAnsi="Cambria Math" w:cs="宋体"/>
                        <w:kern w:val="0"/>
                      </w:rPr>
                      <m:t>r</m:t>
                    </m:r>
                    <m:ctrlPr>
                      <w:rPr>
                        <w:rFonts w:hint="eastAsia" w:ascii="Cambria Math" w:hAnsi="Cambria Math" w:cs="宋体"/>
                        <w:i/>
                        <w:iCs/>
                        <w:kern w:val="0"/>
                      </w:rPr>
                    </m:ctrlPr>
                  </m:e>
                  <m:sub>
                    <m:r>
                      <m:rPr/>
                      <w:rPr>
                        <w:rFonts w:hint="eastAsia" w:ascii="Cambria Math" w:hAnsi="Cambria Math" w:cs="宋体"/>
                        <w:kern w:val="0"/>
                      </w:rPr>
                      <m:t>0</m:t>
                    </m:r>
                    <m:ctrlPr>
                      <w:rPr>
                        <w:rFonts w:hint="eastAsia" w:ascii="Cambria Math" w:hAnsi="Cambria Math" w:cs="宋体"/>
                        <w:i/>
                        <w:iCs/>
                        <w:kern w:val="0"/>
                      </w:rPr>
                    </m:ctrlPr>
                  </m:sub>
                </m:sSub>
                <m:ctrlPr>
                  <w:rPr>
                    <w:rFonts w:hint="eastAsia" w:ascii="Cambria Math" w:hAnsi="Cambria Math" w:cs="宋体"/>
                    <w:i/>
                    <w:iCs/>
                    <w:kern w:val="0"/>
                  </w:rPr>
                </m:ctrlPr>
              </m:e>
            </m:func>
            <m:ctrlPr>
              <w:rPr>
                <w:rFonts w:hint="eastAsia" w:ascii="Cambria Math" w:hAnsi="Cambria Math" w:cs="宋体"/>
                <w:i/>
                <w:iCs/>
              </w:rPr>
            </m:ctrlPr>
          </m:den>
        </m:f>
      </m:oMath>
      <w:r>
        <w:rPr>
          <w:rFonts w:hint="eastAsia" w:ascii="MS Gothic" w:hAnsi="MS Gothic" w:eastAsia="MS Gothic" w:cs="MS Gothic"/>
          <w:i/>
          <w:iCs/>
          <w:position w:val="-22"/>
        </w:rPr>
        <w:t> </w:t>
      </w:r>
      <w:r>
        <w:rPr>
          <w:rFonts w:hint="eastAsia" w:ascii="宋体" w:hAnsi="宋体" w:cs="宋体"/>
          <w:i/>
          <w:iCs/>
          <w:position w:val="-22"/>
        </w:rPr>
        <w:t xml:space="preserve">     </w:t>
      </w:r>
      <w:r>
        <w:rPr>
          <w:rFonts w:ascii="宋体" w:hAnsi="宋体" w:cs="宋体"/>
          <w:i/>
          <w:iCs/>
          <w:position w:val="-22"/>
        </w:rPr>
        <w:t xml:space="preserve">                           </w:t>
      </w:r>
      <w:r>
        <w:rPr>
          <w:rFonts w:hint="eastAsia" w:ascii="宋体" w:hAnsi="宋体" w:cs="宋体"/>
        </w:rPr>
        <w:t>（D-4）</w:t>
      </w:r>
    </w:p>
    <w:p w14:paraId="2A9961A7">
      <w:pPr>
        <w:spacing w:line="240" w:lineRule="auto"/>
        <w:ind w:left="630" w:leftChars="300"/>
        <w:jc w:val="left"/>
        <w:rPr>
          <w:rFonts w:hint="eastAsia" w:ascii="宋体" w:hAnsi="宋体" w:cs="宋体"/>
        </w:rPr>
      </w:pPr>
      <w:r>
        <w:rPr>
          <w:rFonts w:hint="eastAsia" w:ascii="宋体" w:hAnsi="宋体" w:cs="宋体"/>
        </w:rPr>
        <w:t>式中：</w:t>
      </w:r>
    </w:p>
    <w:p w14:paraId="780AF1FB">
      <w:pPr>
        <w:spacing w:line="240" w:lineRule="auto"/>
        <w:ind w:left="630" w:leftChars="300"/>
        <w:jc w:val="left"/>
        <w:rPr>
          <w:rFonts w:hint="eastAsia" w:ascii="宋体" w:hAnsi="宋体" w:cs="宋体"/>
        </w:rPr>
      </w:pPr>
      <w:r>
        <w:rPr>
          <w:rFonts w:hint="eastAsia" w:ascii="宋体" w:hAnsi="宋体" w:cs="宋体"/>
          <w:i/>
          <w:iCs/>
        </w:rPr>
        <w:t>Q</w:t>
      </w:r>
      <w:r>
        <w:rPr>
          <w:rFonts w:hint="eastAsia" w:ascii="宋体" w:hAnsi="宋体" w:cs="宋体"/>
        </w:rPr>
        <w:t>——基坑计算涌水量，m³/d；</w:t>
      </w:r>
    </w:p>
    <w:p w14:paraId="217F2A66">
      <w:pPr>
        <w:spacing w:line="240" w:lineRule="auto"/>
        <w:ind w:left="630" w:leftChars="300"/>
        <w:jc w:val="left"/>
        <w:rPr>
          <w:rFonts w:hint="eastAsia" w:ascii="宋体" w:hAnsi="宋体" w:cs="宋体"/>
          <w:position w:val="-22"/>
        </w:rPr>
      </w:pPr>
      <w:r>
        <w:rPr>
          <w:rFonts w:hint="eastAsia" w:ascii="宋体" w:hAnsi="宋体" w:cs="宋体"/>
          <w:i/>
          <w:iCs/>
        </w:rPr>
        <w:t>K＇</w:t>
      </w:r>
      <w:r>
        <w:rPr>
          <w:rFonts w:hint="eastAsia" w:ascii="宋体" w:hAnsi="宋体" w:cs="宋体"/>
        </w:rPr>
        <w:t>——表观渗透系数，m/d；</w:t>
      </w:r>
    </w:p>
    <w:p w14:paraId="7686870A">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rPr>
        <w:t>——含水层厚度，m；</w:t>
      </w:r>
    </w:p>
    <w:p w14:paraId="110A1FB6">
      <w:pPr>
        <w:spacing w:line="240" w:lineRule="auto"/>
        <w:ind w:left="630" w:leftChars="300"/>
        <w:jc w:val="left"/>
        <w:rPr>
          <w:rFonts w:hint="eastAsia" w:ascii="宋体" w:hAnsi="宋体" w:cs="宋体"/>
        </w:rPr>
      </w:pPr>
      <w:r>
        <w:rPr>
          <w:rFonts w:hint="eastAsia" w:ascii="宋体" w:hAnsi="宋体" w:cs="宋体"/>
          <w:i/>
          <w:iCs/>
        </w:rPr>
        <w:t>S</w:t>
      </w:r>
      <w:r>
        <w:rPr>
          <w:rFonts w:hint="eastAsia" w:ascii="宋体" w:hAnsi="宋体" w:cs="宋体"/>
        </w:rPr>
        <w:t>——水位降深，m；</w:t>
      </w:r>
    </w:p>
    <w:p w14:paraId="31F1EBED">
      <w:pPr>
        <w:pStyle w:val="32"/>
        <w:spacing w:after="0" w:line="240" w:lineRule="auto"/>
        <w:ind w:left="630" w:leftChars="300" w:firstLine="0" w:firstLineChars="0"/>
        <w:jc w:val="left"/>
        <w:rPr>
          <w:rFonts w:ascii="宋体" w:hAnsi="宋体" w:eastAsia="宋体" w:cs="宋体"/>
        </w:rPr>
      </w:pPr>
      <w:r>
        <w:rPr>
          <w:rFonts w:ascii="宋体" w:hAnsi="宋体" w:eastAsia="宋体" w:cs="宋体"/>
          <w:i/>
          <w:iCs/>
        </w:rPr>
        <w:t>R＇</w:t>
      </w:r>
      <w:r>
        <w:rPr>
          <w:rFonts w:ascii="宋体" w:hAnsi="宋体" w:eastAsia="宋体" w:cs="宋体"/>
        </w:rPr>
        <w:t>——表观抽水影响半径，m；</w:t>
      </w:r>
    </w:p>
    <w:p w14:paraId="3E658E70">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i/>
          <w:iCs/>
          <w:vertAlign w:val="subscript"/>
        </w:rPr>
        <w:t>0</w:t>
      </w:r>
      <w:r>
        <w:rPr>
          <w:rFonts w:hint="eastAsia" w:ascii="宋体" w:hAnsi="宋体" w:cs="宋体"/>
        </w:rPr>
        <w:t>——基坑等效半径，m；</w:t>
      </w:r>
    </w:p>
    <w:p w14:paraId="6C909350">
      <w:pPr>
        <w:keepNext/>
        <w:spacing w:before="156" w:beforeLines="50" w:after="156" w:afterLines="50" w:line="240" w:lineRule="auto"/>
        <w:jc w:val="center"/>
        <w:rPr>
          <w:rFonts w:hint="eastAsia" w:ascii="黑体" w:hAnsi="黑体" w:eastAsia="黑体" w:cs="宋体"/>
          <w:strike/>
        </w:rPr>
      </w:pPr>
      <w:r>
        <w:rPr>
          <w:rFonts w:hint="eastAsia" w:ascii="黑体" w:hAnsi="黑体" w:eastAsia="黑体" w:cs="宋体"/>
        </w:rPr>
        <w:t xml:space="preserve">表D.3 </w:t>
      </w:r>
      <w:r>
        <w:rPr>
          <w:rFonts w:ascii="黑体" w:hAnsi="黑体" w:eastAsia="黑体" w:cs="宋体"/>
        </w:rPr>
        <w:t xml:space="preserve"> </w:t>
      </w:r>
      <w:r>
        <w:rPr>
          <w:rFonts w:hint="eastAsia" w:ascii="黑体" w:hAnsi="黑体" w:eastAsia="黑体" w:cs="宋体"/>
        </w:rPr>
        <w:t>隔水系数</w:t>
      </w:r>
      <w:r>
        <w:rPr>
          <w:rFonts w:hint="eastAsia" w:ascii="黑体" w:hAnsi="黑体" w:eastAsia="黑体" w:cs="宋体"/>
          <w:i/>
          <w:iCs/>
        </w:rPr>
        <w:t>λ</w:t>
      </w:r>
    </w:p>
    <w:tbl>
      <w:tblPr>
        <w:tblStyle w:val="33"/>
        <w:tblW w:w="82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6"/>
        <w:gridCol w:w="1448"/>
        <w:gridCol w:w="1768"/>
        <w:gridCol w:w="1815"/>
        <w:gridCol w:w="1402"/>
      </w:tblGrid>
      <w:tr w14:paraId="10254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816" w:type="dxa"/>
            <w:tcBorders>
              <w:top w:val="single" w:color="auto" w:sz="12" w:space="0"/>
              <w:bottom w:val="single" w:color="auto" w:sz="12" w:space="0"/>
            </w:tcBorders>
            <w:vAlign w:val="center"/>
          </w:tcPr>
          <w:p w14:paraId="3578FBE6">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隔水效果</w:t>
            </w:r>
          </w:p>
        </w:tc>
        <w:tc>
          <w:tcPr>
            <w:tcW w:w="1448" w:type="dxa"/>
            <w:tcBorders>
              <w:top w:val="single" w:color="auto" w:sz="12" w:space="0"/>
              <w:bottom w:val="single" w:color="auto" w:sz="12" w:space="0"/>
            </w:tcBorders>
            <w:vAlign w:val="center"/>
          </w:tcPr>
          <w:p w14:paraId="19864F16">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很好</w:t>
            </w:r>
          </w:p>
        </w:tc>
        <w:tc>
          <w:tcPr>
            <w:tcW w:w="1768" w:type="dxa"/>
            <w:tcBorders>
              <w:top w:val="single" w:color="auto" w:sz="12" w:space="0"/>
              <w:bottom w:val="single" w:color="auto" w:sz="12" w:space="0"/>
            </w:tcBorders>
            <w:vAlign w:val="center"/>
          </w:tcPr>
          <w:p w14:paraId="3A1BCB03">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较好</w:t>
            </w:r>
          </w:p>
        </w:tc>
        <w:tc>
          <w:tcPr>
            <w:tcW w:w="1815" w:type="dxa"/>
            <w:tcBorders>
              <w:top w:val="single" w:color="auto" w:sz="12" w:space="0"/>
              <w:bottom w:val="single" w:color="auto" w:sz="12" w:space="0"/>
            </w:tcBorders>
            <w:vAlign w:val="center"/>
          </w:tcPr>
          <w:p w14:paraId="6EF2BB35">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一般</w:t>
            </w:r>
          </w:p>
        </w:tc>
        <w:tc>
          <w:tcPr>
            <w:tcW w:w="1402" w:type="dxa"/>
            <w:tcBorders>
              <w:top w:val="single" w:color="auto" w:sz="12" w:space="0"/>
              <w:bottom w:val="single" w:color="auto" w:sz="12" w:space="0"/>
            </w:tcBorders>
            <w:vAlign w:val="center"/>
          </w:tcPr>
          <w:p w14:paraId="0BBDE4D7">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较差</w:t>
            </w:r>
          </w:p>
        </w:tc>
      </w:tr>
      <w:tr w14:paraId="33BA5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816" w:type="dxa"/>
            <w:tcBorders>
              <w:top w:val="single" w:color="auto" w:sz="12" w:space="0"/>
            </w:tcBorders>
            <w:vAlign w:val="center"/>
          </w:tcPr>
          <w:p w14:paraId="7FA37A83">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隔水系数</w:t>
            </w:r>
            <w:r>
              <w:rPr>
                <w:rFonts w:hint="eastAsia" w:ascii="宋体" w:hAnsi="宋体" w:cs="宋体"/>
                <w:i/>
                <w:iCs/>
                <w:sz w:val="18"/>
                <w:szCs w:val="18"/>
              </w:rPr>
              <w:t>λ</w:t>
            </w:r>
          </w:p>
        </w:tc>
        <w:tc>
          <w:tcPr>
            <w:tcW w:w="1448" w:type="dxa"/>
            <w:tcBorders>
              <w:top w:val="single" w:color="auto" w:sz="12" w:space="0"/>
            </w:tcBorders>
            <w:vAlign w:val="center"/>
          </w:tcPr>
          <w:p w14:paraId="5177B25A">
            <w:pPr>
              <w:spacing w:line="240" w:lineRule="auto"/>
              <w:ind w:left="16" w:hanging="16" w:hangingChars="9"/>
              <w:jc w:val="center"/>
              <w:rPr>
                <w:rFonts w:hint="eastAsia" w:ascii="宋体" w:hAnsi="宋体" w:cs="宋体"/>
                <w:sz w:val="18"/>
                <w:szCs w:val="18"/>
              </w:rPr>
            </w:pPr>
            <w:r>
              <w:rPr>
                <w:rFonts w:hint="eastAsia" w:ascii="宋体" w:hAnsi="宋体" w:cs="宋体"/>
                <w:i/>
                <w:iCs/>
                <w:sz w:val="18"/>
                <w:szCs w:val="18"/>
              </w:rPr>
              <w:t>λ</w:t>
            </w:r>
            <w:r>
              <w:rPr>
                <w:rFonts w:hint="eastAsia" w:ascii="宋体" w:hAnsi="宋体" w:cs="宋体"/>
                <w:sz w:val="18"/>
                <w:szCs w:val="18"/>
              </w:rPr>
              <w:t>＞0.75</w:t>
            </w:r>
          </w:p>
        </w:tc>
        <w:tc>
          <w:tcPr>
            <w:tcW w:w="1768" w:type="dxa"/>
            <w:tcBorders>
              <w:top w:val="single" w:color="auto" w:sz="12" w:space="0"/>
            </w:tcBorders>
            <w:vAlign w:val="center"/>
          </w:tcPr>
          <w:p w14:paraId="65CCE8FA">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0.50＜</w:t>
            </w:r>
            <w:r>
              <w:rPr>
                <w:rFonts w:hint="eastAsia" w:ascii="宋体" w:hAnsi="宋体" w:cs="宋体"/>
                <w:i/>
                <w:iCs/>
                <w:sz w:val="18"/>
                <w:szCs w:val="18"/>
              </w:rPr>
              <w:t>λ</w:t>
            </w:r>
            <w:r>
              <w:rPr>
                <w:rFonts w:hint="eastAsia" w:ascii="宋体" w:hAnsi="宋体" w:cs="宋体"/>
                <w:sz w:val="18"/>
                <w:szCs w:val="18"/>
              </w:rPr>
              <w:t>≤0.75</w:t>
            </w:r>
          </w:p>
        </w:tc>
        <w:tc>
          <w:tcPr>
            <w:tcW w:w="1815" w:type="dxa"/>
            <w:tcBorders>
              <w:top w:val="single" w:color="auto" w:sz="12" w:space="0"/>
            </w:tcBorders>
            <w:vAlign w:val="center"/>
          </w:tcPr>
          <w:p w14:paraId="329D3C37">
            <w:pPr>
              <w:spacing w:line="240" w:lineRule="auto"/>
              <w:ind w:left="16" w:hanging="16" w:hangingChars="9"/>
              <w:jc w:val="center"/>
              <w:rPr>
                <w:rFonts w:hint="eastAsia" w:ascii="宋体" w:hAnsi="宋体" w:cs="宋体"/>
                <w:sz w:val="18"/>
                <w:szCs w:val="18"/>
              </w:rPr>
            </w:pPr>
            <w:r>
              <w:rPr>
                <w:rFonts w:hint="eastAsia" w:ascii="宋体" w:hAnsi="宋体" w:cs="宋体"/>
                <w:sz w:val="18"/>
                <w:szCs w:val="18"/>
              </w:rPr>
              <w:t>0.25＜</w:t>
            </w:r>
            <w:r>
              <w:rPr>
                <w:rFonts w:hint="eastAsia" w:ascii="宋体" w:hAnsi="宋体" w:cs="宋体"/>
                <w:i/>
                <w:iCs/>
                <w:sz w:val="18"/>
                <w:szCs w:val="18"/>
              </w:rPr>
              <w:t>λ</w:t>
            </w:r>
            <w:r>
              <w:rPr>
                <w:rFonts w:hint="eastAsia" w:ascii="宋体" w:hAnsi="宋体" w:cs="宋体"/>
                <w:sz w:val="18"/>
                <w:szCs w:val="18"/>
              </w:rPr>
              <w:t>≤0.50</w:t>
            </w:r>
          </w:p>
        </w:tc>
        <w:tc>
          <w:tcPr>
            <w:tcW w:w="1402" w:type="dxa"/>
            <w:tcBorders>
              <w:top w:val="single" w:color="auto" w:sz="12" w:space="0"/>
            </w:tcBorders>
            <w:vAlign w:val="center"/>
          </w:tcPr>
          <w:p w14:paraId="5AEBF2C8">
            <w:pPr>
              <w:spacing w:line="240" w:lineRule="auto"/>
              <w:ind w:left="16" w:hanging="16" w:hangingChars="9"/>
              <w:jc w:val="center"/>
              <w:rPr>
                <w:rFonts w:hint="eastAsia" w:ascii="宋体" w:hAnsi="宋体" w:cs="宋体"/>
                <w:sz w:val="18"/>
                <w:szCs w:val="18"/>
              </w:rPr>
            </w:pPr>
            <w:r>
              <w:rPr>
                <w:rFonts w:hint="eastAsia" w:ascii="宋体" w:hAnsi="宋体" w:cs="宋体"/>
                <w:i/>
                <w:iCs/>
                <w:sz w:val="18"/>
                <w:szCs w:val="18"/>
              </w:rPr>
              <w:t>λ</w:t>
            </w:r>
            <w:r>
              <w:rPr>
                <w:rFonts w:hint="eastAsia" w:ascii="宋体" w:hAnsi="宋体" w:cs="宋体"/>
                <w:sz w:val="18"/>
                <w:szCs w:val="18"/>
              </w:rPr>
              <w:t>≤0.25</w:t>
            </w:r>
          </w:p>
        </w:tc>
      </w:tr>
    </w:tbl>
    <w:p w14:paraId="68E181F2">
      <w:pPr>
        <w:spacing w:line="240" w:lineRule="auto"/>
      </w:pPr>
      <w:r>
        <w:br w:type="page"/>
      </w:r>
    </w:p>
    <w:p w14:paraId="7A1FB7C7">
      <w:pPr>
        <w:pStyle w:val="84"/>
        <w:numPr>
          <w:ilvl w:val="0"/>
          <w:numId w:val="0"/>
        </w:numPr>
        <w:spacing w:after="156"/>
      </w:pPr>
      <w:bookmarkStart w:id="543" w:name="_Toc11764"/>
      <w:bookmarkStart w:id="544" w:name="_Toc28446"/>
      <w:bookmarkStart w:id="545" w:name="_Toc142730210"/>
      <w:r>
        <w:rPr>
          <w:spacing w:val="100"/>
        </w:rPr>
        <w:t>附录</w:t>
      </w:r>
      <w:r>
        <w:rPr>
          <w:rFonts w:hint="eastAsia"/>
          <w:spacing w:val="100"/>
        </w:rPr>
        <w:t>E</w:t>
      </w:r>
      <w:r>
        <w:br w:type="textWrapping"/>
      </w:r>
      <w:r>
        <w:rPr>
          <w:rFonts w:hint="eastAsia"/>
        </w:rPr>
        <w:t>（资料性）</w:t>
      </w:r>
      <w:r>
        <w:rPr>
          <w:rFonts w:hint="eastAsia"/>
        </w:rPr>
        <w:br w:type="textWrapping"/>
      </w:r>
      <w:r>
        <w:rPr>
          <w:rFonts w:hint="eastAsia"/>
        </w:rPr>
        <w:t>降水水位计算与预测</w:t>
      </w:r>
      <w:bookmarkEnd w:id="543"/>
      <w:bookmarkEnd w:id="544"/>
    </w:p>
    <w:bookmarkEnd w:id="545"/>
    <w:p w14:paraId="2C2AB2BB">
      <w:pPr>
        <w:spacing w:line="240" w:lineRule="auto"/>
        <w:rPr>
          <w:bCs/>
        </w:rPr>
      </w:pPr>
      <w:r>
        <w:rPr>
          <w:bCs/>
        </w:rPr>
        <w:t>E</w:t>
      </w:r>
      <w:r>
        <w:rPr>
          <w:rFonts w:hint="eastAsia"/>
          <w:bCs/>
        </w:rPr>
        <w:t>. 1  </w:t>
      </w:r>
      <w:r>
        <w:rPr>
          <w:bCs/>
        </w:rPr>
        <w:t>面状基坑</w:t>
      </w:r>
      <w:r>
        <w:rPr>
          <w:rFonts w:hint="eastAsia"/>
          <w:bCs/>
        </w:rPr>
        <w:t>降水工程水位计算与预测可按下列公式进行：</w:t>
      </w:r>
    </w:p>
    <w:p w14:paraId="0914ABCE">
      <w:pPr>
        <w:pStyle w:val="182"/>
        <w:ind w:left="420" w:firstLine="0"/>
      </w:pPr>
      <w:r>
        <w:rPr>
          <w:rFonts w:hint="eastAsia"/>
        </w:rPr>
        <w:t>在无限分布均质各项同性无越流条件下，非稳定流干扰井降深预测采用下列公式。</w:t>
      </w:r>
    </w:p>
    <w:p w14:paraId="01449E76">
      <w:pPr>
        <w:pStyle w:val="253"/>
        <w:numPr>
          <w:ilvl w:val="0"/>
          <w:numId w:val="105"/>
        </w:numPr>
        <w:spacing w:line="240" w:lineRule="auto"/>
        <w:ind w:left="1052" w:leftChars="400" w:hanging="212" w:hangingChars="101"/>
        <w:jc w:val="both"/>
        <w:rPr>
          <w:rFonts w:ascii="Times New Roman" w:hAnsi="Times New Roman" w:cs="Times New Roman"/>
          <w:bCs/>
          <w:color w:val="auto"/>
          <w:sz w:val="21"/>
        </w:rPr>
      </w:pPr>
      <w:r>
        <w:rPr>
          <w:rFonts w:ascii="Times New Roman" w:hAnsi="Times New Roman" w:cs="Times New Roman"/>
          <w:bCs/>
          <w:color w:val="auto"/>
          <w:sz w:val="21"/>
        </w:rPr>
        <w:t>承压水非稳定流干扰井计算公式：</w:t>
      </w:r>
    </w:p>
    <w:p w14:paraId="21FDBBA5">
      <w:pPr>
        <w:pStyle w:val="236"/>
        <w:spacing w:before="156" w:beforeLines="50" w:after="156" w:afterLines="50"/>
        <w:jc w:val="right"/>
        <w:rPr>
          <w:rFonts w:ascii="Times New Roman" w:hAnsi="Times New Roman" w:cs="Times New Roman"/>
          <w:bCs/>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j</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4</m:t>
            </m:r>
            <m:r>
              <m:rPr>
                <m:sty m:val="p"/>
              </m:rPr>
              <w:rPr>
                <w:rFonts w:ascii="Cambria Math" w:hAnsi="Cambria Math"/>
                <w:color w:val="auto"/>
                <w:sz w:val="21"/>
                <w:szCs w:val="21"/>
              </w:rPr>
              <m:t>π</m:t>
            </m:r>
            <m:r>
              <m:rPr/>
              <w:rPr>
                <w:rFonts w:ascii="Cambria Math" w:hAnsi="Cambria Math"/>
                <w:color w:val="auto"/>
                <w:sz w:val="21"/>
                <w:szCs w:val="21"/>
              </w:rPr>
              <m:t>T</m:t>
            </m:r>
            <m:ctrlPr>
              <w:rPr>
                <w:rFonts w:ascii="Cambria Math" w:hAnsi="Cambria Math"/>
                <w:i/>
                <w:iCs/>
                <w:color w:val="auto"/>
                <w:sz w:val="21"/>
                <w:szCs w:val="21"/>
              </w:rPr>
            </m:ctrlPr>
          </m:den>
        </m:f>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ctrlPr>
                  <w:rPr>
                    <w:rFonts w:ascii="Cambria Math" w:hAnsi="Cambria Math"/>
                    <w:bCs/>
                    <w:i/>
                    <w:iCs/>
                    <w:color w:val="auto"/>
                    <w:sz w:val="21"/>
                    <w:szCs w:val="21"/>
                  </w:rPr>
                </m:ctrlPr>
              </m:dPr>
              <m:e>
                <m:f>
                  <m:fPr>
                    <m:ctrlPr>
                      <w:rPr>
                        <w:rFonts w:ascii="Cambria Math" w:hAnsi="Cambria Math"/>
                        <w:bCs/>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bCs/>
                        <w:i/>
                        <w:iCs/>
                        <w:color w:val="auto"/>
                        <w:sz w:val="21"/>
                        <w:szCs w:val="21"/>
                      </w:rPr>
                    </m:ctrlPr>
                  </m:num>
                  <m:den>
                    <m:r>
                      <m:rPr/>
                      <w:rPr>
                        <w:rFonts w:ascii="Cambria Math" w:hAnsi="Cambria Math"/>
                        <w:color w:val="auto"/>
                        <w:sz w:val="21"/>
                        <w:szCs w:val="21"/>
                      </w:rPr>
                      <m:t>4a</m:t>
                    </m:r>
                    <m:sSub>
                      <m:sSubPr>
                        <m:ctrlPr>
                          <w:rPr>
                            <w:rFonts w:ascii="Cambria Math" w:hAnsi="Cambria Math"/>
                            <w:bCs/>
                            <w:i/>
                            <w:iCs/>
                            <w:color w:val="auto"/>
                            <w:sz w:val="21"/>
                            <w:szCs w:val="21"/>
                          </w:rPr>
                        </m:ctrlPr>
                      </m:sSubPr>
                      <m:e>
                        <m:r>
                          <m:rPr/>
                          <w:rPr>
                            <w:rFonts w:ascii="Cambria Math" w:hAnsi="Cambria Math"/>
                            <w:color w:val="auto"/>
                            <w:sz w:val="21"/>
                            <w:szCs w:val="21"/>
                          </w:rPr>
                          <m:t>t</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ctrlPr>
                      <w:rPr>
                        <w:rFonts w:ascii="Cambria Math" w:hAnsi="Cambria Math"/>
                        <w:bCs/>
                        <w:i/>
                        <w:iCs/>
                        <w:color w:val="auto"/>
                        <w:sz w:val="21"/>
                        <w:szCs w:val="21"/>
                      </w:rPr>
                    </m:ctrlPr>
                  </m:den>
                </m:f>
                <m:ctrlPr>
                  <w:rPr>
                    <w:rFonts w:ascii="Cambria Math" w:hAnsi="Cambria Math"/>
                    <w:bCs/>
                    <w:i/>
                    <w:iCs/>
                    <w:color w:val="auto"/>
                    <w:sz w:val="21"/>
                    <w:szCs w:val="21"/>
                  </w:rPr>
                </m:ctrlPr>
              </m:e>
            </m:d>
            <m:ctrlPr>
              <w:rPr>
                <w:rFonts w:ascii="Cambria Math" w:hAnsi="Cambria Math"/>
                <w:bCs/>
                <w:i/>
                <w:iCs/>
                <w:color w:val="auto"/>
                <w:sz w:val="21"/>
                <w:szCs w:val="21"/>
              </w:rPr>
            </m:ctrlPr>
          </m:e>
        </m:nary>
      </m:oMath>
      <w:r>
        <w:rPr>
          <w:rFonts w:hint="eastAsia" w:ascii="MS Gothic" w:hAnsi="MS Gothic" w:eastAsia="MS Gothic" w:cs="MS Gothic"/>
          <w:bCs/>
          <w:i/>
          <w:iCs/>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-1）</w:t>
      </w:r>
    </w:p>
    <w:p w14:paraId="30BE052B">
      <w:pPr>
        <w:pStyle w:val="256"/>
        <w:ind w:left="840" w:leftChars="200" w:hanging="420" w:hangingChars="200"/>
        <w:jc w:val="both"/>
        <w:rPr>
          <w:rFonts w:ascii="Times New Roman" w:hAnsi="Times New Roman"/>
          <w:bCs/>
          <w:sz w:val="21"/>
          <w:szCs w:val="21"/>
        </w:rPr>
      </w:pPr>
      <w:r>
        <w:rPr>
          <w:rFonts w:ascii="Times New Roman" w:hAnsi="Times New Roman"/>
          <w:bCs/>
          <w:sz w:val="21"/>
          <w:szCs w:val="21"/>
        </w:rPr>
        <w:t>或者（</w:t>
      </w:r>
      <w:r>
        <w:rPr>
          <w:rFonts w:ascii="Times New Roman" w:hAnsi="Times New Roman"/>
          <w:bCs/>
          <w:i/>
          <w:iCs/>
          <w:sz w:val="21"/>
          <w:szCs w:val="21"/>
        </w:rPr>
        <w:t>ui</w:t>
      </w:r>
      <w:r>
        <w:rPr>
          <w:rFonts w:ascii="Times New Roman" w:hAnsi="Times New Roman"/>
          <w:bCs/>
          <w:sz w:val="21"/>
          <w:szCs w:val="21"/>
        </w:rPr>
        <w:t>＜0.01时）</w:t>
      </w:r>
    </w:p>
    <w:p w14:paraId="129E7C5B">
      <w:pPr>
        <w:pStyle w:val="236"/>
        <w:spacing w:before="156" w:beforeLines="50" w:after="156" w:afterLines="50"/>
        <w:jc w:val="right"/>
        <w:rPr>
          <w:rFonts w:ascii="Times New Roman" w:hAnsi="Times New Roman" w:cs="Times New Roman"/>
          <w:bCs/>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j</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4</m:t>
            </m:r>
            <m:r>
              <m:rPr>
                <m:sty m:val="p"/>
              </m:rPr>
              <w:rPr>
                <w:rFonts w:ascii="Cambria Math" w:hAnsi="Cambria Math"/>
                <w:color w:val="auto"/>
                <w:sz w:val="21"/>
                <w:szCs w:val="21"/>
              </w:rPr>
              <m:t>π</m:t>
            </m:r>
            <m:r>
              <m:rPr/>
              <w:rPr>
                <w:rFonts w:ascii="Cambria Math" w:hAnsi="Cambria Math"/>
                <w:color w:val="auto"/>
                <w:sz w:val="21"/>
                <w:szCs w:val="21"/>
              </w:rPr>
              <m:t>T</m:t>
            </m:r>
            <m:ctrlPr>
              <w:rPr>
                <w:rFonts w:ascii="Cambria Math" w:hAnsi="Cambria Math"/>
                <w:i/>
                <w:iCs/>
                <w:color w:val="auto"/>
                <w:sz w:val="21"/>
                <w:szCs w:val="21"/>
              </w:rPr>
            </m:ctrlPr>
          </m:den>
        </m:f>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m:sty m:val="p"/>
              </m:rPr>
              <w:rPr>
                <w:rFonts w:ascii="Cambria Math" w:hAnsi="Cambria Math"/>
                <w:color w:val="auto"/>
                <w:sz w:val="21"/>
                <w:szCs w:val="21"/>
              </w:rPr>
              <m:t>ln</m:t>
            </m:r>
            <m:d>
              <m:dPr>
                <m:ctrlPr>
                  <w:rPr>
                    <w:rFonts w:ascii="Cambria Math" w:hAnsi="Cambria Math"/>
                    <w:bCs/>
                    <w:i/>
                    <w:iCs/>
                    <w:color w:val="auto"/>
                    <w:sz w:val="21"/>
                    <w:szCs w:val="21"/>
                  </w:rPr>
                </m:ctrlPr>
              </m:dPr>
              <m:e>
                <m:f>
                  <m:fPr>
                    <m:ctrlPr>
                      <w:rPr>
                        <w:rFonts w:ascii="Cambria Math" w:hAnsi="Cambria Math"/>
                        <w:bCs/>
                        <w:i/>
                        <w:iCs/>
                        <w:color w:val="auto"/>
                        <w:sz w:val="21"/>
                        <w:szCs w:val="21"/>
                      </w:rPr>
                    </m:ctrlPr>
                  </m:fPr>
                  <m:num>
                    <m:r>
                      <m:rPr/>
                      <w:rPr>
                        <w:rFonts w:ascii="Cambria Math" w:hAnsi="Cambria Math"/>
                        <w:color w:val="auto"/>
                        <w:sz w:val="21"/>
                        <w:szCs w:val="21"/>
                      </w:rPr>
                      <m:t>2.25a</m:t>
                    </m:r>
                    <m:sSub>
                      <m:sSubPr>
                        <m:ctrlPr>
                          <w:rPr>
                            <w:rFonts w:ascii="Cambria Math" w:hAnsi="Cambria Math"/>
                            <w:bCs/>
                            <w:i/>
                            <w:iCs/>
                            <w:color w:val="auto"/>
                            <w:sz w:val="21"/>
                            <w:szCs w:val="21"/>
                          </w:rPr>
                        </m:ctrlPr>
                      </m:sSubPr>
                      <m:e>
                        <m:r>
                          <m:rPr/>
                          <w:rPr>
                            <w:rFonts w:ascii="Cambria Math" w:hAnsi="Cambria Math"/>
                            <w:color w:val="auto"/>
                            <w:sz w:val="21"/>
                            <w:szCs w:val="21"/>
                          </w:rPr>
                          <m:t>t</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ctrlPr>
                      <w:rPr>
                        <w:rFonts w:ascii="Cambria Math" w:hAnsi="Cambria Math"/>
                        <w:bCs/>
                        <w:i/>
                        <w:iCs/>
                        <w:color w:val="auto"/>
                        <w:sz w:val="21"/>
                        <w:szCs w:val="21"/>
                      </w:rPr>
                    </m:ctrlPr>
                  </m:num>
                  <m:den>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bCs/>
                        <w:i/>
                        <w:iCs/>
                        <w:color w:val="auto"/>
                        <w:sz w:val="21"/>
                        <w:szCs w:val="21"/>
                      </w:rPr>
                    </m:ctrlPr>
                  </m:den>
                </m:f>
                <m:ctrlPr>
                  <w:rPr>
                    <w:rFonts w:ascii="Cambria Math" w:hAnsi="Cambria Math"/>
                    <w:bCs/>
                    <w:i/>
                    <w:iCs/>
                    <w:color w:val="auto"/>
                    <w:sz w:val="21"/>
                    <w:szCs w:val="21"/>
                  </w:rPr>
                </m:ctrlPr>
              </m:e>
            </m:d>
            <m:ctrlPr>
              <w:rPr>
                <w:rFonts w:ascii="Cambria Math" w:hAnsi="Cambria Math"/>
                <w:bCs/>
                <w:i/>
                <w:iCs/>
                <w:color w:val="auto"/>
                <w:sz w:val="21"/>
                <w:szCs w:val="21"/>
              </w:rPr>
            </m:ctrlPr>
          </m:e>
        </m:nary>
      </m:oMath>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-2）</w:t>
      </w:r>
    </w:p>
    <w:p w14:paraId="39D0B539">
      <w:pPr>
        <w:pStyle w:val="253"/>
        <w:spacing w:line="240" w:lineRule="auto"/>
        <w:ind w:left="1052" w:leftChars="400" w:hanging="212" w:hangingChars="101"/>
        <w:jc w:val="both"/>
        <w:rPr>
          <w:rFonts w:ascii="Times New Roman" w:hAnsi="Times New Roman" w:cs="Times New Roman"/>
          <w:bCs/>
          <w:color w:val="auto"/>
          <w:sz w:val="21"/>
        </w:rPr>
      </w:pPr>
      <w:r>
        <w:rPr>
          <w:rFonts w:hint="eastAsia" w:ascii="Times New Roman" w:hAnsi="Times New Roman" w:cs="Times New Roman"/>
          <w:bCs/>
          <w:color w:val="auto"/>
          <w:sz w:val="21"/>
        </w:rPr>
        <w:t>（2）</w:t>
      </w:r>
      <w:r>
        <w:rPr>
          <w:rFonts w:ascii="Times New Roman" w:hAnsi="Times New Roman" w:cs="Times New Roman"/>
          <w:bCs/>
          <w:color w:val="auto"/>
          <w:sz w:val="21"/>
        </w:rPr>
        <w:t>潜水含水层中按任意方式布井的干扰计算公式：</w:t>
      </w:r>
    </w:p>
    <w:p w14:paraId="6B94C2C4">
      <w:pPr>
        <w:pStyle w:val="236"/>
        <w:spacing w:before="156" w:beforeLines="50" w:after="156" w:afterLines="50"/>
        <w:jc w:val="right"/>
        <w:rPr>
          <w:rFonts w:ascii="Times New Roman" w:hAnsi="Times New Roman" w:cs="Times New Roman"/>
          <w:bCs/>
          <w:iCs/>
          <w:color w:val="auto"/>
          <w:sz w:val="21"/>
          <w:szCs w:val="21"/>
        </w:rPr>
      </w:pPr>
      <m:oMath>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2</m:t>
            </m:r>
            <m:r>
              <m:rPr>
                <m:sty m:val="p"/>
              </m:rPr>
              <w:rPr>
                <w:rFonts w:ascii="Cambria Math" w:hAnsi="Cambria Math"/>
                <w:color w:val="auto"/>
                <w:sz w:val="21"/>
                <w:szCs w:val="21"/>
              </w:rPr>
              <m:t>π</m:t>
            </m:r>
            <m:r>
              <m:rPr/>
              <w:rPr>
                <w:rFonts w:ascii="Cambria Math" w:hAnsi="Cambria Math"/>
                <w:color w:val="auto"/>
                <w:sz w:val="21"/>
                <w:szCs w:val="21"/>
              </w:rPr>
              <m:t>k</m:t>
            </m:r>
            <m:ctrlPr>
              <w:rPr>
                <w:rFonts w:ascii="Cambria Math" w:hAnsi="Cambria Math"/>
                <w:i/>
                <w:iCs/>
                <w:color w:val="auto"/>
                <w:sz w:val="21"/>
                <w:szCs w:val="21"/>
              </w:rPr>
            </m:ctrlPr>
          </m:den>
        </m:f>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ctrlPr>
                  <w:rPr>
                    <w:rFonts w:ascii="Cambria Math" w:hAnsi="Cambria Math"/>
                    <w:bCs/>
                    <w:i/>
                    <w:iCs/>
                    <w:color w:val="auto"/>
                    <w:sz w:val="21"/>
                    <w:szCs w:val="21"/>
                  </w:rPr>
                </m:ctrlPr>
              </m:dPr>
              <m:e>
                <m:f>
                  <m:fPr>
                    <m:ctrlPr>
                      <w:rPr>
                        <w:rFonts w:ascii="Cambria Math" w:hAnsi="Cambria Math"/>
                        <w:bCs/>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bCs/>
                        <w:i/>
                        <w:iCs/>
                        <w:color w:val="auto"/>
                        <w:sz w:val="21"/>
                        <w:szCs w:val="21"/>
                      </w:rPr>
                    </m:ctrlPr>
                  </m:num>
                  <m:den>
                    <m:r>
                      <m:rPr/>
                      <w:rPr>
                        <w:rFonts w:ascii="Cambria Math" w:hAnsi="Cambria Math"/>
                        <w:color w:val="auto"/>
                        <w:sz w:val="21"/>
                        <w:szCs w:val="21"/>
                      </w:rPr>
                      <m:t>4a</m:t>
                    </m:r>
                    <m:sSub>
                      <m:sSubPr>
                        <m:ctrlPr>
                          <w:rPr>
                            <w:rFonts w:ascii="Cambria Math" w:hAnsi="Cambria Math"/>
                            <w:bCs/>
                            <w:i/>
                            <w:iCs/>
                            <w:color w:val="auto"/>
                            <w:sz w:val="21"/>
                            <w:szCs w:val="21"/>
                          </w:rPr>
                        </m:ctrlPr>
                      </m:sSubPr>
                      <m:e>
                        <m:r>
                          <m:rPr/>
                          <w:rPr>
                            <w:rFonts w:ascii="Cambria Math" w:hAnsi="Cambria Math"/>
                            <w:color w:val="auto"/>
                            <w:sz w:val="21"/>
                            <w:szCs w:val="21"/>
                          </w:rPr>
                          <m:t>t</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ctrlPr>
                      <w:rPr>
                        <w:rFonts w:ascii="Cambria Math" w:hAnsi="Cambria Math"/>
                        <w:bCs/>
                        <w:i/>
                        <w:iCs/>
                        <w:color w:val="auto"/>
                        <w:sz w:val="21"/>
                        <w:szCs w:val="21"/>
                      </w:rPr>
                    </m:ctrlPr>
                  </m:den>
                </m:f>
                <m:ctrlPr>
                  <w:rPr>
                    <w:rFonts w:ascii="Cambria Math" w:hAnsi="Cambria Math"/>
                    <w:bCs/>
                    <w:i/>
                    <w:iCs/>
                    <w:color w:val="auto"/>
                    <w:sz w:val="21"/>
                    <w:szCs w:val="21"/>
                  </w:rPr>
                </m:ctrlPr>
              </m:e>
            </m:d>
            <m:ctrlPr>
              <w:rPr>
                <w:rFonts w:ascii="Cambria Math" w:hAnsi="Cambria Math"/>
                <w:bCs/>
                <w:i/>
                <w:iCs/>
                <w:color w:val="auto"/>
                <w:sz w:val="21"/>
                <w:szCs w:val="21"/>
              </w:rPr>
            </m:ctrlPr>
          </m:e>
        </m:nary>
      </m:oMath>
      <w:r>
        <w:rPr>
          <w:rFonts w:hint="eastAsia" w:hAnsi="Cambria Math"/>
          <w:bCs/>
          <w:color w:val="auto"/>
          <w:sz w:val="21"/>
          <w:szCs w:val="21"/>
        </w:rPr>
        <w:t xml:space="preserve">            </w:t>
      </w:r>
      <w:r>
        <w:rPr>
          <w:rFonts w:hAnsi="Cambria Math"/>
          <w:bCs/>
          <w:color w:val="auto"/>
          <w:sz w:val="21"/>
          <w:szCs w:val="21"/>
        </w:rPr>
        <w:t xml:space="preserve">       </w:t>
      </w:r>
      <w:r>
        <w:rPr>
          <w:rFonts w:hAnsi="Cambria Math"/>
          <w:bCs/>
          <w:iCs/>
          <w:color w:val="auto"/>
          <w:sz w:val="21"/>
          <w:szCs w:val="21"/>
        </w:rPr>
        <w:t xml:space="preserve">    </w:t>
      </w:r>
      <w:r>
        <w:rPr>
          <w:rFonts w:hint="eastAsia" w:hAnsi="Cambria Math"/>
          <w:bCs/>
          <w:iCs/>
          <w:color w:val="auto"/>
          <w:sz w:val="21"/>
          <w:szCs w:val="21"/>
        </w:rPr>
        <w:t>                  （</w:t>
      </w:r>
      <w:r>
        <w:rPr>
          <w:rFonts w:hAnsi="Cambria Math"/>
          <w:bCs/>
          <w:iCs/>
          <w:color w:val="auto"/>
          <w:sz w:val="21"/>
          <w:szCs w:val="21"/>
        </w:rPr>
        <w:t>E</w:t>
      </w:r>
      <w:r>
        <w:rPr>
          <w:rFonts w:hint="eastAsia" w:hAnsi="Cambria Math"/>
          <w:bCs/>
          <w:iCs/>
          <w:color w:val="auto"/>
          <w:sz w:val="21"/>
          <w:szCs w:val="21"/>
        </w:rPr>
        <w:t>-3）</w:t>
      </w:r>
    </w:p>
    <w:p w14:paraId="775681A2">
      <w:pPr>
        <w:pStyle w:val="236"/>
        <w:spacing w:before="156" w:beforeLines="50" w:after="156" w:afterLines="50"/>
        <w:jc w:val="right"/>
        <w:rPr>
          <w:rFonts w:ascii="Times New Roman" w:hAnsi="Times New Roman" w:cs="Times New Roman"/>
          <w:bCs/>
          <w:iCs/>
          <w:color w:val="auto"/>
          <w:sz w:val="21"/>
          <w:szCs w:val="21"/>
        </w:rPr>
      </w:pPr>
    </w:p>
    <w:p w14:paraId="12486C05">
      <w:pPr>
        <w:pStyle w:val="256"/>
        <w:ind w:left="840" w:leftChars="200" w:hanging="420" w:hangingChars="200"/>
        <w:jc w:val="both"/>
        <w:rPr>
          <w:rFonts w:ascii="Times New Roman" w:hAnsi="Times New Roman"/>
          <w:bCs/>
          <w:iCs/>
          <w:sz w:val="21"/>
          <w:szCs w:val="21"/>
        </w:rPr>
      </w:pPr>
      <w:r>
        <w:rPr>
          <w:rFonts w:ascii="Times New Roman" w:hAnsi="Times New Roman"/>
          <w:bCs/>
          <w:iCs/>
          <w:sz w:val="21"/>
          <w:szCs w:val="21"/>
        </w:rPr>
        <w:t>或者（</w:t>
      </w:r>
      <w:r>
        <w:rPr>
          <w:rFonts w:ascii="Times New Roman" w:hAnsi="Times New Roman"/>
          <w:bCs/>
          <w:i/>
          <w:iCs/>
          <w:sz w:val="21"/>
          <w:szCs w:val="21"/>
        </w:rPr>
        <w:t>ui</w:t>
      </w:r>
      <w:r>
        <w:rPr>
          <w:rFonts w:ascii="Times New Roman" w:hAnsi="Times New Roman"/>
          <w:bCs/>
          <w:iCs/>
          <w:sz w:val="21"/>
          <w:szCs w:val="21"/>
        </w:rPr>
        <w:t>＜0.01时）</w:t>
      </w:r>
    </w:p>
    <w:p w14:paraId="369DB34C">
      <w:pPr>
        <w:pStyle w:val="236"/>
        <w:spacing w:before="156" w:beforeLines="50" w:after="156" w:afterLines="50"/>
        <w:jc w:val="right"/>
        <w:rPr>
          <w:rFonts w:ascii="Times New Roman" w:hAnsi="Times New Roman" w:cs="Times New Roman"/>
          <w:bCs/>
          <w:color w:val="auto"/>
          <w:sz w:val="21"/>
          <w:szCs w:val="21"/>
        </w:rPr>
      </w:pPr>
      <m:oMath>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2</m:t>
            </m:r>
            <m:r>
              <m:rPr>
                <m:sty m:val="p"/>
              </m:rPr>
              <w:rPr>
                <w:rFonts w:ascii="Cambria Math" w:hAnsi="Cambria Math"/>
                <w:color w:val="auto"/>
                <w:sz w:val="21"/>
                <w:szCs w:val="21"/>
              </w:rPr>
              <m:t>π</m:t>
            </m:r>
            <m:r>
              <m:rPr/>
              <w:rPr>
                <w:rFonts w:ascii="Cambria Math" w:hAnsi="Cambria Math"/>
                <w:color w:val="auto"/>
                <w:sz w:val="21"/>
                <w:szCs w:val="21"/>
              </w:rPr>
              <m:t>K</m:t>
            </m:r>
            <m:ctrlPr>
              <w:rPr>
                <w:rFonts w:ascii="Cambria Math" w:hAnsi="Cambria Math"/>
                <w:i/>
                <w:iCs/>
                <w:color w:val="auto"/>
                <w:sz w:val="21"/>
                <w:szCs w:val="21"/>
              </w:rPr>
            </m:ctrlPr>
          </m:den>
        </m:f>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m:sty m:val="p"/>
              </m:rPr>
              <w:rPr>
                <w:rFonts w:ascii="Cambria Math" w:hAnsi="Cambria Math"/>
                <w:color w:val="auto"/>
                <w:sz w:val="21"/>
                <w:szCs w:val="21"/>
              </w:rPr>
              <m:t>ln</m:t>
            </m:r>
            <m:d>
              <m:dPr>
                <m:ctrlPr>
                  <w:rPr>
                    <w:rFonts w:ascii="Cambria Math" w:hAnsi="Cambria Math"/>
                    <w:bCs/>
                    <w:i/>
                    <w:iCs/>
                    <w:color w:val="auto"/>
                    <w:sz w:val="21"/>
                    <w:szCs w:val="21"/>
                  </w:rPr>
                </m:ctrlPr>
              </m:dPr>
              <m:e>
                <m:f>
                  <m:fPr>
                    <m:ctrlPr>
                      <w:rPr>
                        <w:rFonts w:ascii="Cambria Math" w:hAnsi="Cambria Math"/>
                        <w:bCs/>
                        <w:i/>
                        <w:iCs/>
                        <w:color w:val="auto"/>
                        <w:sz w:val="21"/>
                        <w:szCs w:val="21"/>
                      </w:rPr>
                    </m:ctrlPr>
                  </m:fPr>
                  <m:num>
                    <m:r>
                      <m:rPr/>
                      <w:rPr>
                        <w:rFonts w:ascii="Cambria Math" w:hAnsi="Cambria Math"/>
                        <w:color w:val="auto"/>
                        <w:sz w:val="21"/>
                        <w:szCs w:val="21"/>
                      </w:rPr>
                      <m:t>2.25a</m:t>
                    </m:r>
                    <m:sSub>
                      <m:sSubPr>
                        <m:ctrlPr>
                          <w:rPr>
                            <w:rFonts w:ascii="Cambria Math" w:hAnsi="Cambria Math"/>
                            <w:bCs/>
                            <w:i/>
                            <w:iCs/>
                            <w:color w:val="auto"/>
                            <w:sz w:val="21"/>
                            <w:szCs w:val="21"/>
                          </w:rPr>
                        </m:ctrlPr>
                      </m:sSubPr>
                      <m:e>
                        <m:r>
                          <m:rPr/>
                          <w:rPr>
                            <w:rFonts w:ascii="Cambria Math" w:hAnsi="Cambria Math"/>
                            <w:color w:val="auto"/>
                            <w:sz w:val="21"/>
                            <w:szCs w:val="21"/>
                          </w:rPr>
                          <m:t>t</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ctrlPr>
                      <w:rPr>
                        <w:rFonts w:ascii="Cambria Math" w:hAnsi="Cambria Math"/>
                        <w:bCs/>
                        <w:i/>
                        <w:iCs/>
                        <w:color w:val="auto"/>
                        <w:sz w:val="21"/>
                        <w:szCs w:val="21"/>
                      </w:rPr>
                    </m:ctrlPr>
                  </m:num>
                  <m:den>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bCs/>
                        <w:i/>
                        <w:iCs/>
                        <w:color w:val="auto"/>
                        <w:sz w:val="21"/>
                        <w:szCs w:val="21"/>
                      </w:rPr>
                    </m:ctrlPr>
                  </m:den>
                </m:f>
                <m:ctrlPr>
                  <w:rPr>
                    <w:rFonts w:ascii="Cambria Math" w:hAnsi="Cambria Math"/>
                    <w:bCs/>
                    <w:i/>
                    <w:iCs/>
                    <w:color w:val="auto"/>
                    <w:sz w:val="21"/>
                    <w:szCs w:val="21"/>
                  </w:rPr>
                </m:ctrlPr>
              </m:e>
            </m:d>
            <m:ctrlPr>
              <w:rPr>
                <w:rFonts w:ascii="Cambria Math" w:hAnsi="Cambria Math"/>
                <w:bCs/>
                <w:i/>
                <w:iCs/>
                <w:color w:val="auto"/>
                <w:sz w:val="21"/>
                <w:szCs w:val="21"/>
              </w:rPr>
            </m:ctrlPr>
          </m:e>
        </m:nary>
      </m:oMath>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-4）</w:t>
      </w:r>
    </w:p>
    <w:p w14:paraId="67C32FE4">
      <w:pPr>
        <w:pStyle w:val="259"/>
        <w:spacing w:line="240" w:lineRule="auto"/>
        <w:ind w:left="630" w:leftChars="300"/>
        <w:rPr>
          <w:rFonts w:hint="eastAsia" w:hAnsi="宋体" w:cs="宋体"/>
          <w:bCs/>
          <w:sz w:val="21"/>
          <w:szCs w:val="21"/>
        </w:rPr>
      </w:pPr>
      <w:r>
        <w:rPr>
          <w:rFonts w:hint="eastAsia" w:hAnsi="宋体" w:cs="宋体"/>
          <w:bCs/>
          <w:sz w:val="21"/>
          <w:szCs w:val="21"/>
        </w:rPr>
        <w:t>式中：</w:t>
      </w:r>
    </w:p>
    <w:p w14:paraId="646FD82A">
      <w:pPr>
        <w:pStyle w:val="251"/>
        <w:spacing w:line="240" w:lineRule="auto"/>
        <w:ind w:left="630" w:leftChars="300"/>
        <w:rPr>
          <w:rFonts w:hint="eastAsia" w:hAnsi="宋体" w:cs="宋体"/>
          <w:bCs/>
          <w:sz w:val="21"/>
          <w:szCs w:val="21"/>
        </w:rPr>
      </w:pPr>
      <w:r>
        <w:rPr>
          <w:rFonts w:hint="eastAsia" w:hAnsi="宋体" w:cs="宋体"/>
          <w:bCs/>
          <w:i/>
          <w:iCs/>
          <w:sz w:val="21"/>
          <w:szCs w:val="21"/>
        </w:rPr>
        <w:t>S</w:t>
      </w:r>
      <w:r>
        <w:rPr>
          <w:rFonts w:hint="eastAsia" w:hAnsi="宋体" w:cs="宋体"/>
          <w:bCs/>
          <w:i/>
          <w:iCs/>
          <w:sz w:val="21"/>
          <w:szCs w:val="21"/>
          <w:vertAlign w:val="subscript"/>
        </w:rPr>
        <w:t>j</w:t>
      </w:r>
      <w:r>
        <w:rPr>
          <w:rFonts w:hint="eastAsia" w:hAnsi="宋体" w:cs="宋体"/>
          <w:sz w:val="21"/>
          <w:szCs w:val="21"/>
        </w:rPr>
        <w:t>——</w:t>
      </w:r>
      <w:r>
        <w:rPr>
          <w:rFonts w:hint="eastAsia" w:hAnsi="宋体" w:cs="宋体"/>
          <w:bCs/>
          <w:sz w:val="21"/>
          <w:szCs w:val="21"/>
        </w:rPr>
        <w:t>第i口井抽水时对第j口井或基坑内任意点的干扰水位降深值，m；</w:t>
      </w:r>
    </w:p>
    <w:p w14:paraId="5D998690">
      <w:pPr>
        <w:pStyle w:val="251"/>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sz w:val="21"/>
          <w:szCs w:val="21"/>
        </w:rPr>
        <w:t>——</w:t>
      </w:r>
      <w:r>
        <w:rPr>
          <w:rFonts w:hint="eastAsia" w:hAnsi="宋体" w:cs="宋体"/>
          <w:bCs/>
          <w:sz w:val="21"/>
          <w:szCs w:val="21"/>
        </w:rPr>
        <w:t>任意点处隔水底板到降水前静水位的高度，m；</w:t>
      </w:r>
    </w:p>
    <w:p w14:paraId="083671A5">
      <w:pPr>
        <w:pStyle w:val="251"/>
        <w:spacing w:line="240" w:lineRule="auto"/>
        <w:ind w:left="630" w:leftChars="300"/>
        <w:rPr>
          <w:rFonts w:hint="eastAsia" w:hAnsi="宋体" w:cs="宋体"/>
          <w:bCs/>
          <w:sz w:val="21"/>
          <w:szCs w:val="21"/>
        </w:rPr>
      </w:pPr>
      <w:r>
        <w:rPr>
          <w:rFonts w:hint="eastAsia" w:hAnsi="宋体" w:cs="宋体"/>
          <w:bCs/>
          <w:i/>
          <w:iCs/>
          <w:sz w:val="21"/>
          <w:szCs w:val="21"/>
        </w:rPr>
        <w:t>K</w:t>
      </w:r>
      <w:r>
        <w:rPr>
          <w:rFonts w:hint="eastAsia" w:hAnsi="宋体" w:cs="宋体"/>
          <w:sz w:val="21"/>
          <w:szCs w:val="21"/>
        </w:rPr>
        <w:t>——</w:t>
      </w:r>
      <w:r>
        <w:rPr>
          <w:rFonts w:hint="eastAsia" w:hAnsi="宋体" w:cs="宋体"/>
          <w:bCs/>
          <w:sz w:val="21"/>
          <w:szCs w:val="21"/>
        </w:rPr>
        <w:t>渗透系数，m/d；</w:t>
      </w:r>
    </w:p>
    <w:p w14:paraId="1F11FCAF">
      <w:pPr>
        <w:pStyle w:val="251"/>
        <w:spacing w:line="240" w:lineRule="auto"/>
        <w:ind w:left="630" w:leftChars="300"/>
        <w:rPr>
          <w:rFonts w:hint="eastAsia" w:hAnsi="宋体" w:cs="宋体"/>
          <w:sz w:val="21"/>
          <w:szCs w:val="21"/>
        </w:rPr>
      </w:pPr>
      <w:r>
        <w:rPr>
          <w:rFonts w:hint="eastAsia" w:hAnsi="宋体" w:cs="宋体"/>
          <w:bCs/>
          <w:i/>
          <w:iCs/>
          <w:sz w:val="21"/>
          <w:szCs w:val="21"/>
        </w:rPr>
        <w:t>Q</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第i口井的单井出水量，m</w:t>
      </w:r>
      <w:r>
        <w:rPr>
          <w:rFonts w:hint="eastAsia" w:hAnsi="宋体" w:cs="宋体"/>
          <w:bCs/>
          <w:sz w:val="21"/>
          <w:szCs w:val="21"/>
          <w:vertAlign w:val="superscript"/>
        </w:rPr>
        <w:t>3</w:t>
      </w:r>
      <w:r>
        <w:rPr>
          <w:rFonts w:hint="eastAsia" w:hAnsi="宋体" w:cs="宋体"/>
          <w:bCs/>
          <w:sz w:val="21"/>
          <w:szCs w:val="21"/>
        </w:rPr>
        <w:t>/d；</w:t>
      </w:r>
    </w:p>
    <w:p w14:paraId="2B0C550A">
      <w:pPr>
        <w:pStyle w:val="259"/>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sz w:val="21"/>
          <w:szCs w:val="21"/>
        </w:rPr>
        <w:t>——</w:t>
      </w:r>
      <w:r>
        <w:rPr>
          <w:rFonts w:hint="eastAsia" w:hAnsi="宋体" w:cs="宋体"/>
          <w:bCs/>
          <w:sz w:val="21"/>
          <w:szCs w:val="21"/>
        </w:rPr>
        <w:t>潜水含水层在抽水时的厚度，m；</w:t>
      </w:r>
    </w:p>
    <w:p w14:paraId="678F8A1D">
      <w:pPr>
        <w:pStyle w:val="259"/>
        <w:spacing w:line="240" w:lineRule="auto"/>
        <w:ind w:left="630" w:leftChars="300"/>
        <w:rPr>
          <w:rFonts w:hint="eastAsia" w:hAnsi="宋体" w:cs="宋体"/>
          <w:bCs/>
          <w:sz w:val="21"/>
          <w:szCs w:val="21"/>
        </w:rPr>
      </w:pPr>
      <w:r>
        <w:rPr>
          <w:rFonts w:hint="eastAsia" w:hAnsi="宋体" w:cs="宋体"/>
          <w:bCs/>
          <w:i/>
          <w:iCs/>
          <w:sz w:val="21"/>
          <w:szCs w:val="21"/>
        </w:rPr>
        <w:t>r</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到第i口抽水井中心的距离，m； </w:t>
      </w:r>
    </w:p>
    <w:p w14:paraId="1504150A">
      <w:pPr>
        <w:pStyle w:val="259"/>
        <w:spacing w:line="240" w:lineRule="auto"/>
        <w:ind w:left="630" w:leftChars="300"/>
        <w:rPr>
          <w:rFonts w:hint="eastAsia" w:hAnsi="宋体" w:cs="宋体"/>
          <w:bCs/>
          <w:sz w:val="21"/>
          <w:szCs w:val="21"/>
        </w:rPr>
      </w:pPr>
      <w:r>
        <w:rPr>
          <w:rFonts w:hint="eastAsia" w:hAnsi="宋体" w:cs="宋体"/>
          <w:bCs/>
          <w:i/>
          <w:iCs/>
          <w:sz w:val="21"/>
          <w:szCs w:val="21"/>
        </w:rPr>
        <w:t>T</w:t>
      </w:r>
      <w:r>
        <w:rPr>
          <w:rFonts w:hint="eastAsia" w:hAnsi="宋体" w:cs="宋体"/>
          <w:sz w:val="21"/>
          <w:szCs w:val="21"/>
        </w:rPr>
        <w:t>——</w:t>
      </w:r>
      <w:r>
        <w:rPr>
          <w:rFonts w:hint="eastAsia" w:hAnsi="宋体" w:cs="宋体"/>
          <w:bCs/>
          <w:sz w:val="21"/>
          <w:szCs w:val="21"/>
        </w:rPr>
        <w:t>导水系数，m</w:t>
      </w:r>
      <w:r>
        <w:rPr>
          <w:rFonts w:hint="eastAsia" w:hAnsi="宋体" w:cs="宋体"/>
          <w:bCs/>
          <w:sz w:val="21"/>
          <w:szCs w:val="21"/>
          <w:vertAlign w:val="superscript"/>
        </w:rPr>
        <w:t>2</w:t>
      </w:r>
      <w:r>
        <w:rPr>
          <w:rFonts w:hint="eastAsia" w:hAnsi="宋体" w:cs="宋体"/>
          <w:bCs/>
          <w:sz w:val="21"/>
          <w:szCs w:val="21"/>
        </w:rPr>
        <w:t>/d；</w:t>
      </w:r>
    </w:p>
    <w:p w14:paraId="39FA117E">
      <w:pPr>
        <w:pStyle w:val="259"/>
        <w:spacing w:line="240" w:lineRule="auto"/>
        <w:ind w:left="630" w:leftChars="300"/>
        <w:rPr>
          <w:rFonts w:hint="eastAsia" w:hAnsi="宋体" w:cs="宋体"/>
          <w:bCs/>
          <w:sz w:val="21"/>
          <w:szCs w:val="21"/>
        </w:rPr>
      </w:pPr>
      <w:r>
        <w:rPr>
          <w:rFonts w:hint="eastAsia" w:hAnsi="宋体" w:cs="宋体"/>
          <w:bCs/>
          <w:i/>
          <w:iCs/>
          <w:sz w:val="21"/>
          <w:szCs w:val="21"/>
        </w:rPr>
        <w:t>a</w:t>
      </w:r>
      <w:r>
        <w:rPr>
          <w:rFonts w:hint="eastAsia" w:hAnsi="宋体" w:cs="宋体"/>
          <w:sz w:val="21"/>
          <w:szCs w:val="21"/>
        </w:rPr>
        <w:t>——</w:t>
      </w:r>
      <w:r>
        <w:rPr>
          <w:rFonts w:hint="eastAsia" w:hAnsi="宋体" w:cs="宋体"/>
          <w:bCs/>
          <w:sz w:val="21"/>
          <w:szCs w:val="21"/>
        </w:rPr>
        <w:t>压力传导系数，m</w:t>
      </w:r>
      <w:r>
        <w:rPr>
          <w:rFonts w:hint="eastAsia" w:hAnsi="宋体" w:cs="宋体"/>
          <w:bCs/>
          <w:sz w:val="21"/>
          <w:szCs w:val="21"/>
          <w:vertAlign w:val="superscript"/>
        </w:rPr>
        <w:t>2</w:t>
      </w:r>
      <w:r>
        <w:rPr>
          <w:rFonts w:hint="eastAsia" w:hAnsi="宋体" w:cs="宋体"/>
          <w:bCs/>
          <w:sz w:val="21"/>
          <w:szCs w:val="21"/>
        </w:rPr>
        <w:t>/d；</w:t>
      </w:r>
    </w:p>
    <w:p w14:paraId="3D30FE93">
      <w:pPr>
        <w:pStyle w:val="259"/>
        <w:spacing w:line="240" w:lineRule="auto"/>
        <w:ind w:left="630" w:leftChars="300"/>
        <w:rPr>
          <w:rFonts w:hint="eastAsia" w:hAnsi="宋体" w:cs="宋体"/>
          <w:bCs/>
          <w:sz w:val="21"/>
          <w:szCs w:val="21"/>
        </w:rPr>
      </w:pPr>
      <w:r>
        <w:rPr>
          <w:rFonts w:hint="eastAsia" w:hAnsi="宋体" w:cs="宋体"/>
          <w:bCs/>
          <w:i/>
          <w:iCs/>
          <w:sz w:val="21"/>
          <w:szCs w:val="21"/>
        </w:rPr>
        <w:t>t</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抽水时间，d。</w:t>
      </w:r>
    </w:p>
    <w:p w14:paraId="63B85D34">
      <w:pPr>
        <w:spacing w:line="240" w:lineRule="auto"/>
        <w:rPr>
          <w:bCs/>
        </w:rPr>
      </w:pPr>
      <w:r>
        <w:rPr>
          <w:bCs/>
        </w:rPr>
        <w:t>E</w:t>
      </w:r>
      <w:r>
        <w:rPr>
          <w:rFonts w:hint="eastAsia"/>
          <w:bCs/>
        </w:rPr>
        <w:t>. 2  </w:t>
      </w:r>
      <w:r>
        <w:rPr>
          <w:bCs/>
        </w:rPr>
        <w:t>对于条状基坑管井降水水位预测可在采用面状基坑公式计算降水管井排</w:t>
      </w:r>
      <w:r>
        <w:rPr>
          <w:rFonts w:hint="eastAsia"/>
          <w:bCs/>
        </w:rPr>
        <w:t>处</w:t>
      </w:r>
      <w:r>
        <w:rPr>
          <w:bCs/>
        </w:rPr>
        <w:t>水位的基础上再按下列公式</w:t>
      </w:r>
      <w:r>
        <w:rPr>
          <w:rFonts w:hint="eastAsia"/>
          <w:bCs/>
        </w:rPr>
        <w:t>进行</w:t>
      </w:r>
      <w:r>
        <w:rPr>
          <w:bCs/>
        </w:rPr>
        <w:t>：</w:t>
      </w:r>
    </w:p>
    <w:p w14:paraId="3E2D4D20">
      <w:pPr>
        <w:pStyle w:val="182"/>
        <w:numPr>
          <w:ilvl w:val="0"/>
          <w:numId w:val="106"/>
        </w:numPr>
        <w:ind w:left="845" w:hanging="425"/>
      </w:pPr>
      <w:r>
        <w:rPr>
          <w:rFonts w:hint="eastAsia"/>
        </w:rPr>
        <w:t>潜水完整井计算公式</w:t>
      </w:r>
    </w:p>
    <w:p w14:paraId="570204C8">
      <w:pPr>
        <w:pStyle w:val="236"/>
        <w:spacing w:before="156" w:beforeLines="50" w:after="156" w:afterLines="50"/>
        <w:jc w:val="right"/>
        <w:rPr>
          <w:rFonts w:ascii="Times New Roman" w:hAnsi="Times New Roman" w:cs="Times New Roman"/>
          <w:bCs/>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x</m:t>
            </m:r>
            <m:ctrlPr>
              <w:rPr>
                <w:rFonts w:ascii="Cambria Math" w:hAnsi="Cambria Math"/>
                <w:i/>
                <w:iCs/>
                <w:color w:val="auto"/>
                <w:sz w:val="21"/>
                <w:szCs w:val="21"/>
              </w:rPr>
            </m:ctrlPr>
          </m:sub>
        </m:sSub>
        <m:r>
          <m:rPr/>
          <w:rPr>
            <w:rFonts w:ascii="Cambria Math" w:hAnsi="Cambria Math"/>
            <w:color w:val="auto"/>
            <w:sz w:val="21"/>
            <w:szCs w:val="21"/>
          </w:rPr>
          <m:t>=H−</m:t>
        </m:r>
        <m:rad>
          <m:radPr>
            <m:degHide m:val="1"/>
            <m:ctrlPr>
              <w:rPr>
                <w:rFonts w:ascii="Cambria Math" w:hAnsi="Cambria Math"/>
                <w:i/>
                <w:iCs/>
                <w:color w:val="auto"/>
                <w:sz w:val="21"/>
                <w:szCs w:val="21"/>
              </w:rPr>
            </m:ctrlPr>
          </m:radPr>
          <m:deg>
            <m:ctrlPr>
              <w:rPr>
                <w:rFonts w:ascii="Cambria Math" w:hAnsi="Cambria Math"/>
                <w:i/>
                <w:iCs/>
                <w:color w:val="auto"/>
                <w:sz w:val="21"/>
                <w:szCs w:val="21"/>
              </w:rPr>
            </m:ctrlPr>
          </m:deg>
          <m:e>
            <m:sSubSup>
              <m:sSubSupPr>
                <m:ctrlPr>
                  <w:rPr>
                    <w:rFonts w:ascii="Cambria Math" w:hAnsi="Cambria Math"/>
                    <w:i/>
                    <w:iCs/>
                    <w:color w:val="auto"/>
                    <w:sz w:val="21"/>
                    <w:szCs w:val="21"/>
                  </w:rPr>
                </m:ctrlPr>
              </m:sSubSup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1</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X</m:t>
                </m:r>
                <m:ctrlPr>
                  <w:rPr>
                    <w:rFonts w:ascii="Cambria Math" w:hAnsi="Cambria Math"/>
                    <w:i/>
                    <w:iCs/>
                    <w:color w:val="auto"/>
                    <w:sz w:val="21"/>
                    <w:szCs w:val="21"/>
                  </w:rPr>
                </m:ctrlPr>
              </m:num>
              <m:den>
                <m:r>
                  <m:rPr/>
                  <w:rPr>
                    <w:rFonts w:ascii="Cambria Math" w:hAnsi="Cambria Math"/>
                    <w:color w:val="auto"/>
                    <w:sz w:val="21"/>
                    <w:szCs w:val="21"/>
                  </w:rPr>
                  <m:t>R</m:t>
                </m:r>
                <m:ctrlPr>
                  <w:rPr>
                    <w:rFonts w:ascii="Cambria Math" w:hAnsi="Cambria Math"/>
                    <w:i/>
                    <w:iCs/>
                    <w:color w:val="auto"/>
                    <w:sz w:val="21"/>
                    <w:szCs w:val="21"/>
                  </w:rPr>
                </m:ctrlPr>
              </m:den>
            </m:f>
            <m:d>
              <m:dPr>
                <m:ctrlPr>
                  <w:rPr>
                    <w:rFonts w:ascii="Cambria Math" w:hAnsi="Cambria Math"/>
                    <w:i/>
                    <w:iCs/>
                    <w:color w:val="auto"/>
                    <w:sz w:val="21"/>
                    <w:szCs w:val="21"/>
                  </w:rPr>
                </m:ctrlPr>
              </m:dPr>
              <m:e>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sSubSup>
                  <m:sSubSupPr>
                    <m:ctrlPr>
                      <w:rPr>
                        <w:rFonts w:ascii="Cambria Math" w:hAnsi="Cambria Math"/>
                        <w:i/>
                        <w:iCs/>
                        <w:color w:val="auto"/>
                        <w:sz w:val="21"/>
                        <w:szCs w:val="21"/>
                      </w:rPr>
                    </m:ctrlPr>
                  </m:sSubSup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1</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ctrlPr>
                  <w:rPr>
                    <w:rFonts w:ascii="Cambria Math" w:hAnsi="Cambria Math"/>
                    <w:i/>
                    <w:iCs/>
                    <w:color w:val="auto"/>
                    <w:sz w:val="21"/>
                    <w:szCs w:val="21"/>
                  </w:rPr>
                </m:ctrlPr>
              </m:e>
            </m:d>
            <m:ctrlPr>
              <w:rPr>
                <w:rFonts w:ascii="Cambria Math" w:hAnsi="Cambria Math"/>
                <w:i/>
                <w:iCs/>
                <w:color w:val="auto"/>
                <w:sz w:val="21"/>
                <w:szCs w:val="21"/>
              </w:rPr>
            </m:ctrlPr>
          </m:e>
        </m:rad>
        <m:r>
          <m:rPr>
            <m:sty m:val="p"/>
          </m:rPr>
          <w:rPr>
            <w:rFonts w:ascii="Cambria Math" w:hAnsi="Cambria Math"/>
            <w:color w:val="auto"/>
            <w:sz w:val="21"/>
            <w:szCs w:val="21"/>
          </w:rPr>
          <m:t xml:space="preserve"> </m:t>
        </m:r>
      </m:oMath>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-5）</w:t>
      </w:r>
    </w:p>
    <w:p w14:paraId="12B5873C">
      <w:pPr>
        <w:pStyle w:val="256"/>
        <w:spacing w:before="156" w:beforeLines="50" w:after="156" w:afterLines="50"/>
        <w:jc w:val="right"/>
        <w:rPr>
          <w:rFonts w:ascii="Times New Roman" w:hAnsi="Cambria Math"/>
          <w:bCs/>
          <w:sz w:val="21"/>
          <w:szCs w:val="21"/>
        </w:rPr>
      </w:pPr>
    </w:p>
    <w:p w14:paraId="34A79502">
      <w:pPr>
        <w:pStyle w:val="182"/>
        <w:numPr>
          <w:ilvl w:val="0"/>
          <w:numId w:val="106"/>
        </w:numPr>
        <w:ind w:left="845" w:hanging="425"/>
      </w:pPr>
      <w:r>
        <w:rPr>
          <w:rFonts w:hint="eastAsia"/>
        </w:rPr>
        <w:t>承压完整井计算公式</w:t>
      </w:r>
    </w:p>
    <w:p w14:paraId="69CBAA4C">
      <w:pPr>
        <w:pStyle w:val="236"/>
        <w:spacing w:before="156" w:beforeLines="50" w:after="156" w:afterLines="50"/>
        <w:jc w:val="right"/>
        <w:rPr>
          <w:rFonts w:ascii="Times New Roman" w:hAnsi="Times New Roman"/>
          <w:bCs/>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x</m:t>
            </m:r>
            <m:ctrlPr>
              <w:rPr>
                <w:rFonts w:ascii="Cambria Math" w:hAnsi="Cambria Math"/>
                <w:i/>
                <w:iCs/>
                <w:color w:val="auto"/>
                <w:sz w:val="21"/>
                <w:szCs w:val="21"/>
              </w:rPr>
            </m:ctrlPr>
          </m:sub>
        </m:sSub>
        <m:r>
          <m:rPr/>
          <w:rPr>
            <w:rFonts w:ascii="Cambria Math" w:hAnsi="Cambria Math"/>
            <w:color w:val="auto"/>
            <w:sz w:val="21"/>
            <w:szCs w:val="21"/>
          </w:rPr>
          <m:t>=</m:t>
        </m:r>
        <m:sSub>
          <m:sSubPr>
            <m:ctrlPr>
              <w:rPr>
                <w:rFonts w:ascii="Cambria Math" w:hAnsi="Cambria Math"/>
                <w:i/>
                <w:iCs/>
                <w:color w:val="auto"/>
                <w:sz w:val="21"/>
                <w:szCs w:val="21"/>
              </w:rPr>
            </m:ctrlPr>
          </m:sSub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1</m:t>
            </m:r>
            <m:ctrlPr>
              <w:rPr>
                <w:rFonts w:ascii="Cambria Math" w:hAnsi="Cambria Math"/>
                <w:i/>
                <w:iCs/>
                <w:color w:val="auto"/>
                <w:sz w:val="21"/>
                <w:szCs w:val="21"/>
              </w:rPr>
            </m:ctrlPr>
          </m:sub>
        </m:sSub>
        <m:r>
          <m:rPr/>
          <w:rPr>
            <w:rFonts w:ascii="Cambria Math" w:hAnsi="Cambria Math"/>
            <w:color w:val="auto"/>
            <w:sz w:val="21"/>
            <w:szCs w:val="21"/>
          </w:rPr>
          <m:t>−</m:t>
        </m:r>
        <m:d>
          <m:dPr>
            <m:ctrlPr>
              <w:rPr>
                <w:rFonts w:ascii="Cambria Math" w:hAnsi="Cambria Math"/>
                <w:i/>
                <w:iCs/>
                <w:color w:val="auto"/>
                <w:sz w:val="21"/>
                <w:szCs w:val="21"/>
              </w:rPr>
            </m:ctrlPr>
          </m:dPr>
          <m:e>
            <m:sSub>
              <m:sSubPr>
                <m:ctrlPr>
                  <w:rPr>
                    <w:rFonts w:ascii="Cambria Math" w:hAnsi="Cambria Math"/>
                    <w:i/>
                    <w:iCs/>
                    <w:color w:val="auto"/>
                    <w:sz w:val="21"/>
                    <w:szCs w:val="21"/>
                  </w:rPr>
                </m:ctrlPr>
              </m:sSub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2</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1</m:t>
                    </m:r>
                    <m:ctrlPr>
                      <w:rPr>
                        <w:rFonts w:ascii="Cambria Math" w:hAnsi="Cambria Math"/>
                        <w:i/>
                        <w:iCs/>
                        <w:color w:val="auto"/>
                        <w:sz w:val="21"/>
                        <w:szCs w:val="21"/>
                      </w:rPr>
                    </m:ctrlPr>
                  </m:sub>
                </m:sSub>
                <m:r>
                  <m:rPr/>
                  <w:rPr>
                    <w:rFonts w:ascii="Cambria Math" w:hAnsi="Cambria Math"/>
                    <w:color w:val="auto"/>
                    <w:sz w:val="21"/>
                    <w:szCs w:val="21"/>
                  </w:rPr>
                  <m:t>−</m:t>
                </m:r>
                <m:sSub>
                  <m:sSubPr>
                    <m:ctrlPr>
                      <w:rPr>
                        <w:rFonts w:ascii="Cambria Math" w:hAnsi="Cambria Math"/>
                        <w:i/>
                        <w:iCs/>
                        <w:color w:val="auto"/>
                        <w:sz w:val="21"/>
                        <w:szCs w:val="21"/>
                      </w:rPr>
                    </m:ctrlPr>
                  </m:sSubPr>
                  <m:e>
                    <m:r>
                      <m:rPr/>
                      <w:rPr>
                        <w:rFonts w:ascii="Cambria Math" w:hAnsi="Cambria Math"/>
                        <w:color w:val="auto"/>
                        <w:sz w:val="21"/>
                        <w:szCs w:val="21"/>
                      </w:rPr>
                      <m:t>h</m:t>
                    </m:r>
                    <m:ctrlPr>
                      <w:rPr>
                        <w:rFonts w:ascii="Cambria Math" w:hAnsi="Cambria Math"/>
                        <w:i/>
                        <w:iCs/>
                        <w:color w:val="auto"/>
                        <w:sz w:val="21"/>
                        <w:szCs w:val="21"/>
                      </w:rPr>
                    </m:ctrlPr>
                  </m:e>
                  <m:sub>
                    <m:r>
                      <m:rPr/>
                      <w:rPr>
                        <w:rFonts w:ascii="Cambria Math" w:hAnsi="Cambria Math"/>
                        <w:color w:val="auto"/>
                        <w:sz w:val="21"/>
                        <w:szCs w:val="21"/>
                      </w:rPr>
                      <m:t>2</m:t>
                    </m:r>
                    <m:ctrlPr>
                      <w:rPr>
                        <w:rFonts w:ascii="Cambria Math" w:hAnsi="Cambria Math"/>
                        <w:i/>
                        <w:iCs/>
                        <w:color w:val="auto"/>
                        <w:sz w:val="21"/>
                        <w:szCs w:val="21"/>
                      </w:rPr>
                    </m:ctrlPr>
                  </m:sub>
                </m:sSub>
                <m:ctrlPr>
                  <w:rPr>
                    <w:rFonts w:ascii="Cambria Math" w:hAnsi="Cambria Math"/>
                    <w:i/>
                    <w:iCs/>
                    <w:color w:val="auto"/>
                    <w:sz w:val="21"/>
                    <w:szCs w:val="21"/>
                  </w:rPr>
                </m:ctrlPr>
              </m:num>
              <m:den>
                <m:r>
                  <m:rPr/>
                  <w:rPr>
                    <w:rFonts w:ascii="Cambria Math" w:hAnsi="Cambria Math"/>
                    <w:color w:val="auto"/>
                    <w:sz w:val="21"/>
                    <w:szCs w:val="21"/>
                  </w:rPr>
                  <m:t>R</m:t>
                </m:r>
                <m:ctrlPr>
                  <w:rPr>
                    <w:rFonts w:ascii="Cambria Math" w:hAnsi="Cambria Math"/>
                    <w:i/>
                    <w:iCs/>
                    <w:color w:val="auto"/>
                    <w:sz w:val="21"/>
                    <w:szCs w:val="21"/>
                  </w:rPr>
                </m:ctrlPr>
              </m:den>
            </m:f>
            <m:r>
              <m:rPr/>
              <w:rPr>
                <w:rFonts w:ascii="Cambria Math" w:hAnsi="Cambria Math"/>
                <w:color w:val="auto"/>
                <w:sz w:val="21"/>
                <w:szCs w:val="21"/>
              </w:rPr>
              <m:t>X</m:t>
            </m:r>
            <m:ctrlPr>
              <w:rPr>
                <w:rFonts w:ascii="Cambria Math" w:hAnsi="Cambria Math"/>
                <w:i/>
                <w:iCs/>
                <w:color w:val="auto"/>
                <w:sz w:val="21"/>
                <w:szCs w:val="21"/>
              </w:rPr>
            </m:ctrlPr>
          </m:e>
        </m:d>
        <m:r>
          <m:rPr/>
          <w:rPr>
            <w:rFonts w:ascii="Cambria Math" w:hAnsi="Cambria Math"/>
            <w:color w:val="auto"/>
            <w:sz w:val="21"/>
            <w:szCs w:val="21"/>
          </w:rPr>
          <m:t xml:space="preserve">  </m:t>
        </m:r>
        <m:r>
          <m:rPr>
            <m:sty m:val="p"/>
          </m:rPr>
          <w:rPr>
            <w:rFonts w:ascii="Cambria Math" w:hAnsi="Cambria Math"/>
            <w:color w:val="auto"/>
            <w:sz w:val="21"/>
            <w:szCs w:val="21"/>
          </w:rPr>
          <m:t xml:space="preserve"> </m:t>
        </m:r>
      </m:oMath>
      <w:r>
        <w:rPr>
          <w:rFonts w:hint="eastAsia"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-6）</w:t>
      </w:r>
    </w:p>
    <w:p w14:paraId="3E2A2BB1">
      <w:pPr>
        <w:pStyle w:val="259"/>
        <w:keepNext/>
        <w:spacing w:line="240" w:lineRule="auto"/>
        <w:ind w:left="630" w:leftChars="300"/>
        <w:rPr>
          <w:rFonts w:hint="eastAsia" w:hAnsi="宋体" w:cs="宋体"/>
          <w:bCs/>
          <w:sz w:val="21"/>
          <w:szCs w:val="21"/>
        </w:rPr>
      </w:pPr>
      <w:r>
        <w:rPr>
          <w:rFonts w:hint="eastAsia" w:hAnsi="宋体" w:cs="宋体"/>
          <w:bCs/>
          <w:sz w:val="21"/>
          <w:szCs w:val="21"/>
        </w:rPr>
        <w:t>式中：</w:t>
      </w:r>
    </w:p>
    <w:p w14:paraId="0DF91C75">
      <w:pPr>
        <w:pStyle w:val="251"/>
        <w:spacing w:line="240" w:lineRule="auto"/>
        <w:ind w:left="630" w:leftChars="300"/>
        <w:rPr>
          <w:rFonts w:hint="eastAsia" w:hAnsi="宋体" w:cs="宋体"/>
          <w:bCs/>
          <w:sz w:val="21"/>
          <w:szCs w:val="21"/>
        </w:rPr>
      </w:pPr>
      <w:r>
        <w:rPr>
          <w:rFonts w:hint="eastAsia" w:hAnsi="宋体" w:cs="宋体"/>
          <w:bCs/>
          <w:i/>
          <w:iCs/>
          <w:sz w:val="21"/>
          <w:szCs w:val="21"/>
        </w:rPr>
        <w:t>S</w:t>
      </w:r>
      <w:r>
        <w:rPr>
          <w:rFonts w:hint="eastAsia" w:hAnsi="宋体" w:cs="宋体"/>
          <w:bCs/>
          <w:i/>
          <w:iCs/>
          <w:sz w:val="21"/>
          <w:szCs w:val="21"/>
          <w:vertAlign w:val="subscript"/>
        </w:rPr>
        <w:t>x</w:t>
      </w:r>
      <w:r>
        <w:rPr>
          <w:rFonts w:hint="eastAsia" w:hAnsi="宋体" w:cs="宋体"/>
          <w:sz w:val="21"/>
          <w:szCs w:val="21"/>
        </w:rPr>
        <w:t>——</w:t>
      </w:r>
      <w:r>
        <w:rPr>
          <w:rFonts w:hint="eastAsia" w:hAnsi="宋体" w:cs="宋体"/>
          <w:bCs/>
          <w:sz w:val="21"/>
          <w:szCs w:val="21"/>
        </w:rPr>
        <w:t>距降水管井排x处的水位下降值，m；</w:t>
      </w:r>
    </w:p>
    <w:p w14:paraId="785EA566">
      <w:pPr>
        <w:pStyle w:val="251"/>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sz w:val="21"/>
          <w:szCs w:val="21"/>
        </w:rPr>
        <w:t>——</w:t>
      </w:r>
      <w:r>
        <w:rPr>
          <w:rFonts w:hint="eastAsia" w:hAnsi="宋体" w:cs="宋体"/>
          <w:bCs/>
          <w:sz w:val="21"/>
          <w:szCs w:val="21"/>
        </w:rPr>
        <w:t>任意点处隔水底板到降水前静水位的高度，m；</w:t>
      </w:r>
    </w:p>
    <w:p w14:paraId="767FE7B4">
      <w:pPr>
        <w:pStyle w:val="251"/>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bCs/>
          <w:i/>
          <w:iCs/>
          <w:sz w:val="21"/>
          <w:szCs w:val="21"/>
          <w:vertAlign w:val="subscript"/>
        </w:rPr>
        <w:t>1</w:t>
      </w:r>
      <w:r>
        <w:rPr>
          <w:rFonts w:hint="eastAsia" w:hAnsi="宋体" w:cs="宋体"/>
          <w:sz w:val="21"/>
          <w:szCs w:val="21"/>
        </w:rPr>
        <w:t>——</w:t>
      </w:r>
      <w:r>
        <w:rPr>
          <w:rFonts w:hint="eastAsia" w:hAnsi="宋体" w:cs="宋体"/>
          <w:bCs/>
          <w:sz w:val="21"/>
          <w:szCs w:val="21"/>
        </w:rPr>
        <w:t>承压水含水层水头值，m；</w:t>
      </w:r>
    </w:p>
    <w:p w14:paraId="79D5473F">
      <w:pPr>
        <w:pStyle w:val="259"/>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bCs/>
          <w:i/>
          <w:iCs/>
          <w:sz w:val="21"/>
          <w:szCs w:val="21"/>
          <w:vertAlign w:val="subscript"/>
        </w:rPr>
        <w:t>1</w:t>
      </w:r>
      <w:r>
        <w:rPr>
          <w:rFonts w:hint="eastAsia" w:hAnsi="宋体" w:cs="宋体"/>
          <w:sz w:val="21"/>
          <w:szCs w:val="21"/>
        </w:rPr>
        <w:t>——</w:t>
      </w:r>
      <w:r>
        <w:rPr>
          <w:rFonts w:hint="eastAsia" w:hAnsi="宋体" w:cs="宋体"/>
          <w:bCs/>
          <w:sz w:val="21"/>
          <w:szCs w:val="21"/>
        </w:rPr>
        <w:t>降水管井排处的潜水含水层厚度，m； </w:t>
      </w:r>
    </w:p>
    <w:p w14:paraId="54582B11">
      <w:pPr>
        <w:pStyle w:val="251"/>
        <w:spacing w:line="240" w:lineRule="auto"/>
        <w:ind w:left="630" w:leftChars="300"/>
        <w:rPr>
          <w:rFonts w:hint="eastAsia" w:hAnsi="宋体" w:cs="宋体"/>
          <w:sz w:val="21"/>
          <w:szCs w:val="21"/>
        </w:rPr>
      </w:pPr>
      <w:r>
        <w:rPr>
          <w:rFonts w:hint="eastAsia" w:hAnsi="宋体" w:cs="宋体"/>
          <w:bCs/>
          <w:i/>
          <w:iCs/>
          <w:sz w:val="21"/>
          <w:szCs w:val="21"/>
        </w:rPr>
        <w:t>R</w:t>
      </w:r>
      <w:r>
        <w:rPr>
          <w:rFonts w:hint="eastAsia" w:hAnsi="宋体" w:cs="宋体"/>
          <w:sz w:val="21"/>
          <w:szCs w:val="21"/>
        </w:rPr>
        <w:t>——</w:t>
      </w:r>
      <w:r>
        <w:rPr>
          <w:rFonts w:hint="eastAsia" w:hAnsi="宋体" w:cs="宋体"/>
          <w:bCs/>
          <w:sz w:val="21"/>
          <w:szCs w:val="21"/>
        </w:rPr>
        <w:t>抽水影响半径，m；</w:t>
      </w:r>
    </w:p>
    <w:p w14:paraId="78340F0C">
      <w:pPr>
        <w:pStyle w:val="259"/>
        <w:spacing w:line="240" w:lineRule="auto"/>
        <w:ind w:left="630" w:leftChars="300"/>
        <w:rPr>
          <w:rFonts w:hint="eastAsia" w:hAnsi="宋体" w:cs="宋体"/>
          <w:bCs/>
          <w:sz w:val="21"/>
          <w:szCs w:val="21"/>
        </w:rPr>
      </w:pPr>
      <w:r>
        <w:rPr>
          <w:rFonts w:hint="eastAsia" w:hAnsi="宋体" w:cs="宋体"/>
          <w:bCs/>
          <w:i/>
          <w:iCs/>
          <w:sz w:val="21"/>
          <w:szCs w:val="21"/>
        </w:rPr>
        <w:t>X</w:t>
      </w:r>
      <w:r>
        <w:rPr>
          <w:rFonts w:hint="eastAsia" w:hAnsi="宋体" w:cs="宋体"/>
          <w:sz w:val="21"/>
          <w:szCs w:val="21"/>
        </w:rPr>
        <w:t>——</w:t>
      </w:r>
      <w:r>
        <w:rPr>
          <w:rFonts w:hint="eastAsia" w:hAnsi="宋体" w:cs="宋体"/>
          <w:bCs/>
          <w:sz w:val="21"/>
          <w:szCs w:val="21"/>
        </w:rPr>
        <w:t>任意点至井排的距离，m；</w:t>
      </w:r>
    </w:p>
    <w:p w14:paraId="2D2B9E01">
      <w:pPr>
        <w:pStyle w:val="259"/>
        <w:spacing w:line="240" w:lineRule="auto"/>
        <w:ind w:left="630" w:leftChars="300"/>
        <w:rPr>
          <w:rFonts w:hint="eastAsia" w:hAnsi="宋体" w:cs="宋体"/>
          <w:bCs/>
          <w:sz w:val="21"/>
          <w:szCs w:val="21"/>
        </w:rPr>
      </w:pPr>
      <w:r>
        <w:rPr>
          <w:rFonts w:hint="eastAsia" w:hAnsi="宋体" w:cs="宋体"/>
          <w:bCs/>
          <w:i/>
          <w:iCs/>
          <w:sz w:val="21"/>
          <w:szCs w:val="21"/>
        </w:rPr>
        <w:t>h</w:t>
      </w:r>
      <w:r>
        <w:rPr>
          <w:rFonts w:hint="eastAsia" w:hAnsi="宋体" w:cs="宋体"/>
          <w:bCs/>
          <w:i/>
          <w:iCs/>
          <w:sz w:val="21"/>
          <w:szCs w:val="21"/>
          <w:vertAlign w:val="subscript"/>
        </w:rPr>
        <w:t>2</w:t>
      </w:r>
      <w:r>
        <w:rPr>
          <w:rFonts w:hint="eastAsia" w:hAnsi="宋体" w:cs="宋体"/>
          <w:sz w:val="21"/>
          <w:szCs w:val="21"/>
        </w:rPr>
        <w:t>——</w:t>
      </w:r>
      <w:r>
        <w:rPr>
          <w:rFonts w:hint="eastAsia" w:hAnsi="宋体" w:cs="宋体"/>
          <w:bCs/>
          <w:sz w:val="21"/>
          <w:szCs w:val="21"/>
        </w:rPr>
        <w:t>降水管井排处的承压水水头值，m。</w:t>
      </w:r>
    </w:p>
    <w:p w14:paraId="01EDDB1E">
      <w:pPr>
        <w:pStyle w:val="14"/>
        <w:spacing w:line="240" w:lineRule="auto"/>
        <w:rPr>
          <w:bCs/>
        </w:rPr>
      </w:pPr>
      <w:r>
        <w:rPr>
          <w:bCs/>
        </w:rPr>
        <w:t>E</w:t>
      </w:r>
      <w:r>
        <w:rPr>
          <w:rFonts w:hint="eastAsia"/>
          <w:bCs/>
        </w:rPr>
        <w:t>. 3  </w:t>
      </w:r>
      <w:r>
        <w:rPr>
          <w:bCs/>
        </w:rPr>
        <w:t>在直线边界附近的群井抽水采用镜像法和叠加原理计算基坑内外任意点的水位降</w:t>
      </w:r>
      <w:r>
        <w:rPr>
          <w:rFonts w:hint="eastAsia"/>
          <w:bCs/>
        </w:rPr>
        <w:t>深</w:t>
      </w:r>
      <w:r>
        <w:rPr>
          <w:bCs/>
        </w:rPr>
        <w:t>，即离群井任意点的水位降</w:t>
      </w:r>
      <w:r>
        <w:rPr>
          <w:rFonts w:hint="eastAsia"/>
          <w:bCs/>
        </w:rPr>
        <w:t>深</w:t>
      </w:r>
      <w:r>
        <w:rPr>
          <w:bCs/>
        </w:rPr>
        <w:t>为群井实井抽水引起该点的水位降</w:t>
      </w:r>
      <w:r>
        <w:rPr>
          <w:rFonts w:hint="eastAsia"/>
          <w:bCs/>
        </w:rPr>
        <w:t>深</w:t>
      </w:r>
      <w:r>
        <w:rPr>
          <w:bCs/>
        </w:rPr>
        <w:t>和边界另一侧群井虚井抽水（不透水边界，边界上Q=0）或注水（补给边界，边界上H=C）引起该任意点的水位降</w:t>
      </w:r>
      <w:r>
        <w:rPr>
          <w:rFonts w:hint="eastAsia"/>
          <w:bCs/>
        </w:rPr>
        <w:t>深</w:t>
      </w:r>
      <w:r>
        <w:rPr>
          <w:bCs/>
        </w:rPr>
        <w:t>的叠加</w:t>
      </w:r>
      <w:r>
        <w:rPr>
          <w:rFonts w:hint="eastAsia"/>
          <w:bCs/>
        </w:rPr>
        <w:t>，如图E.1所示</w:t>
      </w:r>
      <w:r>
        <w:rPr>
          <w:bCs/>
        </w:rPr>
        <w:t>。</w:t>
      </w:r>
    </w:p>
    <w:p w14:paraId="6EFE6626">
      <w:pPr>
        <w:pStyle w:val="182"/>
        <w:numPr>
          <w:ilvl w:val="0"/>
          <w:numId w:val="107"/>
        </w:numPr>
        <w:ind w:left="845" w:hanging="425"/>
      </w:pPr>
      <w:r>
        <w:rPr>
          <w:rFonts w:hint="eastAsia"/>
        </w:rPr>
        <w:t>当直线边界为供水边界时：</w:t>
      </w:r>
    </w:p>
    <w:p w14:paraId="4407E585">
      <w:pPr>
        <w:pStyle w:val="236"/>
        <w:spacing w:before="156" w:beforeLines="50" w:after="156" w:afterLines="50"/>
        <w:jc w:val="right"/>
        <w:rPr>
          <w:rFonts w:hAnsi="Cambria Math"/>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A</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4</m:t>
            </m:r>
            <m:r>
              <m:rPr>
                <m:sty m:val="p"/>
              </m:rPr>
              <w:rPr>
                <w:rFonts w:ascii="Cambria Math" w:hAnsi="Cambria Math"/>
                <w:color w:val="auto"/>
                <w:sz w:val="21"/>
                <w:szCs w:val="21"/>
              </w:rPr>
              <m:t>π</m:t>
            </m:r>
            <m:r>
              <m:rPr/>
              <w:rPr>
                <w:rFonts w:ascii="Cambria Math" w:hAnsi="Cambria Math"/>
                <w:color w:val="auto"/>
                <w:sz w:val="21"/>
                <w:szCs w:val="21"/>
              </w:rPr>
              <m:t>KM</m:t>
            </m:r>
            <m:ctrlPr>
              <w:rPr>
                <w:rFonts w:ascii="Cambria Math" w:hAnsi="Cambria Math"/>
                <w:i/>
                <w:iCs/>
                <w:color w:val="auto"/>
                <w:sz w:val="21"/>
                <w:szCs w:val="21"/>
              </w:rPr>
            </m:ctrlPr>
          </m:den>
        </m:f>
        <m:d>
          <m:dPr>
            <m:begChr m:val="{"/>
            <m:endChr m:val="}"/>
            <m:ctrlPr>
              <w:rPr>
                <w:rFonts w:ascii="Cambria Math" w:hAnsi="Cambria Math"/>
                <w:i/>
                <w:iCs/>
                <w:color w:val="auto"/>
                <w:sz w:val="21"/>
                <w:szCs w:val="21"/>
              </w:rPr>
            </m:ctrlPr>
          </m:dPr>
          <m:e>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begChr m:val="["/>
                    <m:endChr m:val="]"/>
                    <m:ctrlPr>
                      <w:rPr>
                        <w:rFonts w:ascii="Cambria Math" w:hAnsi="Cambria Math"/>
                        <w:i/>
                        <w:iCs/>
                        <w:color w:val="auto"/>
                        <w:sz w:val="21"/>
                        <w:szCs w:val="21"/>
                      </w:rPr>
                    </m:ctrlPr>
                  </m:dPr>
                  <m:e>
                    <m:f>
                      <m:fPr>
                        <m:ctrlPr>
                          <w:rPr>
                            <w:rFonts w:ascii="Cambria Math" w:hAnsi="Cambria Math"/>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4a</m:t>
                        </m:r>
                        <m:d>
                          <m:dPr>
                            <m:ctrlPr>
                              <w:rPr>
                                <w:rFonts w:ascii="Cambria Math" w:hAnsi="Cambria Math"/>
                                <w:i/>
                                <w:iCs/>
                                <w:color w:val="auto"/>
                                <w:sz w:val="21"/>
                                <w:szCs w:val="21"/>
                              </w:rPr>
                            </m:ctrlPr>
                          </m:dPr>
                          <m:e>
                            <m:r>
                              <m:rPr/>
                              <w:rPr>
                                <w:rFonts w:ascii="Cambria Math" w:hAnsi="Cambria Math"/>
                                <w:color w:val="auto"/>
                                <w:sz w:val="21"/>
                                <w:szCs w:val="21"/>
                              </w:rPr>
                              <m:t>t−</m:t>
                            </m:r>
                            <m:sSub>
                              <m:sSubPr>
                                <m:ctrlPr>
                                  <w:rPr>
                                    <w:rFonts w:ascii="Cambria Math" w:hAnsi="Cambria Math"/>
                                    <w:i/>
                                    <w:iCs/>
                                    <w:color w:val="auto"/>
                                    <w:sz w:val="21"/>
                                    <w:szCs w:val="21"/>
                                  </w:rPr>
                                </m:ctrlPr>
                              </m:sSubPr>
                              <m:e>
                                <m:r>
                                  <m:rPr/>
                                  <w:rPr>
                                    <w:rFonts w:ascii="Cambria Math" w:hAnsi="Cambria Math"/>
                                    <w:color w:val="auto"/>
                                    <w:sz w:val="21"/>
                                    <w:szCs w:val="21"/>
                                  </w:rPr>
                                  <m:t>t</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e>
                        </m:d>
                        <m:ctrlPr>
                          <w:rPr>
                            <w:rFonts w:ascii="Cambria Math" w:hAnsi="Cambria Math"/>
                            <w:i/>
                            <w:iCs/>
                            <w:color w:val="auto"/>
                            <w:sz w:val="21"/>
                            <w:szCs w:val="21"/>
                          </w:rPr>
                        </m:ctrlPr>
                      </m:den>
                    </m:f>
                    <m:ctrlPr>
                      <w:rPr>
                        <w:rFonts w:ascii="Cambria Math" w:hAnsi="Cambria Math"/>
                        <w:i/>
                        <w:iCs/>
                        <w:color w:val="auto"/>
                        <w:sz w:val="21"/>
                        <w:szCs w:val="21"/>
                      </w:rPr>
                    </m:ctrlPr>
                  </m:e>
                </m:d>
                <m:r>
                  <m:rPr/>
                  <w:rPr>
                    <w:rFonts w:ascii="Cambria Math" w:hAnsi="Cambria Math"/>
                    <w:color w:val="auto"/>
                    <w:sz w:val="21"/>
                    <w:szCs w:val="21"/>
                  </w:rPr>
                  <m:t>−</m:t>
                </m:r>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begChr m:val="["/>
                        <m:endChr m:val="]"/>
                        <m:ctrlPr>
                          <w:rPr>
                            <w:rFonts w:ascii="Cambria Math" w:hAnsi="Cambria Math"/>
                            <w:i/>
                            <w:iCs/>
                            <w:color w:val="auto"/>
                            <w:sz w:val="21"/>
                            <w:szCs w:val="21"/>
                          </w:rPr>
                        </m:ctrlPr>
                      </m:dPr>
                      <m:e>
                        <m:f>
                          <m:fPr>
                            <m:ctrlPr>
                              <w:rPr>
                                <w:rFonts w:ascii="Cambria Math" w:hAnsi="Cambria Math"/>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ρ</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4a</m:t>
                            </m:r>
                            <m:d>
                              <m:dPr>
                                <m:ctrlPr>
                                  <w:rPr>
                                    <w:rFonts w:ascii="Cambria Math" w:hAnsi="Cambria Math"/>
                                    <w:i/>
                                    <w:iCs/>
                                    <w:color w:val="auto"/>
                                    <w:sz w:val="21"/>
                                    <w:szCs w:val="21"/>
                                  </w:rPr>
                                </m:ctrlPr>
                              </m:dPr>
                              <m:e>
                                <m:r>
                                  <m:rPr/>
                                  <w:rPr>
                                    <w:rFonts w:ascii="Cambria Math" w:hAnsi="Cambria Math"/>
                                    <w:color w:val="auto"/>
                                    <w:sz w:val="21"/>
                                    <w:szCs w:val="21"/>
                                  </w:rPr>
                                  <m:t>t−</m:t>
                                </m:r>
                                <m:sSub>
                                  <m:sSubPr>
                                    <m:ctrlPr>
                                      <w:rPr>
                                        <w:rFonts w:ascii="Cambria Math" w:hAnsi="Cambria Math"/>
                                        <w:i/>
                                        <w:iCs/>
                                        <w:color w:val="auto"/>
                                        <w:sz w:val="21"/>
                                        <w:szCs w:val="21"/>
                                      </w:rPr>
                                    </m:ctrlPr>
                                  </m:sSubPr>
                                  <m:e>
                                    <m:r>
                                      <m:rPr/>
                                      <w:rPr>
                                        <w:rFonts w:ascii="Cambria Math" w:hAnsi="Cambria Math"/>
                                        <w:color w:val="auto"/>
                                        <w:sz w:val="21"/>
                                        <w:szCs w:val="21"/>
                                      </w:rPr>
                                      <m:t>t</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e>
                            </m:d>
                            <m:ctrlPr>
                              <w:rPr>
                                <w:rFonts w:ascii="Cambria Math" w:hAnsi="Cambria Math"/>
                                <w:i/>
                                <w:iCs/>
                                <w:color w:val="auto"/>
                                <w:sz w:val="21"/>
                                <w:szCs w:val="21"/>
                              </w:rPr>
                            </m:ctrlPr>
                          </m:den>
                        </m:f>
                        <m:ctrlPr>
                          <w:rPr>
                            <w:rFonts w:ascii="Cambria Math" w:hAnsi="Cambria Math"/>
                            <w:i/>
                            <w:iCs/>
                            <w:color w:val="auto"/>
                            <w:sz w:val="21"/>
                            <w:szCs w:val="21"/>
                          </w:rPr>
                        </m:ctrlPr>
                      </m:e>
                    </m:d>
                    <m:ctrlPr>
                      <w:rPr>
                        <w:rFonts w:ascii="Cambria Math" w:hAnsi="Cambria Math"/>
                        <w:bCs/>
                        <w:i/>
                        <w:iCs/>
                        <w:color w:val="auto"/>
                        <w:sz w:val="21"/>
                        <w:szCs w:val="21"/>
                      </w:rPr>
                    </m:ctrlPr>
                  </m:e>
                </m:nary>
                <m:ctrlPr>
                  <w:rPr>
                    <w:rFonts w:ascii="Cambria Math" w:hAnsi="Cambria Math"/>
                    <w:bCs/>
                    <w:i/>
                    <w:iCs/>
                    <w:color w:val="auto"/>
                    <w:sz w:val="21"/>
                    <w:szCs w:val="21"/>
                  </w:rPr>
                </m:ctrlPr>
              </m:e>
            </m:nary>
            <m:ctrlPr>
              <w:rPr>
                <w:rFonts w:ascii="Cambria Math" w:hAnsi="Cambria Math"/>
                <w:i/>
                <w:iCs/>
                <w:color w:val="auto"/>
                <w:sz w:val="21"/>
                <w:szCs w:val="21"/>
              </w:rPr>
            </m:ctrlPr>
          </m:e>
        </m:d>
      </m:oMath>
      <w:r>
        <w:rPr>
          <w:rFonts w:hint="eastAsia" w:ascii="MS Gothic" w:hAnsi="MS Gothic" w:eastAsia="MS Gothic" w:cs="MS Gothic"/>
          <w:i/>
          <w:iCs/>
          <w:color w:val="auto"/>
          <w:sz w:val="21"/>
          <w:szCs w:val="21"/>
        </w:rPr>
        <w:t> </w:t>
      </w:r>
      <w:r>
        <w:rPr>
          <w:rFonts w:hint="eastAsia" w:ascii="MS Gothic" w:hAnsi="MS Gothic" w:eastAsia="MS Gothic" w:cs="MS Gothic"/>
          <w:bCs/>
          <w:i/>
          <w:iCs/>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-7）</w:t>
      </w:r>
    </w:p>
    <w:p w14:paraId="61C463AE">
      <w:pPr>
        <w:pStyle w:val="182"/>
        <w:numPr>
          <w:ilvl w:val="0"/>
          <w:numId w:val="107"/>
        </w:numPr>
        <w:ind w:left="845" w:hanging="425"/>
      </w:pPr>
      <w:r>
        <w:rPr>
          <w:rFonts w:hint="eastAsia"/>
        </w:rPr>
        <w:t>当直线边界为隔水边界时：</w:t>
      </w:r>
    </w:p>
    <w:p w14:paraId="28A98F5D">
      <w:pPr>
        <w:pStyle w:val="236"/>
        <w:spacing w:before="156" w:beforeLines="50" w:after="156" w:afterLines="50"/>
        <w:jc w:val="right"/>
        <w:rPr>
          <w:rFonts w:hAnsi="Cambria Math"/>
          <w:color w:val="auto"/>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A</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4</m:t>
            </m:r>
            <m:r>
              <m:rPr>
                <m:sty m:val="p"/>
              </m:rPr>
              <w:rPr>
                <w:rFonts w:ascii="Cambria Math" w:hAnsi="Cambria Math"/>
                <w:color w:val="auto"/>
                <w:sz w:val="21"/>
                <w:szCs w:val="21"/>
              </w:rPr>
              <m:t>π</m:t>
            </m:r>
            <m:r>
              <m:rPr/>
              <w:rPr>
                <w:rFonts w:ascii="Cambria Math" w:hAnsi="Cambria Math"/>
                <w:color w:val="auto"/>
                <w:sz w:val="21"/>
                <w:szCs w:val="21"/>
              </w:rPr>
              <m:t>KM</m:t>
            </m:r>
            <m:ctrlPr>
              <w:rPr>
                <w:rFonts w:ascii="Cambria Math" w:hAnsi="Cambria Math"/>
                <w:i/>
                <w:iCs/>
                <w:color w:val="auto"/>
                <w:sz w:val="21"/>
                <w:szCs w:val="21"/>
              </w:rPr>
            </m:ctrlPr>
          </m:den>
        </m:f>
        <m:d>
          <m:dPr>
            <m:begChr m:val="{"/>
            <m:endChr m:val="}"/>
            <m:ctrlPr>
              <w:rPr>
                <w:rFonts w:ascii="Cambria Math" w:hAnsi="Cambria Math"/>
                <w:i/>
                <w:iCs/>
                <w:color w:val="auto"/>
                <w:sz w:val="21"/>
                <w:szCs w:val="21"/>
              </w:rPr>
            </m:ctrlPr>
          </m:dPr>
          <m:e>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begChr m:val="["/>
                    <m:endChr m:val="]"/>
                    <m:ctrlPr>
                      <w:rPr>
                        <w:rFonts w:ascii="Cambria Math" w:hAnsi="Cambria Math"/>
                        <w:i/>
                        <w:iCs/>
                        <w:color w:val="auto"/>
                        <w:sz w:val="21"/>
                        <w:szCs w:val="21"/>
                      </w:rPr>
                    </m:ctrlPr>
                  </m:dPr>
                  <m:e>
                    <m:f>
                      <m:fPr>
                        <m:ctrlPr>
                          <w:rPr>
                            <w:rFonts w:ascii="Cambria Math" w:hAnsi="Cambria Math"/>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γ</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4a</m:t>
                        </m:r>
                        <m:d>
                          <m:dPr>
                            <m:ctrlPr>
                              <w:rPr>
                                <w:rFonts w:ascii="Cambria Math" w:hAnsi="Cambria Math"/>
                                <w:i/>
                                <w:iCs/>
                                <w:color w:val="auto"/>
                                <w:sz w:val="21"/>
                                <w:szCs w:val="21"/>
                              </w:rPr>
                            </m:ctrlPr>
                          </m:dPr>
                          <m:e>
                            <m:r>
                              <m:rPr/>
                              <w:rPr>
                                <w:rFonts w:ascii="Cambria Math" w:hAnsi="Cambria Math"/>
                                <w:color w:val="auto"/>
                                <w:sz w:val="21"/>
                                <w:szCs w:val="21"/>
                              </w:rPr>
                              <m:t>t−</m:t>
                            </m:r>
                            <m:sSub>
                              <m:sSubPr>
                                <m:ctrlPr>
                                  <w:rPr>
                                    <w:rFonts w:ascii="Cambria Math" w:hAnsi="Cambria Math"/>
                                    <w:i/>
                                    <w:iCs/>
                                    <w:color w:val="auto"/>
                                    <w:sz w:val="21"/>
                                    <w:szCs w:val="21"/>
                                  </w:rPr>
                                </m:ctrlPr>
                              </m:sSubPr>
                              <m:e>
                                <m:r>
                                  <m:rPr/>
                                  <w:rPr>
                                    <w:rFonts w:ascii="Cambria Math" w:hAnsi="Cambria Math"/>
                                    <w:color w:val="auto"/>
                                    <w:sz w:val="21"/>
                                    <w:szCs w:val="21"/>
                                  </w:rPr>
                                  <m:t>t</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e>
                        </m:d>
                        <m:ctrlPr>
                          <w:rPr>
                            <w:rFonts w:ascii="Cambria Math" w:hAnsi="Cambria Math"/>
                            <w:i/>
                            <w:iCs/>
                            <w:color w:val="auto"/>
                            <w:sz w:val="21"/>
                            <w:szCs w:val="21"/>
                          </w:rPr>
                        </m:ctrlPr>
                      </m:den>
                    </m:f>
                    <m:ctrlPr>
                      <w:rPr>
                        <w:rFonts w:ascii="Cambria Math" w:hAnsi="Cambria Math"/>
                        <w:i/>
                        <w:iCs/>
                        <w:color w:val="auto"/>
                        <w:sz w:val="21"/>
                        <w:szCs w:val="21"/>
                      </w:rPr>
                    </m:ctrlPr>
                  </m:e>
                </m:d>
                <m:r>
                  <m:rPr/>
                  <w:rPr>
                    <w:rFonts w:ascii="Cambria Math" w:hAnsi="Cambria Math"/>
                    <w:color w:val="auto"/>
                    <w:sz w:val="21"/>
                    <w:szCs w:val="21"/>
                  </w:rPr>
                  <m:t>+</m:t>
                </m:r>
                <m:nary>
                  <m:naryPr>
                    <m:chr m:val="∑"/>
                    <m:limLoc m:val="undOvr"/>
                    <m:ctrlPr>
                      <w:rPr>
                        <w:rFonts w:ascii="Cambria Math" w:hAnsi="Cambria Math"/>
                        <w:bCs/>
                        <w:i/>
                        <w:iCs/>
                        <w:color w:val="auto"/>
                        <w:sz w:val="21"/>
                        <w:szCs w:val="21"/>
                      </w:rPr>
                    </m:ctrlPr>
                  </m:naryPr>
                  <m:sub>
                    <m:r>
                      <m:rPr/>
                      <w:rPr>
                        <w:rFonts w:ascii="Cambria Math" w:hAnsi="Cambria Math"/>
                        <w:color w:val="auto"/>
                        <w:sz w:val="21"/>
                        <w:szCs w:val="21"/>
                      </w:rPr>
                      <m:t>i=1</m:t>
                    </m:r>
                    <m:ctrlPr>
                      <w:rPr>
                        <w:rFonts w:ascii="Cambria Math" w:hAnsi="Cambria Math"/>
                        <w:bCs/>
                        <w:i/>
                        <w:iCs/>
                        <w:color w:val="auto"/>
                        <w:sz w:val="21"/>
                        <w:szCs w:val="21"/>
                      </w:rPr>
                    </m:ctrlPr>
                  </m:sub>
                  <m:sup>
                    <m:r>
                      <m:rPr/>
                      <w:rPr>
                        <w:rFonts w:ascii="Cambria Math" w:hAnsi="Cambria Math"/>
                        <w:color w:val="auto"/>
                        <w:sz w:val="21"/>
                        <w:szCs w:val="21"/>
                      </w:rPr>
                      <m:t>n</m:t>
                    </m:r>
                    <m:ctrlPr>
                      <w:rPr>
                        <w:rFonts w:ascii="Cambria Math" w:hAnsi="Cambria Math"/>
                        <w:bCs/>
                        <w:i/>
                        <w:iCs/>
                        <w:color w:val="auto"/>
                        <w:sz w:val="21"/>
                        <w:szCs w:val="21"/>
                      </w:rPr>
                    </m:ctrlPr>
                  </m:sup>
                  <m:e>
                    <m:sSub>
                      <m:sSubPr>
                        <m:ctrlPr>
                          <w:rPr>
                            <w:rFonts w:ascii="Cambria Math" w:hAnsi="Cambria Math"/>
                            <w:bCs/>
                            <w:i/>
                            <w:iCs/>
                            <w:color w:val="auto"/>
                            <w:sz w:val="21"/>
                            <w:szCs w:val="21"/>
                          </w:rPr>
                        </m:ctrlPr>
                      </m:sSubPr>
                      <m:e>
                        <m:r>
                          <m:rPr/>
                          <w:rPr>
                            <w:rFonts w:ascii="Cambria Math" w:hAnsi="Cambria Math"/>
                            <w:color w:val="auto"/>
                            <w:sz w:val="21"/>
                            <w:szCs w:val="21"/>
                          </w:rPr>
                          <m:t>Q</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Sub>
                    <m:r>
                      <m:rPr/>
                      <w:rPr>
                        <w:rFonts w:ascii="Cambria Math" w:hAnsi="Cambria Math"/>
                        <w:color w:val="auto"/>
                        <w:sz w:val="21"/>
                        <w:szCs w:val="21"/>
                      </w:rPr>
                      <m:t>W</m:t>
                    </m:r>
                    <m:d>
                      <m:dPr>
                        <m:begChr m:val="["/>
                        <m:endChr m:val="]"/>
                        <m:ctrlPr>
                          <w:rPr>
                            <w:rFonts w:ascii="Cambria Math" w:hAnsi="Cambria Math"/>
                            <w:i/>
                            <w:iCs/>
                            <w:color w:val="auto"/>
                            <w:sz w:val="21"/>
                            <w:szCs w:val="21"/>
                          </w:rPr>
                        </m:ctrlPr>
                      </m:dPr>
                      <m:e>
                        <m:f>
                          <m:fPr>
                            <m:ctrlPr>
                              <w:rPr>
                                <w:rFonts w:ascii="Cambria Math" w:hAnsi="Cambria Math"/>
                                <w:i/>
                                <w:iCs/>
                                <w:color w:val="auto"/>
                                <w:sz w:val="21"/>
                                <w:szCs w:val="21"/>
                              </w:rPr>
                            </m:ctrlPr>
                          </m:fPr>
                          <m:num>
                            <m:sSubSup>
                              <m:sSubSupPr>
                                <m:ctrlPr>
                                  <w:rPr>
                                    <w:rFonts w:ascii="Cambria Math" w:hAnsi="Cambria Math"/>
                                    <w:bCs/>
                                    <w:i/>
                                    <w:iCs/>
                                    <w:color w:val="auto"/>
                                    <w:sz w:val="21"/>
                                    <w:szCs w:val="21"/>
                                  </w:rPr>
                                </m:ctrlPr>
                              </m:sSubSupPr>
                              <m:e>
                                <m:r>
                                  <m:rPr/>
                                  <w:rPr>
                                    <w:rFonts w:ascii="Cambria Math" w:hAnsi="Cambria Math"/>
                                    <w:color w:val="auto"/>
                                    <w:sz w:val="21"/>
                                    <w:szCs w:val="21"/>
                                  </w:rPr>
                                  <m:t>ρ</m:t>
                                </m:r>
                                <m:ctrlPr>
                                  <w:rPr>
                                    <w:rFonts w:ascii="Cambria Math" w:hAnsi="Cambria Math"/>
                                    <w:bCs/>
                                    <w:i/>
                                    <w:iCs/>
                                    <w:color w:val="auto"/>
                                    <w:sz w:val="21"/>
                                    <w:szCs w:val="21"/>
                                  </w:rPr>
                                </m:ctrlPr>
                              </m:e>
                              <m:sub>
                                <m:r>
                                  <m:rPr/>
                                  <w:rPr>
                                    <w:rFonts w:ascii="Cambria Math" w:hAnsi="Cambria Math"/>
                                    <w:color w:val="auto"/>
                                    <w:sz w:val="21"/>
                                    <w:szCs w:val="21"/>
                                  </w:rPr>
                                  <m:t>i</m:t>
                                </m:r>
                                <m:ctrlPr>
                                  <w:rPr>
                                    <w:rFonts w:ascii="Cambria Math" w:hAnsi="Cambria Math"/>
                                    <w:bCs/>
                                    <w:i/>
                                    <w:iCs/>
                                    <w:color w:val="auto"/>
                                    <w:sz w:val="21"/>
                                    <w:szCs w:val="21"/>
                                  </w:rPr>
                                </m:ctrlPr>
                              </m:sub>
                              <m:sup>
                                <m:r>
                                  <m:rPr/>
                                  <w:rPr>
                                    <w:rFonts w:ascii="Cambria Math" w:hAnsi="Cambria Math"/>
                                    <w:color w:val="auto"/>
                                    <w:sz w:val="21"/>
                                    <w:szCs w:val="21"/>
                                  </w:rPr>
                                  <m:t>2</m:t>
                                </m:r>
                                <m:ctrlPr>
                                  <w:rPr>
                                    <w:rFonts w:ascii="Cambria Math" w:hAnsi="Cambria Math"/>
                                    <w:bCs/>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4a</m:t>
                            </m:r>
                            <m:d>
                              <m:dPr>
                                <m:ctrlPr>
                                  <w:rPr>
                                    <w:rFonts w:ascii="Cambria Math" w:hAnsi="Cambria Math"/>
                                    <w:i/>
                                    <w:iCs/>
                                    <w:color w:val="auto"/>
                                    <w:sz w:val="21"/>
                                    <w:szCs w:val="21"/>
                                  </w:rPr>
                                </m:ctrlPr>
                              </m:dPr>
                              <m:e>
                                <m:r>
                                  <m:rPr/>
                                  <w:rPr>
                                    <w:rFonts w:ascii="Cambria Math" w:hAnsi="Cambria Math"/>
                                    <w:color w:val="auto"/>
                                    <w:sz w:val="21"/>
                                    <w:szCs w:val="21"/>
                                  </w:rPr>
                                  <m:t>t−</m:t>
                                </m:r>
                                <m:sSub>
                                  <m:sSubPr>
                                    <m:ctrlPr>
                                      <w:rPr>
                                        <w:rFonts w:ascii="Cambria Math" w:hAnsi="Cambria Math"/>
                                        <w:i/>
                                        <w:iCs/>
                                        <w:color w:val="auto"/>
                                        <w:sz w:val="21"/>
                                        <w:szCs w:val="21"/>
                                      </w:rPr>
                                    </m:ctrlPr>
                                  </m:sSubPr>
                                  <m:e>
                                    <m:r>
                                      <m:rPr/>
                                      <w:rPr>
                                        <w:rFonts w:ascii="Cambria Math" w:hAnsi="Cambria Math"/>
                                        <w:color w:val="auto"/>
                                        <w:sz w:val="21"/>
                                        <w:szCs w:val="21"/>
                                      </w:rPr>
                                      <m:t>t</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e>
                            </m:d>
                            <m:ctrlPr>
                              <w:rPr>
                                <w:rFonts w:ascii="Cambria Math" w:hAnsi="Cambria Math"/>
                                <w:i/>
                                <w:iCs/>
                                <w:color w:val="auto"/>
                                <w:sz w:val="21"/>
                                <w:szCs w:val="21"/>
                              </w:rPr>
                            </m:ctrlPr>
                          </m:den>
                        </m:f>
                        <m:ctrlPr>
                          <w:rPr>
                            <w:rFonts w:ascii="Cambria Math" w:hAnsi="Cambria Math"/>
                            <w:i/>
                            <w:iCs/>
                            <w:color w:val="auto"/>
                            <w:sz w:val="21"/>
                            <w:szCs w:val="21"/>
                          </w:rPr>
                        </m:ctrlPr>
                      </m:e>
                    </m:d>
                    <m:ctrlPr>
                      <w:rPr>
                        <w:rFonts w:ascii="Cambria Math" w:hAnsi="Cambria Math"/>
                        <w:bCs/>
                        <w:i/>
                        <w:iCs/>
                        <w:color w:val="auto"/>
                        <w:sz w:val="21"/>
                        <w:szCs w:val="21"/>
                      </w:rPr>
                    </m:ctrlPr>
                  </m:e>
                </m:nary>
                <m:ctrlPr>
                  <w:rPr>
                    <w:rFonts w:ascii="Cambria Math" w:hAnsi="Cambria Math"/>
                    <w:bCs/>
                    <w:i/>
                    <w:iCs/>
                    <w:color w:val="auto"/>
                    <w:sz w:val="21"/>
                    <w:szCs w:val="21"/>
                  </w:rPr>
                </m:ctrlPr>
              </m:e>
            </m:nary>
            <m:ctrlPr>
              <w:rPr>
                <w:rFonts w:ascii="Cambria Math" w:hAnsi="Cambria Math"/>
                <w:i/>
                <w:iCs/>
                <w:color w:val="auto"/>
                <w:sz w:val="21"/>
                <w:szCs w:val="21"/>
              </w:rPr>
            </m:ctrlPr>
          </m:e>
        </m:d>
      </m:oMath>
      <w:r>
        <w:rPr>
          <w:rFonts w:hint="eastAsia"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xml:space="preserve">          （</w:t>
      </w:r>
      <w:r>
        <w:rPr>
          <w:rFonts w:hAnsi="Cambria Math"/>
          <w:bCs/>
          <w:color w:val="auto"/>
          <w:sz w:val="21"/>
          <w:szCs w:val="21"/>
        </w:rPr>
        <w:t>E</w:t>
      </w:r>
      <w:r>
        <w:rPr>
          <w:rFonts w:hint="eastAsia" w:hAnsi="Cambria Math"/>
          <w:bCs/>
          <w:color w:val="auto"/>
          <w:sz w:val="21"/>
          <w:szCs w:val="21"/>
        </w:rPr>
        <w:t>-8）</w:t>
      </w:r>
    </w:p>
    <w:p w14:paraId="611338A5">
      <w:pPr>
        <w:pStyle w:val="260"/>
        <w:ind w:left="630" w:leftChars="300"/>
        <w:rPr>
          <w:rFonts w:hAnsi="宋体" w:cs="宋体"/>
          <w:bCs/>
          <w:color w:val="auto"/>
          <w:sz w:val="21"/>
          <w:szCs w:val="21"/>
        </w:rPr>
      </w:pPr>
      <w:r>
        <w:rPr>
          <w:rFonts w:hAnsi="宋体" w:cs="宋体"/>
          <w:bCs/>
          <w:color w:val="auto"/>
          <w:sz w:val="21"/>
          <w:szCs w:val="21"/>
        </w:rPr>
        <w:t>式中：</w:t>
      </w:r>
    </w:p>
    <w:p w14:paraId="5F16879C">
      <w:pPr>
        <w:pStyle w:val="251"/>
        <w:spacing w:line="240" w:lineRule="auto"/>
        <w:ind w:left="630" w:leftChars="300"/>
        <w:rPr>
          <w:rFonts w:hint="eastAsia" w:hAnsi="宋体" w:cs="宋体"/>
          <w:bCs/>
          <w:sz w:val="21"/>
          <w:szCs w:val="21"/>
        </w:rPr>
      </w:pPr>
      <w:r>
        <w:rPr>
          <w:rFonts w:hint="eastAsia" w:hAnsi="宋体" w:cs="宋体"/>
          <w:bCs/>
          <w:i/>
          <w:iCs/>
          <w:sz w:val="21"/>
          <w:szCs w:val="21"/>
        </w:rPr>
        <w:t>K</w:t>
      </w:r>
      <w:r>
        <w:rPr>
          <w:rFonts w:hint="eastAsia" w:hAnsi="宋体" w:cs="宋体"/>
          <w:sz w:val="21"/>
          <w:szCs w:val="21"/>
        </w:rPr>
        <w:t>——</w:t>
      </w:r>
      <w:r>
        <w:rPr>
          <w:rFonts w:hint="eastAsia" w:hAnsi="宋体" w:cs="宋体"/>
          <w:bCs/>
          <w:sz w:val="21"/>
          <w:szCs w:val="21"/>
        </w:rPr>
        <w:t>渗透系数，m/d；</w:t>
      </w:r>
    </w:p>
    <w:p w14:paraId="42A52279">
      <w:pPr>
        <w:pStyle w:val="251"/>
        <w:spacing w:line="240" w:lineRule="auto"/>
        <w:ind w:left="630" w:leftChars="300"/>
        <w:rPr>
          <w:rFonts w:hint="eastAsia" w:hAnsi="宋体" w:cs="宋体"/>
          <w:bCs/>
          <w:sz w:val="21"/>
          <w:szCs w:val="21"/>
        </w:rPr>
      </w:pPr>
      <w:r>
        <w:rPr>
          <w:rFonts w:hint="eastAsia" w:hAnsi="宋体" w:cs="宋体"/>
          <w:bCs/>
          <w:i/>
          <w:iCs/>
          <w:sz w:val="21"/>
          <w:szCs w:val="21"/>
        </w:rPr>
        <w:t>M</w:t>
      </w:r>
      <w:r>
        <w:rPr>
          <w:rFonts w:hint="eastAsia" w:hAnsi="宋体" w:cs="宋体"/>
          <w:sz w:val="21"/>
          <w:szCs w:val="21"/>
        </w:rPr>
        <w:t>——</w:t>
      </w:r>
      <w:r>
        <w:rPr>
          <w:rFonts w:hint="eastAsia" w:hAnsi="宋体" w:cs="宋体"/>
          <w:bCs/>
          <w:sz w:val="21"/>
          <w:szCs w:val="21"/>
        </w:rPr>
        <w:t>含水层厚度，m；</w:t>
      </w:r>
    </w:p>
    <w:p w14:paraId="7E05DBC1">
      <w:pPr>
        <w:pStyle w:val="259"/>
        <w:spacing w:line="240" w:lineRule="auto"/>
        <w:ind w:left="630" w:leftChars="300"/>
        <w:rPr>
          <w:rFonts w:hint="eastAsia" w:hAnsi="宋体" w:cs="宋体"/>
          <w:bCs/>
          <w:sz w:val="21"/>
          <w:szCs w:val="21"/>
        </w:rPr>
      </w:pPr>
      <w:r>
        <w:rPr>
          <w:rFonts w:hint="eastAsia" w:hAnsi="宋体" w:cs="宋体"/>
          <w:bCs/>
          <w:i/>
          <w:iCs/>
          <w:sz w:val="21"/>
          <w:szCs w:val="21"/>
        </w:rPr>
        <w:t>Q</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第i口实井或虚井的出水量，m</w:t>
      </w:r>
      <w:r>
        <w:rPr>
          <w:rFonts w:hint="eastAsia" w:hAnsi="宋体" w:cs="宋体"/>
          <w:bCs/>
          <w:sz w:val="21"/>
          <w:szCs w:val="21"/>
          <w:vertAlign w:val="superscript"/>
        </w:rPr>
        <w:t>3</w:t>
      </w:r>
      <w:r>
        <w:rPr>
          <w:rFonts w:hint="eastAsia" w:hAnsi="宋体" w:cs="宋体"/>
          <w:bCs/>
          <w:sz w:val="21"/>
          <w:szCs w:val="21"/>
        </w:rPr>
        <w:t>/d；</w:t>
      </w:r>
    </w:p>
    <w:p w14:paraId="067CEB15">
      <w:pPr>
        <w:pStyle w:val="259"/>
        <w:spacing w:line="240" w:lineRule="auto"/>
        <w:ind w:left="630" w:leftChars="300"/>
        <w:rPr>
          <w:rFonts w:hint="eastAsia" w:hAnsi="宋体" w:cs="宋体"/>
          <w:bCs/>
          <w:sz w:val="21"/>
          <w:szCs w:val="21"/>
        </w:rPr>
      </w:pPr>
      <w:r>
        <w:rPr>
          <w:rFonts w:hint="eastAsia" w:hAnsi="宋体" w:cs="宋体"/>
          <w:bCs/>
          <w:i/>
          <w:iCs/>
          <w:sz w:val="21"/>
          <w:szCs w:val="21"/>
        </w:rPr>
        <w:t>t</w:t>
      </w:r>
      <w:r>
        <w:rPr>
          <w:rFonts w:hint="eastAsia" w:hAnsi="宋体" w:cs="宋体"/>
          <w:sz w:val="21"/>
          <w:szCs w:val="21"/>
        </w:rPr>
        <w:t>——</w:t>
      </w:r>
      <w:r>
        <w:rPr>
          <w:rFonts w:hint="eastAsia" w:hAnsi="宋体" w:cs="宋体"/>
          <w:bCs/>
          <w:sz w:val="21"/>
          <w:szCs w:val="21"/>
        </w:rPr>
        <w:t>井群抽水延续总时间，d；</w:t>
      </w:r>
    </w:p>
    <w:p w14:paraId="09DCF8D6">
      <w:pPr>
        <w:pStyle w:val="259"/>
        <w:spacing w:line="240" w:lineRule="auto"/>
        <w:ind w:left="630" w:leftChars="300"/>
        <w:rPr>
          <w:rFonts w:hint="eastAsia" w:hAnsi="宋体" w:cs="宋体"/>
          <w:bCs/>
          <w:sz w:val="21"/>
          <w:szCs w:val="21"/>
        </w:rPr>
      </w:pPr>
      <w:r>
        <w:rPr>
          <w:rFonts w:hint="eastAsia" w:hAnsi="宋体" w:cs="宋体"/>
          <w:bCs/>
          <w:i/>
          <w:iCs/>
          <w:sz w:val="21"/>
          <w:szCs w:val="21"/>
        </w:rPr>
        <w:t>t</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第i口井开始抽水的时间，d；</w:t>
      </w:r>
    </w:p>
    <w:p w14:paraId="168866E9">
      <w:pPr>
        <w:pStyle w:val="251"/>
        <w:spacing w:line="240" w:lineRule="auto"/>
        <w:ind w:left="630" w:leftChars="300"/>
        <w:rPr>
          <w:rFonts w:hint="eastAsia" w:hAnsi="宋体" w:cs="宋体"/>
          <w:bCs/>
          <w:sz w:val="21"/>
          <w:szCs w:val="21"/>
        </w:rPr>
      </w:pPr>
      <w:r>
        <w:rPr>
          <w:rFonts w:hint="eastAsia" w:hAnsi="宋体" w:cs="宋体"/>
          <w:bCs/>
          <w:i/>
          <w:iCs/>
          <w:sz w:val="21"/>
          <w:szCs w:val="21"/>
        </w:rPr>
        <w:t>ρ</w:t>
      </w:r>
      <w:r>
        <w:rPr>
          <w:rFonts w:hint="eastAsia" w:hAnsi="宋体" w:cs="宋体"/>
          <w:bCs/>
          <w:i/>
          <w:iCs/>
          <w:sz w:val="21"/>
          <w:szCs w:val="21"/>
          <w:vertAlign w:val="subscript"/>
        </w:rPr>
        <w:t>i</w:t>
      </w:r>
      <w:r>
        <w:rPr>
          <w:rFonts w:hint="eastAsia" w:hAnsi="宋体" w:cs="宋体"/>
          <w:sz w:val="21"/>
          <w:szCs w:val="21"/>
        </w:rPr>
        <w:t>——</w:t>
      </w:r>
      <w:r>
        <w:rPr>
          <w:rFonts w:hint="eastAsia" w:hAnsi="宋体" w:cs="宋体"/>
          <w:bCs/>
          <w:sz w:val="21"/>
          <w:szCs w:val="21"/>
        </w:rPr>
        <w:t>水位预测点到各映像井的距离，m；</w:t>
      </w:r>
    </w:p>
    <w:p w14:paraId="7F97B5D3">
      <w:pPr>
        <w:pStyle w:val="251"/>
        <w:spacing w:line="240" w:lineRule="auto"/>
        <w:ind w:left="630" w:leftChars="300"/>
        <w:rPr>
          <w:rFonts w:ascii="Times New Roman" w:hAnsi="Times New Roman"/>
          <w:bCs/>
          <w:sz w:val="21"/>
          <w:szCs w:val="21"/>
        </w:rPr>
      </w:pPr>
      <w:r>
        <w:rPr>
          <w:rFonts w:hint="eastAsia" w:hAnsi="宋体" w:cs="宋体"/>
          <w:bCs/>
          <w:i/>
          <w:iCs/>
          <w:sz w:val="21"/>
          <w:szCs w:val="21"/>
        </w:rPr>
        <w:t>a</w:t>
      </w:r>
      <w:r>
        <w:rPr>
          <w:rFonts w:hint="eastAsia" w:hAnsi="宋体" w:cs="宋体"/>
          <w:sz w:val="21"/>
          <w:szCs w:val="21"/>
        </w:rPr>
        <w:t>——</w:t>
      </w:r>
      <w:r>
        <w:rPr>
          <w:rFonts w:hint="eastAsia" w:hAnsi="宋体" w:cs="宋体"/>
          <w:bCs/>
          <w:sz w:val="21"/>
          <w:szCs w:val="21"/>
        </w:rPr>
        <w:t>压力传导系数，m</w:t>
      </w:r>
      <w:r>
        <w:rPr>
          <w:rFonts w:hint="eastAsia" w:hAnsi="宋体" w:cs="宋体"/>
          <w:bCs/>
          <w:sz w:val="21"/>
          <w:szCs w:val="21"/>
          <w:vertAlign w:val="superscript"/>
        </w:rPr>
        <w:t>2</w:t>
      </w:r>
      <w:r>
        <w:rPr>
          <w:rFonts w:hint="eastAsia" w:hAnsi="宋体" w:cs="宋体"/>
          <w:bCs/>
          <w:sz w:val="21"/>
          <w:szCs w:val="21"/>
        </w:rPr>
        <w:t>/d。</w:t>
      </w:r>
      <w:r>
        <w:rPr>
          <w:rFonts w:hint="eastAsia" w:ascii="Times New Roman" w:hAnsi="Times New Roman"/>
          <w:bCs/>
          <w:sz w:val="21"/>
          <w:szCs w:val="21"/>
        </w:rPr>
        <w:t> </w:t>
      </w:r>
    </w:p>
    <w:p w14:paraId="3B1F45E9">
      <w:pPr>
        <w:pStyle w:val="236"/>
        <w:keepNext/>
        <w:jc w:val="center"/>
        <w:rPr>
          <w:rFonts w:ascii="Times New Roman" w:hAnsi="Times New Roman" w:cs="Times New Roman"/>
          <w:bCs/>
          <w:color w:val="auto"/>
          <w:sz w:val="21"/>
          <w:szCs w:val="21"/>
        </w:rPr>
      </w:pPr>
      <w:r>
        <w:rPr>
          <w:rFonts w:ascii="Times New Roman" w:hAnsi="Times New Roman" w:cs="Times New Roman"/>
          <w:bCs/>
          <w:color w:val="auto"/>
          <w:sz w:val="21"/>
          <w:szCs w:val="21"/>
        </w:rPr>
        <w:drawing>
          <wp:inline distT="0" distB="0" distL="114300" distR="114300">
            <wp:extent cx="3928110" cy="2054225"/>
            <wp:effectExtent l="0" t="0" r="15240" b="3175"/>
            <wp:docPr id="60" name="图片 2" descr="165329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1653296390(1)"/>
                    <pic:cNvPicPr>
                      <a:picLocks noChangeAspect="1"/>
                    </pic:cNvPicPr>
                  </pic:nvPicPr>
                  <pic:blipFill>
                    <a:blip r:embed="rId94" cstate="print"/>
                    <a:stretch>
                      <a:fillRect/>
                    </a:stretch>
                  </pic:blipFill>
                  <pic:spPr>
                    <a:xfrm>
                      <a:off x="0" y="0"/>
                      <a:ext cx="3928110" cy="2054225"/>
                    </a:xfrm>
                    <a:prstGeom prst="rect">
                      <a:avLst/>
                    </a:prstGeom>
                    <a:noFill/>
                    <a:ln>
                      <a:noFill/>
                    </a:ln>
                  </pic:spPr>
                </pic:pic>
              </a:graphicData>
            </a:graphic>
          </wp:inline>
        </w:drawing>
      </w:r>
    </w:p>
    <w:p w14:paraId="5658C4DD">
      <w:pPr>
        <w:spacing w:before="156" w:beforeLines="50" w:after="156" w:afterLines="50" w:line="240" w:lineRule="auto"/>
        <w:ind w:firstLine="420" w:firstLineChars="200"/>
        <w:jc w:val="center"/>
        <w:rPr>
          <w:rFonts w:hint="eastAsia" w:ascii="黑体" w:hAnsi="黑体" w:eastAsia="黑体" w:cs="宋体"/>
        </w:rPr>
      </w:pPr>
      <w:r>
        <w:rPr>
          <w:rFonts w:ascii="黑体" w:hAnsi="黑体" w:eastAsia="黑体" w:cs="宋体"/>
        </w:rPr>
        <w:t>图E</w:t>
      </w:r>
      <w:r>
        <w:rPr>
          <w:rFonts w:hint="eastAsia" w:ascii="黑体" w:hAnsi="黑体" w:eastAsia="黑体" w:cs="宋体"/>
        </w:rPr>
        <w:t xml:space="preserve">.1 </w:t>
      </w:r>
      <w:r>
        <w:rPr>
          <w:rFonts w:ascii="黑体" w:hAnsi="黑体" w:eastAsia="黑体" w:cs="宋体"/>
        </w:rPr>
        <w:t xml:space="preserve"> 直线边界附近地下水位降深计算</w:t>
      </w:r>
    </w:p>
    <w:p w14:paraId="37CDF1F3">
      <w:pPr>
        <w:pStyle w:val="13"/>
        <w:spacing w:line="240" w:lineRule="auto"/>
        <w:ind w:left="819" w:leftChars="199" w:hanging="401" w:hangingChars="191"/>
        <w:rPr>
          <w:rFonts w:ascii="Times New Roman" w:hAnsi="Times New Roman" w:eastAsia="宋体"/>
          <w:bCs/>
        </w:rPr>
      </w:pPr>
      <w:r>
        <w:rPr>
          <w:rFonts w:ascii="Times New Roman" w:hAnsi="Times New Roman" w:eastAsia="宋体"/>
          <w:bCs/>
        </w:rPr>
        <w:t>A－观测点；b－直线边界；1、2、3...－降水管井；1’、2’、3’...－虚拟井</w:t>
      </w:r>
    </w:p>
    <w:p w14:paraId="1873EA30">
      <w:pPr>
        <w:pStyle w:val="256"/>
        <w:jc w:val="both"/>
        <w:rPr>
          <w:rFonts w:ascii="Times New Roman" w:hAnsi="Times New Roman"/>
          <w:bCs/>
          <w:sz w:val="21"/>
          <w:szCs w:val="21"/>
        </w:rPr>
      </w:pPr>
      <w:r>
        <w:rPr>
          <w:rFonts w:ascii="Times New Roman" w:hAnsi="Times New Roman"/>
          <w:bCs/>
          <w:sz w:val="21"/>
          <w:szCs w:val="21"/>
        </w:rPr>
        <w:t>E</w:t>
      </w:r>
      <w:r>
        <w:rPr>
          <w:rFonts w:hint="eastAsia" w:ascii="Times New Roman" w:hAnsi="Times New Roman"/>
          <w:bCs/>
          <w:sz w:val="21"/>
          <w:szCs w:val="21"/>
        </w:rPr>
        <w:t>. 4  </w:t>
      </w:r>
      <w:r>
        <w:rPr>
          <w:rFonts w:ascii="Times New Roman" w:hAnsi="Times New Roman"/>
          <w:bCs/>
          <w:sz w:val="21"/>
          <w:szCs w:val="21"/>
        </w:rPr>
        <w:t>带有隔渗帷幕的基坑支护结构深入到降水目的含水层底板以下，含水层的底板不透水时，多边形的隔水边界可按面积相等概化为一个圆形的隔水边界，其坑内任意点的水位降深，可按下式计算：</w:t>
      </w:r>
    </w:p>
    <w:p w14:paraId="1C6DBEF9">
      <w:pPr>
        <w:pStyle w:val="182"/>
        <w:keepNext/>
        <w:numPr>
          <w:ilvl w:val="0"/>
          <w:numId w:val="108"/>
        </w:numPr>
        <w:ind w:left="845" w:hanging="425"/>
      </w:pPr>
      <w:r>
        <w:rPr>
          <w:rFonts w:hint="eastAsia"/>
        </w:rPr>
        <w:t>承压水：</w:t>
      </w:r>
    </w:p>
    <w:p w14:paraId="6BAD909C">
      <w:pPr>
        <w:pStyle w:val="236"/>
        <w:spacing w:before="156" w:beforeLines="50" w:after="156" w:afterLines="50"/>
        <w:jc w:val="right"/>
        <w:rPr>
          <w:rFonts w:ascii="Times New Roman" w:hAnsi="Times New Roman" w:cs="Times New Roman"/>
          <w:bCs/>
          <w:color w:val="auto"/>
          <w:position w:val="-30"/>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Sub>
        <m:r>
          <m:rPr/>
          <w:rPr>
            <w:rFonts w:ascii="Cambria Math" w:hAnsi="Cambria Math"/>
            <w:color w:val="auto"/>
            <w:sz w:val="21"/>
            <w:szCs w:val="21"/>
          </w:rPr>
          <m:t>=</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Q</m:t>
                </m:r>
                <m:ctrlPr>
                  <w:rPr>
                    <w:rFonts w:ascii="Cambria Math" w:hAnsi="Cambria Math"/>
                    <w:i/>
                    <w:iCs/>
                    <w:color w:val="auto"/>
                    <w:sz w:val="21"/>
                    <w:szCs w:val="21"/>
                  </w:rPr>
                </m:ctrlPr>
              </m:e>
              <m:sub>
                <m:r>
                  <m:rPr/>
                  <w:rPr>
                    <w:rFonts w:ascii="Cambria Math" w:hAnsi="Cambria Math"/>
                    <w:color w:val="auto"/>
                    <w:sz w:val="21"/>
                    <w:szCs w:val="21"/>
                  </w:rPr>
                  <m:t>C</m:t>
                </m:r>
                <m:ctrlPr>
                  <w:rPr>
                    <w:rFonts w:ascii="Cambria Math" w:hAnsi="Cambria Math"/>
                    <w:i/>
                    <w:iCs/>
                    <w:color w:val="auto"/>
                    <w:sz w:val="21"/>
                    <w:szCs w:val="21"/>
                  </w:rPr>
                </m:ctrlPr>
              </m:sub>
            </m:sSub>
            <m:ctrlPr>
              <w:rPr>
                <w:rFonts w:ascii="Cambria Math" w:hAnsi="Cambria Math"/>
                <w:i/>
                <w:iCs/>
                <w:color w:val="auto"/>
                <w:sz w:val="21"/>
                <w:szCs w:val="21"/>
              </w:rPr>
            </m:ctrlPr>
          </m:num>
          <m:den>
            <m:r>
              <m:rPr>
                <m:sty m:val="p"/>
              </m:rPr>
              <w:rPr>
                <w:rFonts w:ascii="Cambria Math" w:hAnsi="Cambria Math"/>
                <w:color w:val="auto"/>
                <w:sz w:val="21"/>
                <w:szCs w:val="21"/>
              </w:rPr>
              <m:t>π</m:t>
            </m:r>
            <m:r>
              <m:rPr/>
              <w:rPr>
                <w:rFonts w:ascii="Cambria Math" w:hAnsi="Cambria Math"/>
                <w:color w:val="auto"/>
                <w:sz w:val="21"/>
                <w:szCs w:val="21"/>
              </w:rPr>
              <m:t>KM</m:t>
            </m:r>
            <m:ctrlPr>
              <w:rPr>
                <w:rFonts w:ascii="Cambria Math" w:hAnsi="Cambria Math"/>
                <w:i/>
                <w:iCs/>
                <w:color w:val="auto"/>
                <w:sz w:val="21"/>
                <w:szCs w:val="21"/>
              </w:rPr>
            </m:ctrlPr>
          </m:den>
        </m:f>
        <m:f>
          <m:fPr>
            <m:ctrlPr>
              <w:rPr>
                <w:rFonts w:ascii="Cambria Math" w:hAnsi="Cambria Math"/>
                <w:i/>
                <w:iCs/>
                <w:color w:val="auto"/>
                <w:sz w:val="21"/>
                <w:szCs w:val="21"/>
              </w:rPr>
            </m:ctrlPr>
          </m:fPr>
          <m:num>
            <m:r>
              <m:rPr/>
              <w:rPr>
                <w:rFonts w:ascii="Cambria Math" w:hAnsi="Cambria Math"/>
                <w:color w:val="auto"/>
                <w:sz w:val="21"/>
                <w:szCs w:val="21"/>
              </w:rPr>
              <m:t>at</m:t>
            </m:r>
            <m:ctrlPr>
              <w:rPr>
                <w:rFonts w:ascii="Cambria Math" w:hAnsi="Cambria Math"/>
                <w:i/>
                <w:iCs/>
                <w:color w:val="auto"/>
                <w:sz w:val="21"/>
                <w:szCs w:val="21"/>
              </w:rPr>
            </m:ctrlPr>
          </m:num>
          <m:den>
            <m:sSubSup>
              <m:sSubSupPr>
                <m:ctrlPr>
                  <w:rPr>
                    <w:rFonts w:ascii="Cambria Math" w:hAnsi="Cambria Math"/>
                    <w:i/>
                    <w:iCs/>
                    <w:color w:val="auto"/>
                    <w:sz w:val="21"/>
                    <w:szCs w:val="21"/>
                  </w:rPr>
                </m:ctrlPr>
              </m:sSubSup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ctrlPr>
              <w:rPr>
                <w:rFonts w:ascii="Cambria Math" w:hAnsi="Cambria Math"/>
                <w:i/>
                <w:iCs/>
                <w:color w:val="auto"/>
                <w:sz w:val="21"/>
                <w:szCs w:val="21"/>
              </w:rPr>
            </m:ctrlPr>
          </m:den>
        </m:f>
        <m:r>
          <m:rPr/>
          <w:rPr>
            <w:rFonts w:ascii="Cambria Math" w:hAnsi="Cambria Math"/>
            <w:color w:val="auto"/>
            <w:sz w:val="21"/>
            <w:szCs w:val="21"/>
          </w:rPr>
          <m:t>+</m:t>
        </m:r>
        <m:nary>
          <m:naryPr>
            <m:chr m:val="∑"/>
            <m:limLoc m:val="subSup"/>
            <m:ctrlPr>
              <w:rPr>
                <w:rFonts w:ascii="Cambria Math" w:hAnsi="Cambria Math"/>
                <w:i/>
                <w:iCs/>
                <w:color w:val="auto"/>
                <w:sz w:val="21"/>
                <w:szCs w:val="21"/>
              </w:rPr>
            </m:ctrlPr>
          </m:naryPr>
          <m:sub>
            <m:r>
              <m:rPr/>
              <w:rPr>
                <w:rFonts w:ascii="Cambria Math" w:hAnsi="Cambria Math"/>
                <w:color w:val="auto"/>
                <w:sz w:val="21"/>
                <w:szCs w:val="21"/>
              </w:rPr>
              <m:t>i=1</m:t>
            </m:r>
            <m:ctrlPr>
              <w:rPr>
                <w:rFonts w:ascii="Cambria Math" w:hAnsi="Cambria Math"/>
                <w:i/>
                <w:iCs/>
                <w:color w:val="auto"/>
                <w:sz w:val="21"/>
                <w:szCs w:val="21"/>
              </w:rPr>
            </m:ctrlPr>
          </m:sub>
          <m:sup>
            <m:r>
              <m:rPr/>
              <w:rPr>
                <w:rFonts w:ascii="Cambria Math" w:hAnsi="Cambria Math"/>
                <w:color w:val="auto"/>
                <w:sz w:val="21"/>
                <w:szCs w:val="21"/>
              </w:rPr>
              <m:t>n</m:t>
            </m:r>
            <m:ctrlPr>
              <w:rPr>
                <w:rFonts w:ascii="Cambria Math" w:hAnsi="Cambria Math"/>
                <w:i/>
                <w:iCs/>
                <w:color w:val="auto"/>
                <w:sz w:val="21"/>
                <w:szCs w:val="21"/>
              </w:rPr>
            </m:ctrlPr>
          </m:sup>
          <m:e>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Q</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num>
              <m:den>
                <m:r>
                  <m:rPr/>
                  <w:rPr>
                    <w:rFonts w:ascii="Cambria Math" w:hAnsi="Cambria Math"/>
                    <w:color w:val="auto"/>
                    <w:sz w:val="21"/>
                    <w:szCs w:val="21"/>
                  </w:rPr>
                  <m:t>2</m:t>
                </m:r>
                <m:r>
                  <m:rPr>
                    <m:sty m:val="p"/>
                  </m:rPr>
                  <w:rPr>
                    <w:rFonts w:ascii="Cambria Math" w:hAnsi="Cambria Math"/>
                    <w:color w:val="auto"/>
                    <w:sz w:val="21"/>
                    <w:szCs w:val="21"/>
                  </w:rPr>
                  <m:t>π</m:t>
                </m:r>
                <m:r>
                  <m:rPr/>
                  <w:rPr>
                    <w:rFonts w:ascii="Cambria Math" w:hAnsi="Cambria Math"/>
                    <w:color w:val="auto"/>
                    <w:sz w:val="21"/>
                    <w:szCs w:val="21"/>
                  </w:rPr>
                  <m:t>KM</m:t>
                </m:r>
                <m:ctrlPr>
                  <w:rPr>
                    <w:rFonts w:ascii="Cambria Math" w:hAnsi="Cambria Math"/>
                    <w:i/>
                    <w:iCs/>
                    <w:color w:val="auto"/>
                    <w:sz w:val="21"/>
                    <w:szCs w:val="21"/>
                  </w:rPr>
                </m:ctrlPr>
              </m:den>
            </m:f>
            <m:r>
              <m:rPr>
                <m:sty m:val="p"/>
              </m:rPr>
              <w:rPr>
                <w:rFonts w:ascii="Cambria Math" w:hAnsi="Cambria Math"/>
                <w:color w:val="auto"/>
                <w:sz w:val="21"/>
                <w:szCs w:val="21"/>
              </w:rPr>
              <m:t>ln</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Sub>
                <m:ctrlPr>
                  <w:rPr>
                    <w:rFonts w:ascii="Cambria Math" w:hAnsi="Cambria Math"/>
                    <w:i/>
                    <w:iCs/>
                    <w:color w:val="auto"/>
                    <w:sz w:val="21"/>
                    <w:szCs w:val="21"/>
                  </w:rPr>
                </m:ctrlPr>
              </m:num>
              <m:den>
                <m:sSubSup>
                  <m:sSubSupPr>
                    <m:ctrlPr>
                      <w:rPr>
                        <w:rFonts w:ascii="Cambria Math" w:hAnsi="Cambria Math"/>
                        <w:i/>
                        <w:iCs/>
                        <w:color w:val="auto"/>
                        <w:sz w:val="21"/>
                        <w:szCs w:val="21"/>
                      </w:rPr>
                    </m:ctrlPr>
                  </m:sSubSupPr>
                  <m:e>
                    <m:r>
                      <m:rPr/>
                      <w:rPr>
                        <w:rFonts w:ascii="Cambria Math" w:hAnsi="Cambria Math"/>
                        <w:color w:val="auto"/>
                        <w:sz w:val="21"/>
                        <w:szCs w:val="21"/>
                      </w:rPr>
                      <m:t>γ</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up>
                    <m:r>
                      <m:rPr/>
                      <w:rPr>
                        <w:rFonts w:ascii="Cambria Math" w:hAnsi="Cambria Math"/>
                        <w:color w:val="auto"/>
                        <w:sz w:val="21"/>
                        <w:szCs w:val="21"/>
                      </w:rPr>
                      <m:t>∗</m:t>
                    </m:r>
                    <m:ctrlPr>
                      <w:rPr>
                        <w:rFonts w:ascii="Cambria Math" w:hAnsi="Cambria Math"/>
                        <w:i/>
                        <w:iCs/>
                        <w:color w:val="auto"/>
                        <w:sz w:val="21"/>
                        <w:szCs w:val="21"/>
                      </w:rPr>
                    </m:ctrlPr>
                  </m:sup>
                </m:sSubSup>
                <m:ctrlPr>
                  <w:rPr>
                    <w:rFonts w:ascii="Cambria Math" w:hAnsi="Cambria Math"/>
                    <w:i/>
                    <w:iCs/>
                    <w:color w:val="auto"/>
                    <w:sz w:val="21"/>
                    <w:szCs w:val="21"/>
                  </w:rPr>
                </m:ctrlPr>
              </m:den>
            </m:f>
            <m:r>
              <m:rPr/>
              <w:rPr>
                <w:rFonts w:ascii="Cambria Math" w:hAnsi="Cambria Math"/>
                <w:color w:val="auto"/>
                <w:sz w:val="21"/>
                <w:szCs w:val="21"/>
              </w:rPr>
              <m:t xml:space="preserve">        </m:t>
            </m:r>
            <m:ctrlPr>
              <w:rPr>
                <w:rFonts w:ascii="Cambria Math" w:hAnsi="Cambria Math"/>
                <w:i/>
                <w:iCs/>
                <w:color w:val="auto"/>
                <w:sz w:val="21"/>
                <w:szCs w:val="21"/>
              </w:rPr>
            </m:ctrlPr>
          </m:e>
        </m:nary>
      </m:oMath>
      <w:r>
        <w:rPr>
          <w:rFonts w:hint="eastAsia" w:ascii="Cambria Math" w:hAnsi="Cambria Math"/>
          <w:color w:val="auto"/>
          <w:sz w:val="21"/>
          <w:szCs w:val="21"/>
        </w:rPr>
        <w:t> </w:t>
      </w:r>
      <m:oMath>
        <m:d>
          <m:dPr>
            <m:ctrlPr>
              <w:rPr>
                <w:rFonts w:ascii="Cambria Math" w:hAnsi="Cambria Math"/>
                <w:color w:val="auto"/>
                <w:sz w:val="21"/>
                <w:szCs w:val="21"/>
              </w:rPr>
            </m:ctrlPr>
          </m:dPr>
          <m:e>
            <m:r>
              <m:rPr/>
              <w:rPr>
                <w:rFonts w:ascii="Cambria Math" w:hAnsi="Cambria Math"/>
                <w:color w:val="auto"/>
                <w:sz w:val="21"/>
                <w:szCs w:val="21"/>
              </w:rPr>
              <m:t>t</m:t>
            </m:r>
            <m:r>
              <m:rPr>
                <m:sty m:val="p"/>
              </m:rPr>
              <w:rPr>
                <w:rFonts w:ascii="Cambria Math" w:hAnsi="Cambria Math"/>
                <w:color w:val="auto"/>
                <w:sz w:val="21"/>
                <w:szCs w:val="21"/>
              </w:rPr>
              <m:t>≤</m:t>
            </m:r>
            <m:d>
              <m:dPr>
                <m:ctrlPr>
                  <w:rPr>
                    <w:rFonts w:ascii="Cambria Math" w:hAnsi="Cambria Math"/>
                    <w:color w:val="auto"/>
                    <w:sz w:val="21"/>
                    <w:szCs w:val="21"/>
                  </w:rPr>
                </m:ctrlPr>
              </m:dPr>
              <m:e>
                <m:r>
                  <m:rPr>
                    <m:sty m:val="p"/>
                  </m:rPr>
                  <w:rPr>
                    <w:rFonts w:ascii="Cambria Math" w:hAnsi="Cambria Math"/>
                    <w:color w:val="auto"/>
                    <w:sz w:val="21"/>
                    <w:szCs w:val="21"/>
                  </w:rPr>
                  <m:t>0.1～0.2</m:t>
                </m:r>
                <m:ctrlPr>
                  <w:rPr>
                    <w:rFonts w:ascii="Cambria Math" w:hAnsi="Cambria Math"/>
                    <w:color w:val="auto"/>
                    <w:sz w:val="21"/>
                    <w:szCs w:val="21"/>
                  </w:rPr>
                </m:ctrlPr>
              </m:e>
            </m:d>
            <m:f>
              <m:fPr>
                <m:ctrlPr>
                  <w:rPr>
                    <w:rFonts w:ascii="Cambria Math" w:hAnsi="Cambria Math"/>
                    <w:i/>
                    <w:iCs/>
                    <w:color w:val="auto"/>
                    <w:sz w:val="21"/>
                    <w:szCs w:val="21"/>
                  </w:rPr>
                </m:ctrlPr>
              </m:fPr>
              <m:num>
                <m:sSubSup>
                  <m:sSubSupPr>
                    <m:ctrlPr>
                      <w:rPr>
                        <w:rFonts w:ascii="Cambria Math" w:hAnsi="Cambria Math"/>
                        <w:i/>
                        <w:iCs/>
                        <w:color w:val="auto"/>
                        <w:sz w:val="21"/>
                        <w:szCs w:val="21"/>
                      </w:rPr>
                    </m:ctrlPr>
                  </m:sSubSup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a</m:t>
                </m:r>
                <m:ctrlPr>
                  <w:rPr>
                    <w:rFonts w:ascii="Cambria Math" w:hAnsi="Cambria Math"/>
                    <w:i/>
                    <w:iCs/>
                    <w:color w:val="auto"/>
                    <w:sz w:val="21"/>
                    <w:szCs w:val="21"/>
                  </w:rPr>
                </m:ctrlPr>
              </m:den>
            </m:f>
            <m:ctrlPr>
              <w:rPr>
                <w:rFonts w:ascii="Cambria Math" w:hAnsi="Cambria Math"/>
                <w:color w:val="auto"/>
                <w:sz w:val="21"/>
                <w:szCs w:val="21"/>
              </w:rPr>
            </m:ctrlPr>
          </m:e>
        </m:d>
        <m:r>
          <m:rPr>
            <m:sty m:val="p"/>
          </m:rPr>
          <w:rPr>
            <w:rFonts w:ascii="Cambria Math" w:hAnsi="Cambria Math"/>
            <w:color w:val="auto"/>
            <w:sz w:val="21"/>
            <w:szCs w:val="21"/>
          </w:rPr>
          <m:t xml:space="preserve">    </m:t>
        </m:r>
      </m:oMath>
      <w:r>
        <w:rPr>
          <w:rFonts w:hint="eastAsia" w:ascii="Cambria Math"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w:t>
      </w:r>
      <w:r>
        <w:rPr>
          <w:rFonts w:hAnsi="Cambria Math"/>
          <w:bCs/>
          <w:color w:val="auto"/>
          <w:sz w:val="21"/>
          <w:szCs w:val="21"/>
        </w:rPr>
        <w:t>E</w:t>
      </w:r>
      <w:r>
        <w:rPr>
          <w:rFonts w:hint="eastAsia" w:hAnsi="Cambria Math"/>
          <w:bCs/>
          <w:color w:val="auto"/>
          <w:sz w:val="21"/>
          <w:szCs w:val="21"/>
        </w:rPr>
        <w:t>-9）</w:t>
      </w:r>
    </w:p>
    <w:p w14:paraId="1327E188">
      <w:pPr>
        <w:pStyle w:val="182"/>
        <w:numPr>
          <w:ilvl w:val="0"/>
          <w:numId w:val="108"/>
        </w:numPr>
        <w:ind w:left="845" w:hanging="425"/>
      </w:pPr>
      <w:r>
        <w:rPr>
          <w:rFonts w:hint="eastAsia"/>
        </w:rPr>
        <w:t>潜水：</w:t>
      </w:r>
    </w:p>
    <w:p w14:paraId="73F59935">
      <w:pPr>
        <w:pStyle w:val="236"/>
        <w:spacing w:before="156" w:beforeLines="50" w:after="156" w:afterLines="50"/>
        <w:jc w:val="right"/>
        <w:rPr>
          <w:rFonts w:ascii="Times New Roman" w:hAnsi="Times New Roman" w:cs="Times New Roman"/>
          <w:bCs/>
          <w:color w:val="auto"/>
          <w:position w:val="-32"/>
          <w:sz w:val="21"/>
          <w:szCs w:val="21"/>
        </w:rPr>
      </w:pPr>
      <m:oMath>
        <m:sSub>
          <m:sSubPr>
            <m:ctrlPr>
              <w:rPr>
                <w:rFonts w:ascii="Cambria Math" w:hAnsi="Cambria Math"/>
                <w:i/>
                <w:iCs/>
                <w:color w:val="auto"/>
                <w:sz w:val="21"/>
                <w:szCs w:val="21"/>
              </w:rPr>
            </m:ctrlPr>
          </m:sSubPr>
          <m:e>
            <m:r>
              <m:rPr/>
              <w:rPr>
                <w:rFonts w:ascii="Cambria Math" w:hAnsi="Cambria Math"/>
                <w:color w:val="auto"/>
                <w:sz w:val="21"/>
                <w:szCs w:val="21"/>
              </w:rPr>
              <m:t>S</m:t>
            </m: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Sub>
        <m:r>
          <m:rPr/>
          <w:rPr>
            <w:rFonts w:ascii="Cambria Math" w:hAnsi="Cambria Math"/>
            <w:color w:val="auto"/>
            <w:sz w:val="21"/>
            <w:szCs w:val="21"/>
          </w:rPr>
          <m:t>=</m:t>
        </m:r>
        <m:r>
          <m:rPr/>
          <w:rPr>
            <w:rFonts w:hint="eastAsia" w:ascii="Cambria Math" w:hAnsi="Cambria Math"/>
            <w:color w:val="auto"/>
            <w:sz w:val="21"/>
            <w:szCs w:val="21"/>
          </w:rPr>
          <m:t>H</m:t>
        </m:r>
        <m:r>
          <m:rPr/>
          <w:rPr>
            <w:rFonts w:ascii="Cambria Math" w:hAnsi="Cambria Math"/>
            <w:color w:val="auto"/>
            <w:sz w:val="21"/>
            <w:szCs w:val="21"/>
          </w:rPr>
          <m:t>−</m:t>
        </m:r>
        <m:rad>
          <m:radPr>
            <m:degHide m:val="1"/>
            <m:ctrlPr>
              <w:rPr>
                <w:rFonts w:ascii="Cambria Math" w:hAnsi="Cambria Math"/>
                <w:i/>
                <w:iCs/>
                <w:color w:val="auto"/>
                <w:sz w:val="21"/>
                <w:szCs w:val="21"/>
              </w:rPr>
            </m:ctrlPr>
          </m:radPr>
          <m:deg>
            <m:ctrlPr>
              <w:rPr>
                <w:rFonts w:ascii="Cambria Math" w:hAnsi="Cambria Math"/>
                <w:i/>
                <w:iCs/>
                <w:color w:val="auto"/>
                <w:sz w:val="21"/>
                <w:szCs w:val="21"/>
              </w:rPr>
            </m:ctrlPr>
          </m:deg>
          <m:e>
            <m:sSup>
              <m:sSupPr>
                <m:ctrlPr>
                  <w:rPr>
                    <w:rFonts w:ascii="Cambria Math" w:hAnsi="Cambria Math"/>
                    <w:i/>
                    <w:iCs/>
                    <w:color w:val="auto"/>
                    <w:sz w:val="21"/>
                    <w:szCs w:val="21"/>
                  </w:rPr>
                </m:ctrlPr>
              </m:sSupPr>
              <m:e>
                <m:r>
                  <m:rPr/>
                  <w:rPr>
                    <w:rFonts w:ascii="Cambria Math" w:hAnsi="Cambria Math"/>
                    <w:color w:val="auto"/>
                    <w:sz w:val="21"/>
                    <w:szCs w:val="21"/>
                  </w:rPr>
                  <m:t>H</m:t>
                </m: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Q</m:t>
                    </m:r>
                    <m:ctrlPr>
                      <w:rPr>
                        <w:rFonts w:ascii="Cambria Math" w:hAnsi="Cambria Math"/>
                        <w:i/>
                        <w:iCs/>
                        <w:color w:val="auto"/>
                        <w:sz w:val="21"/>
                        <w:szCs w:val="21"/>
                      </w:rPr>
                    </m:ctrlPr>
                  </m:e>
                  <m:sub>
                    <m:r>
                      <m:rPr/>
                      <w:rPr>
                        <w:rFonts w:ascii="Cambria Math" w:hAnsi="Cambria Math"/>
                        <w:color w:val="auto"/>
                        <w:sz w:val="21"/>
                        <w:szCs w:val="21"/>
                      </w:rPr>
                      <m:t>C</m:t>
                    </m:r>
                    <m:ctrlPr>
                      <w:rPr>
                        <w:rFonts w:ascii="Cambria Math" w:hAnsi="Cambria Math"/>
                        <w:i/>
                        <w:iCs/>
                        <w:color w:val="auto"/>
                        <w:sz w:val="21"/>
                        <w:szCs w:val="21"/>
                      </w:rPr>
                    </m:ctrlPr>
                  </m:sub>
                </m:sSub>
                <m:ctrlPr>
                  <w:rPr>
                    <w:rFonts w:ascii="Cambria Math" w:hAnsi="Cambria Math"/>
                    <w:i/>
                    <w:iCs/>
                    <w:color w:val="auto"/>
                    <w:sz w:val="21"/>
                    <w:szCs w:val="21"/>
                  </w:rPr>
                </m:ctrlPr>
              </m:num>
              <m:den>
                <m:r>
                  <m:rPr/>
                  <w:rPr>
                    <w:rFonts w:ascii="Cambria Math" w:hAnsi="Cambria Math"/>
                    <w:color w:val="auto"/>
                    <w:sz w:val="21"/>
                    <w:szCs w:val="21"/>
                  </w:rPr>
                  <m:t>2</m:t>
                </m:r>
                <m:r>
                  <m:rPr>
                    <m:sty m:val="p"/>
                  </m:rPr>
                  <w:rPr>
                    <w:rFonts w:ascii="Cambria Math" w:hAnsi="Cambria Math"/>
                    <w:color w:val="auto"/>
                    <w:sz w:val="21"/>
                    <w:szCs w:val="21"/>
                  </w:rPr>
                  <m:t>π</m:t>
                </m:r>
                <m:r>
                  <m:rPr/>
                  <w:rPr>
                    <w:rFonts w:ascii="Cambria Math" w:hAnsi="Cambria Math"/>
                    <w:color w:val="auto"/>
                    <w:sz w:val="21"/>
                    <w:szCs w:val="21"/>
                  </w:rPr>
                  <m:t>K</m:t>
                </m:r>
                <m:ctrlPr>
                  <w:rPr>
                    <w:rFonts w:ascii="Cambria Math" w:hAnsi="Cambria Math"/>
                    <w:i/>
                    <w:iCs/>
                    <w:color w:val="auto"/>
                    <w:sz w:val="21"/>
                    <w:szCs w:val="21"/>
                  </w:rPr>
                </m:ctrlPr>
              </m:den>
            </m:f>
            <m:f>
              <m:fPr>
                <m:ctrlPr>
                  <w:rPr>
                    <w:rFonts w:ascii="Cambria Math" w:hAnsi="Cambria Math"/>
                    <w:i/>
                    <w:iCs/>
                    <w:color w:val="auto"/>
                    <w:sz w:val="21"/>
                    <w:szCs w:val="21"/>
                  </w:rPr>
                </m:ctrlPr>
              </m:fPr>
              <m:num>
                <m:r>
                  <m:rPr/>
                  <w:rPr>
                    <w:rFonts w:ascii="Cambria Math" w:hAnsi="Cambria Math"/>
                    <w:color w:val="auto"/>
                    <w:sz w:val="21"/>
                    <w:szCs w:val="21"/>
                  </w:rPr>
                  <m:t>at</m:t>
                </m:r>
                <m:ctrlPr>
                  <w:rPr>
                    <w:rFonts w:ascii="Cambria Math" w:hAnsi="Cambria Math"/>
                    <w:i/>
                    <w:iCs/>
                    <w:color w:val="auto"/>
                    <w:sz w:val="21"/>
                    <w:szCs w:val="21"/>
                  </w:rPr>
                </m:ctrlPr>
              </m:num>
              <m:den>
                <m:sSubSup>
                  <m:sSubSupPr>
                    <m:ctrlPr>
                      <w:rPr>
                        <w:rFonts w:ascii="Cambria Math" w:hAnsi="Cambria Math"/>
                        <w:i/>
                        <w:iCs/>
                        <w:color w:val="auto"/>
                        <w:sz w:val="21"/>
                        <w:szCs w:val="21"/>
                      </w:rPr>
                    </m:ctrlPr>
                  </m:sSubSup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ctrlPr>
                  <w:rPr>
                    <w:rFonts w:ascii="Cambria Math" w:hAnsi="Cambria Math"/>
                    <w:i/>
                    <w:iCs/>
                    <w:color w:val="auto"/>
                    <w:sz w:val="21"/>
                    <w:szCs w:val="21"/>
                  </w:rPr>
                </m:ctrlPr>
              </m:den>
            </m:f>
            <m:r>
              <m:rPr/>
              <w:rPr>
                <w:rFonts w:ascii="Cambria Math" w:hAnsi="Cambria Math"/>
                <w:color w:val="auto"/>
                <w:sz w:val="21"/>
                <w:szCs w:val="21"/>
              </w:rPr>
              <m:t>−</m:t>
            </m:r>
            <m:nary>
              <m:naryPr>
                <m:chr m:val="∑"/>
                <m:limLoc m:val="subSup"/>
                <m:ctrlPr>
                  <w:rPr>
                    <w:rFonts w:ascii="Cambria Math" w:hAnsi="Cambria Math"/>
                    <w:i/>
                    <w:iCs/>
                    <w:color w:val="auto"/>
                    <w:sz w:val="21"/>
                    <w:szCs w:val="21"/>
                  </w:rPr>
                </m:ctrlPr>
              </m:naryPr>
              <m:sub>
                <m:r>
                  <m:rPr/>
                  <w:rPr>
                    <w:rFonts w:ascii="Cambria Math" w:hAnsi="Cambria Math"/>
                    <w:color w:val="auto"/>
                    <w:sz w:val="21"/>
                    <w:szCs w:val="21"/>
                  </w:rPr>
                  <m:t>i=1</m:t>
                </m:r>
                <m:ctrlPr>
                  <w:rPr>
                    <w:rFonts w:ascii="Cambria Math" w:hAnsi="Cambria Math"/>
                    <w:i/>
                    <w:iCs/>
                    <w:color w:val="auto"/>
                    <w:sz w:val="21"/>
                    <w:szCs w:val="21"/>
                  </w:rPr>
                </m:ctrlPr>
              </m:sub>
              <m:sup>
                <m:r>
                  <m:rPr/>
                  <w:rPr>
                    <w:rFonts w:ascii="Cambria Math" w:hAnsi="Cambria Math"/>
                    <w:color w:val="auto"/>
                    <w:sz w:val="21"/>
                    <w:szCs w:val="21"/>
                  </w:rPr>
                  <m:t>n</m:t>
                </m:r>
                <m:ctrlPr>
                  <w:rPr>
                    <w:rFonts w:ascii="Cambria Math" w:hAnsi="Cambria Math"/>
                    <w:i/>
                    <w:iCs/>
                    <w:color w:val="auto"/>
                    <w:sz w:val="21"/>
                    <w:szCs w:val="21"/>
                  </w:rPr>
                </m:ctrlPr>
              </m:sup>
              <m:e>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Q</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Sub>
                    <m:ctrlPr>
                      <w:rPr>
                        <w:rFonts w:ascii="Cambria Math" w:hAnsi="Cambria Math"/>
                        <w:i/>
                        <w:iCs/>
                        <w:color w:val="auto"/>
                        <w:sz w:val="21"/>
                        <w:szCs w:val="21"/>
                      </w:rPr>
                    </m:ctrlPr>
                  </m:num>
                  <m:den>
                    <m:r>
                      <m:rPr>
                        <m:sty m:val="p"/>
                      </m:rPr>
                      <w:rPr>
                        <w:rFonts w:ascii="Cambria Math" w:hAnsi="Cambria Math"/>
                        <w:color w:val="auto"/>
                        <w:sz w:val="21"/>
                        <w:szCs w:val="21"/>
                      </w:rPr>
                      <m:t>π</m:t>
                    </m:r>
                    <m:r>
                      <m:rPr/>
                      <w:rPr>
                        <w:rFonts w:ascii="Cambria Math" w:hAnsi="Cambria Math"/>
                        <w:color w:val="auto"/>
                        <w:sz w:val="21"/>
                        <w:szCs w:val="21"/>
                      </w:rPr>
                      <m:t>K</m:t>
                    </m:r>
                    <m:ctrlPr>
                      <w:rPr>
                        <w:rFonts w:ascii="Cambria Math" w:hAnsi="Cambria Math"/>
                        <w:i/>
                        <w:iCs/>
                        <w:color w:val="auto"/>
                        <w:sz w:val="21"/>
                        <w:szCs w:val="21"/>
                      </w:rPr>
                    </m:ctrlPr>
                  </m:den>
                </m:f>
                <m:r>
                  <m:rPr>
                    <m:sty m:val="p"/>
                  </m:rPr>
                  <w:rPr>
                    <w:rFonts w:ascii="Cambria Math" w:hAnsi="Cambria Math"/>
                    <w:color w:val="auto"/>
                    <w:sz w:val="21"/>
                    <w:szCs w:val="21"/>
                  </w:rPr>
                  <m:t>ln</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Sub>
                    <m:ctrlPr>
                      <w:rPr>
                        <w:rFonts w:ascii="Cambria Math" w:hAnsi="Cambria Math"/>
                        <w:i/>
                        <w:iCs/>
                        <w:color w:val="auto"/>
                        <w:sz w:val="21"/>
                        <w:szCs w:val="21"/>
                      </w:rPr>
                    </m:ctrlPr>
                  </m:num>
                  <m:den>
                    <m:sSubSup>
                      <m:sSubSupPr>
                        <m:ctrlPr>
                          <w:rPr>
                            <w:rFonts w:ascii="Cambria Math" w:hAnsi="Cambria Math"/>
                            <w:i/>
                            <w:iCs/>
                            <w:color w:val="auto"/>
                            <w:sz w:val="21"/>
                            <w:szCs w:val="21"/>
                          </w:rPr>
                        </m:ctrlPr>
                      </m:sSubSupPr>
                      <m:e>
                        <m:r>
                          <m:rPr/>
                          <w:rPr>
                            <w:rFonts w:ascii="Cambria Math" w:hAnsi="Cambria Math"/>
                            <w:color w:val="auto"/>
                            <w:sz w:val="21"/>
                            <w:szCs w:val="21"/>
                          </w:rPr>
                          <m:t>γ</m:t>
                        </m:r>
                        <m:ctrlPr>
                          <w:rPr>
                            <w:rFonts w:ascii="Cambria Math" w:hAnsi="Cambria Math"/>
                            <w:i/>
                            <w:iCs/>
                            <w:color w:val="auto"/>
                            <w:sz w:val="21"/>
                            <w:szCs w:val="21"/>
                          </w:rPr>
                        </m:ctrlPr>
                      </m:e>
                      <m:sub>
                        <m:r>
                          <m:rPr/>
                          <w:rPr>
                            <w:rFonts w:ascii="Cambria Math" w:hAnsi="Cambria Math"/>
                            <w:color w:val="auto"/>
                            <w:sz w:val="21"/>
                            <w:szCs w:val="21"/>
                          </w:rPr>
                          <m:t>i</m:t>
                        </m:r>
                        <m:ctrlPr>
                          <w:rPr>
                            <w:rFonts w:ascii="Cambria Math" w:hAnsi="Cambria Math"/>
                            <w:i/>
                            <w:iCs/>
                            <w:color w:val="auto"/>
                            <w:sz w:val="21"/>
                            <w:szCs w:val="21"/>
                          </w:rPr>
                        </m:ctrlPr>
                      </m:sub>
                      <m:sup>
                        <m:r>
                          <m:rPr/>
                          <w:rPr>
                            <w:rFonts w:ascii="Cambria Math" w:hAnsi="Cambria Math"/>
                            <w:color w:val="auto"/>
                            <w:sz w:val="21"/>
                            <w:szCs w:val="21"/>
                          </w:rPr>
                          <m:t>∗</m:t>
                        </m:r>
                        <m:ctrlPr>
                          <w:rPr>
                            <w:rFonts w:ascii="Cambria Math" w:hAnsi="Cambria Math"/>
                            <w:i/>
                            <w:iCs/>
                            <w:color w:val="auto"/>
                            <w:sz w:val="21"/>
                            <w:szCs w:val="21"/>
                          </w:rPr>
                        </m:ctrlPr>
                      </m:sup>
                    </m:sSubSup>
                    <m:ctrlPr>
                      <w:rPr>
                        <w:rFonts w:ascii="Cambria Math" w:hAnsi="Cambria Math"/>
                        <w:i/>
                        <w:iCs/>
                        <w:color w:val="auto"/>
                        <w:sz w:val="21"/>
                        <w:szCs w:val="21"/>
                      </w:rPr>
                    </m:ctrlPr>
                  </m:den>
                </m:f>
                <m:r>
                  <m:rPr/>
                  <w:rPr>
                    <w:rFonts w:ascii="Cambria Math" w:hAnsi="Cambria Math"/>
                    <w:color w:val="auto"/>
                    <w:sz w:val="21"/>
                    <w:szCs w:val="21"/>
                  </w:rPr>
                  <m:t xml:space="preserve">    </m:t>
                </m:r>
                <m:ctrlPr>
                  <w:rPr>
                    <w:rFonts w:ascii="Cambria Math" w:hAnsi="Cambria Math"/>
                    <w:i/>
                    <w:iCs/>
                    <w:color w:val="auto"/>
                    <w:sz w:val="21"/>
                    <w:szCs w:val="21"/>
                  </w:rPr>
                </m:ctrlPr>
              </m:e>
            </m:nary>
            <m:ctrlPr>
              <w:rPr>
                <w:rFonts w:ascii="Cambria Math" w:hAnsi="Cambria Math"/>
                <w:i/>
                <w:iCs/>
                <w:color w:val="auto"/>
                <w:sz w:val="21"/>
                <w:szCs w:val="21"/>
              </w:rPr>
            </m:ctrlPr>
          </m:e>
        </m:rad>
        <m:r>
          <m:rPr>
            <m:sty m:val="p"/>
          </m:rPr>
          <w:rPr>
            <w:rFonts w:ascii="Cambria Math" w:hAnsi="Cambria Math"/>
            <w:color w:val="auto"/>
            <w:sz w:val="21"/>
            <w:szCs w:val="21"/>
          </w:rPr>
          <m:t xml:space="preserve">  </m:t>
        </m:r>
      </m:oMath>
      <w:r>
        <w:rPr>
          <w:rFonts w:hint="eastAsia" w:ascii="Cambria Math" w:hAnsi="Cambria Math"/>
          <w:color w:val="auto"/>
          <w:sz w:val="21"/>
          <w:szCs w:val="21"/>
        </w:rPr>
        <w:t> </w:t>
      </w:r>
      <m:oMath>
        <m:d>
          <m:dPr>
            <m:ctrlPr>
              <w:rPr>
                <w:rFonts w:ascii="Cambria Math" w:hAnsi="Cambria Math"/>
                <w:color w:val="auto"/>
                <w:sz w:val="21"/>
                <w:szCs w:val="21"/>
              </w:rPr>
            </m:ctrlPr>
          </m:dPr>
          <m:e>
            <m:r>
              <m:rPr/>
              <w:rPr>
                <w:rFonts w:ascii="Cambria Math" w:hAnsi="Cambria Math"/>
                <w:color w:val="auto"/>
                <w:sz w:val="21"/>
                <w:szCs w:val="21"/>
              </w:rPr>
              <m:t>t</m:t>
            </m:r>
            <m:r>
              <m:rPr>
                <m:sty m:val="p"/>
              </m:rPr>
              <w:rPr>
                <w:rFonts w:ascii="Cambria Math" w:hAnsi="Cambria Math"/>
                <w:color w:val="auto"/>
                <w:sz w:val="21"/>
                <w:szCs w:val="21"/>
              </w:rPr>
              <m:t>≤</m:t>
            </m:r>
            <m:d>
              <m:dPr>
                <m:ctrlPr>
                  <w:rPr>
                    <w:rFonts w:ascii="Cambria Math" w:hAnsi="Cambria Math"/>
                    <w:iCs/>
                    <w:color w:val="auto"/>
                    <w:sz w:val="21"/>
                    <w:szCs w:val="21"/>
                  </w:rPr>
                </m:ctrlPr>
              </m:dPr>
              <m:e>
                <m:r>
                  <m:rPr>
                    <m:sty m:val="p"/>
                  </m:rPr>
                  <w:rPr>
                    <w:rFonts w:ascii="Cambria Math" w:hAnsi="Cambria Math"/>
                    <w:color w:val="auto"/>
                    <w:sz w:val="21"/>
                    <w:szCs w:val="21"/>
                  </w:rPr>
                  <m:t>0.1～0.2</m:t>
                </m:r>
                <m:ctrlPr>
                  <w:rPr>
                    <w:rFonts w:ascii="Cambria Math" w:hAnsi="Cambria Math"/>
                    <w:iCs/>
                    <w:color w:val="auto"/>
                    <w:sz w:val="21"/>
                    <w:szCs w:val="21"/>
                  </w:rPr>
                </m:ctrlPr>
              </m:e>
            </m:d>
            <m:f>
              <m:fPr>
                <m:ctrlPr>
                  <w:rPr>
                    <w:rFonts w:ascii="Cambria Math" w:hAnsi="Cambria Math"/>
                    <w:i/>
                    <w:iCs/>
                    <w:color w:val="auto"/>
                    <w:sz w:val="21"/>
                    <w:szCs w:val="21"/>
                  </w:rPr>
                </m:ctrlPr>
              </m:fPr>
              <m:num>
                <m:sSubSup>
                  <m:sSubSupPr>
                    <m:ctrlPr>
                      <w:rPr>
                        <w:rFonts w:ascii="Cambria Math" w:hAnsi="Cambria Math"/>
                        <w:i/>
                        <w:iCs/>
                        <w:color w:val="auto"/>
                        <w:sz w:val="21"/>
                        <w:szCs w:val="21"/>
                      </w:rPr>
                    </m:ctrlPr>
                  </m:sSubSup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ctrlPr>
                  <w:rPr>
                    <w:rFonts w:ascii="Cambria Math" w:hAnsi="Cambria Math"/>
                    <w:i/>
                    <w:iCs/>
                    <w:color w:val="auto"/>
                    <w:sz w:val="21"/>
                    <w:szCs w:val="21"/>
                  </w:rPr>
                </m:ctrlPr>
              </m:num>
              <m:den>
                <m:r>
                  <m:rPr/>
                  <w:rPr>
                    <w:rFonts w:ascii="Cambria Math" w:hAnsi="Cambria Math"/>
                    <w:color w:val="auto"/>
                    <w:sz w:val="21"/>
                    <w:szCs w:val="21"/>
                  </w:rPr>
                  <m:t>a</m:t>
                </m:r>
                <m:ctrlPr>
                  <w:rPr>
                    <w:rFonts w:ascii="Cambria Math" w:hAnsi="Cambria Math"/>
                    <w:i/>
                    <w:iCs/>
                    <w:color w:val="auto"/>
                    <w:sz w:val="21"/>
                    <w:szCs w:val="21"/>
                  </w:rPr>
                </m:ctrlPr>
              </m:den>
            </m:f>
            <m:ctrlPr>
              <w:rPr>
                <w:rFonts w:ascii="Cambria Math" w:hAnsi="Cambria Math"/>
                <w:color w:val="auto"/>
                <w:sz w:val="21"/>
                <w:szCs w:val="21"/>
              </w:rPr>
            </m:ctrlPr>
          </m:e>
        </m:d>
        <m:r>
          <m:rPr>
            <m:sty m:val="p"/>
          </m:rPr>
          <w:rPr>
            <w:rFonts w:ascii="Cambria Math" w:hAnsi="Cambria Math"/>
            <w:color w:val="auto"/>
            <w:sz w:val="21"/>
            <w:szCs w:val="21"/>
          </w:rPr>
          <m:t xml:space="preserve">  </m:t>
        </m:r>
      </m:oMath>
      <w:r>
        <w:rPr>
          <w:rFonts w:hint="eastAsia" w:ascii="Cambria Math"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w:t>
      </w:r>
      <w:r>
        <w:rPr>
          <w:rFonts w:hint="eastAsia" w:ascii="Cambria Math" w:hAnsi="Cambria Math"/>
          <w:color w:val="auto"/>
          <w:sz w:val="21"/>
          <w:szCs w:val="21"/>
        </w:rPr>
        <w:t> </w:t>
      </w:r>
      <w:r>
        <w:rPr>
          <w:rFonts w:hint="eastAsia" w:hAnsi="Cambria Math"/>
          <w:bCs/>
          <w:color w:val="auto"/>
          <w:sz w:val="21"/>
          <w:szCs w:val="21"/>
        </w:rPr>
        <w:t>（</w:t>
      </w:r>
      <w:r>
        <w:rPr>
          <w:rFonts w:hAnsi="Cambria Math"/>
          <w:bCs/>
          <w:color w:val="auto"/>
          <w:sz w:val="21"/>
          <w:szCs w:val="21"/>
        </w:rPr>
        <w:t>E</w:t>
      </w:r>
      <w:r>
        <w:rPr>
          <w:rFonts w:hint="eastAsia" w:hAnsi="Cambria Math"/>
          <w:bCs/>
          <w:color w:val="auto"/>
          <w:sz w:val="21"/>
          <w:szCs w:val="21"/>
        </w:rPr>
        <w:t>-</w:t>
      </w:r>
      <w:r>
        <w:rPr>
          <w:rFonts w:hAnsi="Cambria Math"/>
          <w:bCs/>
          <w:color w:val="auto"/>
          <w:sz w:val="21"/>
          <w:szCs w:val="21"/>
        </w:rPr>
        <w:t>1</w:t>
      </w:r>
      <w:r>
        <w:rPr>
          <w:rFonts w:hint="eastAsia" w:hAnsi="Cambria Math"/>
          <w:bCs/>
          <w:color w:val="auto"/>
          <w:sz w:val="21"/>
          <w:szCs w:val="21"/>
        </w:rPr>
        <w:t>0）</w:t>
      </w:r>
    </w:p>
    <w:p w14:paraId="45CFDABE">
      <w:pPr>
        <w:pStyle w:val="236"/>
        <w:spacing w:before="156" w:beforeLines="50" w:after="156" w:afterLines="50"/>
        <w:jc w:val="right"/>
        <w:rPr>
          <w:rFonts w:ascii="Cambria Math" w:hAnsi="Cambria Math"/>
          <w:color w:val="auto"/>
          <w:sz w:val="21"/>
          <w:szCs w:val="21"/>
        </w:rPr>
      </w:pPr>
      <m:oMath>
        <m:sSup>
          <m:sSupPr>
            <m:ctrlPr>
              <w:rPr>
                <w:rFonts w:ascii="Cambria Math" w:hAnsi="Cambria Math"/>
                <w:i/>
                <w:iCs/>
                <w:color w:val="auto"/>
                <w:sz w:val="21"/>
                <w:szCs w:val="21"/>
              </w:rPr>
            </m:ctrlPr>
          </m:sSupPr>
          <m:e>
            <m:r>
              <m:rPr/>
              <w:rPr>
                <w:rFonts w:ascii="Cambria Math" w:hAnsi="Cambria Math"/>
                <w:color w:val="auto"/>
                <w:sz w:val="21"/>
                <w:szCs w:val="21"/>
              </w:rPr>
              <m:t>r</m:t>
            </m:r>
            <m:ctrlPr>
              <w:rPr>
                <w:rFonts w:ascii="Cambria Math" w:hAnsi="Cambria Math"/>
                <w:i/>
                <w:iCs/>
                <w:color w:val="auto"/>
                <w:sz w:val="21"/>
                <w:szCs w:val="21"/>
              </w:rPr>
            </m:ctrlPr>
          </m:e>
          <m:sup>
            <m:r>
              <m:rPr/>
              <w:rPr>
                <w:rFonts w:ascii="Cambria Math" w:hAnsi="Cambria Math"/>
                <w:color w:val="auto"/>
                <w:sz w:val="21"/>
                <w:szCs w:val="21"/>
              </w:rPr>
              <m:t>'</m:t>
            </m:r>
            <m:ctrlPr>
              <w:rPr>
                <w:rFonts w:ascii="Cambria Math" w:hAnsi="Cambria Math"/>
                <w:i/>
                <w:iCs/>
                <w:color w:val="auto"/>
                <w:sz w:val="21"/>
                <w:szCs w:val="21"/>
              </w:rPr>
            </m:ctrlPr>
          </m:sup>
        </m:sSup>
        <m:r>
          <m:rPr/>
          <w:rPr>
            <w:rFonts w:ascii="Cambria Math" w:hAnsi="Cambria Math"/>
            <w:color w:val="auto"/>
            <w:sz w:val="21"/>
            <w:szCs w:val="21"/>
          </w:rPr>
          <m:t>=</m:t>
        </m:r>
        <m:rad>
          <m:radPr>
            <m:degHide m:val="1"/>
            <m:ctrlPr>
              <w:rPr>
                <w:rFonts w:ascii="Cambria Math" w:hAnsi="Cambria Math"/>
                <w:i/>
                <w:iCs/>
                <w:color w:val="auto"/>
                <w:sz w:val="21"/>
                <w:szCs w:val="21"/>
              </w:rPr>
            </m:ctrlPr>
          </m:radPr>
          <m:deg>
            <m:ctrlPr>
              <w:rPr>
                <w:rFonts w:ascii="Cambria Math" w:hAnsi="Cambria Math"/>
                <w:i/>
                <w:iCs/>
                <w:color w:val="auto"/>
                <w:sz w:val="21"/>
                <w:szCs w:val="21"/>
              </w:rPr>
            </m:ctrlPr>
          </m:deg>
          <m:e>
            <m:r>
              <m:rPr/>
              <w:rPr>
                <w:rFonts w:ascii="Cambria Math" w:hAnsi="Cambria Math"/>
                <w:color w:val="auto"/>
                <w:sz w:val="21"/>
                <w:szCs w:val="21"/>
              </w:rPr>
              <m:t>1−</m:t>
            </m:r>
            <m:sSubSup>
              <m:sSubSupPr>
                <m:ctrlPr>
                  <w:rPr>
                    <w:rFonts w:ascii="Cambria Math" w:hAnsi="Cambria Math"/>
                    <w:i/>
                    <w:iCs/>
                    <w:color w:val="auto"/>
                    <w:sz w:val="21"/>
                    <w:szCs w:val="21"/>
                  </w:rPr>
                </m:ctrlPr>
              </m:sSubSupPr>
              <m:e>
                <m:bar>
                  <m:barPr>
                    <m:pos m:val="top"/>
                    <m:ctrlPr>
                      <w:rPr>
                        <w:rFonts w:ascii="Cambria Math" w:hAnsi="Cambria Math"/>
                        <w:i/>
                        <w:iCs/>
                        <w:color w:val="auto"/>
                        <w:sz w:val="21"/>
                        <w:szCs w:val="21"/>
                      </w:rPr>
                    </m:ctrlPr>
                  </m:barPr>
                  <m:e>
                    <m:r>
                      <m:rPr/>
                      <w:rPr>
                        <w:rFonts w:ascii="Cambria Math" w:hAnsi="Cambria Math"/>
                        <w:color w:val="auto"/>
                        <w:sz w:val="21"/>
                        <w:szCs w:val="21"/>
                      </w:rPr>
                      <m:t>r</m:t>
                    </m:r>
                    <m:ctrlPr>
                      <w:rPr>
                        <w:rFonts w:ascii="Cambria Math" w:hAnsi="Cambria Math"/>
                        <w:i/>
                        <w:iCs/>
                        <w:color w:val="auto"/>
                        <w:sz w:val="21"/>
                        <w:szCs w:val="21"/>
                      </w:rPr>
                    </m:ctrlPr>
                  </m:e>
                </m:ba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up>
                <m:r>
                  <m:rPr/>
                  <w:rPr>
                    <w:rFonts w:ascii="Cambria Math" w:hAnsi="Cambria Math"/>
                    <w:color w:val="auto"/>
                    <w:sz w:val="21"/>
                    <w:szCs w:val="21"/>
                  </w:rPr>
                  <m:t>2</m:t>
                </m:r>
                <m:ctrlPr>
                  <w:rPr>
                    <w:rFonts w:ascii="Cambria Math" w:hAnsi="Cambria Math"/>
                    <w:i/>
                    <w:iCs/>
                    <w:color w:val="auto"/>
                    <w:sz w:val="21"/>
                    <w:szCs w:val="21"/>
                  </w:rPr>
                </m:ctrlPr>
              </m:sup>
            </m:sSubSup>
            <m:d>
              <m:dPr>
                <m:ctrlPr>
                  <w:rPr>
                    <w:rFonts w:ascii="Cambria Math" w:hAnsi="Cambria Math"/>
                    <w:i/>
                    <w:iCs/>
                    <w:color w:val="auto"/>
                    <w:sz w:val="21"/>
                    <w:szCs w:val="21"/>
                  </w:rPr>
                </m:ctrlPr>
              </m:dPr>
              <m:e>
                <m:r>
                  <m:rPr/>
                  <w:rPr>
                    <w:rFonts w:ascii="Cambria Math" w:hAnsi="Cambria Math"/>
                    <w:color w:val="auto"/>
                    <w:sz w:val="21"/>
                    <w:szCs w:val="21"/>
                  </w:rPr>
                  <m:t>1−</m:t>
                </m:r>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r>
                          <m:rPr/>
                          <w:rPr>
                            <w:rFonts w:ascii="Cambria Math" w:hAnsi="Cambria Math"/>
                            <w:color w:val="auto"/>
                            <w:sz w:val="21"/>
                            <w:szCs w:val="21"/>
                          </w:rPr>
                          <m:t>ρ</m:t>
                        </m:r>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ctrlPr>
                  <w:rPr>
                    <w:rFonts w:ascii="Cambria Math" w:hAnsi="Cambria Math"/>
                    <w:i/>
                    <w:iCs/>
                    <w:color w:val="auto"/>
                    <w:sz w:val="21"/>
                    <w:szCs w:val="21"/>
                  </w:rPr>
                </m:ctrlPr>
              </m:e>
            </m:d>
            <m:r>
              <m:rPr/>
              <w:rPr>
                <w:rFonts w:ascii="Cambria Math" w:hAnsi="Cambria Math"/>
                <w:color w:val="auto"/>
                <w:sz w:val="21"/>
                <w:szCs w:val="21"/>
              </w:rPr>
              <m:t>−</m:t>
            </m:r>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r>
                      <m:rPr/>
                      <w:rPr>
                        <w:rFonts w:ascii="Cambria Math" w:hAnsi="Cambria Math"/>
                        <w:color w:val="auto"/>
                        <w:sz w:val="21"/>
                        <w:szCs w:val="21"/>
                      </w:rPr>
                      <m:t>ρ</m:t>
                    </m:r>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r>
                      <m:rPr/>
                      <w:rPr>
                        <w:rFonts w:ascii="Cambria Math" w:hAnsi="Cambria Math"/>
                        <w:color w:val="auto"/>
                        <w:sz w:val="21"/>
                        <w:szCs w:val="21"/>
                      </w:rPr>
                      <m:t>r</m:t>
                    </m:r>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m:sty m:val="p"/>
              </m:rPr>
              <w:rPr>
                <w:rFonts w:ascii="Cambria Math" w:hAnsi="Cambria Math"/>
                <w:color w:val="auto"/>
                <w:sz w:val="21"/>
                <w:szCs w:val="21"/>
              </w:rPr>
              <m:t>exp</m:t>
            </m:r>
            <m:d>
              <m:dPr>
                <m:begChr m:val="["/>
                <m:endChr m:val="]"/>
                <m:ctrlPr>
                  <w:rPr>
                    <w:rFonts w:ascii="Cambria Math" w:hAnsi="Cambria Math"/>
                    <w:i/>
                    <w:iCs/>
                    <w:color w:val="auto"/>
                    <w:sz w:val="21"/>
                    <w:szCs w:val="21"/>
                  </w:rPr>
                </m:ctrlPr>
              </m:dPr>
              <m:e>
                <m:f>
                  <m:fPr>
                    <m:ctrlPr>
                      <w:rPr>
                        <w:rFonts w:ascii="Cambria Math" w:hAnsi="Cambria Math"/>
                        <w:i/>
                        <w:iCs/>
                        <w:color w:val="auto"/>
                        <w:sz w:val="21"/>
                        <w:szCs w:val="21"/>
                      </w:rPr>
                    </m:ctrlPr>
                  </m:fPr>
                  <m:num>
                    <m:r>
                      <m:rPr/>
                      <w:rPr>
                        <w:rFonts w:ascii="Cambria Math" w:hAnsi="Cambria Math"/>
                        <w:color w:val="auto"/>
                        <w:sz w:val="21"/>
                        <w:szCs w:val="21"/>
                      </w:rPr>
                      <m:t>3</m:t>
                    </m:r>
                    <m:ctrlPr>
                      <w:rPr>
                        <w:rFonts w:ascii="Cambria Math" w:hAnsi="Cambria Math"/>
                        <w:i/>
                        <w:iCs/>
                        <w:color w:val="auto"/>
                        <w:sz w:val="21"/>
                        <w:szCs w:val="21"/>
                      </w:rPr>
                    </m:ctrlPr>
                  </m:num>
                  <m:den>
                    <m:r>
                      <m:rPr/>
                      <w:rPr>
                        <w:rFonts w:ascii="Cambria Math" w:hAnsi="Cambria Math"/>
                        <w:color w:val="auto"/>
                        <w:sz w:val="21"/>
                        <w:szCs w:val="21"/>
                      </w:rPr>
                      <m:t>4</m:t>
                    </m:r>
                    <m:ctrlPr>
                      <w:rPr>
                        <w:rFonts w:ascii="Cambria Math" w:hAnsi="Cambria Math"/>
                        <w:i/>
                        <w:iCs/>
                        <w:color w:val="auto"/>
                        <w:sz w:val="21"/>
                        <w:szCs w:val="21"/>
                      </w:rPr>
                    </m:ctrlPr>
                  </m:den>
                </m:f>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1</m:t>
                    </m:r>
                    <m:ctrlPr>
                      <w:rPr>
                        <w:rFonts w:ascii="Cambria Math" w:hAnsi="Cambria Math"/>
                        <w:i/>
                        <w:iCs/>
                        <w:color w:val="auto"/>
                        <w:sz w:val="21"/>
                        <w:szCs w:val="21"/>
                      </w:rPr>
                    </m:ctrlPr>
                  </m:num>
                  <m:den>
                    <m:r>
                      <m:rPr/>
                      <w:rPr>
                        <w:rFonts w:ascii="Cambria Math" w:hAnsi="Cambria Math"/>
                        <w:color w:val="auto"/>
                        <w:sz w:val="21"/>
                        <w:szCs w:val="21"/>
                      </w:rPr>
                      <m:t>2</m:t>
                    </m:r>
                    <m:ctrlPr>
                      <w:rPr>
                        <w:rFonts w:ascii="Cambria Math" w:hAnsi="Cambria Math"/>
                        <w:i/>
                        <w:iCs/>
                        <w:color w:val="auto"/>
                        <w:sz w:val="21"/>
                        <w:szCs w:val="21"/>
                      </w:rPr>
                    </m:ctrlPr>
                  </m:den>
                </m:f>
                <m:d>
                  <m:dPr>
                    <m:ctrlPr>
                      <w:rPr>
                        <w:rFonts w:ascii="Cambria Math" w:hAnsi="Cambria Math"/>
                        <w:i/>
                        <w:iCs/>
                        <w:color w:val="auto"/>
                        <w:sz w:val="21"/>
                        <w:szCs w:val="21"/>
                      </w:rPr>
                    </m:ctrlPr>
                  </m:dPr>
                  <m:e>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Sub>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r>
                              <m:rPr/>
                              <w:rPr>
                                <w:rFonts w:ascii="Cambria Math" w:hAnsi="Cambria Math"/>
                                <w:color w:val="auto"/>
                                <w:sz w:val="21"/>
                                <w:szCs w:val="21"/>
                              </w:rPr>
                              <m:t>ρ</m:t>
                            </m:r>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ctrlPr>
                      <w:rPr>
                        <w:rFonts w:ascii="Cambria Math" w:hAnsi="Cambria Math"/>
                        <w:i/>
                        <w:iCs/>
                        <w:color w:val="auto"/>
                        <w:sz w:val="21"/>
                        <w:szCs w:val="21"/>
                      </w:rPr>
                    </m:ctrlPr>
                  </m:e>
                </m:d>
                <m:ctrlPr>
                  <w:rPr>
                    <w:rFonts w:ascii="Cambria Math" w:hAnsi="Cambria Math"/>
                    <w:i/>
                    <w:iCs/>
                    <w:color w:val="auto"/>
                    <w:sz w:val="21"/>
                    <w:szCs w:val="21"/>
                  </w:rPr>
                </m:ctrlPr>
              </m:e>
            </m:d>
            <m:ctrlPr>
              <w:rPr>
                <w:rFonts w:ascii="Cambria Math" w:hAnsi="Cambria Math"/>
                <w:i/>
                <w:iCs/>
                <w:color w:val="auto"/>
                <w:sz w:val="21"/>
                <w:szCs w:val="21"/>
              </w:rPr>
            </m:ctrlPr>
          </m:e>
        </m:rad>
      </m:oMath>
      <w:r>
        <w:rPr>
          <w:rFonts w:hint="eastAsia" w:ascii="Cambria Math" w:hAnsi="Cambria Math"/>
          <w:color w:val="auto"/>
          <w:sz w:val="21"/>
          <w:szCs w:val="21"/>
        </w:rPr>
        <w:t>    </w:t>
      </w:r>
      <w:r>
        <w:rPr>
          <w:rFonts w:hint="eastAsia" w:hAnsi="Cambria Math"/>
          <w:bCs/>
          <w:color w:val="auto"/>
          <w:sz w:val="21"/>
          <w:szCs w:val="21"/>
        </w:rPr>
        <w:t xml:space="preserve">              </w:t>
      </w:r>
      <w:r>
        <w:rPr>
          <w:rFonts w:hAnsi="Cambria Math"/>
          <w:bCs/>
          <w:color w:val="auto"/>
          <w:sz w:val="21"/>
          <w:szCs w:val="21"/>
        </w:rPr>
        <w:t xml:space="preserve">       </w:t>
      </w:r>
      <w:r>
        <w:rPr>
          <w:rFonts w:hint="eastAsia" w:hAnsi="Cambria Math"/>
          <w:bCs/>
          <w:color w:val="auto"/>
          <w:sz w:val="21"/>
          <w:szCs w:val="21"/>
        </w:rPr>
        <w:t>  （</w:t>
      </w:r>
      <w:r>
        <w:rPr>
          <w:rFonts w:hAnsi="Cambria Math"/>
          <w:bCs/>
          <w:color w:val="auto"/>
          <w:sz w:val="21"/>
          <w:szCs w:val="21"/>
        </w:rPr>
        <w:t>E</w:t>
      </w:r>
      <w:r>
        <w:rPr>
          <w:rFonts w:hint="eastAsia" w:hAnsi="Cambria Math"/>
          <w:bCs/>
          <w:color w:val="auto"/>
          <w:sz w:val="21"/>
          <w:szCs w:val="21"/>
        </w:rPr>
        <w:t>-</w:t>
      </w:r>
      <w:r>
        <w:rPr>
          <w:rFonts w:hAnsi="Cambria Math"/>
          <w:bCs/>
          <w:color w:val="auto"/>
          <w:sz w:val="21"/>
          <w:szCs w:val="21"/>
        </w:rPr>
        <w:t>1</w:t>
      </w:r>
      <w:r>
        <w:rPr>
          <w:rFonts w:hint="eastAsia" w:hAnsi="Cambria Math"/>
          <w:bCs/>
          <w:color w:val="auto"/>
          <w:sz w:val="21"/>
          <w:szCs w:val="21"/>
        </w:rPr>
        <w:t>1）</w:t>
      </w:r>
    </w:p>
    <w:p w14:paraId="40A4107D">
      <w:pPr>
        <w:pStyle w:val="236"/>
        <w:spacing w:before="156" w:beforeLines="50" w:after="156" w:afterLines="50"/>
        <w:jc w:val="right"/>
        <w:rPr>
          <w:rFonts w:ascii="Times New Roman" w:hAnsi="Times New Roman"/>
          <w:bCs/>
          <w:color w:val="auto"/>
          <w:sz w:val="21"/>
          <w:szCs w:val="21"/>
        </w:rPr>
      </w:pPr>
      <m:oMath>
        <m:sSup>
          <m:sSupPr>
            <m:ctrlPr>
              <w:rPr>
                <w:rFonts w:ascii="Cambria Math" w:hAnsi="Cambria Math"/>
                <w:i/>
                <w:iCs/>
                <w:color w:val="auto"/>
                <w:sz w:val="21"/>
                <w:szCs w:val="21"/>
              </w:rPr>
            </m:ctrlPr>
          </m:sSupPr>
          <m:e>
            <m:bar>
              <m:barPr>
                <m:pos m:val="top"/>
                <m:ctrlPr>
                  <w:rPr>
                    <w:rFonts w:ascii="Cambria Math" w:hAnsi="Cambria Math"/>
                    <w:i/>
                    <w:iCs/>
                    <w:color w:val="auto"/>
                    <w:sz w:val="21"/>
                    <w:szCs w:val="21"/>
                  </w:rPr>
                </m:ctrlPr>
              </m:barPr>
              <m:e>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Sub>
                <m:ctrlPr>
                  <w:rPr>
                    <w:rFonts w:ascii="Cambria Math" w:hAnsi="Cambria Math"/>
                    <w:i/>
                    <w:iCs/>
                    <w:color w:val="auto"/>
                    <w:sz w:val="21"/>
                    <w:szCs w:val="21"/>
                  </w:rPr>
                </m:ctrlPr>
              </m:e>
            </m:bar>
            <m:ctrlPr>
              <w:rPr>
                <w:rFonts w:ascii="Cambria Math" w:hAnsi="Cambria Math"/>
                <w:i/>
                <w:iCs/>
                <w:color w:val="auto"/>
                <w:sz w:val="21"/>
                <w:szCs w:val="21"/>
              </w:rPr>
            </m:ctrlPr>
          </m:e>
          <m:sup>
            <m:r>
              <m:rPr/>
              <w:rPr>
                <w:rFonts w:ascii="Cambria Math" w:hAnsi="Cambria Math"/>
                <w:color w:val="auto"/>
                <w:sz w:val="21"/>
                <w:szCs w:val="21"/>
              </w:rPr>
              <m:t>2</m:t>
            </m:r>
            <m:ctrlPr>
              <w:rPr>
                <w:rFonts w:ascii="Cambria Math" w:hAnsi="Cambria Math"/>
                <w:i/>
                <w:iCs/>
                <w:color w:val="auto"/>
                <w:sz w:val="21"/>
                <w:szCs w:val="21"/>
              </w:rPr>
            </m:ctrlPr>
          </m:sup>
        </m:sSup>
        <m:r>
          <m:rPr/>
          <w:rPr>
            <w:rFonts w:ascii="Cambria Math" w:hAnsi="Cambria Math"/>
            <w:color w:val="auto"/>
            <w:sz w:val="21"/>
            <w:szCs w:val="21"/>
          </w:rPr>
          <m:t>=</m:t>
        </m:r>
        <m:f>
          <m:fPr>
            <m:ctrlPr>
              <w:rPr>
                <w:rFonts w:ascii="Cambria Math" w:hAnsi="Cambria Math"/>
                <w:i/>
                <w:iCs/>
                <w:color w:val="auto"/>
                <w:sz w:val="21"/>
                <w:szCs w:val="21"/>
              </w:rPr>
            </m:ctrlPr>
          </m:fPr>
          <m:num>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M</m:t>
                </m:r>
                <m:ctrlPr>
                  <w:rPr>
                    <w:rFonts w:ascii="Cambria Math" w:hAnsi="Cambria Math"/>
                    <w:i/>
                    <w:iCs/>
                    <w:color w:val="auto"/>
                    <w:sz w:val="21"/>
                    <w:szCs w:val="21"/>
                  </w:rPr>
                </m:ctrlPr>
              </m:sub>
            </m:sSub>
            <m:ctrlPr>
              <w:rPr>
                <w:rFonts w:ascii="Cambria Math" w:hAnsi="Cambria Math"/>
                <w:i/>
                <w:iCs/>
                <w:color w:val="auto"/>
                <w:sz w:val="21"/>
                <w:szCs w:val="21"/>
              </w:rPr>
            </m:ctrlPr>
          </m:num>
          <m:den>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Sub>
            <m:ctrlPr>
              <w:rPr>
                <w:rFonts w:ascii="Cambria Math" w:hAnsi="Cambria Math"/>
                <w:i/>
                <w:iCs/>
                <w:color w:val="auto"/>
                <w:sz w:val="21"/>
                <w:szCs w:val="21"/>
              </w:rPr>
            </m:ctrlPr>
          </m:den>
        </m:f>
      </m:oMath>
      <w:r>
        <w:rPr>
          <w:rFonts w:hint="eastAsia" w:hAnsi="Cambria Math"/>
          <w:color w:val="auto"/>
          <w:sz w:val="21"/>
          <w:szCs w:val="21"/>
        </w:rPr>
        <w:t>，</w:t>
      </w:r>
      <m:oMath>
        <m:bar>
          <m:barPr>
            <m:pos m:val="top"/>
            <m:ctrlPr>
              <w:rPr>
                <w:rFonts w:hint="eastAsia" w:ascii="Cambria Math" w:hAnsi="Cambria Math"/>
                <w:i/>
                <w:iCs/>
                <w:color w:val="auto"/>
                <w:sz w:val="21"/>
                <w:szCs w:val="21"/>
              </w:rPr>
            </m:ctrlPr>
          </m:barPr>
          <m:e>
            <m:sSub>
              <m:sSubPr>
                <m:ctrlPr>
                  <w:rPr>
                    <w:rFonts w:hint="eastAsia" w:ascii="Cambria Math" w:hAnsi="Cambria Math"/>
                    <w:i/>
                    <w:iCs/>
                    <w:color w:val="auto"/>
                    <w:sz w:val="21"/>
                    <w:szCs w:val="21"/>
                  </w:rPr>
                </m:ctrlPr>
              </m:sSubPr>
              <m:e>
                <m:r>
                  <m:rPr/>
                  <w:rPr>
                    <w:rFonts w:ascii="Cambria Math" w:hAnsi="Cambria Math"/>
                    <w:color w:val="auto"/>
                    <w:sz w:val="21"/>
                    <w:szCs w:val="21"/>
                  </w:rPr>
                  <m:t>ρ</m:t>
                </m:r>
                <m:ctrlPr>
                  <w:rPr>
                    <w:rFonts w:hint="eastAsia" w:ascii="Cambria Math" w:hAnsi="Cambria Math"/>
                    <w:i/>
                    <w:iCs/>
                    <w:color w:val="auto"/>
                    <w:sz w:val="21"/>
                    <w:szCs w:val="21"/>
                  </w:rPr>
                </m:ctrlPr>
              </m:e>
              <m:sub>
                <m:r>
                  <m:rPr/>
                  <w:rPr>
                    <w:rFonts w:ascii="Cambria Math" w:hAnsi="Cambria Math"/>
                    <w:color w:val="auto"/>
                    <w:sz w:val="21"/>
                    <w:szCs w:val="21"/>
                  </w:rPr>
                  <m:t>M</m:t>
                </m:r>
                <m:ctrlPr>
                  <w:rPr>
                    <w:rFonts w:hint="eastAsia" w:ascii="Cambria Math" w:hAnsi="Cambria Math"/>
                    <w:i/>
                    <w:iCs/>
                    <w:color w:val="auto"/>
                    <w:sz w:val="21"/>
                    <w:szCs w:val="21"/>
                  </w:rPr>
                </m:ctrlPr>
              </m:sub>
            </m:sSub>
            <m:ctrlPr>
              <w:rPr>
                <w:rFonts w:hint="eastAsia" w:ascii="Cambria Math" w:hAnsi="Cambria Math"/>
                <w:i/>
                <w:iCs/>
                <w:color w:val="auto"/>
                <w:sz w:val="21"/>
                <w:szCs w:val="21"/>
              </w:rPr>
            </m:ctrlPr>
          </m:e>
        </m:bar>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ρ</m:t>
            </m:r>
            <m:ctrlPr>
              <w:rPr>
                <w:rFonts w:ascii="Cambria Math" w:hAnsi="Cambria Math"/>
                <w:i/>
                <w:iCs/>
                <w:color w:val="auto"/>
                <w:sz w:val="21"/>
                <w:szCs w:val="21"/>
              </w:rPr>
            </m:ctrlPr>
          </m:num>
          <m:den>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Sub>
            <m:ctrlPr>
              <w:rPr>
                <w:rFonts w:ascii="Cambria Math" w:hAnsi="Cambria Math"/>
                <w:i/>
                <w:iCs/>
                <w:color w:val="auto"/>
                <w:sz w:val="21"/>
                <w:szCs w:val="21"/>
              </w:rPr>
            </m:ctrlPr>
          </m:den>
        </m:f>
      </m:oMath>
      <w:r>
        <w:rPr>
          <w:rFonts w:hint="eastAsia" w:hAnsi="Cambria Math"/>
          <w:color w:val="auto"/>
          <w:sz w:val="21"/>
          <w:szCs w:val="21"/>
        </w:rPr>
        <w:t>，</w:t>
      </w:r>
      <m:oMath>
        <m:bar>
          <m:barPr>
            <m:pos m:val="top"/>
            <m:ctrlPr>
              <w:rPr>
                <w:rFonts w:hint="eastAsia" w:ascii="Cambria Math" w:hAnsi="Cambria Math"/>
                <w:i/>
                <w:iCs/>
                <w:color w:val="auto"/>
                <w:sz w:val="21"/>
                <w:szCs w:val="21"/>
              </w:rPr>
            </m:ctrlPr>
          </m:barPr>
          <m:e>
            <m:r>
              <m:rPr/>
              <w:rPr>
                <w:rFonts w:ascii="Cambria Math" w:hAnsi="Cambria Math"/>
                <w:color w:val="auto"/>
                <w:sz w:val="21"/>
                <w:szCs w:val="21"/>
              </w:rPr>
              <m:t>r</m:t>
            </m:r>
            <m:ctrlPr>
              <w:rPr>
                <w:rFonts w:hint="eastAsia" w:ascii="Cambria Math" w:hAnsi="Cambria Math"/>
                <w:i/>
                <w:iCs/>
                <w:color w:val="auto"/>
                <w:sz w:val="21"/>
                <w:szCs w:val="21"/>
              </w:rPr>
            </m:ctrlPr>
          </m:e>
        </m:bar>
        <m:r>
          <m:rPr/>
          <w:rPr>
            <w:rFonts w:ascii="Cambria Math" w:hAnsi="Cambria Math"/>
            <w:color w:val="auto"/>
            <w:sz w:val="21"/>
            <w:szCs w:val="21"/>
          </w:rPr>
          <m:t>=</m:t>
        </m:r>
        <m:f>
          <m:fPr>
            <m:ctrlPr>
              <w:rPr>
                <w:rFonts w:ascii="Cambria Math" w:hAnsi="Cambria Math"/>
                <w:i/>
                <w:iCs/>
                <w:color w:val="auto"/>
                <w:sz w:val="21"/>
                <w:szCs w:val="21"/>
              </w:rPr>
            </m:ctrlPr>
          </m:fPr>
          <m:num>
            <m:r>
              <m:rPr/>
              <w:rPr>
                <w:rFonts w:ascii="Cambria Math" w:hAnsi="Cambria Math"/>
                <w:color w:val="auto"/>
                <w:sz w:val="21"/>
                <w:szCs w:val="21"/>
              </w:rPr>
              <m:t>r</m:t>
            </m:r>
            <m:ctrlPr>
              <w:rPr>
                <w:rFonts w:ascii="Cambria Math" w:hAnsi="Cambria Math"/>
                <w:i/>
                <w:iCs/>
                <w:color w:val="auto"/>
                <w:sz w:val="21"/>
                <w:szCs w:val="21"/>
              </w:rPr>
            </m:ctrlPr>
          </m:num>
          <m:den>
            <m:sSub>
              <m:sSubPr>
                <m:ctrlPr>
                  <w:rPr>
                    <w:rFonts w:ascii="Cambria Math" w:hAnsi="Cambria Math"/>
                    <w:i/>
                    <w:iCs/>
                    <w:color w:val="auto"/>
                    <w:sz w:val="21"/>
                    <w:szCs w:val="21"/>
                  </w:rPr>
                </m:ctrlPr>
              </m:sSubPr>
              <m:e>
                <m:r>
                  <m:rPr/>
                  <w:rPr>
                    <w:rFonts w:ascii="Cambria Math" w:hAnsi="Cambria Math"/>
                    <w:color w:val="auto"/>
                    <w:sz w:val="21"/>
                    <w:szCs w:val="21"/>
                  </w:rPr>
                  <m:t>R</m:t>
                </m:r>
                <m:ctrlPr>
                  <w:rPr>
                    <w:rFonts w:ascii="Cambria Math" w:hAnsi="Cambria Math"/>
                    <w:i/>
                    <w:iCs/>
                    <w:color w:val="auto"/>
                    <w:sz w:val="21"/>
                    <w:szCs w:val="21"/>
                  </w:rPr>
                </m:ctrlPr>
              </m:e>
              <m:sub>
                <m:r>
                  <m:rPr/>
                  <w:rPr>
                    <w:rFonts w:ascii="Cambria Math" w:hAnsi="Cambria Math"/>
                    <w:color w:val="auto"/>
                    <w:sz w:val="21"/>
                    <w:szCs w:val="21"/>
                  </w:rPr>
                  <m:t>K</m:t>
                </m:r>
                <m:ctrlPr>
                  <w:rPr>
                    <w:rFonts w:ascii="Cambria Math" w:hAnsi="Cambria Math"/>
                    <w:i/>
                    <w:iCs/>
                    <w:color w:val="auto"/>
                    <w:sz w:val="21"/>
                    <w:szCs w:val="21"/>
                  </w:rPr>
                </m:ctrlPr>
              </m:sub>
            </m:sSub>
            <m:ctrlPr>
              <w:rPr>
                <w:rFonts w:ascii="Cambria Math" w:hAnsi="Cambria Math"/>
                <w:i/>
                <w:iCs/>
                <w:color w:val="auto"/>
                <w:sz w:val="21"/>
                <w:szCs w:val="21"/>
              </w:rPr>
            </m:ctrlPr>
          </m:den>
        </m:f>
      </m:oMath>
      <w:r>
        <w:rPr>
          <w:rFonts w:hint="eastAsia" w:ascii="MS Gothic" w:hAnsi="MS Gothic" w:eastAsia="MS Gothic" w:cs="MS Gothic"/>
          <w:i/>
          <w:iCs/>
          <w:color w:val="auto"/>
          <w:sz w:val="21"/>
          <w:szCs w:val="21"/>
        </w:rPr>
        <w:t>        </w:t>
      </w:r>
      <w:r>
        <w:rPr>
          <w:rFonts w:hint="eastAsia" w:hAnsi="Cambria Math"/>
          <w:color w:val="auto"/>
          <w:sz w:val="21"/>
          <w:szCs w:val="21"/>
        </w:rPr>
        <w:t xml:space="preserve">      </w:t>
      </w:r>
      <w:r>
        <w:rPr>
          <w:rFonts w:hAnsi="Cambria Math"/>
          <w:color w:val="auto"/>
          <w:sz w:val="21"/>
          <w:szCs w:val="21"/>
        </w:rPr>
        <w:t xml:space="preserve">                  </w:t>
      </w:r>
      <w:r>
        <w:rPr>
          <w:rFonts w:hint="eastAsia" w:hAnsi="Cambria Math"/>
          <w:color w:val="auto"/>
          <w:sz w:val="21"/>
          <w:szCs w:val="21"/>
        </w:rPr>
        <w:t>     </w:t>
      </w:r>
      <w:r>
        <w:rPr>
          <w:rFonts w:hint="eastAsia" w:hAnsi="Cambria Math"/>
          <w:bCs/>
          <w:color w:val="auto"/>
          <w:sz w:val="21"/>
          <w:szCs w:val="21"/>
        </w:rPr>
        <w:t>（</w:t>
      </w:r>
      <w:r>
        <w:rPr>
          <w:rFonts w:hAnsi="Cambria Math"/>
          <w:bCs/>
          <w:color w:val="auto"/>
          <w:sz w:val="21"/>
          <w:szCs w:val="21"/>
        </w:rPr>
        <w:t>E</w:t>
      </w:r>
      <w:r>
        <w:rPr>
          <w:rFonts w:hint="eastAsia" w:hAnsi="Cambria Math"/>
          <w:bCs/>
          <w:color w:val="auto"/>
          <w:sz w:val="21"/>
          <w:szCs w:val="21"/>
        </w:rPr>
        <w:t>-</w:t>
      </w:r>
      <w:r>
        <w:rPr>
          <w:rFonts w:hAnsi="Cambria Math"/>
          <w:bCs/>
          <w:color w:val="auto"/>
          <w:sz w:val="21"/>
          <w:szCs w:val="21"/>
        </w:rPr>
        <w:t>1</w:t>
      </w:r>
      <w:r>
        <w:rPr>
          <w:rFonts w:hint="eastAsia" w:hAnsi="Cambria Math"/>
          <w:bCs/>
          <w:color w:val="auto"/>
          <w:sz w:val="21"/>
          <w:szCs w:val="21"/>
        </w:rPr>
        <w:t>2）</w:t>
      </w:r>
    </w:p>
    <w:p w14:paraId="39A3096D">
      <w:pPr>
        <w:pStyle w:val="251"/>
        <w:spacing w:line="240" w:lineRule="auto"/>
        <w:ind w:left="630" w:leftChars="300"/>
        <w:rPr>
          <w:rFonts w:hint="eastAsia" w:hAnsi="宋体" w:cs="宋体"/>
          <w:bCs/>
          <w:sz w:val="21"/>
          <w:szCs w:val="21"/>
        </w:rPr>
      </w:pPr>
      <w:r>
        <w:rPr>
          <w:rFonts w:hint="eastAsia" w:hAnsi="宋体" w:cs="宋体"/>
          <w:bCs/>
          <w:sz w:val="21"/>
          <w:szCs w:val="21"/>
        </w:rPr>
        <w:t>式中：</w:t>
      </w:r>
    </w:p>
    <w:p w14:paraId="2B8F5813">
      <w:pPr>
        <w:pStyle w:val="261"/>
        <w:spacing w:line="240" w:lineRule="auto"/>
        <w:ind w:left="630" w:leftChars="300"/>
        <w:rPr>
          <w:rFonts w:hAnsi="宋体" w:cs="宋体"/>
          <w:bCs/>
          <w:color w:val="auto"/>
          <w:sz w:val="21"/>
          <w:szCs w:val="21"/>
        </w:rPr>
      </w:pPr>
      <w:r>
        <w:rPr>
          <w:rFonts w:hAnsi="宋体" w:cs="宋体"/>
          <w:bCs/>
          <w:i/>
          <w:iCs/>
          <w:color w:val="auto"/>
          <w:sz w:val="21"/>
          <w:szCs w:val="21"/>
        </w:rPr>
        <w:t>Q</w:t>
      </w:r>
      <w:r>
        <w:rPr>
          <w:rFonts w:hAnsi="宋体" w:cs="宋体"/>
          <w:bCs/>
          <w:i/>
          <w:iCs/>
          <w:color w:val="auto"/>
          <w:sz w:val="21"/>
          <w:szCs w:val="21"/>
          <w:vertAlign w:val="subscript"/>
        </w:rPr>
        <w:t>c</w:t>
      </w:r>
      <w:r>
        <w:rPr>
          <w:rFonts w:hAnsi="宋体" w:cs="宋体"/>
          <w:color w:val="auto"/>
          <w:sz w:val="21"/>
          <w:szCs w:val="21"/>
        </w:rPr>
        <w:t>——</w:t>
      </w:r>
      <w:r>
        <w:rPr>
          <w:rFonts w:hAnsi="宋体" w:cs="宋体"/>
          <w:bCs/>
          <w:color w:val="auto"/>
          <w:sz w:val="21"/>
          <w:szCs w:val="21"/>
        </w:rPr>
        <w:t>群井总涌水量，m</w:t>
      </w:r>
      <w:r>
        <w:rPr>
          <w:rFonts w:hAnsi="宋体" w:cs="宋体"/>
          <w:bCs/>
          <w:color w:val="auto"/>
          <w:sz w:val="21"/>
          <w:szCs w:val="21"/>
          <w:vertAlign w:val="superscript"/>
        </w:rPr>
        <w:t>3</w:t>
      </w:r>
      <w:r>
        <w:rPr>
          <w:rFonts w:hAnsi="宋体" w:cs="宋体"/>
          <w:bCs/>
          <w:color w:val="auto"/>
          <w:sz w:val="21"/>
          <w:szCs w:val="21"/>
        </w:rPr>
        <w:t>/d；</w:t>
      </w:r>
    </w:p>
    <w:p w14:paraId="573A9DE0">
      <w:pPr>
        <w:pStyle w:val="261"/>
        <w:spacing w:line="240" w:lineRule="auto"/>
        <w:ind w:left="630" w:leftChars="300"/>
        <w:rPr>
          <w:rFonts w:hAnsi="宋体" w:cs="宋体"/>
          <w:bCs/>
          <w:color w:val="auto"/>
          <w:sz w:val="21"/>
          <w:szCs w:val="21"/>
        </w:rPr>
      </w:pPr>
      <w:r>
        <w:rPr>
          <w:rFonts w:hAnsi="宋体" w:cs="宋体"/>
          <w:bCs/>
          <w:i/>
          <w:iCs/>
          <w:color w:val="auto"/>
          <w:sz w:val="21"/>
          <w:szCs w:val="21"/>
        </w:rPr>
        <w:t>Q</w:t>
      </w:r>
      <w:r>
        <w:rPr>
          <w:rFonts w:hAnsi="宋体" w:cs="宋体"/>
          <w:bCs/>
          <w:i/>
          <w:iCs/>
          <w:color w:val="auto"/>
          <w:sz w:val="21"/>
          <w:szCs w:val="21"/>
          <w:vertAlign w:val="subscript"/>
        </w:rPr>
        <w:t>i</w:t>
      </w:r>
      <w:r>
        <w:rPr>
          <w:rFonts w:hAnsi="宋体" w:cs="宋体"/>
          <w:color w:val="auto"/>
          <w:sz w:val="21"/>
          <w:szCs w:val="21"/>
        </w:rPr>
        <w:t>——</w:t>
      </w:r>
      <w:r>
        <w:rPr>
          <w:rFonts w:hAnsi="宋体" w:cs="宋体"/>
          <w:bCs/>
          <w:color w:val="auto"/>
          <w:sz w:val="21"/>
          <w:szCs w:val="21"/>
        </w:rPr>
        <w:t>第i口井的单井出水量，m</w:t>
      </w:r>
      <w:r>
        <w:rPr>
          <w:rFonts w:hAnsi="宋体" w:cs="宋体"/>
          <w:bCs/>
          <w:color w:val="auto"/>
          <w:sz w:val="21"/>
          <w:szCs w:val="21"/>
          <w:vertAlign w:val="superscript"/>
        </w:rPr>
        <w:t>3</w:t>
      </w:r>
      <w:r>
        <w:rPr>
          <w:rFonts w:hAnsi="宋体" w:cs="宋体"/>
          <w:bCs/>
          <w:color w:val="auto"/>
          <w:sz w:val="21"/>
          <w:szCs w:val="21"/>
        </w:rPr>
        <w:t>/d；</w:t>
      </w:r>
    </w:p>
    <w:p w14:paraId="16FBAFA1">
      <w:pPr>
        <w:pStyle w:val="261"/>
        <w:spacing w:line="240" w:lineRule="auto"/>
        <w:ind w:left="630" w:leftChars="300"/>
        <w:rPr>
          <w:rFonts w:hAnsi="宋体" w:cs="宋体"/>
          <w:bCs/>
          <w:color w:val="auto"/>
          <w:sz w:val="21"/>
          <w:szCs w:val="21"/>
        </w:rPr>
      </w:pPr>
      <w:r>
        <w:rPr>
          <w:rFonts w:hAnsi="宋体" w:cs="宋体"/>
          <w:bCs/>
          <w:i/>
          <w:iCs/>
          <w:color w:val="auto"/>
          <w:sz w:val="21"/>
          <w:szCs w:val="21"/>
        </w:rPr>
        <w:t>R</w:t>
      </w:r>
      <w:r>
        <w:rPr>
          <w:rFonts w:hAnsi="宋体" w:cs="宋体"/>
          <w:bCs/>
          <w:i/>
          <w:iCs/>
          <w:color w:val="auto"/>
          <w:sz w:val="21"/>
          <w:szCs w:val="21"/>
          <w:vertAlign w:val="subscript"/>
        </w:rPr>
        <w:t>K</w:t>
      </w:r>
      <w:r>
        <w:rPr>
          <w:rFonts w:hAnsi="宋体" w:cs="宋体"/>
          <w:color w:val="auto"/>
          <w:sz w:val="21"/>
          <w:szCs w:val="21"/>
        </w:rPr>
        <w:t>——</w:t>
      </w:r>
      <w:r>
        <w:rPr>
          <w:rFonts w:hAnsi="宋体" w:cs="宋体"/>
          <w:bCs/>
          <w:color w:val="auto"/>
          <w:sz w:val="21"/>
          <w:szCs w:val="21"/>
        </w:rPr>
        <w:t>圆形隔水边界的半径，m；</w:t>
      </w:r>
    </w:p>
    <w:p w14:paraId="41587451">
      <w:pPr>
        <w:pStyle w:val="261"/>
        <w:spacing w:line="240" w:lineRule="auto"/>
        <w:ind w:left="630" w:leftChars="300"/>
        <w:rPr>
          <w:rFonts w:hAnsi="宋体" w:cs="宋体"/>
          <w:bCs/>
          <w:color w:val="auto"/>
          <w:sz w:val="21"/>
          <w:szCs w:val="21"/>
        </w:rPr>
      </w:pPr>
      <w:r>
        <w:rPr>
          <w:rFonts w:hAnsi="宋体" w:cs="宋体"/>
          <w:bCs/>
          <w:i/>
          <w:iCs/>
          <w:color w:val="auto"/>
          <w:sz w:val="21"/>
          <w:szCs w:val="21"/>
        </w:rPr>
        <w:t>r</w:t>
      </w:r>
      <w:r>
        <w:rPr>
          <w:rFonts w:hAnsi="宋体" w:cs="宋体"/>
          <w:bCs/>
          <w:i/>
          <w:iCs/>
          <w:color w:val="auto"/>
          <w:sz w:val="21"/>
          <w:szCs w:val="21"/>
          <w:vertAlign w:val="subscript"/>
        </w:rPr>
        <w:t>i</w:t>
      </w:r>
      <w:r>
        <w:rPr>
          <w:rFonts w:hAnsi="宋体" w:cs="宋体"/>
          <w:bCs/>
          <w:i/>
          <w:iCs/>
          <w:color w:val="auto"/>
          <w:sz w:val="21"/>
          <w:szCs w:val="21"/>
          <w:vertAlign w:val="superscript"/>
        </w:rPr>
        <w:t>*</w:t>
      </w:r>
      <w:r>
        <w:rPr>
          <w:rFonts w:hAnsi="宋体" w:cs="宋体"/>
          <w:bCs/>
          <w:color w:val="auto"/>
          <w:sz w:val="21"/>
          <w:szCs w:val="21"/>
        </w:rPr>
        <w:t>= r＇· r</w:t>
      </w:r>
      <w:r>
        <w:rPr>
          <w:rFonts w:hAnsi="宋体" w:cs="宋体"/>
          <w:bCs/>
          <w:color w:val="auto"/>
          <w:sz w:val="21"/>
          <w:szCs w:val="21"/>
          <w:vertAlign w:val="subscript"/>
        </w:rPr>
        <w:t>i</w:t>
      </w:r>
      <w:r>
        <w:rPr>
          <w:rFonts w:hAnsi="宋体" w:cs="宋体"/>
          <w:color w:val="auto"/>
          <w:sz w:val="21"/>
          <w:szCs w:val="21"/>
        </w:rPr>
        <w:t>——</w:t>
      </w:r>
      <w:r>
        <w:rPr>
          <w:rFonts w:hAnsi="宋体" w:cs="宋体"/>
          <w:bCs/>
          <w:color w:val="auto"/>
          <w:sz w:val="21"/>
          <w:szCs w:val="21"/>
        </w:rPr>
        <w:t>各降水管井到任意点的距离，m；</w:t>
      </w:r>
    </w:p>
    <w:p w14:paraId="553B0A5C">
      <w:pPr>
        <w:pStyle w:val="261"/>
        <w:spacing w:line="240" w:lineRule="auto"/>
        <w:ind w:left="630" w:leftChars="300"/>
        <w:rPr>
          <w:rFonts w:hAnsi="宋体" w:cs="宋体"/>
          <w:bCs/>
          <w:color w:val="auto"/>
          <w:sz w:val="21"/>
          <w:szCs w:val="21"/>
        </w:rPr>
      </w:pPr>
      <w:r>
        <w:rPr>
          <w:rFonts w:hAnsi="宋体" w:cs="宋体"/>
          <w:bCs/>
          <w:i/>
          <w:iCs/>
          <w:color w:val="auto"/>
          <w:sz w:val="21"/>
          <w:szCs w:val="21"/>
        </w:rPr>
        <w:t>r＇</w:t>
      </w:r>
      <w:r>
        <w:rPr>
          <w:rFonts w:hAnsi="宋体" w:cs="宋体"/>
          <w:color w:val="auto"/>
          <w:sz w:val="21"/>
          <w:szCs w:val="21"/>
        </w:rPr>
        <w:t>——</w:t>
      </w:r>
      <w:r>
        <w:rPr>
          <w:rFonts w:hAnsi="宋体" w:cs="宋体"/>
          <w:bCs/>
          <w:color w:val="auto"/>
          <w:sz w:val="21"/>
          <w:szCs w:val="21"/>
        </w:rPr>
        <w:t>系数； </w:t>
      </w:r>
    </w:p>
    <w:p w14:paraId="31B2CB2A">
      <w:pPr>
        <w:pStyle w:val="261"/>
        <w:spacing w:line="240" w:lineRule="auto"/>
        <w:ind w:left="630" w:leftChars="300"/>
        <w:rPr>
          <w:rFonts w:hAnsi="宋体" w:cs="宋体"/>
          <w:bCs/>
          <w:color w:val="auto"/>
          <w:sz w:val="21"/>
          <w:szCs w:val="21"/>
        </w:rPr>
      </w:pPr>
      <w:r>
        <w:rPr>
          <w:rFonts w:hAnsi="宋体" w:cs="宋体"/>
          <w:bCs/>
          <w:i/>
          <w:iCs/>
          <w:color w:val="auto"/>
          <w:sz w:val="21"/>
          <w:szCs w:val="21"/>
        </w:rPr>
        <w:t>t</w:t>
      </w:r>
      <w:r>
        <w:rPr>
          <w:rFonts w:hAnsi="宋体" w:cs="宋体"/>
          <w:color w:val="auto"/>
          <w:sz w:val="21"/>
          <w:szCs w:val="21"/>
        </w:rPr>
        <w:t>——</w:t>
      </w:r>
      <w:r>
        <w:rPr>
          <w:rFonts w:hAnsi="宋体" w:cs="宋体"/>
          <w:bCs/>
          <w:color w:val="auto"/>
          <w:sz w:val="21"/>
          <w:szCs w:val="21"/>
        </w:rPr>
        <w:t>抽水时间，d；</w:t>
      </w:r>
    </w:p>
    <w:p w14:paraId="6A04F54C">
      <w:pPr>
        <w:pStyle w:val="261"/>
        <w:spacing w:line="240" w:lineRule="auto"/>
        <w:ind w:left="630" w:leftChars="300"/>
        <w:rPr>
          <w:rFonts w:hAnsi="宋体" w:cs="宋体"/>
          <w:bCs/>
          <w:color w:val="auto"/>
          <w:sz w:val="21"/>
          <w:szCs w:val="21"/>
        </w:rPr>
      </w:pPr>
      <w:r>
        <w:rPr>
          <w:rFonts w:hAnsi="宋体" w:cs="宋体"/>
          <w:bCs/>
          <w:i/>
          <w:iCs/>
          <w:color w:val="auto"/>
          <w:sz w:val="21"/>
          <w:szCs w:val="21"/>
        </w:rPr>
        <w:t>r</w:t>
      </w:r>
      <w:r>
        <w:rPr>
          <w:rFonts w:hAnsi="宋体" w:cs="宋体"/>
          <w:bCs/>
          <w:i/>
          <w:iCs/>
          <w:color w:val="auto"/>
          <w:sz w:val="21"/>
          <w:szCs w:val="21"/>
          <w:vertAlign w:val="subscript"/>
        </w:rPr>
        <w:t>M</w:t>
      </w:r>
      <w:r>
        <w:rPr>
          <w:rFonts w:hAnsi="宋体" w:cs="宋体"/>
          <w:color w:val="auto"/>
          <w:sz w:val="21"/>
          <w:szCs w:val="21"/>
        </w:rPr>
        <w:t>——</w:t>
      </w:r>
      <w:r>
        <w:rPr>
          <w:rFonts w:hAnsi="宋体" w:cs="宋体"/>
          <w:bCs/>
          <w:color w:val="auto"/>
          <w:sz w:val="21"/>
          <w:szCs w:val="21"/>
        </w:rPr>
        <w:t>圆形隔水边界中心到任意点的距离，m；</w:t>
      </w:r>
    </w:p>
    <w:p w14:paraId="16F5E37A">
      <w:pPr>
        <w:pStyle w:val="250"/>
        <w:ind w:left="630" w:leftChars="300"/>
        <w:rPr>
          <w:rFonts w:hAnsi="宋体" w:cs="宋体"/>
          <w:bCs/>
          <w:color w:val="auto"/>
          <w:sz w:val="21"/>
          <w:szCs w:val="21"/>
        </w:rPr>
      </w:pPr>
      <w:r>
        <w:rPr>
          <w:rFonts w:hAnsi="宋体" w:cs="宋体"/>
          <w:bCs/>
          <w:i/>
          <w:iCs/>
          <w:color w:val="auto"/>
          <w:sz w:val="21"/>
          <w:szCs w:val="21"/>
        </w:rPr>
        <w:t>r</w:t>
      </w:r>
      <w:r>
        <w:rPr>
          <w:rFonts w:hAnsi="宋体" w:cs="宋体"/>
          <w:color w:val="auto"/>
          <w:sz w:val="21"/>
          <w:szCs w:val="21"/>
        </w:rPr>
        <w:t>——</w:t>
      </w:r>
      <w:r>
        <w:rPr>
          <w:rFonts w:hAnsi="宋体" w:cs="宋体"/>
          <w:bCs/>
          <w:color w:val="auto"/>
          <w:sz w:val="21"/>
          <w:szCs w:val="21"/>
        </w:rPr>
        <w:t>降水管井到任意点的距离，m；</w:t>
      </w:r>
    </w:p>
    <w:p w14:paraId="43BBE859">
      <w:pPr>
        <w:pStyle w:val="250"/>
        <w:ind w:left="630" w:leftChars="300"/>
        <w:rPr>
          <w:rFonts w:hAnsi="宋体" w:cs="宋体"/>
          <w:bCs/>
          <w:color w:val="auto"/>
          <w:sz w:val="21"/>
          <w:szCs w:val="21"/>
        </w:rPr>
      </w:pPr>
      <w:r>
        <w:rPr>
          <w:rFonts w:hAnsi="宋体" w:cs="宋体"/>
          <w:bCs/>
          <w:i/>
          <w:iCs/>
          <w:color w:val="auto"/>
          <w:sz w:val="21"/>
          <w:szCs w:val="21"/>
        </w:rPr>
        <w:t>ρ</w:t>
      </w:r>
      <w:r>
        <w:rPr>
          <w:rFonts w:hAnsi="宋体" w:cs="宋体"/>
          <w:color w:val="auto"/>
          <w:sz w:val="21"/>
          <w:szCs w:val="21"/>
        </w:rPr>
        <w:t>——</w:t>
      </w:r>
      <w:r>
        <w:rPr>
          <w:rFonts w:hAnsi="宋体" w:cs="宋体"/>
          <w:bCs/>
          <w:color w:val="auto"/>
          <w:sz w:val="21"/>
          <w:szCs w:val="21"/>
        </w:rPr>
        <w:t>圆形隔水边界的中心到降水管井的距离，m；</w:t>
      </w:r>
    </w:p>
    <w:p w14:paraId="318B731B">
      <w:pPr>
        <w:pStyle w:val="250"/>
        <w:ind w:left="630" w:leftChars="300"/>
        <w:rPr>
          <w:rFonts w:hAnsi="宋体" w:cs="宋体"/>
          <w:bCs/>
          <w:color w:val="auto"/>
          <w:sz w:val="21"/>
          <w:szCs w:val="21"/>
        </w:rPr>
      </w:pPr>
      <w:r>
        <w:rPr>
          <w:rFonts w:hAnsi="宋体" w:cs="宋体"/>
          <w:bCs/>
          <w:i/>
          <w:iCs/>
          <w:color w:val="auto"/>
          <w:sz w:val="21"/>
          <w:szCs w:val="21"/>
        </w:rPr>
        <w:t>φ</w:t>
      </w:r>
      <w:r>
        <w:rPr>
          <w:rFonts w:hAnsi="宋体" w:cs="宋体"/>
          <w:color w:val="auto"/>
          <w:sz w:val="21"/>
          <w:szCs w:val="21"/>
        </w:rPr>
        <w:t>——</w:t>
      </w:r>
      <w:r>
        <w:rPr>
          <w:rFonts w:hAnsi="宋体" w:cs="宋体"/>
          <w:bCs/>
          <w:color w:val="auto"/>
          <w:sz w:val="21"/>
          <w:szCs w:val="21"/>
        </w:rPr>
        <w:t>r</w:t>
      </w:r>
      <w:r>
        <w:rPr>
          <w:rFonts w:hAnsi="宋体" w:cs="宋体"/>
          <w:bCs/>
          <w:color w:val="auto"/>
          <w:sz w:val="21"/>
          <w:szCs w:val="21"/>
          <w:vertAlign w:val="subscript"/>
        </w:rPr>
        <w:t>M</w:t>
      </w:r>
      <w:r>
        <w:rPr>
          <w:rFonts w:hAnsi="宋体" w:cs="宋体"/>
          <w:bCs/>
          <w:color w:val="auto"/>
          <w:sz w:val="21"/>
          <w:szCs w:val="21"/>
        </w:rPr>
        <w:t>与ρ线之间的夹角；</w:t>
      </w:r>
    </w:p>
    <w:p w14:paraId="7995D3B2">
      <w:pPr>
        <w:pStyle w:val="250"/>
        <w:ind w:left="630" w:leftChars="300"/>
        <w:rPr>
          <w:rFonts w:hAnsi="宋体" w:cs="宋体"/>
          <w:bCs/>
          <w:color w:val="auto"/>
          <w:sz w:val="21"/>
          <w:szCs w:val="21"/>
        </w:rPr>
      </w:pPr>
      <w:r>
        <w:rPr>
          <w:rFonts w:hAnsi="宋体" w:cs="宋体"/>
          <w:bCs/>
          <w:i/>
          <w:iCs/>
          <w:color w:val="auto"/>
          <w:sz w:val="21"/>
          <w:szCs w:val="21"/>
        </w:rPr>
        <w:t>H</w:t>
      </w:r>
      <w:r>
        <w:rPr>
          <w:rFonts w:hAnsi="宋体" w:cs="宋体"/>
          <w:color w:val="auto"/>
          <w:sz w:val="21"/>
          <w:szCs w:val="21"/>
        </w:rPr>
        <w:t>——</w:t>
      </w:r>
      <w:r>
        <w:rPr>
          <w:rFonts w:hAnsi="宋体" w:cs="宋体"/>
          <w:bCs/>
          <w:color w:val="auto"/>
          <w:sz w:val="21"/>
          <w:szCs w:val="21"/>
        </w:rPr>
        <w:t>任意点处隔水底板到降水前静水位的高度，m。</w:t>
      </w:r>
    </w:p>
    <w:p w14:paraId="2D17C1E3">
      <w:pPr>
        <w:spacing w:before="156" w:beforeLines="50" w:after="156" w:afterLines="50" w:line="240" w:lineRule="auto"/>
        <w:jc w:val="center"/>
        <w:rPr>
          <w:rFonts w:hint="eastAsia" w:ascii="黑体" w:hAnsi="黑体" w:eastAsia="黑体" w:cs="黑体"/>
        </w:rPr>
      </w:pPr>
      <w:r>
        <w:br w:type="page"/>
      </w:r>
    </w:p>
    <w:p w14:paraId="29EE609C">
      <w:pPr>
        <w:pStyle w:val="84"/>
        <w:numPr>
          <w:ilvl w:val="0"/>
          <w:numId w:val="0"/>
        </w:numPr>
        <w:spacing w:after="156"/>
      </w:pPr>
      <w:bookmarkStart w:id="546" w:name="_Toc6956"/>
      <w:bookmarkStart w:id="547" w:name="_Toc142730211"/>
      <w:bookmarkStart w:id="548" w:name="_Toc28623"/>
      <w:bookmarkStart w:id="549" w:name="_Toc31516"/>
      <w:r>
        <w:rPr>
          <w:spacing w:val="100"/>
        </w:rPr>
        <w:t>附录</w:t>
      </w:r>
      <w:r>
        <w:rPr>
          <w:rFonts w:hint="eastAsia"/>
          <w:spacing w:val="100"/>
        </w:rPr>
        <w:t>F</w:t>
      </w:r>
      <w:r>
        <w:br w:type="textWrapping"/>
      </w:r>
      <w:r>
        <w:rPr>
          <w:rFonts w:hint="eastAsia"/>
        </w:rPr>
        <w:t>（规范性）</w:t>
      </w:r>
      <w:r>
        <w:rPr>
          <w:rFonts w:hint="eastAsia"/>
        </w:rPr>
        <w:br w:type="textWrapping"/>
      </w:r>
      <w:r>
        <w:rPr>
          <w:rFonts w:hint="eastAsia"/>
        </w:rPr>
        <w:t>回灌试验技术要求</w:t>
      </w:r>
      <w:bookmarkEnd w:id="546"/>
    </w:p>
    <w:bookmarkEnd w:id="547"/>
    <w:p w14:paraId="62D91184">
      <w:pPr>
        <w:spacing w:line="240" w:lineRule="auto"/>
        <w:rPr>
          <w:rFonts w:hint="eastAsia" w:ascii="宋体" w:hAnsi="宋体" w:cs="宋体"/>
          <w:bCs/>
        </w:rPr>
      </w:pPr>
      <w:r>
        <w:rPr>
          <w:rFonts w:hint="eastAsia" w:ascii="黑体" w:hAnsi="黑体" w:eastAsia="黑体" w:cs="黑体"/>
          <w:bCs/>
        </w:rPr>
        <w:t>F. 1</w:t>
      </w:r>
      <w:r>
        <w:rPr>
          <w:rFonts w:hint="eastAsia" w:ascii="宋体" w:hAnsi="宋体" w:cs="宋体"/>
          <w:bCs/>
        </w:rPr>
        <w:t>  单井回灌试验，每组宜布置不少于2口观测井，观测井结构应与回灌管井相同。回灌试验井经验收合格后方可用于回灌试验。</w:t>
      </w:r>
    </w:p>
    <w:p w14:paraId="2BF95EF1">
      <w:pPr>
        <w:spacing w:line="240" w:lineRule="auto"/>
        <w:rPr>
          <w:rFonts w:hint="eastAsia" w:ascii="宋体" w:hAnsi="宋体" w:cs="宋体"/>
          <w:bCs/>
        </w:rPr>
      </w:pPr>
      <w:r>
        <w:rPr>
          <w:rFonts w:hint="eastAsia" w:ascii="黑体" w:hAnsi="黑体" w:eastAsia="黑体" w:cs="黑体"/>
          <w:bCs/>
        </w:rPr>
        <w:t>F. 2 </w:t>
      </w:r>
      <w:r>
        <w:rPr>
          <w:rFonts w:hint="eastAsia" w:ascii="宋体" w:hAnsi="宋体" w:cs="宋体"/>
          <w:bCs/>
        </w:rPr>
        <w:t> 用于指导回灌设计、确定回灌压力的回灌试验宜进行不少于3次：第1次回灌压力为0.7 P（</w:t>
      </w:r>
      <w:r>
        <w:rPr>
          <w:rFonts w:hint="eastAsia" w:ascii="宋体" w:hAnsi="宋体" w:cs="宋体"/>
          <w:bCs/>
          <w:i/>
          <w:iCs/>
        </w:rPr>
        <w:t>P</w:t>
      </w:r>
      <w:r>
        <w:rPr>
          <w:rFonts w:hint="eastAsia" w:ascii="宋体" w:hAnsi="宋体" w:cs="宋体"/>
          <w:bCs/>
        </w:rPr>
        <w:t>为回灌管井结构对应的允许回灌压力），第2次回灌压力为</w:t>
      </w:r>
      <w:r>
        <w:rPr>
          <w:rFonts w:hint="eastAsia" w:ascii="宋体" w:hAnsi="宋体" w:cs="宋体"/>
          <w:bCs/>
          <w:i/>
          <w:iCs/>
        </w:rPr>
        <w:t>P</w:t>
      </w:r>
      <w:r>
        <w:rPr>
          <w:rFonts w:hint="eastAsia" w:ascii="宋体" w:hAnsi="宋体" w:cs="宋体"/>
          <w:bCs/>
        </w:rPr>
        <w:t>，第3次回灌压力加压到</w:t>
      </w:r>
      <w:r>
        <w:rPr>
          <w:rFonts w:hint="eastAsia" w:ascii="宋体" w:hAnsi="宋体" w:cs="宋体"/>
          <w:bCs/>
          <w:i/>
          <w:iCs/>
        </w:rPr>
        <w:t>P</w:t>
      </w:r>
      <w:r>
        <w:rPr>
          <w:rFonts w:hint="eastAsia" w:ascii="宋体" w:hAnsi="宋体" w:cs="宋体"/>
          <w:bCs/>
        </w:rPr>
        <w:t>后持续加压直至管井井壁出现劈裂破坏，确定回灌极限压力</w:t>
      </w:r>
      <w:r>
        <w:rPr>
          <w:rFonts w:hint="eastAsia" w:ascii="宋体" w:hAnsi="宋体" w:cs="宋体"/>
          <w:bCs/>
          <w:i/>
          <w:iCs/>
        </w:rPr>
        <w:t>P</w:t>
      </w:r>
      <w:r>
        <w:rPr>
          <w:rFonts w:hint="eastAsia" w:ascii="宋体" w:hAnsi="宋体" w:cs="宋体"/>
          <w:bCs/>
          <w:vertAlign w:val="subscript"/>
        </w:rPr>
        <w:t>max</w:t>
      </w:r>
      <w:r>
        <w:rPr>
          <w:rFonts w:hint="eastAsia" w:ascii="宋体" w:hAnsi="宋体" w:cs="宋体"/>
          <w:bCs/>
        </w:rPr>
        <w:t>。</w:t>
      </w:r>
    </w:p>
    <w:p w14:paraId="68D16A5B">
      <w:pPr>
        <w:spacing w:line="240" w:lineRule="auto"/>
        <w:rPr>
          <w:rFonts w:hint="eastAsia" w:ascii="宋体" w:hAnsi="宋体" w:cs="宋体"/>
          <w:bCs/>
        </w:rPr>
      </w:pPr>
      <w:r>
        <w:rPr>
          <w:rFonts w:hint="eastAsia" w:ascii="黑体" w:hAnsi="黑体" w:eastAsia="黑体" w:cs="黑体"/>
          <w:bCs/>
        </w:rPr>
        <w:t>F. 3 </w:t>
      </w:r>
      <w:r>
        <w:rPr>
          <w:rFonts w:hint="eastAsia" w:ascii="宋体" w:hAnsi="宋体" w:cs="宋体"/>
          <w:bCs/>
        </w:rPr>
        <w:t> 回灌试验期间，回灌压力应逐步上升，自水位上升至井口后每2 h增加20 kPa，达到设定回灌压力后维持压力稳定时间持续不少于</w:t>
      </w:r>
      <w:r>
        <w:rPr>
          <w:rFonts w:hint="eastAsia" w:ascii="宋体" w:hAnsi="宋体" w:cs="宋体"/>
        </w:rPr>
        <w:t>2</w:t>
      </w:r>
      <w:r>
        <w:rPr>
          <w:rFonts w:hint="eastAsia" w:ascii="宋体" w:hAnsi="宋体" w:cs="宋体"/>
          <w:bCs/>
        </w:rPr>
        <w:t> </w:t>
      </w:r>
      <w:r>
        <w:rPr>
          <w:rFonts w:hint="eastAsia" w:ascii="宋体" w:hAnsi="宋体" w:cs="宋体"/>
        </w:rPr>
        <w:t>h～4</w:t>
      </w:r>
      <w:r>
        <w:rPr>
          <w:rFonts w:hint="eastAsia" w:ascii="宋体" w:hAnsi="宋体" w:cs="宋体"/>
          <w:bCs/>
        </w:rPr>
        <w:t> </w:t>
      </w:r>
      <w:r>
        <w:rPr>
          <w:rFonts w:hint="eastAsia" w:ascii="宋体" w:hAnsi="宋体" w:cs="宋体"/>
        </w:rPr>
        <w:t>h</w:t>
      </w:r>
      <w:r>
        <w:rPr>
          <w:rFonts w:hint="eastAsia" w:ascii="宋体" w:hAnsi="宋体" w:cs="宋体"/>
          <w:bCs/>
        </w:rPr>
        <w:t>。</w:t>
      </w:r>
    </w:p>
    <w:p w14:paraId="66AC8A7F">
      <w:pPr>
        <w:spacing w:line="240" w:lineRule="auto"/>
        <w:rPr>
          <w:rFonts w:hint="eastAsia" w:ascii="宋体" w:hAnsi="宋体" w:cs="宋体"/>
          <w:bCs/>
        </w:rPr>
      </w:pPr>
      <w:r>
        <w:rPr>
          <w:rFonts w:hint="eastAsia" w:ascii="黑体" w:hAnsi="黑体" w:eastAsia="黑体" w:cs="黑体"/>
          <w:bCs/>
        </w:rPr>
        <w:t>F. 4</w:t>
      </w:r>
      <w:r>
        <w:rPr>
          <w:rFonts w:hint="eastAsia" w:ascii="宋体" w:hAnsi="宋体" w:cs="宋体"/>
          <w:bCs/>
        </w:rPr>
        <w:t>  回灌试验开始后，同步观测并记录观测井水位及回灌水量，观测要求如下：</w:t>
      </w:r>
    </w:p>
    <w:p w14:paraId="4438A23D">
      <w:pPr>
        <w:pStyle w:val="182"/>
        <w:numPr>
          <w:ilvl w:val="0"/>
          <w:numId w:val="109"/>
        </w:numPr>
        <w:ind w:left="845" w:hanging="425"/>
        <w:rPr>
          <w:rFonts w:hint="eastAsia" w:hAnsi="宋体" w:cs="宋体"/>
        </w:rPr>
      </w:pPr>
      <w:r>
        <w:rPr>
          <w:rFonts w:hint="eastAsia" w:hAnsi="宋体" w:cs="宋体"/>
        </w:rPr>
        <w:t>自回灌开始后，第15 min、30 min、45 min、60 min观测1次井水位，以后每隔60 min观测1次井水位，直至观测井水位基本趋于稳定时停止回灌。试验过程中，每隔30 min记录1次回灌水量。</w:t>
      </w:r>
    </w:p>
    <w:p w14:paraId="43F2C0CB">
      <w:pPr>
        <w:pStyle w:val="182"/>
        <w:numPr>
          <w:ilvl w:val="0"/>
          <w:numId w:val="109"/>
        </w:numPr>
        <w:ind w:left="845" w:hanging="425"/>
        <w:rPr>
          <w:rFonts w:hint="eastAsia" w:hAnsi="宋体" w:cs="宋体"/>
        </w:rPr>
      </w:pPr>
      <w:r>
        <w:rPr>
          <w:rFonts w:hint="eastAsia" w:hAnsi="宋体" w:cs="宋体"/>
        </w:rPr>
        <w:t>停止回灌后，应观测并记录水位的恢复过程，第15 min、30 min、45 min、60 min观测1次井水位，以后每隔60 min观测1次井水位，直至井水位基本趋于稳定为止。</w:t>
      </w:r>
    </w:p>
    <w:bookmarkEnd w:id="548"/>
    <w:bookmarkEnd w:id="549"/>
    <w:p w14:paraId="59A3A05A">
      <w:pPr>
        <w:spacing w:line="240" w:lineRule="auto"/>
        <w:rPr>
          <w:rFonts w:hint="eastAsia" w:ascii="宋体" w:hAnsi="宋体" w:cs="宋体"/>
          <w:bCs/>
        </w:rPr>
      </w:pPr>
      <w:r>
        <w:rPr>
          <w:rFonts w:hint="eastAsia" w:ascii="黑体" w:hAnsi="黑体" w:eastAsia="黑体" w:cs="黑体"/>
          <w:bCs/>
        </w:rPr>
        <w:t>F. 5  </w:t>
      </w:r>
      <w:r>
        <w:rPr>
          <w:rFonts w:hint="eastAsia" w:ascii="宋体" w:hAnsi="宋体" w:cs="宋体"/>
          <w:bCs/>
        </w:rPr>
        <w:t>观测井中水位稳定标准为连续2小时内水位波动小于3 cm，回灌水量稳定标准为在试验过程中无降雨或其他干扰因素条件下水量波动小于3%。</w:t>
      </w:r>
    </w:p>
    <w:p w14:paraId="1DE1B5B1">
      <w:pPr>
        <w:spacing w:line="240" w:lineRule="auto"/>
        <w:rPr>
          <w:rFonts w:hint="eastAsia" w:ascii="宋体" w:hAnsi="宋体" w:cs="宋体"/>
          <w:bCs/>
        </w:rPr>
      </w:pPr>
      <w:r>
        <w:rPr>
          <w:rFonts w:hint="eastAsia" w:ascii="黑体" w:hAnsi="黑体" w:eastAsia="黑体" w:cs="黑体"/>
          <w:bCs/>
        </w:rPr>
        <w:t>F.6  </w:t>
      </w:r>
      <w:r>
        <w:rPr>
          <w:rFonts w:hint="eastAsia" w:ascii="宋体" w:hAnsi="宋体" w:cs="宋体"/>
          <w:bCs/>
        </w:rPr>
        <w:t>回灌影响半径R</w:t>
      </w:r>
      <w:r>
        <w:rPr>
          <w:rFonts w:hint="eastAsia" w:ascii="宋体" w:hAnsi="宋体" w:cs="宋体"/>
          <w:bCs/>
          <w:vertAlign w:val="superscript"/>
        </w:rPr>
        <w:t>*</w:t>
      </w:r>
      <w:r>
        <w:rPr>
          <w:rFonts w:hint="eastAsia" w:ascii="宋体" w:hAnsi="宋体" w:cs="宋体"/>
          <w:bCs/>
        </w:rPr>
        <w:t>及回灌渗透系数K</w:t>
      </w:r>
      <w:r>
        <w:rPr>
          <w:rFonts w:hint="eastAsia" w:ascii="宋体" w:hAnsi="宋体" w:cs="宋体"/>
          <w:bCs/>
          <w:vertAlign w:val="superscript"/>
        </w:rPr>
        <w:t>*</w:t>
      </w:r>
      <w:r>
        <w:rPr>
          <w:rFonts w:hint="eastAsia" w:ascii="宋体" w:hAnsi="宋体" w:cs="宋体"/>
          <w:bCs/>
        </w:rPr>
        <w:t>可利用回灌达到稳定状态后的回灌量及观测井水位进行计算：</w:t>
      </w:r>
    </w:p>
    <w:p w14:paraId="52271458">
      <w:pPr>
        <w:wordWrap w:val="0"/>
        <w:spacing w:line="240" w:lineRule="auto"/>
        <w:jc w:val="right"/>
        <w:rPr>
          <w:rFonts w:hint="eastAsia" w:ascii="宋体" w:hAnsi="宋体" w:cs="宋体"/>
          <w:bCs/>
        </w:rPr>
      </w:pPr>
      <w:r>
        <w:rPr>
          <w:rFonts w:hint="eastAsia" w:ascii="宋体" w:hAnsi="宋体" w:cs="宋体"/>
        </w:rPr>
        <w:t> </w:t>
      </w:r>
      <m:oMath>
        <m:r>
          <m:rPr>
            <m:sty m:val="p"/>
          </m:rPr>
          <w:rPr>
            <w:rFonts w:hint="eastAsia" w:ascii="Cambria Math" w:hAnsi="Cambria Math" w:cs="宋体"/>
          </w:rPr>
          <m:t>lg</m:t>
        </m:r>
        <m:sSup>
          <m:sSupPr>
            <m:ctrlPr>
              <w:rPr>
                <w:rFonts w:hint="eastAsia" w:ascii="Cambria Math" w:hAnsi="Cambria Math" w:cs="宋体"/>
                <w:bCs/>
                <w:i/>
                <w:iCs/>
              </w:rPr>
            </m:ctrlPr>
          </m:sSupPr>
          <m:e>
            <m:r>
              <m:rPr/>
              <w:rPr>
                <w:rFonts w:hint="eastAsia" w:ascii="Cambria Math" w:hAnsi="Cambria Math" w:cs="宋体"/>
              </w:rPr>
              <m:t>R</m:t>
            </m:r>
            <m:ctrlPr>
              <w:rPr>
                <w:rFonts w:hint="eastAsia" w:ascii="Cambria Math" w:hAnsi="Cambria Math" w:cs="宋体"/>
                <w:bCs/>
                <w:i/>
                <w:iCs/>
              </w:rPr>
            </m:ctrlPr>
          </m:e>
          <m:sup>
            <m:r>
              <m:rPr/>
              <w:rPr>
                <w:rFonts w:hint="eastAsia" w:ascii="MS Gothic" w:hAnsi="MS Gothic" w:eastAsia="MS Gothic" w:cs="MS Gothic"/>
              </w:rPr>
              <m:t>∗</m:t>
            </m:r>
            <m:ctrlPr>
              <w:rPr>
                <w:rFonts w:hint="eastAsia" w:ascii="Cambria Math" w:hAnsi="Cambria Math" w:cs="宋体"/>
                <w:bCs/>
                <w:i/>
                <w:iCs/>
              </w:rPr>
            </m:ctrlPr>
          </m:sup>
        </m:sSup>
        <m:r>
          <m:rPr/>
          <w:rPr>
            <w:rFonts w:hint="eastAsia" w:ascii="Cambria Math" w:hAnsi="Cambria Math" w:cs="宋体"/>
          </w:rPr>
          <m:t>=</m:t>
        </m:r>
        <m:f>
          <m:fPr>
            <m:ctrlPr>
              <w:rPr>
                <w:rFonts w:hint="eastAsia" w:ascii="Cambria Math" w:hAnsi="Cambria Math" w:cs="宋体"/>
                <w:bCs/>
                <w:i/>
                <w:iCs/>
              </w:rPr>
            </m:ctrlPr>
          </m:fPr>
          <m:num>
            <m:sSub>
              <m:sSubPr>
                <m:ctrlPr>
                  <w:rPr>
                    <w:rFonts w:hint="eastAsia" w:ascii="Cambria Math" w:hAnsi="Cambria Math" w:cs="宋体"/>
                    <w:bCs/>
                    <w:i/>
                    <w:iCs/>
                  </w:rPr>
                </m:ctrlPr>
              </m:sSubPr>
              <m:e>
                <m:r>
                  <m:rPr/>
                  <w:rPr>
                    <w:rFonts w:hint="eastAsia" w:ascii="Cambria Math" w:hAnsi="Cambria Math" w:cs="宋体"/>
                  </w:rPr>
                  <m:t>S</m:t>
                </m:r>
                <m:ctrlPr>
                  <w:rPr>
                    <w:rFonts w:hint="eastAsia" w:ascii="Cambria Math" w:hAnsi="Cambria Math" w:cs="宋体"/>
                    <w:bCs/>
                    <w:i/>
                    <w:iCs/>
                  </w:rPr>
                </m:ctrlPr>
              </m:e>
              <m:sub>
                <m:r>
                  <m:rPr/>
                  <w:rPr>
                    <w:rFonts w:hint="eastAsia" w:ascii="Cambria Math" w:hAnsi="Cambria Math" w:cs="宋体"/>
                  </w:rPr>
                  <m:t>1</m:t>
                </m:r>
                <m:ctrlPr>
                  <w:rPr>
                    <w:rFonts w:hint="eastAsia" w:ascii="Cambria Math" w:hAnsi="Cambria Math" w:cs="宋体"/>
                    <w:bCs/>
                    <w:i/>
                    <w:iCs/>
                  </w:rPr>
                </m:ctrlPr>
              </m:sub>
            </m:sSub>
            <m:r>
              <m:rPr>
                <m:sty m:val="p"/>
              </m:rPr>
              <w:rPr>
                <w:rFonts w:hint="eastAsia" w:ascii="Cambria Math" w:hAnsi="Cambria Math" w:cs="宋体"/>
              </w:rPr>
              <m:t>lg</m:t>
            </m:r>
            <m:sSub>
              <m:sSubPr>
                <m:ctrlPr>
                  <w:rPr>
                    <w:rFonts w:hint="eastAsia" w:ascii="Cambria Math" w:hAnsi="Cambria Math" w:cs="宋体"/>
                    <w:bCs/>
                    <w:i/>
                    <w:iCs/>
                  </w:rPr>
                </m:ctrlPr>
              </m:sSubPr>
              <m:e>
                <m:r>
                  <m:rPr/>
                  <w:rPr>
                    <w:rFonts w:hint="eastAsia" w:ascii="Cambria Math" w:hAnsi="Cambria Math" w:cs="宋体"/>
                  </w:rPr>
                  <m:t>r</m:t>
                </m:r>
                <m:ctrlPr>
                  <w:rPr>
                    <w:rFonts w:hint="eastAsia" w:ascii="Cambria Math" w:hAnsi="Cambria Math" w:cs="宋体"/>
                    <w:bCs/>
                    <w:i/>
                    <w:iCs/>
                  </w:rPr>
                </m:ctrlPr>
              </m:e>
              <m:sub>
                <m:r>
                  <m:rPr/>
                  <w:rPr>
                    <w:rFonts w:hint="eastAsia" w:ascii="Cambria Math" w:hAnsi="Cambria Math" w:cs="宋体"/>
                  </w:rPr>
                  <m:t>2</m:t>
                </m:r>
                <m:ctrlPr>
                  <w:rPr>
                    <w:rFonts w:hint="eastAsia" w:ascii="Cambria Math" w:hAnsi="Cambria Math" w:cs="宋体"/>
                    <w:bCs/>
                    <w:i/>
                    <w:iCs/>
                  </w:rPr>
                </m:ctrlPr>
              </m:sub>
            </m:sSub>
            <m:r>
              <m:rPr/>
              <w:rPr>
                <w:rFonts w:hint="eastAsia" w:ascii="微软雅黑" w:hAnsi="微软雅黑" w:eastAsia="微软雅黑" w:cs="微软雅黑"/>
              </w:rPr>
              <m:t>−</m:t>
            </m:r>
            <m:sSub>
              <m:sSubPr>
                <m:ctrlPr>
                  <w:rPr>
                    <w:rFonts w:hint="eastAsia" w:ascii="Cambria Math" w:hAnsi="Cambria Math" w:cs="宋体"/>
                    <w:bCs/>
                    <w:i/>
                    <w:iCs/>
                  </w:rPr>
                </m:ctrlPr>
              </m:sSubPr>
              <m:e>
                <m:r>
                  <m:rPr/>
                  <w:rPr>
                    <w:rFonts w:hint="eastAsia" w:ascii="Cambria Math" w:hAnsi="Cambria Math" w:cs="宋体"/>
                  </w:rPr>
                  <m:t>S</m:t>
                </m:r>
                <m:ctrlPr>
                  <w:rPr>
                    <w:rFonts w:hint="eastAsia" w:ascii="Cambria Math" w:hAnsi="Cambria Math" w:cs="宋体"/>
                    <w:bCs/>
                    <w:i/>
                    <w:iCs/>
                  </w:rPr>
                </m:ctrlPr>
              </m:e>
              <m:sub>
                <m:r>
                  <m:rPr/>
                  <w:rPr>
                    <w:rFonts w:hint="eastAsia" w:ascii="Cambria Math" w:hAnsi="Cambria Math" w:cs="宋体"/>
                  </w:rPr>
                  <m:t>2</m:t>
                </m:r>
                <m:ctrlPr>
                  <w:rPr>
                    <w:rFonts w:hint="eastAsia" w:ascii="Cambria Math" w:hAnsi="Cambria Math" w:cs="宋体"/>
                    <w:bCs/>
                    <w:i/>
                    <w:iCs/>
                  </w:rPr>
                </m:ctrlPr>
              </m:sub>
            </m:sSub>
            <m:r>
              <m:rPr>
                <m:sty m:val="p"/>
              </m:rPr>
              <w:rPr>
                <w:rFonts w:hint="eastAsia" w:ascii="Cambria Math" w:hAnsi="Cambria Math" w:cs="宋体"/>
              </w:rPr>
              <m:t>lg</m:t>
            </m:r>
            <m:sSub>
              <m:sSubPr>
                <m:ctrlPr>
                  <w:rPr>
                    <w:rFonts w:hint="eastAsia" w:ascii="Cambria Math" w:hAnsi="Cambria Math" w:cs="宋体"/>
                    <w:bCs/>
                    <w:i/>
                    <w:iCs/>
                  </w:rPr>
                </m:ctrlPr>
              </m:sSubPr>
              <m:e>
                <m:r>
                  <m:rPr/>
                  <w:rPr>
                    <w:rFonts w:hint="eastAsia" w:ascii="Cambria Math" w:hAnsi="Cambria Math" w:cs="宋体"/>
                  </w:rPr>
                  <m:t>r</m:t>
                </m:r>
                <m:ctrlPr>
                  <w:rPr>
                    <w:rFonts w:hint="eastAsia" w:ascii="Cambria Math" w:hAnsi="Cambria Math" w:cs="宋体"/>
                    <w:bCs/>
                    <w:i/>
                    <w:iCs/>
                  </w:rPr>
                </m:ctrlPr>
              </m:e>
              <m:sub>
                <m:r>
                  <m:rPr/>
                  <w:rPr>
                    <w:rFonts w:hint="eastAsia" w:ascii="Cambria Math" w:hAnsi="Cambria Math" w:cs="宋体"/>
                  </w:rPr>
                  <m:t>1</m:t>
                </m:r>
                <m:ctrlPr>
                  <w:rPr>
                    <w:rFonts w:hint="eastAsia" w:ascii="Cambria Math" w:hAnsi="Cambria Math" w:cs="宋体"/>
                    <w:bCs/>
                    <w:i/>
                    <w:iCs/>
                  </w:rPr>
                </m:ctrlPr>
              </m:sub>
            </m:sSub>
            <m:ctrlPr>
              <w:rPr>
                <w:rFonts w:hint="eastAsia" w:ascii="Cambria Math" w:hAnsi="Cambria Math" w:cs="宋体"/>
                <w:bCs/>
                <w:i/>
                <w:iCs/>
              </w:rPr>
            </m:ctrlPr>
          </m:num>
          <m:den>
            <m:sSub>
              <m:sSubPr>
                <m:ctrlPr>
                  <w:rPr>
                    <w:rFonts w:hint="eastAsia" w:ascii="Cambria Math" w:hAnsi="Cambria Math" w:cs="宋体"/>
                    <w:bCs/>
                    <w:i/>
                    <w:iCs/>
                  </w:rPr>
                </m:ctrlPr>
              </m:sSubPr>
              <m:e>
                <m:r>
                  <m:rPr/>
                  <w:rPr>
                    <w:rFonts w:hint="eastAsia" w:ascii="Cambria Math" w:hAnsi="Cambria Math" w:cs="宋体"/>
                  </w:rPr>
                  <m:t>S</m:t>
                </m:r>
                <m:ctrlPr>
                  <w:rPr>
                    <w:rFonts w:hint="eastAsia" w:ascii="Cambria Math" w:hAnsi="Cambria Math" w:cs="宋体"/>
                    <w:bCs/>
                    <w:i/>
                    <w:iCs/>
                  </w:rPr>
                </m:ctrlPr>
              </m:e>
              <m:sub>
                <m:r>
                  <m:rPr/>
                  <w:rPr>
                    <w:rFonts w:hint="eastAsia" w:ascii="Cambria Math" w:hAnsi="Cambria Math" w:cs="宋体"/>
                  </w:rPr>
                  <m:t>1</m:t>
                </m:r>
                <m:ctrlPr>
                  <w:rPr>
                    <w:rFonts w:hint="eastAsia" w:ascii="Cambria Math" w:hAnsi="Cambria Math" w:cs="宋体"/>
                    <w:bCs/>
                    <w:i/>
                    <w:iCs/>
                  </w:rPr>
                </m:ctrlPr>
              </m:sub>
            </m:sSub>
            <m:r>
              <m:rPr/>
              <w:rPr>
                <w:rFonts w:hint="eastAsia" w:ascii="微软雅黑" w:hAnsi="微软雅黑" w:eastAsia="微软雅黑" w:cs="微软雅黑"/>
              </w:rPr>
              <m:t>−</m:t>
            </m:r>
            <m:sSub>
              <m:sSubPr>
                <m:ctrlPr>
                  <w:rPr>
                    <w:rFonts w:hint="eastAsia" w:ascii="Cambria Math" w:hAnsi="Cambria Math" w:cs="宋体"/>
                    <w:bCs/>
                    <w:i/>
                    <w:iCs/>
                  </w:rPr>
                </m:ctrlPr>
              </m:sSubPr>
              <m:e>
                <m:r>
                  <m:rPr/>
                  <w:rPr>
                    <w:rFonts w:hint="eastAsia" w:ascii="Cambria Math" w:hAnsi="Cambria Math" w:cs="宋体"/>
                  </w:rPr>
                  <m:t>S</m:t>
                </m:r>
                <m:ctrlPr>
                  <w:rPr>
                    <w:rFonts w:hint="eastAsia" w:ascii="Cambria Math" w:hAnsi="Cambria Math" w:cs="宋体"/>
                    <w:bCs/>
                    <w:i/>
                    <w:iCs/>
                  </w:rPr>
                </m:ctrlPr>
              </m:e>
              <m:sub>
                <m:r>
                  <m:rPr/>
                  <w:rPr>
                    <w:rFonts w:hint="eastAsia" w:ascii="Cambria Math" w:hAnsi="Cambria Math" w:cs="宋体"/>
                  </w:rPr>
                  <m:t>2</m:t>
                </m:r>
                <m:ctrlPr>
                  <w:rPr>
                    <w:rFonts w:hint="eastAsia" w:ascii="Cambria Math" w:hAnsi="Cambria Math" w:cs="宋体"/>
                    <w:bCs/>
                    <w:i/>
                    <w:iCs/>
                  </w:rPr>
                </m:ctrlPr>
              </m:sub>
            </m:sSub>
            <m:ctrlPr>
              <w:rPr>
                <w:rFonts w:hint="eastAsia" w:ascii="Cambria Math" w:hAnsi="Cambria Math" w:cs="宋体"/>
                <w:bCs/>
                <w:i/>
                <w:iCs/>
              </w:rPr>
            </m:ctrlPr>
          </m:den>
        </m:f>
      </m:oMath>
      <w:r>
        <w:rPr>
          <w:rFonts w:hint="eastAsia" w:ascii="MS Gothic" w:hAnsi="MS Gothic" w:eastAsia="MS Gothic" w:cs="MS Gothic"/>
          <w:bCs/>
          <w:i/>
          <w:iCs/>
        </w:rPr>
        <w:t> </w:t>
      </w:r>
      <w:r>
        <w:rPr>
          <w:rFonts w:hint="eastAsia" w:ascii="宋体" w:hAnsi="宋体" w:cs="宋体"/>
          <w:bCs/>
        </w:rPr>
        <w:t xml:space="preserve">               </w:t>
      </w:r>
      <w:r>
        <w:rPr>
          <w:rFonts w:ascii="宋体" w:hAnsi="宋体" w:cs="宋体"/>
          <w:bCs/>
        </w:rPr>
        <w:t xml:space="preserve">           </w:t>
      </w:r>
      <w:r>
        <w:rPr>
          <w:rFonts w:hint="eastAsia" w:ascii="宋体" w:hAnsi="宋体" w:cs="宋体"/>
          <w:bCs/>
        </w:rPr>
        <w:t xml:space="preserve">                        （F-1）</w:t>
      </w:r>
    </w:p>
    <w:p w14:paraId="5CEE820A">
      <w:pPr>
        <w:wordWrap w:val="0"/>
        <w:spacing w:line="240" w:lineRule="auto"/>
        <w:jc w:val="right"/>
        <w:rPr>
          <w:rFonts w:hint="eastAsia" w:ascii="宋体" w:hAnsi="宋体" w:cs="宋体"/>
          <w:bCs/>
        </w:rPr>
      </w:pPr>
      <m:oMath>
        <m:sSup>
          <w:bookmarkStart w:id="550" w:name="_Hlk127950569"/>
          <m:sSupPr>
            <m:ctrlPr>
              <w:rPr>
                <w:rFonts w:hint="eastAsia" w:ascii="Cambria Math" w:hAnsi="Cambria Math" w:cs="宋体"/>
                <w:i/>
              </w:rPr>
            </m:ctrlPr>
          </m:sSupPr>
          <m:e>
            <m:r>
              <m:rPr/>
              <w:rPr>
                <w:rFonts w:hint="eastAsia" w:ascii="Cambria Math" w:hAnsi="Cambria Math" w:cs="宋体"/>
              </w:rPr>
              <m:t>K</m:t>
            </m:r>
            <m:ctrlPr>
              <w:rPr>
                <w:rFonts w:hint="eastAsia" w:ascii="Cambria Math" w:hAnsi="Cambria Math" w:cs="宋体"/>
                <w:i/>
              </w:rPr>
            </m:ctrlPr>
          </m:e>
          <m:sup>
            <m:r>
              <m:rPr/>
              <w:rPr>
                <w:rFonts w:hint="eastAsia" w:ascii="Cambria Math" w:hAnsi="Cambria Math" w:eastAsia="MS Gothic" w:cs="MS Gothic"/>
              </w:rPr>
              <m:t>∗</m:t>
            </m:r>
            <m:ctrlPr>
              <w:rPr>
                <w:rFonts w:hint="eastAsia" w:ascii="Cambria Math" w:hAnsi="Cambria Math" w:cs="宋体"/>
                <w:i/>
              </w:rPr>
            </m:ctrlPr>
          </m:sup>
        </m:sSup>
        <m:r>
          <m:rPr/>
          <w:rPr>
            <w:rFonts w:hint="eastAsia" w:ascii="Cambria Math" w:hAnsi="Cambria Math" w:cs="宋体"/>
          </w:rPr>
          <m:t>=</m:t>
        </m:r>
        <m:f>
          <m:fPr>
            <m:ctrlPr>
              <w:rPr>
                <w:rFonts w:hint="eastAsia" w:ascii="Cambria Math" w:hAnsi="Cambria Math" w:cs="宋体"/>
                <w:bCs/>
                <w:i/>
              </w:rPr>
            </m:ctrlPr>
          </m:fPr>
          <m:num>
            <m:sSubSup>
              <m:sSubSupPr>
                <m:ctrlPr>
                  <w:rPr>
                    <w:rFonts w:hint="eastAsia" w:ascii="Cambria Math" w:hAnsi="Cambria Math" w:cs="宋体"/>
                    <w:i/>
                  </w:rPr>
                </m:ctrlPr>
              </m:sSubSupPr>
              <m:e>
                <m:r>
                  <m:rPr/>
                  <w:rPr>
                    <w:rFonts w:hint="eastAsia" w:ascii="Cambria Math" w:hAnsi="Cambria Math" w:cs="宋体"/>
                  </w:rPr>
                  <m:t>Q</m:t>
                </m:r>
                <m:ctrlPr>
                  <w:rPr>
                    <w:rFonts w:hint="eastAsia" w:ascii="Cambria Math" w:hAnsi="Cambria Math" w:cs="宋体"/>
                    <w:i/>
                  </w:rPr>
                </m:ctrlPr>
              </m:e>
              <m:sub>
                <m:r>
                  <m:rPr/>
                  <w:rPr>
                    <w:rFonts w:hint="eastAsia" w:ascii="MS Gothic" w:hAnsi="MS Gothic" w:eastAsia="MS Gothic" w:cs="MS Gothic"/>
                  </w:rPr>
                  <m:t>h</m:t>
                </m:r>
                <m:ctrlPr>
                  <w:rPr>
                    <w:rFonts w:hint="eastAsia" w:ascii="Cambria Math" w:hAnsi="Cambria Math" w:cs="宋体"/>
                    <w:i/>
                  </w:rPr>
                </m:ctrlPr>
              </m:sub>
              <m:sup>
                <m:r>
                  <m:rPr/>
                  <w:rPr>
                    <w:rFonts w:hint="eastAsia" w:ascii="Cambria Math" w:hAnsi="Cambria Math" w:eastAsia="MS Gothic" w:cs="MS Gothic"/>
                  </w:rPr>
                  <m:t>∗</m:t>
                </m:r>
                <m:ctrlPr>
                  <w:rPr>
                    <w:rFonts w:hint="eastAsia" w:ascii="Cambria Math" w:hAnsi="Cambria Math" w:cs="宋体"/>
                    <w:i/>
                  </w:rPr>
                </m:ctrlPr>
              </m:sup>
            </m:sSubSup>
            <m:ctrlPr>
              <w:rPr>
                <w:rFonts w:hint="eastAsia" w:ascii="Cambria Math" w:hAnsi="Cambria Math" w:cs="宋体"/>
                <w:bCs/>
                <w:i/>
              </w:rPr>
            </m:ctrlPr>
          </m:num>
          <m:den>
            <m:r>
              <m:rPr/>
              <w:rPr>
                <w:rFonts w:hint="eastAsia" w:ascii="Cambria Math" w:hAnsi="Cambria Math" w:cs="宋体"/>
              </w:rPr>
              <m:t>2</m:t>
            </m:r>
            <m:r>
              <m:rPr>
                <m:sty m:val="p"/>
              </m:rPr>
              <w:rPr>
                <w:rFonts w:hint="eastAsia" w:ascii="Cambria Math" w:hAnsi="Cambria Math" w:cs="宋体"/>
              </w:rPr>
              <m:t>π</m:t>
            </m:r>
            <m:r>
              <m:rPr/>
              <w:rPr>
                <w:rFonts w:hint="eastAsia" w:ascii="Cambria Math" w:hAnsi="Cambria Math" w:cs="宋体"/>
              </w:rPr>
              <m:t>M</m:t>
            </m:r>
            <m:d>
              <m:dPr>
                <m:ctrlPr>
                  <w:rPr>
                    <w:rFonts w:hint="eastAsia" w:ascii="Cambria Math" w:hAnsi="Cambria Math" w:cs="宋体"/>
                    <w:bCs/>
                    <w:i/>
                  </w:rPr>
                </m:ctrlPr>
              </m:dPr>
              <m:e>
                <m:sSub>
                  <m:sSubPr>
                    <m:ctrlPr>
                      <w:rPr>
                        <w:rFonts w:hint="eastAsia" w:ascii="Cambria Math" w:hAnsi="Cambria Math" w:cs="宋体"/>
                        <w:bCs/>
                        <w:i/>
                      </w:rPr>
                    </m:ctrlPr>
                  </m:sSubPr>
                  <m:e>
                    <m:r>
                      <m:rPr/>
                      <w:rPr>
                        <w:rFonts w:hint="eastAsia" w:ascii="Cambria Math" w:hAnsi="Cambria Math" w:cs="宋体"/>
                      </w:rPr>
                      <m:t>S</m:t>
                    </m:r>
                    <m:ctrlPr>
                      <w:rPr>
                        <w:rFonts w:hint="eastAsia" w:ascii="Cambria Math" w:hAnsi="Cambria Math" w:cs="宋体"/>
                        <w:bCs/>
                        <w:i/>
                      </w:rPr>
                    </m:ctrlPr>
                  </m:e>
                  <m:sub>
                    <m:r>
                      <m:rPr/>
                      <w:rPr>
                        <w:rFonts w:hint="eastAsia" w:ascii="Cambria Math" w:hAnsi="Cambria Math" w:cs="宋体"/>
                      </w:rPr>
                      <m:t>1</m:t>
                    </m:r>
                    <m:ctrlPr>
                      <w:rPr>
                        <w:rFonts w:hint="eastAsia" w:ascii="Cambria Math" w:hAnsi="Cambria Math" w:cs="宋体"/>
                        <w:bCs/>
                        <w:i/>
                      </w:rPr>
                    </m:ctrlPr>
                  </m:sub>
                </m:sSub>
                <m:r>
                  <m:rPr/>
                  <w:rPr>
                    <w:rFonts w:hint="eastAsia" w:ascii="Cambria Math" w:hAnsi="Cambria Math" w:eastAsia="微软雅黑" w:cs="微软雅黑"/>
                  </w:rPr>
                  <m:t>−</m:t>
                </m:r>
                <m:sSub>
                  <m:sSubPr>
                    <m:ctrlPr>
                      <w:rPr>
                        <w:rFonts w:hint="eastAsia" w:ascii="Cambria Math" w:hAnsi="Cambria Math" w:cs="宋体"/>
                        <w:bCs/>
                        <w:i/>
                      </w:rPr>
                    </m:ctrlPr>
                  </m:sSubPr>
                  <m:e>
                    <m:r>
                      <m:rPr/>
                      <w:rPr>
                        <w:rFonts w:hint="eastAsia" w:ascii="Cambria Math" w:hAnsi="Cambria Math" w:cs="宋体"/>
                      </w:rPr>
                      <m:t>S</m:t>
                    </m:r>
                    <m:ctrlPr>
                      <w:rPr>
                        <w:rFonts w:hint="eastAsia" w:ascii="Cambria Math" w:hAnsi="Cambria Math" w:cs="宋体"/>
                        <w:bCs/>
                        <w:i/>
                      </w:rPr>
                    </m:ctrlPr>
                  </m:e>
                  <m:sub>
                    <m:r>
                      <m:rPr/>
                      <w:rPr>
                        <w:rFonts w:hint="eastAsia" w:ascii="Cambria Math" w:hAnsi="Cambria Math" w:cs="宋体"/>
                      </w:rPr>
                      <m:t>2</m:t>
                    </m:r>
                    <m:ctrlPr>
                      <w:rPr>
                        <w:rFonts w:hint="eastAsia" w:ascii="Cambria Math" w:hAnsi="Cambria Math" w:cs="宋体"/>
                        <w:bCs/>
                        <w:i/>
                      </w:rPr>
                    </m:ctrlPr>
                  </m:sub>
                </m:sSub>
                <m:ctrlPr>
                  <w:rPr>
                    <w:rFonts w:hint="eastAsia" w:ascii="Cambria Math" w:hAnsi="Cambria Math" w:cs="宋体"/>
                    <w:bCs/>
                    <w:i/>
                  </w:rPr>
                </m:ctrlPr>
              </m:e>
            </m:d>
            <m:ctrlPr>
              <w:rPr>
                <w:rFonts w:hint="eastAsia" w:ascii="Cambria Math" w:hAnsi="Cambria Math" w:cs="宋体"/>
                <w:bCs/>
                <w:i/>
              </w:rPr>
            </m:ctrlPr>
          </m:den>
        </m:f>
        <m:func>
          <m:funcPr>
            <m:ctrlPr>
              <w:rPr>
                <w:rFonts w:hint="eastAsia" w:ascii="Cambria Math" w:hAnsi="Cambria Math" w:cs="宋体"/>
                <w:bCs/>
                <w:i/>
              </w:rPr>
            </m:ctrlPr>
          </m:funcPr>
          <m:fName>
            <m:r>
              <m:rPr>
                <m:sty m:val="p"/>
              </m:rPr>
              <w:rPr>
                <w:rFonts w:hint="eastAsia" w:ascii="Cambria Math" w:hAnsi="Cambria Math" w:cs="宋体"/>
              </w:rPr>
              <m:t>ln</m:t>
            </m:r>
            <m:ctrlPr>
              <w:rPr>
                <w:rFonts w:hint="eastAsia" w:ascii="Cambria Math" w:hAnsi="Cambria Math" w:cs="宋体"/>
                <w:bCs/>
                <w:i/>
              </w:rPr>
            </m:ctrlPr>
          </m:fName>
          <m:e>
            <m:f>
              <m:fPr>
                <m:ctrlPr>
                  <w:rPr>
                    <w:rFonts w:hint="eastAsia" w:ascii="Cambria Math" w:hAnsi="Cambria Math" w:cs="宋体"/>
                    <w:bCs/>
                    <w:i/>
                  </w:rPr>
                </m:ctrlPr>
              </m:fPr>
              <m:num>
                <m:sSub>
                  <m:sSubPr>
                    <m:ctrlPr>
                      <w:rPr>
                        <w:rFonts w:hint="eastAsia" w:ascii="Cambria Math" w:hAnsi="Cambria Math" w:cs="宋体"/>
                        <w:bCs/>
                        <w:i/>
                      </w:rPr>
                    </m:ctrlPr>
                  </m:sSubPr>
                  <m:e>
                    <m:r>
                      <m:rPr/>
                      <w:rPr>
                        <w:rFonts w:hint="eastAsia" w:ascii="Cambria Math" w:hAnsi="Cambria Math" w:cs="宋体"/>
                      </w:rPr>
                      <m:t>r</m:t>
                    </m:r>
                    <m:ctrlPr>
                      <w:rPr>
                        <w:rFonts w:hint="eastAsia" w:ascii="Cambria Math" w:hAnsi="Cambria Math" w:cs="宋体"/>
                        <w:bCs/>
                        <w:i/>
                      </w:rPr>
                    </m:ctrlPr>
                  </m:e>
                  <m:sub>
                    <m:r>
                      <m:rPr/>
                      <w:rPr>
                        <w:rFonts w:hint="eastAsia" w:ascii="Cambria Math" w:hAnsi="Cambria Math" w:cs="宋体"/>
                      </w:rPr>
                      <m:t>2</m:t>
                    </m:r>
                    <m:ctrlPr>
                      <w:rPr>
                        <w:rFonts w:hint="eastAsia" w:ascii="Cambria Math" w:hAnsi="Cambria Math" w:cs="宋体"/>
                        <w:bCs/>
                        <w:i/>
                      </w:rPr>
                    </m:ctrlPr>
                  </m:sub>
                </m:sSub>
                <m:ctrlPr>
                  <w:rPr>
                    <w:rFonts w:hint="eastAsia" w:ascii="Cambria Math" w:hAnsi="Cambria Math" w:cs="宋体"/>
                    <w:bCs/>
                    <w:i/>
                  </w:rPr>
                </m:ctrlPr>
              </m:num>
              <m:den>
                <m:sSub>
                  <m:sSubPr>
                    <m:ctrlPr>
                      <w:rPr>
                        <w:rFonts w:hint="eastAsia" w:ascii="Cambria Math" w:hAnsi="Cambria Math" w:cs="宋体"/>
                        <w:bCs/>
                        <w:i/>
                      </w:rPr>
                    </m:ctrlPr>
                  </m:sSubPr>
                  <m:e>
                    <m:r>
                      <m:rPr/>
                      <w:rPr>
                        <w:rFonts w:hint="eastAsia" w:ascii="Cambria Math" w:hAnsi="Cambria Math" w:cs="宋体"/>
                      </w:rPr>
                      <m:t>r</m:t>
                    </m:r>
                    <m:ctrlPr>
                      <w:rPr>
                        <w:rFonts w:hint="eastAsia" w:ascii="Cambria Math" w:hAnsi="Cambria Math" w:cs="宋体"/>
                        <w:bCs/>
                        <w:i/>
                      </w:rPr>
                    </m:ctrlPr>
                  </m:e>
                  <m:sub>
                    <m:r>
                      <m:rPr/>
                      <w:rPr>
                        <w:rFonts w:hint="eastAsia" w:ascii="Cambria Math" w:hAnsi="Cambria Math" w:cs="宋体"/>
                      </w:rPr>
                      <m:t>1</m:t>
                    </m:r>
                    <m:ctrlPr>
                      <w:rPr>
                        <w:rFonts w:hint="eastAsia" w:ascii="Cambria Math" w:hAnsi="Cambria Math" w:cs="宋体"/>
                        <w:bCs/>
                        <w:i/>
                      </w:rPr>
                    </m:ctrlPr>
                  </m:sub>
                </m:sSub>
                <m:ctrlPr>
                  <w:rPr>
                    <w:rFonts w:hint="eastAsia" w:ascii="Cambria Math" w:hAnsi="Cambria Math" w:cs="宋体"/>
                    <w:bCs/>
                    <w:i/>
                  </w:rPr>
                </m:ctrlPr>
                <w:bookmarkEnd w:id="550"/>
              </m:den>
            </m:f>
            <m:ctrlPr>
              <w:rPr>
                <w:rFonts w:hint="eastAsia" w:ascii="Cambria Math" w:hAnsi="Cambria Math" w:cs="宋体"/>
                <w:bCs/>
                <w:i/>
              </w:rPr>
            </m:ctrlPr>
          </m:e>
        </m:func>
      </m:oMath>
      <w:r>
        <w:rPr>
          <w:rFonts w:hint="eastAsia" w:ascii="MS Gothic" w:hAnsi="MS Gothic" w:eastAsia="MS Gothic" w:cs="MS Gothic"/>
          <w:bCs/>
          <w:i/>
        </w:rPr>
        <w:t>  </w:t>
      </w:r>
      <w:r>
        <w:rPr>
          <w:rFonts w:hint="eastAsia" w:ascii="宋体" w:hAnsi="宋体" w:cs="宋体"/>
          <w:bCs/>
        </w:rPr>
        <w:t xml:space="preserve">                </w:t>
      </w:r>
      <w:r>
        <w:rPr>
          <w:rFonts w:ascii="宋体" w:hAnsi="宋体" w:cs="宋体"/>
          <w:bCs/>
        </w:rPr>
        <w:t xml:space="preserve">           </w:t>
      </w:r>
      <w:r>
        <w:rPr>
          <w:rFonts w:hint="eastAsia" w:ascii="宋体" w:hAnsi="宋体" w:cs="宋体"/>
          <w:bCs/>
        </w:rPr>
        <w:t xml:space="preserve">                     （F-2）</w:t>
      </w:r>
    </w:p>
    <w:p w14:paraId="12EC05DB">
      <w:pPr>
        <w:spacing w:line="240" w:lineRule="auto"/>
        <w:ind w:left="630" w:leftChars="300"/>
        <w:jc w:val="left"/>
        <w:rPr>
          <w:rFonts w:hint="eastAsia" w:ascii="宋体" w:hAnsi="宋体" w:cs="宋体"/>
          <w:bCs/>
        </w:rPr>
      </w:pPr>
      <w:r>
        <w:rPr>
          <w:rFonts w:hint="eastAsia" w:ascii="宋体" w:hAnsi="宋体" w:cs="宋体"/>
          <w:bCs/>
        </w:rPr>
        <w:t>式中：</w:t>
      </w:r>
    </w:p>
    <w:p w14:paraId="19BB035F">
      <w:pPr>
        <w:spacing w:line="240" w:lineRule="auto"/>
        <w:ind w:left="630" w:leftChars="300"/>
        <w:jc w:val="left"/>
        <w:rPr>
          <w:rFonts w:hint="eastAsia" w:ascii="宋体" w:hAnsi="宋体" w:cs="宋体"/>
          <w:bCs/>
        </w:rPr>
      </w:pPr>
      <w:r>
        <w:rPr>
          <w:rFonts w:hint="eastAsia" w:ascii="宋体" w:hAnsi="宋体" w:cs="宋体"/>
          <w:i/>
          <w:iCs/>
        </w:rPr>
        <w:t>S</w:t>
      </w:r>
      <w:r>
        <w:rPr>
          <w:rFonts w:hint="eastAsia" w:ascii="宋体" w:hAnsi="宋体" w:cs="宋体"/>
          <w:i/>
          <w:iCs/>
          <w:vertAlign w:val="subscript"/>
        </w:rPr>
        <w:t>1</w:t>
      </w:r>
      <w:r>
        <w:rPr>
          <w:rFonts w:hint="eastAsia" w:ascii="宋体" w:hAnsi="宋体" w:cs="宋体"/>
        </w:rPr>
        <w:t>——</w:t>
      </w:r>
      <w:r>
        <w:rPr>
          <w:rFonts w:hint="eastAsia" w:ascii="宋体" w:hAnsi="宋体" w:cs="宋体"/>
          <w:bCs/>
        </w:rPr>
        <w:t>距离回灌管井近处r</w:t>
      </w:r>
      <w:r>
        <w:rPr>
          <w:rFonts w:hint="eastAsia" w:ascii="宋体" w:hAnsi="宋体" w:cs="宋体"/>
          <w:bCs/>
          <w:vertAlign w:val="subscript"/>
        </w:rPr>
        <w:t>1</w:t>
      </w:r>
      <w:r>
        <w:rPr>
          <w:rFonts w:hint="eastAsia" w:ascii="宋体" w:hAnsi="宋体" w:cs="宋体"/>
          <w:bCs/>
        </w:rPr>
        <w:t>观测井的水位上升值，m；</w:t>
      </w:r>
    </w:p>
    <w:p w14:paraId="6635244B">
      <w:pPr>
        <w:spacing w:line="240" w:lineRule="auto"/>
        <w:ind w:left="630" w:leftChars="300"/>
        <w:jc w:val="left"/>
        <w:rPr>
          <w:rFonts w:hint="eastAsia" w:ascii="宋体" w:hAnsi="宋体" w:cs="宋体"/>
          <w:bCs/>
        </w:rPr>
      </w:pPr>
      <w:r>
        <w:rPr>
          <w:rFonts w:hint="eastAsia" w:ascii="宋体" w:hAnsi="宋体" w:cs="宋体"/>
          <w:i/>
          <w:iCs/>
        </w:rPr>
        <w:t>S</w:t>
      </w:r>
      <w:r>
        <w:rPr>
          <w:rFonts w:hint="eastAsia" w:ascii="宋体" w:hAnsi="宋体" w:cs="宋体"/>
          <w:i/>
          <w:iCs/>
          <w:vertAlign w:val="subscript"/>
        </w:rPr>
        <w:t>2</w:t>
      </w:r>
      <w:r>
        <w:rPr>
          <w:rFonts w:hint="eastAsia" w:ascii="宋体" w:hAnsi="宋体" w:cs="宋体"/>
        </w:rPr>
        <w:t>——</w:t>
      </w:r>
      <w:r>
        <w:rPr>
          <w:rFonts w:hint="eastAsia" w:ascii="宋体" w:hAnsi="宋体" w:cs="宋体"/>
          <w:bCs/>
        </w:rPr>
        <w:t>距离回灌管井远处r</w:t>
      </w:r>
      <w:r>
        <w:rPr>
          <w:rFonts w:hint="eastAsia" w:ascii="宋体" w:hAnsi="宋体" w:cs="宋体"/>
          <w:bCs/>
          <w:vertAlign w:val="subscript"/>
        </w:rPr>
        <w:t>2</w:t>
      </w:r>
      <w:r>
        <w:rPr>
          <w:rFonts w:hint="eastAsia" w:ascii="宋体" w:hAnsi="宋体" w:cs="宋体"/>
          <w:bCs/>
        </w:rPr>
        <w:t>观测井的水位上升值，m；</w:t>
      </w:r>
    </w:p>
    <w:p w14:paraId="010C22E2">
      <w:pPr>
        <w:spacing w:line="240" w:lineRule="auto"/>
        <w:ind w:left="630" w:leftChars="300"/>
        <w:jc w:val="left"/>
        <w:rPr>
          <w:rFonts w:hint="eastAsia" w:ascii="宋体" w:hAnsi="宋体" w:cs="宋体"/>
          <w:bCs/>
        </w:rPr>
      </w:pPr>
      <w:r>
        <w:rPr>
          <w:rFonts w:hint="eastAsia" w:ascii="宋体" w:hAnsi="宋体" w:cs="宋体"/>
          <w:bCs/>
          <w:i/>
          <w:iCs/>
        </w:rPr>
        <w:t>R</w:t>
      </w:r>
      <w:r>
        <w:rPr>
          <w:rFonts w:hint="eastAsia" w:ascii="宋体" w:hAnsi="宋体" w:cs="宋体"/>
          <w:bCs/>
          <w:i/>
          <w:iCs/>
          <w:vertAlign w:val="superscript"/>
        </w:rPr>
        <w:t>*</w:t>
      </w:r>
      <w:r>
        <w:rPr>
          <w:rFonts w:hint="eastAsia" w:ascii="宋体" w:hAnsi="宋体" w:cs="宋体"/>
        </w:rPr>
        <w:t>——</w:t>
      </w:r>
      <w:r>
        <w:rPr>
          <w:rFonts w:hint="eastAsia" w:ascii="宋体" w:hAnsi="宋体" w:cs="宋体"/>
          <w:bCs/>
        </w:rPr>
        <w:t>回灌影响半径，m；</w:t>
      </w:r>
    </w:p>
    <w:p w14:paraId="7918B904">
      <w:pPr>
        <w:spacing w:line="240" w:lineRule="auto"/>
        <w:ind w:left="630" w:leftChars="300"/>
        <w:jc w:val="left"/>
        <w:rPr>
          <w:rFonts w:hint="eastAsia" w:ascii="宋体" w:hAnsi="宋体" w:cs="宋体"/>
          <w:bCs/>
        </w:rPr>
      </w:pPr>
      <w:r>
        <w:rPr>
          <w:rFonts w:hint="eastAsia" w:ascii="宋体" w:hAnsi="宋体" w:cs="宋体"/>
          <w:bCs/>
          <w:i/>
          <w:iCs/>
        </w:rPr>
        <w:t>M</w:t>
      </w:r>
      <w:r>
        <w:rPr>
          <w:rFonts w:hint="eastAsia" w:ascii="宋体" w:hAnsi="宋体" w:cs="宋体"/>
        </w:rPr>
        <w:t>——</w:t>
      </w:r>
      <w:r>
        <w:rPr>
          <w:rFonts w:hint="eastAsia" w:ascii="宋体" w:hAnsi="宋体" w:cs="宋体"/>
          <w:bCs/>
        </w:rPr>
        <w:t>含水层厚度，m；</w:t>
      </w:r>
    </w:p>
    <w:p w14:paraId="0463FA36">
      <w:pPr>
        <w:spacing w:line="240" w:lineRule="auto"/>
        <w:ind w:left="630" w:leftChars="300"/>
        <w:jc w:val="left"/>
        <w:rPr>
          <w:rFonts w:hint="eastAsia" w:ascii="宋体" w:hAnsi="宋体" w:cs="宋体"/>
          <w:bCs/>
        </w:rPr>
      </w:pPr>
      <m:oMath>
        <m:sSubSup>
          <m:sSubSupPr>
            <m:ctrlPr>
              <w:rPr>
                <w:rFonts w:hint="eastAsia" w:ascii="Cambria Math" w:hAnsi="Cambria Math" w:cs="宋体"/>
                <w:i/>
                <w:iCs/>
              </w:rPr>
            </m:ctrlPr>
          </m:sSubSupPr>
          <m:e>
            <m:r>
              <m:rPr/>
              <w:rPr>
                <w:rFonts w:hint="eastAsia" w:ascii="Cambria Math" w:hAnsi="Cambria Math" w:cs="宋体"/>
              </w:rPr>
              <m:t>Q</m:t>
            </m:r>
            <m:ctrlPr>
              <w:rPr>
                <w:rFonts w:hint="eastAsia" w:ascii="Cambria Math" w:hAnsi="Cambria Math" w:cs="宋体"/>
                <w:i/>
                <w:iCs/>
              </w:rPr>
            </m:ctrlPr>
          </m:e>
          <m:sub>
            <m:r>
              <m:rPr/>
              <w:rPr>
                <w:rFonts w:hint="eastAsia" w:ascii="MS Gothic" w:hAnsi="MS Gothic" w:eastAsia="MS Gothic" w:cs="MS Gothic"/>
              </w:rPr>
              <m:t>h</m:t>
            </m:r>
            <m:ctrlPr>
              <w:rPr>
                <w:rFonts w:hint="eastAsia" w:ascii="Cambria Math" w:hAnsi="Cambria Math" w:cs="宋体"/>
                <w:i/>
                <w:iCs/>
              </w:rPr>
            </m:ctrlPr>
          </m:sub>
          <m:sup>
            <m:r>
              <m:rPr/>
              <w:rPr>
                <w:rFonts w:hint="eastAsia" w:ascii="Cambria Math" w:hAnsi="Cambria Math" w:eastAsia="MS Gothic" w:cs="MS Gothic"/>
              </w:rPr>
              <m:t>∗</m:t>
            </m:r>
            <m:ctrlPr>
              <w:rPr>
                <w:rFonts w:hint="eastAsia" w:ascii="Cambria Math" w:hAnsi="Cambria Math" w:cs="宋体"/>
                <w:i/>
                <w:iCs/>
              </w:rPr>
            </m:ctrlPr>
          </m:sup>
        </m:sSubSup>
      </m:oMath>
      <w:r>
        <w:rPr>
          <w:rFonts w:hint="eastAsia" w:ascii="宋体" w:hAnsi="宋体" w:cs="宋体"/>
        </w:rPr>
        <w:t>——</w:t>
      </w:r>
      <w:r>
        <w:rPr>
          <w:rFonts w:hint="eastAsia" w:ascii="宋体" w:hAnsi="宋体" w:cs="宋体"/>
          <w:bCs/>
        </w:rPr>
        <w:t>达到稳定状态的回灌量，m</w:t>
      </w:r>
      <w:r>
        <w:rPr>
          <w:rFonts w:hint="eastAsia" w:ascii="宋体" w:hAnsi="宋体" w:cs="宋体"/>
          <w:bCs/>
          <w:vertAlign w:val="superscript"/>
        </w:rPr>
        <w:t>3</w:t>
      </w:r>
      <w:r>
        <w:rPr>
          <w:rFonts w:hint="eastAsia" w:ascii="宋体" w:hAnsi="宋体" w:cs="宋体"/>
          <w:bCs/>
        </w:rPr>
        <w:t>/d；</w:t>
      </w:r>
    </w:p>
    <w:p w14:paraId="076D1E85">
      <w:pPr>
        <w:spacing w:line="240" w:lineRule="auto"/>
        <w:ind w:left="630" w:leftChars="300"/>
        <w:jc w:val="left"/>
        <w:rPr>
          <w:rFonts w:hint="eastAsia" w:ascii="宋体" w:hAnsi="宋体" w:cs="宋体"/>
          <w:bCs/>
        </w:rPr>
      </w:pPr>
      <w:r>
        <w:rPr>
          <w:rFonts w:hint="eastAsia" w:ascii="宋体" w:hAnsi="宋体" w:cs="宋体"/>
          <w:bCs/>
          <w:i/>
          <w:iCs/>
        </w:rPr>
        <w:t>K</w:t>
      </w:r>
      <w:r>
        <w:rPr>
          <w:rFonts w:hint="eastAsia" w:ascii="宋体" w:hAnsi="宋体" w:cs="宋体"/>
          <w:bCs/>
          <w:i/>
          <w:iCs/>
          <w:vertAlign w:val="superscript"/>
        </w:rPr>
        <w:t>*</w:t>
      </w:r>
      <w:r>
        <w:rPr>
          <w:rFonts w:hint="eastAsia" w:ascii="宋体" w:hAnsi="宋体" w:cs="宋体"/>
        </w:rPr>
        <w:t>——</w:t>
      </w:r>
      <w:r>
        <w:rPr>
          <w:rFonts w:hint="eastAsia" w:ascii="宋体" w:hAnsi="宋体" w:cs="宋体"/>
          <w:bCs/>
        </w:rPr>
        <w:t>回灌渗透系数，m/d。</w:t>
      </w:r>
    </w:p>
    <w:p w14:paraId="5F116AE0">
      <w:pPr>
        <w:spacing w:line="240" w:lineRule="auto"/>
        <w:rPr>
          <w:rFonts w:hint="eastAsia" w:ascii="等线" w:hAnsi="等线"/>
        </w:rPr>
      </w:pPr>
      <w:r>
        <w:rPr>
          <w:rFonts w:hint="eastAsia"/>
        </w:rPr>
        <w:t>          </w:t>
      </w:r>
    </w:p>
    <w:p w14:paraId="5CE96237">
      <w:pPr>
        <w:spacing w:line="240" w:lineRule="auto"/>
        <w:rPr>
          <w:rFonts w:hint="eastAsia" w:ascii="黑体" w:hAnsi="黑体" w:eastAsia="黑体" w:cs="黑体"/>
          <w:szCs w:val="28"/>
        </w:rPr>
      </w:pPr>
      <w:r>
        <w:br w:type="page"/>
      </w:r>
    </w:p>
    <w:p w14:paraId="79691AE0">
      <w:pPr>
        <w:pStyle w:val="84"/>
        <w:numPr>
          <w:ilvl w:val="0"/>
          <w:numId w:val="0"/>
        </w:numPr>
        <w:spacing w:after="156"/>
      </w:pPr>
      <w:bookmarkStart w:id="551" w:name="_Toc27861"/>
      <w:r>
        <w:rPr>
          <w:spacing w:val="100"/>
        </w:rPr>
        <w:t>附录</w:t>
      </w:r>
      <w:r>
        <w:rPr>
          <w:rFonts w:hint="eastAsia"/>
          <w:spacing w:val="100"/>
        </w:rPr>
        <w:t>G</w:t>
      </w:r>
      <w:r>
        <w:br w:type="textWrapping"/>
      </w:r>
      <w:r>
        <w:rPr>
          <w:rFonts w:hint="eastAsia"/>
        </w:rPr>
        <w:t>（资料性）</w:t>
      </w:r>
      <w:r>
        <w:rPr>
          <w:rFonts w:hint="eastAsia"/>
        </w:rPr>
        <w:br w:type="textWrapping"/>
      </w:r>
      <w:r>
        <w:rPr>
          <w:rFonts w:hint="eastAsia"/>
        </w:rPr>
        <w:t>湖北省地方标准实施信息及意见反馈表</w:t>
      </w:r>
    </w:p>
    <w:p w14:paraId="15A57097">
      <w:pPr>
        <w:pStyle w:val="64"/>
        <w:ind w:firstLine="420"/>
      </w:pPr>
      <w:r>
        <w:rPr>
          <w:rFonts w:hint="eastAsia"/>
        </w:rPr>
        <w:t>湖北省地方标准实施信息及意见反馈表如表G.1所示。</w:t>
      </w:r>
    </w:p>
    <w:p w14:paraId="24D63E9E">
      <w:pPr>
        <w:pStyle w:val="85"/>
        <w:numPr>
          <w:ilvl w:val="0"/>
          <w:numId w:val="0"/>
        </w:numPr>
        <w:spacing w:before="156" w:after="156"/>
      </w:pPr>
      <w:r>
        <w:rPr>
          <w:rFonts w:hint="eastAsia"/>
        </w:rPr>
        <w:t>表G.1 湖北省地方标准实施信息及意见反馈表</w:t>
      </w:r>
    </w:p>
    <w:tbl>
      <w:tblPr>
        <w:tblStyle w:val="272"/>
        <w:tblW w:w="9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823"/>
        <w:gridCol w:w="2530"/>
        <w:gridCol w:w="3109"/>
        <w:gridCol w:w="1384"/>
      </w:tblGrid>
      <w:tr w14:paraId="63AEA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034" w:type="dxa"/>
            <w:gridSpan w:val="2"/>
            <w:tcBorders>
              <w:top w:val="single" w:color="auto" w:sz="12" w:space="0"/>
              <w:left w:val="single" w:color="auto" w:sz="12" w:space="0"/>
              <w:bottom w:val="single" w:color="000000" w:sz="2" w:space="0"/>
              <w:right w:val="single" w:color="auto" w:sz="4" w:space="0"/>
            </w:tcBorders>
            <w:vAlign w:val="center"/>
          </w:tcPr>
          <w:p w14:paraId="586D3E92">
            <w:pPr>
              <w:widowControl/>
              <w:kinsoku w:val="0"/>
              <w:autoSpaceDE w:val="0"/>
              <w:autoSpaceDN w:val="0"/>
              <w:snapToGrid w:val="0"/>
              <w:ind w:left="115"/>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9"/>
                <w:kern w:val="0"/>
                <w:sz w:val="18"/>
                <w:szCs w:val="18"/>
              </w:rPr>
              <w:t>标准名称及编号</w:t>
            </w:r>
          </w:p>
        </w:tc>
        <w:tc>
          <w:tcPr>
            <w:tcW w:w="7023" w:type="dxa"/>
            <w:gridSpan w:val="3"/>
            <w:tcBorders>
              <w:top w:val="single" w:color="auto" w:sz="12" w:space="0"/>
              <w:left w:val="single" w:color="auto" w:sz="4" w:space="0"/>
              <w:bottom w:val="single" w:color="000000" w:sz="2" w:space="0"/>
              <w:right w:val="single" w:color="auto" w:sz="12" w:space="0"/>
            </w:tcBorders>
            <w:vAlign w:val="center"/>
          </w:tcPr>
          <w:p w14:paraId="68246AEB">
            <w:pPr>
              <w:jc w:val="left"/>
              <w:rPr>
                <w:rFonts w:ascii="宋体" w:hAnsi="宋体" w:eastAsia="Times New Roman" w:cs="Arial"/>
                <w:kern w:val="0"/>
                <w:sz w:val="18"/>
                <w:szCs w:val="18"/>
              </w:rPr>
            </w:pPr>
          </w:p>
        </w:tc>
      </w:tr>
      <w:tr w14:paraId="0F214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jc w:val="center"/>
        </w:trPr>
        <w:tc>
          <w:tcPr>
            <w:tcW w:w="1211" w:type="dxa"/>
            <w:vMerge w:val="restart"/>
            <w:tcBorders>
              <w:top w:val="single" w:color="auto" w:sz="12" w:space="0"/>
              <w:left w:val="single" w:color="auto" w:sz="12" w:space="0"/>
              <w:bottom w:val="single" w:color="auto" w:sz="4" w:space="0"/>
              <w:right w:val="single" w:color="auto" w:sz="4" w:space="0"/>
            </w:tcBorders>
            <w:vAlign w:val="center"/>
          </w:tcPr>
          <w:p w14:paraId="422A2744">
            <w:pPr>
              <w:widowControl/>
              <w:kinsoku w:val="0"/>
              <w:autoSpaceDE w:val="0"/>
              <w:autoSpaceDN w:val="0"/>
              <w:snapToGrid w:val="0"/>
              <w:ind w:left="147"/>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sz w:val="18"/>
                <w:szCs w:val="18"/>
              </w:rPr>
              <w:t>总体评价</w:t>
            </w:r>
          </w:p>
        </w:tc>
        <w:tc>
          <w:tcPr>
            <w:tcW w:w="823" w:type="dxa"/>
            <w:tcBorders>
              <w:top w:val="single" w:color="auto" w:sz="12" w:space="0"/>
              <w:left w:val="single" w:color="auto" w:sz="4" w:space="0"/>
              <w:bottom w:val="single" w:color="auto" w:sz="4" w:space="0"/>
              <w:right w:val="single" w:color="auto" w:sz="4" w:space="0"/>
            </w:tcBorders>
            <w:vAlign w:val="center"/>
          </w:tcPr>
          <w:p w14:paraId="31BF436D">
            <w:pPr>
              <w:widowControl/>
              <w:kinsoku w:val="0"/>
              <w:autoSpaceDE w:val="0"/>
              <w:autoSpaceDN w:val="0"/>
              <w:snapToGrid w:val="0"/>
              <w:ind w:left="229"/>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5"/>
                <w:kern w:val="0"/>
                <w:sz w:val="18"/>
                <w:szCs w:val="18"/>
              </w:rPr>
              <w:t>适用性</w:t>
            </w:r>
          </w:p>
        </w:tc>
        <w:tc>
          <w:tcPr>
            <w:tcW w:w="5639" w:type="dxa"/>
            <w:gridSpan w:val="2"/>
            <w:tcBorders>
              <w:top w:val="single" w:color="auto" w:sz="12" w:space="0"/>
              <w:left w:val="single" w:color="auto" w:sz="4" w:space="0"/>
              <w:bottom w:val="single" w:color="auto" w:sz="4" w:space="0"/>
              <w:right w:val="single" w:color="auto" w:sz="4" w:space="0"/>
            </w:tcBorders>
            <w:vAlign w:val="center"/>
          </w:tcPr>
          <w:p w14:paraId="0C8D51EC">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该标准与当前所在地的产业或社会发展水平是否相匹配？</w:t>
            </w:r>
          </w:p>
        </w:tc>
        <w:tc>
          <w:tcPr>
            <w:tcW w:w="1384" w:type="dxa"/>
            <w:tcBorders>
              <w:top w:val="single" w:color="auto" w:sz="12" w:space="0"/>
              <w:left w:val="single" w:color="auto" w:sz="4" w:space="0"/>
              <w:bottom w:val="single" w:color="auto" w:sz="4" w:space="0"/>
              <w:right w:val="single" w:color="auto" w:sz="12" w:space="0"/>
            </w:tcBorders>
            <w:vAlign w:val="center"/>
          </w:tcPr>
          <w:p w14:paraId="38807193">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953040904" name="图片 15" descr="C:\Users\ADMINI~1.USE\AppData\Local\Temp\ksohtml119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40904" name="图片 15" descr="C:\Users\ADMINI~1.USE\AppData\Local\Temp\ksohtml11916\wps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7475" cy="117475"/>
                  <wp:effectExtent l="0" t="0" r="0" b="0"/>
                  <wp:docPr id="1013877055" name="图片 14" descr="C:\Users\ADMINI~1.USE\AppData\Local\Temp\ksohtml119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7055" name="图片 14" descr="C:\Users\ADMINI~1.USE\AppData\Local\Temp\ksohtml11916\wps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44C5D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14:paraId="086CFE1D">
            <w:pPr>
              <w:widowControl/>
              <w:jc w:val="left"/>
              <w:rPr>
                <w:rFonts w:ascii="宋体" w:hAnsi="宋体" w:eastAsia="Times New Roman"/>
                <w:color w:val="000000"/>
                <w:kern w:val="0"/>
                <w:sz w:val="18"/>
                <w:szCs w:val="18"/>
              </w:rPr>
            </w:pPr>
          </w:p>
        </w:tc>
        <w:tc>
          <w:tcPr>
            <w:tcW w:w="823" w:type="dxa"/>
            <w:tcBorders>
              <w:top w:val="single" w:color="auto" w:sz="4" w:space="0"/>
              <w:left w:val="single" w:color="auto" w:sz="4" w:space="0"/>
              <w:bottom w:val="single" w:color="auto" w:sz="4" w:space="0"/>
              <w:right w:val="single" w:color="auto" w:sz="4" w:space="0"/>
            </w:tcBorders>
            <w:vAlign w:val="center"/>
          </w:tcPr>
          <w:p w14:paraId="42C70862">
            <w:pPr>
              <w:widowControl/>
              <w:kinsoku w:val="0"/>
              <w:autoSpaceDE w:val="0"/>
              <w:autoSpaceDN w:val="0"/>
              <w:snapToGrid w:val="0"/>
              <w:ind w:left="229"/>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5"/>
                <w:kern w:val="0"/>
                <w:sz w:val="18"/>
                <w:szCs w:val="18"/>
              </w:rPr>
              <w:t>协调性</w:t>
            </w:r>
          </w:p>
        </w:tc>
        <w:tc>
          <w:tcPr>
            <w:tcW w:w="5639" w:type="dxa"/>
            <w:gridSpan w:val="2"/>
            <w:tcBorders>
              <w:top w:val="single" w:color="auto" w:sz="4" w:space="0"/>
              <w:left w:val="single" w:color="auto" w:sz="4" w:space="0"/>
              <w:bottom w:val="single" w:color="auto" w:sz="4" w:space="0"/>
              <w:right w:val="single" w:color="auto" w:sz="4" w:space="0"/>
            </w:tcBorders>
            <w:vAlign w:val="center"/>
          </w:tcPr>
          <w:p w14:paraId="7390FB83">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该标准的特色要求与其他强制性标准的主要技术指标、相关法律法规、部门规章或产业政策是否</w:t>
            </w:r>
            <w:r>
              <w:rPr>
                <w:rFonts w:hint="eastAsia" w:ascii="宋体" w:hAnsi="宋体" w:eastAsia="Times New Roman"/>
                <w:color w:val="000000"/>
                <w:spacing w:val="2"/>
                <w:kern w:val="0"/>
                <w:sz w:val="18"/>
                <w:szCs w:val="18"/>
              </w:rPr>
              <w:t>协调？</w:t>
            </w:r>
          </w:p>
        </w:tc>
        <w:tc>
          <w:tcPr>
            <w:tcW w:w="1384" w:type="dxa"/>
            <w:tcBorders>
              <w:top w:val="single" w:color="auto" w:sz="4" w:space="0"/>
              <w:left w:val="single" w:color="auto" w:sz="4" w:space="0"/>
              <w:bottom w:val="single" w:color="auto" w:sz="4" w:space="0"/>
              <w:right w:val="single" w:color="auto" w:sz="12" w:space="0"/>
            </w:tcBorders>
            <w:vAlign w:val="center"/>
          </w:tcPr>
          <w:p w14:paraId="5F691C45">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1927229441" name="图片 13" descr="C:\Users\ADMINI~1.USE\AppData\Local\Temp\ksohtml119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29441" name="图片 13" descr="C:\Users\ADMINI~1.USE\AppData\Local\Temp\ksohtml11916\wps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7475" cy="117475"/>
                  <wp:effectExtent l="0" t="0" r="0" b="0"/>
                  <wp:docPr id="356156638" name="图片 12" descr="C:\Users\ADMINI~1.USE\AppData\Local\Temp\ksohtml119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6638" name="图片 12" descr="C:\Users\ADMINI~1.USE\AppData\Local\Temp\ksohtml11916\wps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6C62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14:paraId="4CD2D014">
            <w:pPr>
              <w:widowControl/>
              <w:jc w:val="left"/>
              <w:rPr>
                <w:rFonts w:ascii="宋体" w:hAnsi="宋体" w:eastAsia="Times New Roman"/>
                <w:color w:val="000000"/>
                <w:kern w:val="0"/>
                <w:sz w:val="18"/>
                <w:szCs w:val="18"/>
              </w:rPr>
            </w:pPr>
          </w:p>
        </w:tc>
        <w:tc>
          <w:tcPr>
            <w:tcW w:w="823" w:type="dxa"/>
            <w:tcBorders>
              <w:top w:val="single" w:color="auto" w:sz="4" w:space="0"/>
              <w:left w:val="single" w:color="auto" w:sz="4" w:space="0"/>
              <w:bottom w:val="single" w:color="auto" w:sz="4" w:space="0"/>
              <w:right w:val="single" w:color="auto" w:sz="4" w:space="0"/>
            </w:tcBorders>
            <w:vAlign w:val="center"/>
          </w:tcPr>
          <w:p w14:paraId="3559BCE2">
            <w:pPr>
              <w:widowControl/>
              <w:kinsoku w:val="0"/>
              <w:autoSpaceDE w:val="0"/>
              <w:autoSpaceDN w:val="0"/>
              <w:snapToGrid w:val="0"/>
              <w:ind w:left="35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position w:val="12"/>
                <w:sz w:val="18"/>
                <w:szCs w:val="18"/>
              </w:rPr>
              <w:t>执行</w:t>
            </w:r>
          </w:p>
          <w:p w14:paraId="38AE5F23">
            <w:pPr>
              <w:widowControl/>
              <w:kinsoku w:val="0"/>
              <w:autoSpaceDE w:val="0"/>
              <w:autoSpaceDN w:val="0"/>
              <w:snapToGrid w:val="0"/>
              <w:ind w:left="355"/>
              <w:jc w:val="left"/>
              <w:textAlignment w:val="baseline"/>
              <w:rPr>
                <w:rFonts w:ascii="宋体" w:hAnsi="宋体" w:eastAsia="Times New Roman"/>
                <w:color w:val="000000"/>
                <w:kern w:val="0"/>
                <w:sz w:val="18"/>
                <w:szCs w:val="18"/>
              </w:rPr>
            </w:pPr>
            <w:r>
              <w:rPr>
                <w:rFonts w:hint="eastAsia" w:ascii="宋体" w:hAnsi="宋体" w:eastAsia="Times New Roman"/>
                <w:color w:val="000000"/>
                <w:kern w:val="0"/>
                <w:sz w:val="18"/>
                <w:szCs w:val="18"/>
              </w:rPr>
              <w:t>情况</w:t>
            </w:r>
          </w:p>
        </w:tc>
        <w:tc>
          <w:tcPr>
            <w:tcW w:w="5639" w:type="dxa"/>
            <w:gridSpan w:val="2"/>
            <w:tcBorders>
              <w:top w:val="single" w:color="auto" w:sz="4" w:space="0"/>
              <w:left w:val="single" w:color="auto" w:sz="4" w:space="0"/>
              <w:bottom w:val="single" w:color="auto" w:sz="4" w:space="0"/>
              <w:right w:val="single" w:color="auto" w:sz="4" w:space="0"/>
            </w:tcBorders>
            <w:vAlign w:val="center"/>
          </w:tcPr>
          <w:p w14:paraId="54BFEA36">
            <w:pPr>
              <w:widowControl/>
              <w:kinsoku w:val="0"/>
              <w:autoSpaceDE w:val="0"/>
              <w:autoSpaceDN w:val="0"/>
              <w:snapToGrid w:val="0"/>
              <w:ind w:left="116" w:right="103"/>
              <w:jc w:val="left"/>
              <w:textAlignment w:val="baseline"/>
              <w:rPr>
                <w:rFonts w:ascii="宋体" w:hAnsi="宋体" w:eastAsia="Times New Roman"/>
                <w:color w:val="000000"/>
                <w:spacing w:val="11"/>
                <w:kern w:val="0"/>
                <w:sz w:val="18"/>
                <w:szCs w:val="18"/>
              </w:rPr>
            </w:pPr>
            <w:r>
              <w:rPr>
                <w:rFonts w:hint="eastAsia" w:ascii="宋体" w:hAnsi="宋体" w:eastAsia="Times New Roman"/>
                <w:color w:val="000000"/>
                <w:spacing w:val="11"/>
                <w:kern w:val="0"/>
                <w:sz w:val="18"/>
                <w:szCs w:val="18"/>
              </w:rPr>
              <w:t>标准执行单位或人员是否按照标准要求组织开展</w:t>
            </w:r>
          </w:p>
          <w:p w14:paraId="54E8E024">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相关工作？</w:t>
            </w:r>
          </w:p>
        </w:tc>
        <w:tc>
          <w:tcPr>
            <w:tcW w:w="1384" w:type="dxa"/>
            <w:tcBorders>
              <w:top w:val="single" w:color="auto" w:sz="4" w:space="0"/>
              <w:left w:val="single" w:color="auto" w:sz="4" w:space="0"/>
              <w:bottom w:val="single" w:color="auto" w:sz="4" w:space="0"/>
              <w:right w:val="single" w:color="auto" w:sz="12" w:space="0"/>
            </w:tcBorders>
            <w:vAlign w:val="center"/>
          </w:tcPr>
          <w:p w14:paraId="5E4AF30F">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1733117515" name="图片 11" descr="C:\Users\ADMINI~1.USE\AppData\Local\Temp\ksohtml119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7515" name="图片 11" descr="C:\Users\ADMINI~1.USE\AppData\Local\Temp\ksohtml11916\wps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7475" cy="117475"/>
                  <wp:effectExtent l="0" t="0" r="0" b="0"/>
                  <wp:docPr id="228000882" name="图片 10" descr="C:\Users\ADMINI~1.USE\AppData\Local\Temp\ksohtml119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00882" name="图片 10" descr="C:\Users\ADMINI~1.USE\AppData\Local\Temp\ksohtml11916\wps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781D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14:paraId="1AE09D6F">
            <w:pPr>
              <w:widowControl/>
              <w:kinsoku w:val="0"/>
              <w:autoSpaceDE w:val="0"/>
              <w:autoSpaceDN w:val="0"/>
              <w:snapToGrid w:val="0"/>
              <w:ind w:left="14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sz w:val="18"/>
                <w:szCs w:val="18"/>
              </w:rPr>
              <w:t>实施信息</w:t>
            </w:r>
          </w:p>
        </w:tc>
        <w:tc>
          <w:tcPr>
            <w:tcW w:w="6462" w:type="dxa"/>
            <w:gridSpan w:val="3"/>
            <w:tcBorders>
              <w:top w:val="single" w:color="auto" w:sz="4" w:space="0"/>
              <w:left w:val="single" w:color="auto" w:sz="4" w:space="0"/>
              <w:bottom w:val="single" w:color="auto" w:sz="4" w:space="0"/>
              <w:right w:val="single" w:color="auto" w:sz="4" w:space="0"/>
            </w:tcBorders>
            <w:vAlign w:val="center"/>
          </w:tcPr>
          <w:p w14:paraId="0D3EE2BC">
            <w:pPr>
              <w:widowControl/>
              <w:kinsoku w:val="0"/>
              <w:autoSpaceDE w:val="0"/>
              <w:autoSpaceDN w:val="0"/>
              <w:snapToGrid w:val="0"/>
              <w:ind w:left="11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标准实施过程中是否存在阻力和障碍？</w:t>
            </w:r>
          </w:p>
        </w:tc>
        <w:tc>
          <w:tcPr>
            <w:tcW w:w="1384" w:type="dxa"/>
            <w:tcBorders>
              <w:top w:val="single" w:color="auto" w:sz="4" w:space="0"/>
              <w:left w:val="single" w:color="auto" w:sz="4" w:space="0"/>
              <w:bottom w:val="single" w:color="auto" w:sz="4" w:space="0"/>
              <w:right w:val="single" w:color="auto" w:sz="12" w:space="0"/>
            </w:tcBorders>
            <w:vAlign w:val="center"/>
          </w:tcPr>
          <w:p w14:paraId="1AF1D42F">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964879231" name="图片 9" descr="C:\Users\ADMINI~1.USE\AppData\Local\Temp\ksohtml119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79231" name="图片 9" descr="C:\Users\ADMINI~1.USE\AppData\Local\Temp\ksohtml11916\wps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7475" cy="117475"/>
                  <wp:effectExtent l="0" t="0" r="0" b="0"/>
                  <wp:docPr id="1750569480" name="图片 8" descr="C:\Users\ADMINI~1.USE\AppData\Local\Temp\ksohtml119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69480" name="图片 8" descr="C:\Users\ADMINI~1.USE\AppData\Local\Temp\ksohtml11916\wps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1449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14:paraId="28C15875">
            <w:pPr>
              <w:widowControl/>
              <w:jc w:val="left"/>
              <w:rPr>
                <w:rFonts w:ascii="宋体" w:hAnsi="宋体" w:eastAsia="Times New Roman"/>
                <w:color w:val="000000"/>
                <w:kern w:val="0"/>
                <w:sz w:val="18"/>
                <w:szCs w:val="18"/>
              </w:rPr>
            </w:pPr>
          </w:p>
        </w:tc>
        <w:tc>
          <w:tcPr>
            <w:tcW w:w="3353" w:type="dxa"/>
            <w:gridSpan w:val="2"/>
            <w:tcBorders>
              <w:top w:val="single" w:color="auto" w:sz="4" w:space="0"/>
              <w:left w:val="single" w:color="auto" w:sz="4" w:space="0"/>
              <w:bottom w:val="single" w:color="auto" w:sz="4" w:space="0"/>
              <w:right w:val="single" w:color="auto" w:sz="4" w:space="0"/>
            </w:tcBorders>
            <w:vAlign w:val="center"/>
          </w:tcPr>
          <w:p w14:paraId="199F542F">
            <w:pPr>
              <w:widowControl/>
              <w:kinsoku w:val="0"/>
              <w:autoSpaceDE w:val="0"/>
              <w:autoSpaceDN w:val="0"/>
              <w:snapToGrid w:val="0"/>
              <w:ind w:left="125"/>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实施过程中存在的主要问题</w:t>
            </w:r>
          </w:p>
        </w:tc>
        <w:tc>
          <w:tcPr>
            <w:tcW w:w="4493" w:type="dxa"/>
            <w:gridSpan w:val="2"/>
            <w:tcBorders>
              <w:top w:val="single" w:color="auto" w:sz="4" w:space="0"/>
              <w:left w:val="single" w:color="auto" w:sz="4" w:space="0"/>
              <w:bottom w:val="single" w:color="auto" w:sz="4" w:space="0"/>
              <w:right w:val="single" w:color="auto" w:sz="12" w:space="0"/>
            </w:tcBorders>
            <w:vAlign w:val="center"/>
          </w:tcPr>
          <w:p w14:paraId="6A9B7D86">
            <w:pPr>
              <w:jc w:val="left"/>
              <w:rPr>
                <w:rFonts w:ascii="宋体" w:hAnsi="宋体" w:eastAsia="Times New Roman" w:cs="Arial"/>
                <w:kern w:val="0"/>
                <w:sz w:val="18"/>
                <w:szCs w:val="18"/>
              </w:rPr>
            </w:pPr>
          </w:p>
        </w:tc>
      </w:tr>
      <w:tr w14:paraId="0F67C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jc w:val="center"/>
        </w:trPr>
        <w:tc>
          <w:tcPr>
            <w:tcW w:w="1211" w:type="dxa"/>
            <w:vMerge w:val="restart"/>
            <w:tcBorders>
              <w:top w:val="single" w:color="auto" w:sz="4" w:space="0"/>
              <w:left w:val="single" w:color="auto" w:sz="12" w:space="0"/>
              <w:bottom w:val="single" w:color="auto" w:sz="4" w:space="0"/>
              <w:right w:val="single" w:color="auto" w:sz="4" w:space="0"/>
            </w:tcBorders>
            <w:vAlign w:val="center"/>
          </w:tcPr>
          <w:p w14:paraId="11C4C99A">
            <w:pPr>
              <w:widowControl/>
              <w:kinsoku w:val="0"/>
              <w:autoSpaceDE w:val="0"/>
              <w:autoSpaceDN w:val="0"/>
              <w:snapToGrid w:val="0"/>
              <w:ind w:left="126"/>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修改意见</w:t>
            </w:r>
          </w:p>
        </w:tc>
        <w:tc>
          <w:tcPr>
            <w:tcW w:w="823" w:type="dxa"/>
            <w:tcBorders>
              <w:top w:val="single" w:color="auto" w:sz="4" w:space="0"/>
              <w:left w:val="single" w:color="auto" w:sz="4" w:space="0"/>
              <w:bottom w:val="single" w:color="auto" w:sz="4" w:space="0"/>
              <w:right w:val="single" w:color="auto" w:sz="4" w:space="0"/>
            </w:tcBorders>
            <w:vAlign w:val="center"/>
          </w:tcPr>
          <w:p w14:paraId="43A831B8">
            <w:pPr>
              <w:widowControl/>
              <w:kinsoku w:val="0"/>
              <w:autoSpaceDE w:val="0"/>
              <w:autoSpaceDN w:val="0"/>
              <w:snapToGrid w:val="0"/>
              <w:ind w:left="361"/>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position w:val="12"/>
                <w:sz w:val="18"/>
                <w:szCs w:val="18"/>
              </w:rPr>
              <w:t>总体</w:t>
            </w:r>
          </w:p>
          <w:p w14:paraId="33C265EF">
            <w:pPr>
              <w:widowControl/>
              <w:kinsoku w:val="0"/>
              <w:autoSpaceDE w:val="0"/>
              <w:autoSpaceDN w:val="0"/>
              <w:snapToGrid w:val="0"/>
              <w:ind w:left="361"/>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sz w:val="18"/>
                <w:szCs w:val="18"/>
              </w:rPr>
              <w:t>意见</w:t>
            </w:r>
          </w:p>
        </w:tc>
        <w:tc>
          <w:tcPr>
            <w:tcW w:w="7023" w:type="dxa"/>
            <w:gridSpan w:val="3"/>
            <w:tcBorders>
              <w:top w:val="single" w:color="auto" w:sz="4" w:space="0"/>
              <w:left w:val="single" w:color="auto" w:sz="4" w:space="0"/>
              <w:bottom w:val="single" w:color="auto" w:sz="4" w:space="0"/>
              <w:right w:val="single" w:color="auto" w:sz="12" w:space="0"/>
            </w:tcBorders>
            <w:vAlign w:val="center"/>
          </w:tcPr>
          <w:p w14:paraId="14AF891C">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1039592972" name="图片 7" descr="C:\Users\ADMINI~1.USE\AppData\Local\Temp\ksohtml119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92972" name="图片 7" descr="C:\Users\ADMINI~1.USE\AppData\Local\Temp\ksohtml11916\wps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 xml:space="preserve">适用    </w:t>
            </w:r>
            <w:r>
              <w:rPr>
                <w:rFonts w:ascii="宋体" w:hAnsi="宋体" w:eastAsia="Times New Roman"/>
                <w:color w:val="000000"/>
                <w:kern w:val="0"/>
                <w:sz w:val="18"/>
                <w:szCs w:val="18"/>
              </w:rPr>
              <w:drawing>
                <wp:inline distT="0" distB="0" distL="0" distR="0">
                  <wp:extent cx="117475" cy="117475"/>
                  <wp:effectExtent l="0" t="0" r="0" b="0"/>
                  <wp:docPr id="2009232945" name="图片 6" descr="C:\Users\ADMINI~1.USE\AppData\Local\Temp\ksohtml119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945" name="图片 6" descr="C:\Users\ADMINI~1.USE\AppData\Local\Temp\ksohtml11916\wps1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 xml:space="preserve">修改    </w:t>
            </w:r>
            <w:r>
              <w:rPr>
                <w:rFonts w:ascii="宋体" w:hAnsi="宋体" w:eastAsia="Times New Roman"/>
                <w:color w:val="000000"/>
                <w:kern w:val="0"/>
                <w:sz w:val="18"/>
                <w:szCs w:val="18"/>
              </w:rPr>
              <w:drawing>
                <wp:inline distT="0" distB="0" distL="0" distR="0">
                  <wp:extent cx="117475" cy="117475"/>
                  <wp:effectExtent l="0" t="0" r="0" b="0"/>
                  <wp:docPr id="2124500544" name="图片 5" descr="C:\Users\ADMINI~1.USE\AppData\Local\Temp\ksohtml119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00544" name="图片 5" descr="C:\Users\ADMINI~1.USE\AppData\Local\Temp\ksohtml11916\wps1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废止</w:t>
            </w:r>
          </w:p>
        </w:tc>
      </w:tr>
      <w:tr w14:paraId="01E6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jc w:val="center"/>
        </w:trPr>
        <w:tc>
          <w:tcPr>
            <w:tcW w:w="1211" w:type="dxa"/>
            <w:vMerge w:val="continue"/>
            <w:tcBorders>
              <w:top w:val="single" w:color="auto" w:sz="4" w:space="0"/>
              <w:left w:val="single" w:color="auto" w:sz="12" w:space="0"/>
              <w:bottom w:val="single" w:color="auto" w:sz="4" w:space="0"/>
              <w:right w:val="single" w:color="auto" w:sz="4" w:space="0"/>
            </w:tcBorders>
            <w:vAlign w:val="center"/>
          </w:tcPr>
          <w:p w14:paraId="24F44C77">
            <w:pPr>
              <w:widowControl/>
              <w:jc w:val="left"/>
              <w:rPr>
                <w:rFonts w:ascii="宋体" w:hAnsi="宋体" w:eastAsia="Times New Roman"/>
                <w:color w:val="000000"/>
                <w:kern w:val="0"/>
                <w:sz w:val="18"/>
                <w:szCs w:val="18"/>
              </w:rPr>
            </w:pPr>
          </w:p>
        </w:tc>
        <w:tc>
          <w:tcPr>
            <w:tcW w:w="823" w:type="dxa"/>
            <w:tcBorders>
              <w:top w:val="single" w:color="auto" w:sz="4" w:space="0"/>
              <w:left w:val="single" w:color="auto" w:sz="4" w:space="0"/>
              <w:bottom w:val="single" w:color="000000" w:sz="2" w:space="0"/>
              <w:right w:val="single" w:color="auto" w:sz="4" w:space="0"/>
            </w:tcBorders>
            <w:vAlign w:val="center"/>
          </w:tcPr>
          <w:p w14:paraId="1F0FB0E0">
            <w:pPr>
              <w:widowControl/>
              <w:kinsoku w:val="0"/>
              <w:autoSpaceDE w:val="0"/>
              <w:autoSpaceDN w:val="0"/>
              <w:snapToGrid w:val="0"/>
              <w:ind w:left="233"/>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position w:val="12"/>
                <w:sz w:val="18"/>
                <w:szCs w:val="18"/>
              </w:rPr>
              <w:t>具体修</w:t>
            </w:r>
          </w:p>
          <w:p w14:paraId="6782695C">
            <w:pPr>
              <w:widowControl/>
              <w:kinsoku w:val="0"/>
              <w:autoSpaceDE w:val="0"/>
              <w:autoSpaceDN w:val="0"/>
              <w:snapToGrid w:val="0"/>
              <w:ind w:left="251"/>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sz w:val="18"/>
                <w:szCs w:val="18"/>
              </w:rPr>
              <w:t>改意见</w:t>
            </w:r>
          </w:p>
        </w:tc>
        <w:tc>
          <w:tcPr>
            <w:tcW w:w="7023" w:type="dxa"/>
            <w:gridSpan w:val="3"/>
            <w:tcBorders>
              <w:top w:val="single" w:color="auto" w:sz="4" w:space="0"/>
              <w:left w:val="single" w:color="auto" w:sz="4" w:space="0"/>
              <w:bottom w:val="single" w:color="000000" w:sz="2" w:space="0"/>
              <w:right w:val="single" w:color="auto" w:sz="12" w:space="0"/>
            </w:tcBorders>
            <w:vAlign w:val="center"/>
          </w:tcPr>
          <w:p w14:paraId="4D268D85">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sz w:val="18"/>
                <w:szCs w:val="18"/>
              </w:rPr>
              <w:t>需修改章节：</w:t>
            </w:r>
          </w:p>
          <w:p w14:paraId="66D759E8">
            <w:pPr>
              <w:widowControl/>
              <w:kinsoku w:val="0"/>
              <w:autoSpaceDE w:val="0"/>
              <w:autoSpaceDN w:val="0"/>
              <w:snapToGrid w:val="0"/>
              <w:ind w:left="12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6"/>
                <w:kern w:val="0"/>
                <w:sz w:val="18"/>
                <w:szCs w:val="18"/>
              </w:rPr>
              <w:t>具体修改意见：</w:t>
            </w:r>
          </w:p>
        </w:tc>
      </w:tr>
      <w:tr w14:paraId="1B5B2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jc w:val="center"/>
        </w:trPr>
        <w:tc>
          <w:tcPr>
            <w:tcW w:w="1211" w:type="dxa"/>
            <w:tcBorders>
              <w:top w:val="single" w:color="auto" w:sz="4" w:space="0"/>
              <w:left w:val="single" w:color="auto" w:sz="12" w:space="0"/>
              <w:bottom w:val="single" w:color="auto" w:sz="4" w:space="0"/>
              <w:right w:val="single" w:color="auto" w:sz="4" w:space="0"/>
            </w:tcBorders>
            <w:vAlign w:val="center"/>
          </w:tcPr>
          <w:p w14:paraId="6DDD05CB">
            <w:pPr>
              <w:widowControl/>
              <w:kinsoku w:val="0"/>
              <w:autoSpaceDE w:val="0"/>
              <w:autoSpaceDN w:val="0"/>
              <w:snapToGrid w:val="0"/>
              <w:ind w:left="132"/>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7"/>
                <w:kern w:val="0"/>
                <w:sz w:val="18"/>
                <w:szCs w:val="18"/>
              </w:rPr>
              <w:t>反馈渠道</w:t>
            </w:r>
          </w:p>
        </w:tc>
        <w:tc>
          <w:tcPr>
            <w:tcW w:w="7846" w:type="dxa"/>
            <w:gridSpan w:val="4"/>
            <w:tcBorders>
              <w:top w:val="single" w:color="000000" w:sz="2" w:space="0"/>
              <w:left w:val="single" w:color="auto" w:sz="4" w:space="0"/>
              <w:bottom w:val="single" w:color="000000" w:sz="2" w:space="0"/>
              <w:right w:val="single" w:color="auto" w:sz="12" w:space="0"/>
            </w:tcBorders>
            <w:vAlign w:val="center"/>
          </w:tcPr>
          <w:p w14:paraId="1295FCA5">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415144428" name="图片 4" descr="C:\Users\ADMINI~1.USE\AppData\Local\Temp\ksohtml119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4428" name="图片 4" descr="C:\Users\ADMINI~1.USE\AppData\Local\Temp\ksohtml11916\wps1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2"/>
                <w:kern w:val="0"/>
                <w:sz w:val="18"/>
                <w:szCs w:val="18"/>
              </w:rPr>
              <w:t>标准化行政主管部门</w:t>
            </w:r>
          </w:p>
          <w:p w14:paraId="68A33BA5">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499336694" name="图片 3" descr="C:\Users\ADMINI~1.USE\AppData\Local\Temp\ksohtml119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6694" name="图片 3" descr="C:\Users\ADMINI~1.USE\AppData\Local\Temp\ksohtml11916\wps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2"/>
                <w:kern w:val="0"/>
                <w:sz w:val="18"/>
                <w:szCs w:val="18"/>
              </w:rPr>
              <w:t>省直行业主管部门</w:t>
            </w:r>
          </w:p>
          <w:p w14:paraId="28C0EF9B">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951776256" name="图片 2" descr="C:\Users\ADMINI~1.USE\AppData\Local\Temp\ksohtml1191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6256" name="图片 2" descr="C:\Users\ADMINI~1.USE\AppData\Local\Temp\ksohtml11916\wps1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0"/>
                <w:kern w:val="0"/>
                <w:sz w:val="18"/>
                <w:szCs w:val="18"/>
              </w:rPr>
              <w:t>专业标准化技术委员会（工作组）</w:t>
            </w:r>
          </w:p>
          <w:p w14:paraId="3FE611EC">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7475" cy="117475"/>
                  <wp:effectExtent l="0" t="0" r="0" b="0"/>
                  <wp:docPr id="1017084632" name="图片 1" descr="C:\Users\ADMINI~1.USE\AppData\Local\Temp\ksohtml1191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4632" name="图片 1" descr="C:\Users\ADMINI~1.USE\AppData\Local\Temp\ksohtml11916\wps1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17475" cy="117475"/>
                          </a:xfrm>
                          <a:prstGeom prst="rect">
                            <a:avLst/>
                          </a:prstGeom>
                          <a:noFill/>
                          <a:ln>
                            <a:noFill/>
                          </a:ln>
                        </pic:spPr>
                      </pic:pic>
                    </a:graphicData>
                  </a:graphic>
                </wp:inline>
              </w:drawing>
            </w:r>
            <w:r>
              <w:rPr>
                <w:rFonts w:hint="eastAsia" w:ascii="宋体" w:hAnsi="宋体" w:eastAsia="Times New Roman"/>
                <w:color w:val="000000"/>
                <w:spacing w:val="11"/>
                <w:kern w:val="0"/>
                <w:sz w:val="18"/>
                <w:szCs w:val="18"/>
              </w:rPr>
              <w:t>标准起草组（牵头起草单位）</w:t>
            </w:r>
          </w:p>
        </w:tc>
      </w:tr>
      <w:tr w14:paraId="4204F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jc w:val="center"/>
        </w:trPr>
        <w:tc>
          <w:tcPr>
            <w:tcW w:w="1211" w:type="dxa"/>
            <w:tcBorders>
              <w:top w:val="single" w:color="auto" w:sz="4" w:space="0"/>
              <w:left w:val="single" w:color="auto" w:sz="12" w:space="0"/>
              <w:bottom w:val="single" w:color="auto" w:sz="12" w:space="0"/>
              <w:right w:val="single" w:color="auto" w:sz="4" w:space="0"/>
            </w:tcBorders>
            <w:vAlign w:val="center"/>
          </w:tcPr>
          <w:p w14:paraId="66AB4132">
            <w:pPr>
              <w:widowControl/>
              <w:kinsoku w:val="0"/>
              <w:autoSpaceDE w:val="0"/>
              <w:autoSpaceDN w:val="0"/>
              <w:snapToGrid w:val="0"/>
              <w:ind w:left="252"/>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6"/>
                <w:kern w:val="0"/>
                <w:sz w:val="18"/>
                <w:szCs w:val="18"/>
              </w:rPr>
              <w:t>反馈人</w:t>
            </w:r>
          </w:p>
        </w:tc>
        <w:tc>
          <w:tcPr>
            <w:tcW w:w="7846" w:type="dxa"/>
            <w:gridSpan w:val="4"/>
            <w:tcBorders>
              <w:top w:val="single" w:color="000000" w:sz="2" w:space="0"/>
              <w:left w:val="single" w:color="auto" w:sz="4" w:space="0"/>
              <w:bottom w:val="single" w:color="auto" w:sz="12" w:space="0"/>
              <w:right w:val="single" w:color="auto" w:sz="12" w:space="0"/>
            </w:tcBorders>
            <w:vAlign w:val="center"/>
          </w:tcPr>
          <w:p w14:paraId="539CE08B">
            <w:pPr>
              <w:widowControl/>
              <w:kinsoku w:val="0"/>
              <w:autoSpaceDE w:val="0"/>
              <w:autoSpaceDN w:val="0"/>
              <w:snapToGrid w:val="0"/>
              <w:ind w:left="11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sz w:val="18"/>
                <w:szCs w:val="18"/>
              </w:rPr>
              <w:t>姓名：</w:t>
            </w:r>
            <w:r>
              <w:rPr>
                <w:rFonts w:hint="eastAsia" w:ascii="宋体" w:hAnsi="宋体" w:eastAsia="Times New Roman"/>
                <w:color w:val="000000"/>
                <w:spacing w:val="8"/>
                <w:kern w:val="0"/>
                <w:sz w:val="18"/>
                <w:szCs w:val="18"/>
              </w:rPr>
              <w:t xml:space="preserve">           </w:t>
            </w:r>
            <w:r>
              <w:rPr>
                <w:rFonts w:hint="eastAsia" w:ascii="宋体" w:hAnsi="宋体" w:eastAsia="Times New Roman"/>
                <w:color w:val="000000"/>
                <w:spacing w:val="2"/>
                <w:kern w:val="0"/>
                <w:sz w:val="18"/>
                <w:szCs w:val="18"/>
              </w:rPr>
              <w:t>单位：</w:t>
            </w:r>
            <w:r>
              <w:rPr>
                <w:rFonts w:hint="eastAsia" w:ascii="宋体" w:hAnsi="宋体" w:eastAsia="Times New Roman"/>
                <w:color w:val="000000"/>
                <w:spacing w:val="1"/>
                <w:kern w:val="0"/>
                <w:sz w:val="18"/>
                <w:szCs w:val="18"/>
              </w:rPr>
              <w:t xml:space="preserve">                      </w:t>
            </w:r>
            <w:r>
              <w:rPr>
                <w:rFonts w:hint="eastAsia" w:ascii="宋体" w:hAnsi="宋体" w:eastAsia="Times New Roman"/>
                <w:color w:val="000000"/>
                <w:spacing w:val="2"/>
                <w:kern w:val="0"/>
                <w:sz w:val="18"/>
                <w:szCs w:val="18"/>
              </w:rPr>
              <w:t>联系方式：</w:t>
            </w:r>
          </w:p>
        </w:tc>
      </w:tr>
    </w:tbl>
    <w:p w14:paraId="41B649F1">
      <w:pPr>
        <w:ind w:firstLine="360" w:firstLineChars="200"/>
        <w:jc w:val="left"/>
      </w:pPr>
      <w:r>
        <w:rPr>
          <w:rFonts w:hint="eastAsia" w:ascii="宋体" w:hAnsi="宋体" w:cs="宋体"/>
          <w:color w:val="000000"/>
          <w:sz w:val="18"/>
          <w:szCs w:val="18"/>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p w14:paraId="29945972"/>
    <w:p w14:paraId="61865DDF"/>
    <w:bookmarkEnd w:id="529"/>
    <w:bookmarkEnd w:id="530"/>
    <w:bookmarkEnd w:id="551"/>
    <w:p w14:paraId="7273B55A">
      <w:pPr>
        <w:pStyle w:val="3"/>
        <w:sectPr>
          <w:footerReference r:id="rId21" w:type="default"/>
          <w:footerReference r:id="rId22" w:type="even"/>
          <w:pgSz w:w="11907" w:h="16840"/>
          <w:pgMar w:top="567" w:right="1134" w:bottom="1134" w:left="1417" w:header="283" w:footer="992" w:gutter="0"/>
          <w:cols w:space="720" w:num="1"/>
          <w:docGrid w:type="lines" w:linePitch="312" w:charSpace="0"/>
        </w:sectPr>
      </w:pPr>
    </w:p>
    <w:p w14:paraId="731B0B60"/>
    <w:p w14:paraId="041DCE69">
      <w:pPr>
        <w:spacing w:line="240" w:lineRule="auto"/>
        <w:ind w:firstLine="522" w:firstLineChars="100"/>
        <w:jc w:val="center"/>
        <w:rPr>
          <w:b/>
          <w:sz w:val="44"/>
          <w:szCs w:val="44"/>
        </w:rPr>
      </w:pPr>
      <w:r>
        <w:rPr>
          <w:rFonts w:hint="eastAsia" w:eastAsia="黑体"/>
          <w:b/>
          <w:sz w:val="52"/>
          <w:szCs w:val="52"/>
        </w:rPr>
        <w:t xml:space="preserve">湖  北  省 </w:t>
      </w:r>
      <w:r>
        <w:rPr>
          <w:rFonts w:eastAsia="黑体"/>
          <w:b/>
          <w:sz w:val="52"/>
          <w:szCs w:val="52"/>
        </w:rPr>
        <w:t>地</w:t>
      </w:r>
      <w:r>
        <w:rPr>
          <w:rFonts w:hint="eastAsia" w:eastAsia="黑体"/>
          <w:b/>
          <w:sz w:val="52"/>
          <w:szCs w:val="52"/>
        </w:rPr>
        <w:t xml:space="preserve">  </w:t>
      </w:r>
      <w:r>
        <w:rPr>
          <w:rFonts w:eastAsia="黑体"/>
          <w:b/>
          <w:sz w:val="52"/>
          <w:szCs w:val="52"/>
        </w:rPr>
        <w:t>方</w:t>
      </w:r>
      <w:r>
        <w:rPr>
          <w:rFonts w:hint="eastAsia" w:eastAsia="黑体"/>
          <w:b/>
          <w:sz w:val="52"/>
          <w:szCs w:val="52"/>
        </w:rPr>
        <w:t xml:space="preserve">  </w:t>
      </w:r>
      <w:r>
        <w:rPr>
          <w:rFonts w:eastAsia="黑体"/>
          <w:b/>
          <w:sz w:val="52"/>
          <w:szCs w:val="52"/>
        </w:rPr>
        <w:t>标</w:t>
      </w:r>
      <w:r>
        <w:rPr>
          <w:rFonts w:hint="eastAsia" w:eastAsia="黑体"/>
          <w:b/>
          <w:sz w:val="52"/>
          <w:szCs w:val="52"/>
        </w:rPr>
        <w:t xml:space="preserve">  </w:t>
      </w:r>
      <w:r>
        <w:rPr>
          <w:rFonts w:eastAsia="黑体"/>
          <w:b/>
          <w:sz w:val="52"/>
          <w:szCs w:val="52"/>
        </w:rPr>
        <w:t>准</w:t>
      </w:r>
    </w:p>
    <w:p w14:paraId="03A8982D">
      <w:pPr>
        <w:spacing w:line="240" w:lineRule="auto"/>
        <w:ind w:left="1311" w:leftChars="414" w:hanging="442" w:hangingChars="100"/>
        <w:jc w:val="right"/>
        <w:rPr>
          <w:b/>
          <w:sz w:val="32"/>
          <w:szCs w:val="32"/>
        </w:rPr>
      </w:pPr>
      <w:r>
        <w:rPr>
          <w:rFonts w:hint="eastAsia"/>
          <w:b/>
          <w:sz w:val="44"/>
          <w:szCs w:val="44"/>
        </w:rPr>
        <w:t>                           </w:t>
      </w:r>
      <w:r>
        <w:rPr>
          <w:rFonts w:eastAsia="黑体"/>
          <w:b/>
          <w:sz w:val="28"/>
          <w:szCs w:val="28"/>
        </w:rPr>
        <w:t>DB</w:t>
      </w:r>
      <w:r>
        <w:rPr>
          <w:rFonts w:hint="eastAsia" w:eastAsia="黑体"/>
          <w:b/>
          <w:sz w:val="28"/>
          <w:szCs w:val="28"/>
        </w:rPr>
        <w:t>—</w:t>
      </w:r>
      <w:r>
        <w:rPr>
          <w:rFonts w:hint="eastAsia" w:eastAsia="黑体"/>
          <w:b/>
          <w:sz w:val="32"/>
          <w:szCs w:val="32"/>
        </w:rPr>
        <w:t> </w:t>
      </w:r>
      <w:r>
        <w:rPr>
          <w:rFonts w:hint="eastAsia"/>
          <w:b/>
          <w:sz w:val="32"/>
          <w:szCs w:val="32"/>
        </w:rPr>
        <w:t>    </w:t>
      </w:r>
    </w:p>
    <w:p w14:paraId="47F364B9">
      <w:pPr>
        <w:spacing w:line="240" w:lineRule="auto"/>
        <w:ind w:firstLine="482" w:firstLineChars="200"/>
        <w:rPr>
          <w:b/>
          <w:sz w:val="24"/>
        </w:rPr>
      </w:pPr>
      <w:r>
        <w:rPr>
          <w:b/>
          <w:sz w:val="24"/>
        </w:rPr>
        <w:t>_________________________________________________________________</w:t>
      </w:r>
    </w:p>
    <w:p w14:paraId="6B918C65">
      <w:pPr>
        <w:spacing w:line="240" w:lineRule="auto"/>
        <w:ind w:firstLine="663" w:firstLineChars="150"/>
        <w:rPr>
          <w:b/>
          <w:sz w:val="44"/>
          <w:szCs w:val="44"/>
        </w:rPr>
      </w:pPr>
    </w:p>
    <w:p w14:paraId="20050D9C">
      <w:pPr>
        <w:spacing w:line="240" w:lineRule="auto"/>
        <w:jc w:val="center"/>
        <w:rPr>
          <w:b/>
          <w:sz w:val="44"/>
          <w:szCs w:val="44"/>
        </w:rPr>
      </w:pPr>
    </w:p>
    <w:p w14:paraId="11B24573">
      <w:pPr>
        <w:spacing w:line="240" w:lineRule="auto"/>
        <w:jc w:val="center"/>
        <w:rPr>
          <w:rFonts w:eastAsia="黑体"/>
          <w:bCs/>
          <w:sz w:val="44"/>
          <w:szCs w:val="44"/>
        </w:rPr>
      </w:pPr>
      <w:r>
        <w:rPr>
          <w:rFonts w:hint="eastAsia" w:eastAsia="黑体"/>
          <w:bCs/>
          <w:sz w:val="44"/>
          <w:szCs w:val="44"/>
        </w:rPr>
        <w:t>基坑工程</w:t>
      </w:r>
      <w:r>
        <w:rPr>
          <w:rFonts w:eastAsia="黑体"/>
          <w:bCs/>
          <w:sz w:val="44"/>
          <w:szCs w:val="44"/>
        </w:rPr>
        <w:t>地下水控制技术规程</w:t>
      </w:r>
    </w:p>
    <w:p w14:paraId="26640AFE">
      <w:pPr>
        <w:pStyle w:val="2"/>
        <w:keepNext w:val="0"/>
        <w:spacing w:before="640" w:after="560" w:line="240" w:lineRule="auto"/>
        <w:jc w:val="center"/>
        <w:rPr>
          <w:rFonts w:hint="eastAsia" w:ascii="黑体" w:hAnsi="黑体" w:eastAsia="黑体" w:cs="黑体"/>
          <w:sz w:val="36"/>
          <w:szCs w:val="36"/>
        </w:rPr>
      </w:pPr>
      <w:bookmarkStart w:id="552" w:name="_Toc142730213"/>
      <w:bookmarkStart w:id="553" w:name="_Toc32019"/>
      <w:r>
        <w:rPr>
          <w:rFonts w:hint="eastAsia" w:ascii="黑体" w:hAnsi="黑体" w:eastAsia="黑体" w:cs="黑体"/>
          <w:sz w:val="36"/>
          <w:szCs w:val="36"/>
        </w:rPr>
        <w:t>条 文 说 明</w:t>
      </w:r>
      <w:bookmarkEnd w:id="552"/>
      <w:bookmarkEnd w:id="553"/>
    </w:p>
    <w:p w14:paraId="2F4F811B">
      <w:pPr>
        <w:spacing w:line="240" w:lineRule="auto"/>
        <w:ind w:firstLine="482" w:firstLineChars="200"/>
        <w:rPr>
          <w:b/>
          <w:sz w:val="24"/>
        </w:rPr>
      </w:pPr>
      <w:r>
        <w:rPr>
          <w:rFonts w:hint="eastAsia"/>
          <w:b/>
          <w:sz w:val="24"/>
        </w:rPr>
        <w:t>  </w:t>
      </w:r>
    </w:p>
    <w:p w14:paraId="2BFABD00">
      <w:pPr>
        <w:pStyle w:val="3"/>
      </w:pPr>
    </w:p>
    <w:p w14:paraId="0DCFE9CB">
      <w:pPr>
        <w:spacing w:line="240" w:lineRule="auto"/>
        <w:ind w:firstLine="482" w:firstLineChars="200"/>
        <w:rPr>
          <w:b/>
          <w:sz w:val="24"/>
        </w:rPr>
      </w:pPr>
    </w:p>
    <w:p w14:paraId="242D5B99">
      <w:pPr>
        <w:pStyle w:val="3"/>
        <w:rPr>
          <w:sz w:val="24"/>
        </w:rPr>
      </w:pPr>
    </w:p>
    <w:p w14:paraId="55510891">
      <w:pPr>
        <w:rPr>
          <w:b/>
          <w:sz w:val="24"/>
        </w:rPr>
      </w:pPr>
    </w:p>
    <w:p w14:paraId="10C83EC0">
      <w:pPr>
        <w:spacing w:line="240" w:lineRule="auto"/>
        <w:ind w:firstLine="482" w:firstLineChars="200"/>
        <w:rPr>
          <w:b/>
          <w:sz w:val="24"/>
        </w:rPr>
      </w:pPr>
    </w:p>
    <w:p w14:paraId="764F4EA4">
      <w:pPr>
        <w:pStyle w:val="32"/>
        <w:spacing w:line="240" w:lineRule="auto"/>
        <w:ind w:firstLine="420"/>
        <w:rPr>
          <w:rFonts w:hint="default" w:ascii="Times New Roman" w:hAnsi="Times New Roman"/>
          <w:b/>
        </w:rPr>
      </w:pPr>
    </w:p>
    <w:p w14:paraId="2E302D8C">
      <w:pPr>
        <w:spacing w:line="240" w:lineRule="auto"/>
        <w:ind w:firstLine="482" w:firstLineChars="200"/>
        <w:rPr>
          <w:b/>
          <w:sz w:val="24"/>
        </w:rPr>
      </w:pPr>
    </w:p>
    <w:p w14:paraId="622C916A">
      <w:pPr>
        <w:spacing w:line="240" w:lineRule="auto"/>
        <w:ind w:firstLine="482" w:firstLineChars="200"/>
        <w:rPr>
          <w:b/>
          <w:sz w:val="24"/>
        </w:rPr>
      </w:pPr>
    </w:p>
    <w:p w14:paraId="6BC02DAB">
      <w:pPr>
        <w:spacing w:line="240" w:lineRule="auto"/>
        <w:jc w:val="center"/>
        <w:rPr>
          <w:rFonts w:eastAsia="黑体"/>
          <w:b/>
          <w:sz w:val="28"/>
          <w:szCs w:val="28"/>
          <w:u w:val="single"/>
        </w:rPr>
      </w:pPr>
      <w:r>
        <w:rPr>
          <w:rFonts w:eastAsia="黑体"/>
          <w:b/>
          <w:sz w:val="28"/>
          <w:szCs w:val="28"/>
          <w:u w:val="single"/>
        </w:rPr>
        <w:t>202</w:t>
      </w:r>
      <w:r>
        <w:rPr>
          <w:rFonts w:hint="eastAsia" w:eastAsia="黑体"/>
          <w:b/>
          <w:sz w:val="28"/>
          <w:szCs w:val="28"/>
          <w:u w:val="single"/>
        </w:rPr>
        <w:t>x</w:t>
      </w:r>
      <w:r>
        <w:rPr>
          <w:rFonts w:eastAsia="黑体"/>
          <w:b/>
          <w:sz w:val="28"/>
          <w:szCs w:val="28"/>
          <w:u w:val="single"/>
        </w:rPr>
        <w:t>-</w:t>
      </w:r>
      <w:r>
        <w:rPr>
          <w:rFonts w:hint="eastAsia" w:eastAsia="黑体"/>
          <w:b/>
          <w:sz w:val="28"/>
          <w:szCs w:val="28"/>
          <w:u w:val="single"/>
        </w:rPr>
        <w:t>xx</w:t>
      </w:r>
      <w:r>
        <w:rPr>
          <w:rFonts w:eastAsia="黑体"/>
          <w:b/>
          <w:sz w:val="28"/>
          <w:szCs w:val="28"/>
          <w:u w:val="single"/>
        </w:rPr>
        <w:t>-</w:t>
      </w:r>
      <w:r>
        <w:rPr>
          <w:rFonts w:hint="eastAsia" w:eastAsia="黑体"/>
          <w:b/>
          <w:sz w:val="28"/>
          <w:szCs w:val="28"/>
          <w:u w:val="single"/>
        </w:rPr>
        <w:t>xx</w:t>
      </w:r>
      <w:r>
        <w:rPr>
          <w:rFonts w:eastAsia="黑体"/>
          <w:b/>
          <w:sz w:val="28"/>
          <w:szCs w:val="28"/>
          <w:u w:val="single"/>
        </w:rPr>
        <w:t>发布</w:t>
      </w:r>
      <w:r>
        <w:rPr>
          <w:rFonts w:hint="eastAsia" w:eastAsia="黑体"/>
          <w:b/>
          <w:sz w:val="24"/>
          <w:u w:val="single"/>
        </w:rPr>
        <w:t> </w:t>
      </w:r>
      <w:r>
        <w:rPr>
          <w:rFonts w:hint="eastAsia"/>
          <w:b/>
          <w:sz w:val="24"/>
          <w:u w:val="single"/>
        </w:rPr>
        <w:t>                                      </w:t>
      </w:r>
      <w:r>
        <w:rPr>
          <w:rFonts w:hint="eastAsia" w:eastAsia="黑体"/>
          <w:b/>
          <w:sz w:val="28"/>
          <w:szCs w:val="28"/>
          <w:u w:val="single"/>
        </w:rPr>
        <w:t> </w:t>
      </w:r>
      <w:r>
        <w:rPr>
          <w:rFonts w:eastAsia="黑体"/>
          <w:b/>
          <w:sz w:val="28"/>
          <w:szCs w:val="28"/>
          <w:u w:val="single"/>
        </w:rPr>
        <w:t>202</w:t>
      </w:r>
      <w:r>
        <w:rPr>
          <w:rFonts w:hint="eastAsia" w:eastAsia="黑体"/>
          <w:b/>
          <w:sz w:val="28"/>
          <w:szCs w:val="28"/>
          <w:u w:val="single"/>
        </w:rPr>
        <w:t>x</w:t>
      </w:r>
      <w:r>
        <w:rPr>
          <w:rFonts w:eastAsia="黑体"/>
          <w:b/>
          <w:sz w:val="28"/>
          <w:szCs w:val="28"/>
          <w:u w:val="single"/>
        </w:rPr>
        <w:t>-</w:t>
      </w:r>
      <w:r>
        <w:rPr>
          <w:rFonts w:hint="eastAsia" w:eastAsia="黑体"/>
          <w:b/>
          <w:sz w:val="28"/>
          <w:szCs w:val="28"/>
          <w:u w:val="single"/>
        </w:rPr>
        <w:t>xx</w:t>
      </w:r>
      <w:r>
        <w:rPr>
          <w:rFonts w:eastAsia="黑体"/>
          <w:b/>
          <w:sz w:val="28"/>
          <w:szCs w:val="28"/>
          <w:u w:val="single"/>
        </w:rPr>
        <w:t>-</w:t>
      </w:r>
      <w:r>
        <w:rPr>
          <w:rFonts w:hint="eastAsia" w:eastAsia="黑体"/>
          <w:b/>
          <w:sz w:val="28"/>
          <w:szCs w:val="28"/>
          <w:u w:val="single"/>
        </w:rPr>
        <w:t>xx</w:t>
      </w:r>
      <w:r>
        <w:rPr>
          <w:rFonts w:eastAsia="黑体"/>
          <w:b/>
          <w:sz w:val="28"/>
          <w:szCs w:val="28"/>
          <w:u w:val="single"/>
        </w:rPr>
        <w:t>实施</w:t>
      </w:r>
    </w:p>
    <w:p w14:paraId="0978ECC6">
      <w:pPr>
        <w:spacing w:line="240" w:lineRule="auto"/>
        <w:ind w:firstLine="482" w:firstLineChars="200"/>
        <w:rPr>
          <w:b/>
          <w:sz w:val="24"/>
        </w:rPr>
      </w:pPr>
    </w:p>
    <w:p w14:paraId="087FEEB0">
      <w:pPr>
        <w:spacing w:line="240" w:lineRule="auto"/>
        <w:ind w:firstLine="482" w:firstLineChars="200"/>
        <w:rPr>
          <w:b/>
          <w:sz w:val="24"/>
        </w:rPr>
      </w:pPr>
    </w:p>
    <w:p w14:paraId="3BB9CAF6">
      <w:pPr>
        <w:spacing w:line="240" w:lineRule="auto"/>
        <w:jc w:val="center"/>
        <w:rPr>
          <w:rFonts w:hint="eastAsia" w:ascii="宋体" w:hAnsi="宋体" w:cs="宋体"/>
          <w:sz w:val="32"/>
          <w:szCs w:val="32"/>
        </w:rPr>
        <w:sectPr>
          <w:footerReference r:id="rId23" w:type="default"/>
          <w:footerReference r:id="rId24" w:type="even"/>
          <w:pgSz w:w="11907" w:h="16840"/>
          <w:pgMar w:top="567" w:right="1134" w:bottom="1134" w:left="1417" w:header="283" w:footer="992" w:gutter="0"/>
          <w:cols w:space="720" w:num="1"/>
          <w:docGrid w:type="lines" w:linePitch="312" w:charSpace="0"/>
        </w:sectPr>
      </w:pPr>
      <w:r>
        <w:rPr>
          <w:rFonts w:hint="eastAsia"/>
          <w:b/>
          <w:sz w:val="28"/>
        </w:rPr>
        <w:t>湖北省</w:t>
      </w:r>
      <w:r>
        <w:rPr>
          <w:b/>
          <w:sz w:val="28"/>
        </w:rPr>
        <w:t>市场监督管理局</w:t>
      </w:r>
    </w:p>
    <w:p w14:paraId="747E403B">
      <w:pPr>
        <w:spacing w:before="640" w:after="560" w:line="240" w:lineRule="auto"/>
        <w:jc w:val="center"/>
        <w:rPr>
          <w:rFonts w:hint="eastAsia" w:ascii="黑体" w:hAnsi="黑体" w:eastAsia="黑体" w:cs="黑体"/>
          <w:sz w:val="28"/>
          <w:szCs w:val="28"/>
        </w:rPr>
      </w:pPr>
      <w:r>
        <w:rPr>
          <w:rFonts w:hint="eastAsia" w:ascii="黑体" w:hAnsi="黑体" w:eastAsia="黑体" w:cs="黑体"/>
          <w:sz w:val="28"/>
          <w:szCs w:val="28"/>
        </w:rPr>
        <w:t>目    次</w:t>
      </w:r>
    </w:p>
    <w:p w14:paraId="3DC44848">
      <w:pPr>
        <w:pStyle w:val="22"/>
        <w:tabs>
          <w:tab w:val="right" w:leader="dot" w:pos="9354"/>
        </w:tabs>
      </w:pPr>
      <w:r>
        <w:fldChar w:fldCharType="begin"/>
      </w:r>
      <w:r>
        <w:instrText xml:space="preserve"> HYPERLINK \l "_Toc3736" </w:instrText>
      </w:r>
      <w:r>
        <w:fldChar w:fldCharType="separate"/>
      </w:r>
      <w:r>
        <w:rPr>
          <w:rFonts w:hint="eastAsia" w:ascii="黑体" w:hAnsi="黑体" w:eastAsia="黑体"/>
        </w:rPr>
        <w:t>1  范围</w:t>
      </w:r>
      <w:r>
        <w:tab/>
      </w:r>
      <w:r>
        <w:fldChar w:fldCharType="begin"/>
      </w:r>
      <w:r>
        <w:instrText xml:space="preserve"> PAGEREF _Toc3736 \h </w:instrText>
      </w:r>
      <w:r>
        <w:fldChar w:fldCharType="separate"/>
      </w:r>
      <w:r>
        <w:t>63</w:t>
      </w:r>
      <w:r>
        <w:fldChar w:fldCharType="end"/>
      </w:r>
      <w:r>
        <w:fldChar w:fldCharType="end"/>
      </w:r>
    </w:p>
    <w:p w14:paraId="315E0CCF">
      <w:pPr>
        <w:pStyle w:val="22"/>
        <w:tabs>
          <w:tab w:val="right" w:leader="dot" w:pos="9354"/>
        </w:tabs>
      </w:pPr>
      <w:r>
        <w:fldChar w:fldCharType="begin"/>
      </w:r>
      <w:r>
        <w:instrText xml:space="preserve"> HYPERLINK \l "_Toc12470" </w:instrText>
      </w:r>
      <w:r>
        <w:fldChar w:fldCharType="separate"/>
      </w:r>
      <w:r>
        <w:rPr>
          <w:rFonts w:hint="eastAsia" w:ascii="黑体" w:hAnsi="黑体" w:eastAsia="黑体"/>
        </w:rPr>
        <w:t>6  基本规定</w:t>
      </w:r>
      <w:r>
        <w:tab/>
      </w:r>
      <w:r>
        <w:fldChar w:fldCharType="begin"/>
      </w:r>
      <w:r>
        <w:instrText xml:space="preserve"> PAGEREF _Toc12470 \h </w:instrText>
      </w:r>
      <w:r>
        <w:fldChar w:fldCharType="separate"/>
      </w:r>
      <w:r>
        <w:t>63</w:t>
      </w:r>
      <w:r>
        <w:fldChar w:fldCharType="end"/>
      </w:r>
      <w:r>
        <w:fldChar w:fldCharType="end"/>
      </w:r>
    </w:p>
    <w:p w14:paraId="4B6F9CDF">
      <w:pPr>
        <w:pStyle w:val="22"/>
        <w:tabs>
          <w:tab w:val="right" w:leader="dot" w:pos="9354"/>
        </w:tabs>
      </w:pPr>
      <w:r>
        <w:fldChar w:fldCharType="begin"/>
      </w:r>
      <w:r>
        <w:instrText xml:space="preserve"> HYPERLINK \l "_Toc31462" </w:instrText>
      </w:r>
      <w:r>
        <w:fldChar w:fldCharType="separate"/>
      </w:r>
      <w:r>
        <w:rPr>
          <w:rFonts w:hint="eastAsia" w:ascii="黑体" w:hAnsi="黑体" w:eastAsia="黑体"/>
        </w:rPr>
        <w:t>7  水文地质勘察</w:t>
      </w:r>
      <w:r>
        <w:tab/>
      </w:r>
      <w:r>
        <w:fldChar w:fldCharType="begin"/>
      </w:r>
      <w:r>
        <w:instrText xml:space="preserve"> PAGEREF _Toc31462 \h </w:instrText>
      </w:r>
      <w:r>
        <w:fldChar w:fldCharType="separate"/>
      </w:r>
      <w:r>
        <w:t>63</w:t>
      </w:r>
      <w:r>
        <w:fldChar w:fldCharType="end"/>
      </w:r>
      <w:r>
        <w:fldChar w:fldCharType="end"/>
      </w:r>
    </w:p>
    <w:p w14:paraId="6A68E013">
      <w:pPr>
        <w:pStyle w:val="22"/>
        <w:tabs>
          <w:tab w:val="right" w:leader="dot" w:pos="9354"/>
        </w:tabs>
      </w:pPr>
      <w:r>
        <w:fldChar w:fldCharType="begin"/>
      </w:r>
      <w:r>
        <w:instrText xml:space="preserve"> HYPERLINK \l "_Toc1261" </w:instrText>
      </w:r>
      <w:r>
        <w:fldChar w:fldCharType="separate"/>
      </w:r>
      <w:r>
        <w:rPr>
          <w:rFonts w:hint="eastAsia" w:ascii="黑体" w:hAnsi="黑体" w:eastAsia="黑体"/>
        </w:rPr>
        <w:t>8  隔渗</w:t>
      </w:r>
      <w:r>
        <w:tab/>
      </w:r>
      <w:r>
        <w:rPr>
          <w:rFonts w:hint="eastAsia"/>
        </w:rPr>
        <w:t>6</w:t>
      </w:r>
      <w:r>
        <w:rPr>
          <w:rFonts w:hint="eastAsia"/>
        </w:rPr>
        <w:fldChar w:fldCharType="end"/>
      </w:r>
      <w:r>
        <w:rPr>
          <w:rFonts w:hint="eastAsia"/>
        </w:rPr>
        <w:t>9</w:t>
      </w:r>
    </w:p>
    <w:p w14:paraId="636C3D60">
      <w:pPr>
        <w:pStyle w:val="22"/>
        <w:tabs>
          <w:tab w:val="right" w:leader="dot" w:pos="9354"/>
        </w:tabs>
      </w:pPr>
      <w:r>
        <w:fldChar w:fldCharType="begin"/>
      </w:r>
      <w:r>
        <w:instrText xml:space="preserve"> HYPERLINK \l "_Toc24709" </w:instrText>
      </w:r>
      <w:r>
        <w:fldChar w:fldCharType="separate"/>
      </w:r>
      <w:r>
        <w:rPr>
          <w:rFonts w:hint="eastAsia" w:ascii="黑体" w:hAnsi="黑体" w:eastAsia="黑体"/>
        </w:rPr>
        <w:t>9  降水与集水明排</w:t>
      </w:r>
      <w:r>
        <w:tab/>
      </w:r>
      <w:r>
        <w:fldChar w:fldCharType="begin"/>
      </w:r>
      <w:r>
        <w:instrText xml:space="preserve"> PAGEREF _Toc24709 \h </w:instrText>
      </w:r>
      <w:r>
        <w:fldChar w:fldCharType="separate"/>
      </w:r>
      <w:r>
        <w:t>65</w:t>
      </w:r>
      <w:r>
        <w:fldChar w:fldCharType="end"/>
      </w:r>
      <w:r>
        <w:fldChar w:fldCharType="end"/>
      </w:r>
    </w:p>
    <w:p w14:paraId="26FAEFFA">
      <w:pPr>
        <w:pStyle w:val="22"/>
        <w:tabs>
          <w:tab w:val="right" w:leader="dot" w:pos="9354"/>
        </w:tabs>
      </w:pPr>
      <w:r>
        <w:fldChar w:fldCharType="begin"/>
      </w:r>
      <w:r>
        <w:instrText xml:space="preserve"> HYPERLINK \l "_Toc1637" </w:instrText>
      </w:r>
      <w:r>
        <w:fldChar w:fldCharType="separate"/>
      </w:r>
      <w:r>
        <w:rPr>
          <w:rFonts w:hint="eastAsia" w:ascii="黑体" w:hAnsi="黑体" w:eastAsia="黑体"/>
        </w:rPr>
        <w:t>10  回灌</w:t>
      </w:r>
      <w:r>
        <w:tab/>
      </w:r>
      <w:r>
        <w:fldChar w:fldCharType="begin"/>
      </w:r>
      <w:r>
        <w:instrText xml:space="preserve"> PAGEREF _Toc1637 \h </w:instrText>
      </w:r>
      <w:r>
        <w:fldChar w:fldCharType="separate"/>
      </w:r>
      <w:r>
        <w:t>72</w:t>
      </w:r>
      <w:r>
        <w:fldChar w:fldCharType="end"/>
      </w:r>
      <w:r>
        <w:fldChar w:fldCharType="end"/>
      </w:r>
    </w:p>
    <w:p w14:paraId="21C04B7D">
      <w:pPr>
        <w:pStyle w:val="22"/>
        <w:tabs>
          <w:tab w:val="right" w:leader="dot" w:pos="9354"/>
        </w:tabs>
      </w:pPr>
      <w:r>
        <w:fldChar w:fldCharType="begin"/>
      </w:r>
      <w:r>
        <w:instrText xml:space="preserve"> HYPERLINK \l "_Toc14784" </w:instrText>
      </w:r>
      <w:r>
        <w:fldChar w:fldCharType="separate"/>
      </w:r>
      <w:r>
        <w:rPr>
          <w:rFonts w:hint="eastAsia" w:ascii="黑体" w:hAnsi="黑体" w:eastAsia="黑体"/>
        </w:rPr>
        <w:t>11  检测与监测</w:t>
      </w:r>
      <w:r>
        <w:tab/>
      </w:r>
      <w:r>
        <w:rPr>
          <w:rFonts w:hint="eastAsia"/>
        </w:rPr>
        <w:t>7</w:t>
      </w:r>
      <w:r>
        <w:rPr>
          <w:rFonts w:hint="eastAsia"/>
        </w:rPr>
        <w:fldChar w:fldCharType="end"/>
      </w:r>
      <w:r>
        <w:rPr>
          <w:rFonts w:hint="eastAsia"/>
        </w:rPr>
        <w:t>7</w:t>
      </w:r>
    </w:p>
    <w:p w14:paraId="4A7F31D4">
      <w:pPr>
        <w:pStyle w:val="28"/>
        <w:tabs>
          <w:tab w:val="right" w:leader="dot" w:pos="9696"/>
          <w:tab w:val="clear" w:pos="9344"/>
        </w:tabs>
        <w:spacing w:line="400" w:lineRule="exact"/>
        <w:ind w:left="0"/>
      </w:pPr>
    </w:p>
    <w:p w14:paraId="07BE5FB9">
      <w:pPr>
        <w:pStyle w:val="28"/>
        <w:tabs>
          <w:tab w:val="right" w:leader="dot" w:pos="9686"/>
          <w:tab w:val="clear" w:pos="9344"/>
        </w:tabs>
        <w:spacing w:line="240" w:lineRule="auto"/>
        <w:rPr>
          <w:rFonts w:hint="eastAsia" w:asciiTheme="minorHAnsi" w:hAnsiTheme="minorHAnsi" w:eastAsiaTheme="minorEastAsia" w:cstheme="minorBidi"/>
          <w:szCs w:val="22"/>
        </w:rPr>
      </w:pPr>
    </w:p>
    <w:p w14:paraId="2E8F19AC">
      <w:pPr>
        <w:spacing w:line="240" w:lineRule="auto"/>
        <w:jc w:val="center"/>
        <w:rPr>
          <w:rFonts w:eastAsia="黑体"/>
          <w:sz w:val="32"/>
          <w:szCs w:val="32"/>
        </w:rPr>
        <w:sectPr>
          <w:footerReference r:id="rId25" w:type="default"/>
          <w:footerReference r:id="rId26" w:type="even"/>
          <w:pgSz w:w="11907" w:h="16840"/>
          <w:pgMar w:top="567" w:right="1134" w:bottom="1134" w:left="1417" w:header="851" w:footer="992" w:gutter="0"/>
          <w:cols w:space="720" w:num="1"/>
          <w:docGrid w:type="lines" w:linePitch="312" w:charSpace="0"/>
        </w:sectPr>
      </w:pPr>
    </w:p>
    <w:p w14:paraId="6D356984">
      <w:pPr>
        <w:rPr>
          <w:rFonts w:hint="eastAsia" w:ascii="黑体" w:hAnsi="黑体" w:eastAsia="黑体"/>
          <w:b/>
          <w:bCs/>
        </w:rPr>
      </w:pPr>
      <w:bookmarkStart w:id="554" w:name="_Toc20996"/>
      <w:bookmarkStart w:id="555" w:name="_Toc26777"/>
      <w:bookmarkStart w:id="556" w:name="_Toc142730214"/>
      <w:bookmarkStart w:id="557" w:name="_Toc3736"/>
      <w:r>
        <w:rPr>
          <w:rFonts w:hint="eastAsia" w:ascii="黑体" w:hAnsi="黑体" w:eastAsia="黑体"/>
        </w:rPr>
        <w:t>1</w:t>
      </w:r>
      <w:r>
        <w:rPr>
          <w:rFonts w:ascii="Cambria Math" w:hAnsi="Cambria Math" w:eastAsia="黑体" w:cs="Cambria Math"/>
        </w:rPr>
        <w:t>  </w:t>
      </w:r>
      <w:r>
        <w:rPr>
          <w:rFonts w:hint="eastAsia" w:ascii="黑体" w:hAnsi="黑体" w:eastAsia="黑体" w:cs="黑体"/>
        </w:rPr>
        <w:t>范围</w:t>
      </w:r>
      <w:bookmarkEnd w:id="554"/>
      <w:bookmarkEnd w:id="555"/>
      <w:bookmarkEnd w:id="556"/>
      <w:bookmarkEnd w:id="557"/>
    </w:p>
    <w:p w14:paraId="51EE809A">
      <w:pPr>
        <w:spacing w:line="240" w:lineRule="auto"/>
        <w:ind w:firstLine="420" w:firstLineChars="200"/>
        <w:rPr>
          <w:rFonts w:hint="eastAsia" w:ascii="宋体" w:hAnsi="宋体" w:cs="宋体"/>
        </w:rPr>
      </w:pPr>
      <w:r>
        <w:rPr>
          <w:rFonts w:hint="eastAsia" w:ascii="宋体" w:hAnsi="宋体" w:cs="宋体"/>
        </w:rPr>
        <w:t>本文件</w:t>
      </w:r>
      <w:r>
        <w:rPr>
          <w:rFonts w:ascii="宋体" w:hAnsi="宋体" w:cs="宋体"/>
        </w:rPr>
        <w:t>适用于</w:t>
      </w:r>
      <w:r>
        <w:rPr>
          <w:rFonts w:hint="eastAsia" w:ascii="宋体" w:hAnsi="宋体" w:cs="宋体"/>
        </w:rPr>
        <w:t>湖北省</w:t>
      </w:r>
      <w:r>
        <w:rPr>
          <w:rFonts w:ascii="宋体" w:hAnsi="宋体" w:cs="宋体"/>
        </w:rPr>
        <w:t>各类</w:t>
      </w:r>
      <w:r>
        <w:rPr>
          <w:rFonts w:hint="eastAsia" w:ascii="宋体" w:hAnsi="宋体" w:cs="宋体"/>
        </w:rPr>
        <w:t>房屋</w:t>
      </w:r>
      <w:r>
        <w:rPr>
          <w:rFonts w:ascii="宋体" w:hAnsi="宋体" w:cs="宋体"/>
        </w:rPr>
        <w:t>建筑</w:t>
      </w:r>
      <w:r>
        <w:rPr>
          <w:rFonts w:hint="eastAsia" w:ascii="宋体" w:hAnsi="宋体" w:cs="宋体"/>
        </w:rPr>
        <w:t>和</w:t>
      </w:r>
      <w:r>
        <w:rPr>
          <w:rFonts w:ascii="宋体" w:hAnsi="宋体" w:cs="宋体"/>
        </w:rPr>
        <w:t>市政工程的</w:t>
      </w:r>
      <w:r>
        <w:rPr>
          <w:rFonts w:hint="eastAsia" w:ascii="宋体" w:hAnsi="宋体" w:cs="宋体"/>
        </w:rPr>
        <w:t>地下水控制工程</w:t>
      </w:r>
      <w:r>
        <w:rPr>
          <w:rFonts w:ascii="宋体" w:hAnsi="宋体" w:cs="宋体"/>
        </w:rPr>
        <w:t>，</w:t>
      </w:r>
      <w:r>
        <w:rPr>
          <w:rFonts w:hint="eastAsia" w:ascii="宋体" w:hAnsi="宋体" w:cs="宋体"/>
        </w:rPr>
        <w:t>其他工程地下水控制可参考使用。地下水</w:t>
      </w:r>
      <w:r>
        <w:rPr>
          <w:rFonts w:ascii="宋体" w:hAnsi="宋体" w:cs="宋体"/>
        </w:rPr>
        <w:t>控制</w:t>
      </w:r>
      <w:r>
        <w:rPr>
          <w:rFonts w:hint="eastAsia" w:ascii="宋体" w:hAnsi="宋体" w:cs="宋体"/>
        </w:rPr>
        <w:t>包括对</w:t>
      </w:r>
      <w:r>
        <w:rPr>
          <w:rFonts w:hint="eastAsia" w:ascii="宋体" w:hAnsi="宋体"/>
          <w:bCs/>
        </w:rPr>
        <w:t>孔隙水</w:t>
      </w:r>
      <w:r>
        <w:rPr>
          <w:rFonts w:ascii="宋体" w:hAnsi="宋体"/>
          <w:bCs/>
        </w:rPr>
        <w:t>（</w:t>
      </w:r>
      <w:r>
        <w:rPr>
          <w:rFonts w:hint="eastAsia" w:ascii="宋体" w:hAnsi="宋体"/>
          <w:bCs/>
        </w:rPr>
        <w:t>上层滞水、潜水、承压水</w:t>
      </w:r>
      <w:r>
        <w:rPr>
          <w:rFonts w:ascii="宋体" w:hAnsi="宋体"/>
          <w:bCs/>
        </w:rPr>
        <w:t>）</w:t>
      </w:r>
      <w:r>
        <w:rPr>
          <w:rFonts w:hint="eastAsia" w:ascii="宋体" w:hAnsi="宋体"/>
          <w:bCs/>
        </w:rPr>
        <w:t>、岩溶水、基岩裂隙水</w:t>
      </w:r>
      <w:r>
        <w:rPr>
          <w:rFonts w:hint="eastAsia" w:ascii="宋体" w:hAnsi="宋体" w:cs="宋体"/>
        </w:rPr>
        <w:t>等湖北省</w:t>
      </w:r>
      <w:r>
        <w:rPr>
          <w:rFonts w:ascii="宋体" w:hAnsi="宋体" w:cs="宋体"/>
        </w:rPr>
        <w:t>常见地下水</w:t>
      </w:r>
      <w:r>
        <w:rPr>
          <w:rFonts w:hint="eastAsia" w:ascii="宋体" w:hAnsi="宋体" w:cs="宋体"/>
        </w:rPr>
        <w:t>的控制。</w:t>
      </w:r>
    </w:p>
    <w:p w14:paraId="0B6AABA6">
      <w:pPr>
        <w:spacing w:line="240" w:lineRule="auto"/>
        <w:ind w:firstLine="420" w:firstLineChars="200"/>
      </w:pPr>
      <w:r>
        <w:rPr>
          <w:rFonts w:ascii="宋体" w:hAnsi="宋体" w:cs="宋体"/>
        </w:rPr>
        <w:t>我国目前工程建设标准分为国家标准、行业标准和地方标准三个层次，国家标准、行业标准高于地方标准，因此，</w:t>
      </w:r>
      <w:r>
        <w:rPr>
          <w:rFonts w:hint="eastAsia" w:ascii="宋体" w:hAnsi="宋体" w:cs="宋体"/>
        </w:rPr>
        <w:t>湖北省基坑</w:t>
      </w:r>
      <w:r>
        <w:rPr>
          <w:rFonts w:ascii="宋体" w:hAnsi="宋体" w:cs="宋体"/>
        </w:rPr>
        <w:t>工程地下水控制工作除了执行</w:t>
      </w:r>
      <w:r>
        <w:rPr>
          <w:rFonts w:hint="eastAsia" w:ascii="宋体" w:hAnsi="宋体" w:cs="宋体"/>
        </w:rPr>
        <w:t>本文件</w:t>
      </w:r>
      <w:r>
        <w:rPr>
          <w:rFonts w:ascii="宋体" w:hAnsi="宋体" w:cs="宋体"/>
        </w:rPr>
        <w:t>外，尚应符合国家和地方有关法律、法规以及现行有关规范、标准的规定。</w:t>
      </w:r>
    </w:p>
    <w:p w14:paraId="335E6955">
      <w:pPr>
        <w:pStyle w:val="2"/>
        <w:keepNext w:val="0"/>
        <w:keepLines w:val="0"/>
        <w:spacing w:before="312" w:beforeLines="100" w:after="312" w:afterLines="100" w:line="240" w:lineRule="auto"/>
        <w:rPr>
          <w:rFonts w:hint="eastAsia" w:ascii="黑体" w:hAnsi="黑体" w:eastAsia="黑体"/>
          <w:b w:val="0"/>
          <w:bCs w:val="0"/>
          <w:sz w:val="21"/>
          <w:szCs w:val="21"/>
        </w:rPr>
      </w:pPr>
      <w:bookmarkStart w:id="558" w:name="_Toc142730219"/>
      <w:bookmarkStart w:id="559" w:name="_Toc12470"/>
      <w:bookmarkStart w:id="560" w:name="_Toc30696"/>
      <w:bookmarkStart w:id="561" w:name="_Toc3445"/>
      <w:bookmarkStart w:id="562" w:name="_Toc23596"/>
      <w:r>
        <w:rPr>
          <w:rFonts w:hint="eastAsia" w:ascii="黑体" w:hAnsi="黑体" w:eastAsia="黑体"/>
          <w:b w:val="0"/>
          <w:bCs w:val="0"/>
          <w:sz w:val="21"/>
          <w:szCs w:val="21"/>
        </w:rPr>
        <w:t>6  基本规定</w:t>
      </w:r>
      <w:bookmarkEnd w:id="558"/>
      <w:bookmarkEnd w:id="559"/>
      <w:bookmarkEnd w:id="560"/>
      <w:bookmarkEnd w:id="561"/>
      <w:bookmarkEnd w:id="562"/>
      <w:bookmarkStart w:id="563" w:name="_Toc10605"/>
      <w:bookmarkStart w:id="564" w:name="_Toc17558"/>
    </w:p>
    <w:p w14:paraId="17C78C1B">
      <w:pPr>
        <w:spacing w:line="240" w:lineRule="auto"/>
        <w:rPr>
          <w:rFonts w:hint="eastAsia" w:ascii="黑体" w:hAnsi="黑体" w:eastAsia="黑体"/>
          <w:bCs/>
          <w:kern w:val="0"/>
        </w:rPr>
      </w:pPr>
      <w:r>
        <w:rPr>
          <w:rFonts w:hint="eastAsia" w:ascii="黑体" w:hAnsi="黑体" w:eastAsia="黑体"/>
          <w:bCs/>
          <w:kern w:val="0"/>
        </w:rPr>
        <w:t>6.3  </w:t>
      </w:r>
      <w:r>
        <w:rPr>
          <w:rFonts w:hint="eastAsia" w:ascii="宋体" w:hAnsi="宋体" w:cs="宋体"/>
          <w:bCs/>
          <w:kern w:val="0"/>
        </w:rPr>
        <w:t>隔渗方法主要包括水泥土搅拌类、高压喷射类、咬合式排桩、地下连续墙、钢板桩及其它装配式隔渗桩等。降水方法主要包括管井降水、真空管井降水和轻型井点降水等。集水明排主要包括排水沟、集水井、泄水管、盲沟等</w:t>
      </w:r>
      <w:r>
        <w:rPr>
          <w:rFonts w:hint="eastAsia" w:ascii="黑体" w:hAnsi="黑体" w:eastAsia="黑体"/>
          <w:bCs/>
          <w:kern w:val="0"/>
        </w:rPr>
        <w:t>。</w:t>
      </w:r>
      <w:r>
        <w:rPr>
          <w:rFonts w:hint="eastAsia" w:ascii="宋体" w:hAnsi="宋体" w:cs="宋体"/>
          <w:bCs/>
          <w:kern w:val="0"/>
        </w:rPr>
        <w:t>回灌方法主要包括重力回灌、加压回灌或组合回灌等。</w:t>
      </w:r>
    </w:p>
    <w:p w14:paraId="18E84187">
      <w:pPr>
        <w:spacing w:line="240" w:lineRule="auto"/>
        <w:ind w:left="105" w:hanging="105" w:hangingChars="50"/>
        <w:rPr>
          <w:rFonts w:hint="eastAsia" w:ascii="宋体" w:hAnsi="宋体" w:cs="宋体"/>
        </w:rPr>
      </w:pPr>
      <w:r>
        <w:rPr>
          <w:rFonts w:hint="eastAsia" w:ascii="黑体" w:hAnsi="黑体" w:eastAsia="黑体"/>
          <w:bCs/>
          <w:kern w:val="0"/>
        </w:rPr>
        <w:t>6.</w:t>
      </w:r>
      <w:r>
        <w:rPr>
          <w:rFonts w:ascii="黑体" w:hAnsi="黑体" w:eastAsia="黑体"/>
          <w:bCs/>
          <w:kern w:val="0"/>
        </w:rPr>
        <w:t>7</w:t>
      </w:r>
      <w:r>
        <w:rPr>
          <w:rFonts w:hint="eastAsia" w:ascii="黑体" w:hAnsi="黑体" w:eastAsia="黑体"/>
        </w:rPr>
        <w:t> </w:t>
      </w:r>
      <w:r>
        <w:rPr>
          <w:rFonts w:hint="eastAsia" w:ascii="宋体" w:hAnsi="宋体" w:eastAsia="黑体" w:cs="宋体"/>
        </w:rPr>
        <w:t> </w:t>
      </w:r>
      <w:r>
        <w:rPr>
          <w:rFonts w:hint="eastAsia" w:ascii="宋体" w:hAnsi="宋体" w:cs="宋体"/>
        </w:rPr>
        <w:t>基坑工程地下水控制等级划分是一个较为复杂的课题，本文件参考了《</w:t>
      </w:r>
      <w:r>
        <w:rPr>
          <w:rFonts w:hint="eastAsia"/>
        </w:rPr>
        <w:t>基坑工程技术规程</w:t>
      </w:r>
      <w:r>
        <w:rPr>
          <w:rFonts w:hint="eastAsia" w:ascii="宋体" w:hAnsi="宋体" w:cs="宋体"/>
        </w:rPr>
        <w:t>》DB42/T 159及国内部分省市相关规范关于基坑工程地下水控制等级划分的方法及思路，主要考虑如下：</w:t>
      </w:r>
    </w:p>
    <w:p w14:paraId="338C3B5A">
      <w:pPr>
        <w:spacing w:line="240" w:lineRule="auto"/>
        <w:ind w:firstLine="420" w:firstLineChars="200"/>
        <w:rPr>
          <w:rFonts w:hint="eastAsia" w:ascii="宋体" w:hAnsi="宋体" w:cs="宋体"/>
        </w:rPr>
      </w:pPr>
      <w:r>
        <w:rPr>
          <w:kern w:val="0"/>
        </w:rPr>
        <w:t>a</w:t>
      </w:r>
      <w:r>
        <w:rPr>
          <w:rFonts w:hint="eastAsia"/>
          <w:kern w:val="0"/>
        </w:rPr>
        <w:t>） </w:t>
      </w:r>
      <w:r>
        <w:rPr>
          <w:rFonts w:hint="eastAsia" w:ascii="宋体" w:hAnsi="宋体" w:cs="宋体"/>
        </w:rPr>
        <w:t>与《</w:t>
      </w:r>
      <w:r>
        <w:rPr>
          <w:rFonts w:hint="eastAsia"/>
        </w:rPr>
        <w:t>基坑工程技术规程</w:t>
      </w:r>
      <w:r>
        <w:rPr>
          <w:rFonts w:hint="eastAsia" w:ascii="宋体" w:hAnsi="宋体" w:cs="宋体"/>
        </w:rPr>
        <w:t>》DB42/T 159关于基坑工程安全等级相呼应，分为三个等级，其要素主要与基坑计算开挖深度H、道路、管线及邻近建（构）筑物基础边缘离坑口内壁的距离a关联，同时强化了地貌单元及水文地质条件。地貌单元及水文地质条件分类与《</w:t>
      </w:r>
      <w:r>
        <w:rPr>
          <w:rFonts w:hint="eastAsia"/>
        </w:rPr>
        <w:t>基坑工程技术规程</w:t>
      </w:r>
      <w:r>
        <w:rPr>
          <w:rFonts w:hint="eastAsia" w:ascii="宋体" w:hAnsi="宋体" w:cs="宋体"/>
        </w:rPr>
        <w:t>》DB42/T</w:t>
      </w:r>
      <w:r>
        <w:rPr>
          <w:rFonts w:ascii="宋体" w:hAnsi="宋体" w:cs="宋体"/>
        </w:rPr>
        <w:t xml:space="preserve"> </w:t>
      </w:r>
      <w:r>
        <w:rPr>
          <w:rFonts w:hint="eastAsia" w:ascii="宋体" w:hAnsi="宋体" w:cs="宋体"/>
        </w:rPr>
        <w:t>159侧重点略有不同，本规定主要突出岩土层中地下水的类型、分布与特性以及控制</w:t>
      </w:r>
      <w:r>
        <w:rPr>
          <w:rFonts w:ascii="宋体" w:hAnsi="宋体" w:cs="宋体"/>
        </w:rPr>
        <w:t>难度、工程危害</w:t>
      </w:r>
      <w:r>
        <w:rPr>
          <w:rFonts w:hint="eastAsia" w:ascii="宋体" w:hAnsi="宋体" w:cs="宋体"/>
        </w:rPr>
        <w:t>；</w:t>
      </w:r>
    </w:p>
    <w:p w14:paraId="74A827FF">
      <w:pPr>
        <w:spacing w:line="240" w:lineRule="auto"/>
        <w:ind w:firstLine="420" w:firstLineChars="200"/>
        <w:rPr>
          <w:rFonts w:hint="eastAsia" w:ascii="宋体" w:hAnsi="宋体" w:cs="宋体"/>
        </w:rPr>
      </w:pPr>
      <w:r>
        <w:rPr>
          <w:rFonts w:hint="eastAsia"/>
          <w:kern w:val="0"/>
        </w:rPr>
        <w:t>b） </w:t>
      </w:r>
      <w:r>
        <w:rPr>
          <w:rFonts w:hint="eastAsia" w:ascii="宋体" w:hAnsi="宋体" w:cs="宋体"/>
        </w:rPr>
        <w:t>对于富含承压水的基坑工程，承压水的降深及出水量是需要密切关注的指标。表1未选择这两项指标，而强调了基坑计算开挖深度H这一指标，主要考虑到基坑计算开挖深度H相对固定、明确，而降深及出水量不易固定、明确，同时有些基坑不存在承压水降深及出水量的问题；</w:t>
      </w:r>
    </w:p>
    <w:p w14:paraId="3FF7177D">
      <w:pPr>
        <w:spacing w:line="240" w:lineRule="auto"/>
        <w:ind w:firstLine="420" w:firstLineChars="200"/>
        <w:rPr>
          <w:rFonts w:hint="eastAsia" w:ascii="宋体" w:hAnsi="宋体" w:cs="宋体"/>
        </w:rPr>
      </w:pPr>
      <w:r>
        <w:rPr>
          <w:kern w:val="0"/>
        </w:rPr>
        <w:t>c</w:t>
      </w:r>
      <w:r>
        <w:rPr>
          <w:rFonts w:hint="eastAsia"/>
          <w:kern w:val="0"/>
        </w:rPr>
        <w:t>） </w:t>
      </w:r>
      <w:r>
        <w:rPr>
          <w:rFonts w:hint="eastAsia" w:ascii="宋体" w:hAnsi="宋体" w:cs="宋体"/>
        </w:rPr>
        <w:t>对于市政雨污水管涵及房屋建筑1层地下室，其开挖深度H一般不超过6 m；对于市政综合管廊标准段、房屋建筑2层地下室，其开挖深度H一般不超过10 m；对于市政泵站、调蓄池、地下通道、市政综合管廊下卧段、商业综合体与超高层房屋建筑3层地下室及地铁的明挖段，其开挖深度H一般不超过15 m。因此，开挖深度H以6 m、10 m及15 m为界限进行划分。</w:t>
      </w:r>
    </w:p>
    <w:p w14:paraId="3CBD3C73">
      <w:pPr>
        <w:pStyle w:val="247"/>
        <w:widowControl w:val="0"/>
        <w:spacing w:line="240" w:lineRule="auto"/>
        <w:jc w:val="both"/>
      </w:pPr>
      <w:r>
        <w:rPr>
          <w:rFonts w:hint="eastAsia" w:ascii="黑体" w:hAnsi="黑体" w:eastAsia="黑体"/>
          <w:bCs/>
          <w:kern w:val="0"/>
        </w:rPr>
        <w:t>6.</w:t>
      </w:r>
      <w:r>
        <w:rPr>
          <w:rFonts w:ascii="黑体" w:hAnsi="黑体" w:eastAsia="黑体"/>
          <w:bCs/>
          <w:kern w:val="0"/>
        </w:rPr>
        <w:t>8</w:t>
      </w:r>
      <w:r>
        <w:rPr>
          <w:rFonts w:hint="eastAsia" w:ascii="黑体" w:hAnsi="黑体" w:eastAsia="黑体"/>
          <w:bCs/>
          <w:kern w:val="0"/>
        </w:rPr>
        <w:t>  </w:t>
      </w:r>
      <w:r>
        <w:rPr>
          <w:rFonts w:hint="eastAsia" w:ascii="宋体" w:hAnsi="宋体" w:cs="宋体"/>
        </w:rPr>
        <w:t>岩溶地区，特别是碳酸盐岩之上覆盖有饱和砂、砾石层和有土洞存在的红黏土层时，应考虑降低地下水引起次生灾害的可能性。</w:t>
      </w:r>
    </w:p>
    <w:p w14:paraId="0FDC7EAC">
      <w:pPr>
        <w:pStyle w:val="2"/>
        <w:keepLines w:val="0"/>
        <w:spacing w:before="312" w:beforeLines="100" w:after="312" w:afterLines="100" w:line="240" w:lineRule="auto"/>
        <w:rPr>
          <w:rFonts w:hint="eastAsia" w:ascii="黑体" w:hAnsi="黑体" w:eastAsia="黑体"/>
          <w:b w:val="0"/>
          <w:bCs w:val="0"/>
          <w:sz w:val="21"/>
          <w:szCs w:val="21"/>
        </w:rPr>
      </w:pPr>
      <w:bookmarkStart w:id="565" w:name="_Toc31462"/>
      <w:bookmarkStart w:id="566" w:name="_Toc142730220"/>
      <w:bookmarkStart w:id="567" w:name="_Toc29708"/>
      <w:r>
        <w:rPr>
          <w:rFonts w:hint="eastAsia" w:ascii="黑体" w:hAnsi="黑体" w:eastAsia="黑体"/>
          <w:b w:val="0"/>
          <w:bCs w:val="0"/>
          <w:sz w:val="21"/>
          <w:szCs w:val="21"/>
        </w:rPr>
        <w:t>7</w:t>
      </w:r>
      <w:bookmarkEnd w:id="563"/>
      <w:bookmarkEnd w:id="564"/>
      <w:r>
        <w:rPr>
          <w:rFonts w:hint="eastAsia" w:ascii="黑体" w:hAnsi="黑体" w:eastAsia="黑体"/>
          <w:b w:val="0"/>
          <w:bCs w:val="0"/>
          <w:sz w:val="21"/>
          <w:szCs w:val="21"/>
        </w:rPr>
        <w:t>  水文地质勘察</w:t>
      </w:r>
      <w:bookmarkEnd w:id="565"/>
      <w:bookmarkEnd w:id="566"/>
      <w:bookmarkEnd w:id="567"/>
    </w:p>
    <w:p w14:paraId="18A56636">
      <w:pPr>
        <w:spacing w:before="156" w:beforeLines="50" w:after="156" w:afterLines="50" w:line="240" w:lineRule="auto"/>
        <w:outlineLvl w:val="1"/>
        <w:rPr>
          <w:rFonts w:hint="eastAsia" w:ascii="黑体" w:hAnsi="黑体" w:eastAsia="黑体"/>
          <w:bCs/>
          <w:szCs w:val="32"/>
        </w:rPr>
      </w:pPr>
      <w:bookmarkStart w:id="568" w:name="_Toc10987"/>
      <w:bookmarkStart w:id="569" w:name="_Toc23799"/>
      <w:bookmarkStart w:id="570" w:name="_Toc142730221"/>
      <w:r>
        <w:rPr>
          <w:rFonts w:hint="eastAsia" w:ascii="黑体" w:hAnsi="黑体" w:eastAsia="黑体"/>
          <w:bCs/>
          <w:szCs w:val="32"/>
        </w:rPr>
        <w:t>7</w:t>
      </w:r>
      <w:r>
        <w:rPr>
          <w:rFonts w:ascii="黑体" w:hAnsi="黑体" w:eastAsia="黑体"/>
          <w:bCs/>
          <w:szCs w:val="32"/>
        </w:rPr>
        <w:t>.1</w:t>
      </w:r>
      <w:bookmarkEnd w:id="568"/>
      <w:bookmarkEnd w:id="569"/>
      <w:r>
        <w:rPr>
          <w:rFonts w:hint="eastAsia" w:ascii="黑体" w:hAnsi="黑体" w:eastAsia="黑体"/>
          <w:bCs/>
          <w:szCs w:val="32"/>
        </w:rPr>
        <w:t>  一般规定</w:t>
      </w:r>
      <w:bookmarkEnd w:id="570"/>
    </w:p>
    <w:p w14:paraId="12131555">
      <w:pPr>
        <w:spacing w:line="240" w:lineRule="auto"/>
        <w:rPr>
          <w:rFonts w:hint="eastAsia" w:ascii="宋体" w:hAnsi="宋体" w:cs="宋体"/>
        </w:rPr>
      </w:pPr>
      <w:r>
        <w:rPr>
          <w:rFonts w:hint="eastAsia" w:ascii="黑体" w:hAnsi="黑体" w:eastAsia="黑体"/>
          <w:bCs/>
          <w:kern w:val="0"/>
        </w:rPr>
        <w:t>7.1.1</w:t>
      </w:r>
      <w:r>
        <w:rPr>
          <w:rFonts w:hint="eastAsia" w:ascii="宋体" w:hAnsi="宋体" w:cs="宋体"/>
        </w:rPr>
        <w:t>工程需要时是指基坑开挖影响范围内存在对变形</w:t>
      </w:r>
      <w:r>
        <w:rPr>
          <w:rFonts w:ascii="宋体" w:hAnsi="宋体" w:cs="宋体"/>
        </w:rPr>
        <w:t>控制要求较高的</w:t>
      </w:r>
      <w:r>
        <w:rPr>
          <w:rFonts w:hint="eastAsia" w:ascii="宋体" w:hAnsi="宋体" w:cs="宋体"/>
        </w:rPr>
        <w:t>重要保护对象或设计施工过程中发现岩土工程勘察报告难以满足地下水控制要求的</w:t>
      </w:r>
      <w:r>
        <w:rPr>
          <w:rFonts w:ascii="宋体" w:hAnsi="宋体" w:cs="宋体"/>
        </w:rPr>
        <w:t>工程</w:t>
      </w:r>
      <w:r>
        <w:rPr>
          <w:rFonts w:hint="eastAsia" w:ascii="宋体" w:hAnsi="宋体" w:cs="宋体"/>
        </w:rPr>
        <w:t>。</w:t>
      </w:r>
      <w:r>
        <w:rPr>
          <w:rFonts w:ascii="宋体" w:hAnsi="宋体" w:cs="宋体"/>
        </w:rPr>
        <w:t>鉴于勘察阶段仍</w:t>
      </w:r>
      <w:r>
        <w:rPr>
          <w:rFonts w:hint="eastAsia" w:ascii="宋体" w:hAnsi="宋体" w:cs="宋体"/>
        </w:rPr>
        <w:t>存在</w:t>
      </w:r>
      <w:r>
        <w:rPr>
          <w:rFonts w:ascii="宋体" w:hAnsi="宋体" w:cs="宋体"/>
        </w:rPr>
        <w:t>工程、地质、环境等不确定因素，有时需补充勘察或专项水文地质勘察。对于水文地质条件简单的工程，若现有岩土工程勘察报告足以支撑降水方案设计，即可直接作为设计依据</w:t>
      </w:r>
      <w:r>
        <w:rPr>
          <w:rFonts w:hint="eastAsia" w:ascii="宋体" w:hAnsi="宋体" w:cs="宋体"/>
        </w:rPr>
        <w:t>。</w:t>
      </w:r>
    </w:p>
    <w:p w14:paraId="6969F457">
      <w:pPr>
        <w:spacing w:before="156" w:beforeLines="50" w:after="156" w:afterLines="50" w:line="240" w:lineRule="auto"/>
        <w:outlineLvl w:val="1"/>
        <w:rPr>
          <w:rFonts w:hint="eastAsia" w:ascii="黑体" w:hAnsi="黑体" w:eastAsia="黑体"/>
          <w:bCs/>
          <w:szCs w:val="32"/>
        </w:rPr>
      </w:pPr>
      <w:bookmarkStart w:id="571" w:name="_Toc142730222"/>
      <w:r>
        <w:rPr>
          <w:rFonts w:hint="eastAsia" w:ascii="黑体" w:hAnsi="黑体" w:eastAsia="黑体"/>
          <w:bCs/>
          <w:szCs w:val="32"/>
        </w:rPr>
        <w:t>7.3  </w:t>
      </w:r>
      <w:bookmarkEnd w:id="571"/>
      <w:r>
        <w:rPr>
          <w:rFonts w:hint="eastAsia" w:ascii="黑体" w:hAnsi="黑体" w:eastAsia="黑体"/>
          <w:bCs/>
          <w:szCs w:val="32"/>
        </w:rPr>
        <w:t>水文地质钻探</w:t>
      </w:r>
    </w:p>
    <w:p w14:paraId="285C86CE">
      <w:pPr>
        <w:spacing w:line="240" w:lineRule="auto"/>
        <w:rPr>
          <w:rFonts w:hint="eastAsia" w:ascii="宋体" w:hAnsi="宋体" w:cs="宋体"/>
        </w:rPr>
      </w:pPr>
      <w:r>
        <w:rPr>
          <w:rFonts w:hint="eastAsia" w:ascii="黑体" w:hAnsi="黑体" w:eastAsia="黑体"/>
          <w:bCs/>
          <w:kern w:val="0"/>
        </w:rPr>
        <w:t>7.3.2  </w:t>
      </w:r>
      <w:r>
        <w:rPr>
          <w:rFonts w:hint="eastAsia" w:ascii="宋体" w:hAnsi="宋体" w:cs="宋体"/>
        </w:rPr>
        <w:t>当含水层渗透性较好，在进行大降深抽水时，抽水试验井及其附近的一定范围内都会产生紊流，而裘布依公式没有考虑地下水产生紊流时造成的水头损失。因此，利用现有公式计算参数的抽水试验，布设观测井应尽量避开紊流的影响。大量</w:t>
      </w:r>
      <w:r>
        <w:rPr>
          <w:rFonts w:ascii="宋体" w:hAnsi="宋体" w:cs="宋体"/>
        </w:rPr>
        <w:t>工程实践及理论研究成果表明，</w:t>
      </w:r>
      <w:r>
        <w:rPr>
          <w:rFonts w:hint="eastAsia" w:ascii="宋体" w:hAnsi="宋体" w:cs="宋体"/>
        </w:rPr>
        <w:t>紊流区的范围一般在抽水试验井的1 m～3 m范围内。本条文规定距抽水试验井最近的第一口观测井的距离不宜小于5 m。</w:t>
      </w:r>
    </w:p>
    <w:p w14:paraId="6202724D">
      <w:pPr>
        <w:pStyle w:val="14"/>
        <w:spacing w:line="240" w:lineRule="auto"/>
        <w:ind w:firstLine="420" w:firstLineChars="200"/>
        <w:jc w:val="both"/>
      </w:pPr>
      <w:r>
        <w:rPr>
          <w:rFonts w:hint="eastAsia" w:ascii="宋体" w:hAnsi="宋体" w:cs="宋体"/>
        </w:rPr>
        <w:t>表2中水文地质勘探孔的目的主要是为了查明工程场地内地下水埋藏条件、抽水试验井和观测井的地层结构及各地层物理力学特性等，岩土工程勘察孔可与水文地质勘探孔合并使用。地下水控制等级为三级，没有工程经验时，应按照地下水控制等级为二级的要求设置抽水试验井及观测井。对于基岩裂隙水、岩溶水等赋水条件复杂且分布极不均匀的情况，抽水试验井、观测井应优先布置在地质钻探施工过程中岩石破碎、冲洗液渗漏、掉钻等现象比较严重的区段。</w:t>
      </w:r>
    </w:p>
    <w:p w14:paraId="7351D323">
      <w:pPr>
        <w:spacing w:line="240" w:lineRule="auto"/>
        <w:rPr>
          <w:rFonts w:hint="eastAsia" w:ascii="宋体" w:hAnsi="宋体" w:cs="宋体"/>
        </w:rPr>
      </w:pPr>
      <w:r>
        <w:rPr>
          <w:rFonts w:hint="eastAsia" w:ascii="黑体" w:hAnsi="黑体" w:eastAsia="黑体"/>
          <w:bCs/>
          <w:kern w:val="0"/>
        </w:rPr>
        <w:t>7.3.3 </w:t>
      </w:r>
      <w:r>
        <w:rPr>
          <w:rFonts w:hint="eastAsia" w:ascii="宋体" w:hAnsi="宋体" w:eastAsia="黑体" w:cs="宋体"/>
        </w:rPr>
        <w:t> </w:t>
      </w:r>
      <w:r>
        <w:rPr>
          <w:rFonts w:hint="eastAsia" w:ascii="宋体" w:hAnsi="宋体" w:cs="宋体"/>
        </w:rPr>
        <w:t>一级阶地通常分布有互层土，这种土的水平渗透系数远远大于垂直渗透系数，是降水与土方开挖的难点，静力触探是探明互层土组成与空间分布的有效手段。</w:t>
      </w:r>
    </w:p>
    <w:p w14:paraId="7BC32E12">
      <w:pPr>
        <w:spacing w:line="240" w:lineRule="auto"/>
        <w:rPr>
          <w:rFonts w:hint="eastAsia" w:ascii="宋体" w:hAnsi="宋体" w:cs="宋体"/>
        </w:rPr>
      </w:pPr>
      <w:r>
        <w:rPr>
          <w:rFonts w:hint="eastAsia" w:ascii="黑体" w:hAnsi="黑体" w:eastAsia="黑体"/>
          <w:bCs/>
          <w:kern w:val="0"/>
        </w:rPr>
        <w:t>7.3.4</w:t>
      </w:r>
      <w:r>
        <w:rPr>
          <w:rFonts w:hint="eastAsia" w:ascii="宋体" w:hAnsi="宋体" w:eastAsia="黑体" w:cs="宋体"/>
        </w:rPr>
        <w:t> </w:t>
      </w:r>
      <w:r>
        <w:rPr>
          <w:rFonts w:hint="eastAsia" w:ascii="宋体" w:hAnsi="宋体" w:cs="宋体"/>
        </w:rPr>
        <w:t>布置勘察工作要考虑对场地水文地质条件有影响的多种因素，</w:t>
      </w:r>
      <w:r>
        <w:rPr>
          <w:rFonts w:hint="eastAsia"/>
          <w:bCs/>
          <w:kern w:val="0"/>
        </w:rPr>
        <w:t>水文地质勘探孔应</w:t>
      </w:r>
      <w:r>
        <w:rPr>
          <w:rFonts w:hint="eastAsia" w:ascii="宋体" w:hAnsi="宋体" w:cs="宋体"/>
        </w:rPr>
        <w:t>能反映场地的水文地质条件，并能够控制各含水层的空间分布。</w:t>
      </w:r>
    </w:p>
    <w:p w14:paraId="4727BEA1">
      <w:pPr>
        <w:widowControl/>
        <w:spacing w:line="240" w:lineRule="auto"/>
      </w:pPr>
      <w:r>
        <w:rPr>
          <w:rFonts w:hint="eastAsia" w:ascii="黑体" w:hAnsi="黑体" w:eastAsia="黑体"/>
          <w:bCs/>
          <w:kern w:val="0"/>
        </w:rPr>
        <w:t>7.3.6 </w:t>
      </w:r>
      <w:r>
        <w:rPr>
          <w:rFonts w:hint="eastAsia"/>
        </w:rPr>
        <w:t>洗井是成井工艺的一项非常重要的工序，主要目的是彻底清除井内泥浆，破坏孔壁泥皮，抽出渗入含水层中的泥浆和细小颗粒，使过滤器周围形成一个良好的人工过滤层，以增加井孔出水量。为防止泥皮硬化，在下管填砾后应立即进行洗井。洗井方法应根据含水层特性、管井结构及管井强度等因素综合确定。</w:t>
      </w:r>
    </w:p>
    <w:p w14:paraId="692280D4">
      <w:pPr>
        <w:widowControl/>
        <w:spacing w:line="240" w:lineRule="auto"/>
        <w:ind w:firstLine="420" w:firstLineChars="200"/>
      </w:pPr>
      <w:r>
        <w:rPr>
          <w:rFonts w:hint="eastAsia"/>
        </w:rPr>
        <w:t>注水冲孔洗井法是采用成孔钻机自带水泵，通过钻杆压入清水，在高压水流的喷射作用下，上下移动钻杆，逐段冲洗，起到清洗的目的。</w:t>
      </w:r>
    </w:p>
    <w:p w14:paraId="32C6D3E1">
      <w:pPr>
        <w:widowControl/>
        <w:spacing w:line="240" w:lineRule="auto"/>
        <w:ind w:firstLine="420" w:firstLineChars="200"/>
      </w:pPr>
      <w:r>
        <w:rPr>
          <w:rFonts w:hint="eastAsia"/>
        </w:rPr>
        <w:t>空压机洗井方式为振荡洗井，采用空压机连接风管，下置于管内后通过送风→停风→再送风→再停风的循环流程，上下移动风管，逐段冲洗。它适合于任何一种管材与口径的井孔。</w:t>
      </w:r>
    </w:p>
    <w:p w14:paraId="4AC93DB1">
      <w:pPr>
        <w:widowControl/>
        <w:spacing w:line="240" w:lineRule="auto"/>
        <w:ind w:firstLine="420" w:firstLineChars="200"/>
      </w:pPr>
      <w:r>
        <w:rPr>
          <w:rFonts w:hint="eastAsia"/>
        </w:rPr>
        <w:t>水泵洗井为最常用的一种洗井方法，通过深井泵持续抽水达到泥浆置换、水清砂净的目的。</w:t>
      </w:r>
    </w:p>
    <w:p w14:paraId="78EC5D9B">
      <w:pPr>
        <w:widowControl/>
        <w:spacing w:line="240" w:lineRule="auto"/>
        <w:ind w:firstLine="420" w:firstLineChars="200"/>
      </w:pPr>
      <w:r>
        <w:rPr>
          <w:rFonts w:hint="eastAsia"/>
        </w:rPr>
        <w:t>活塞洗井法是利用活塞在管内反复提拉造成的瞬时局部真空，破坏泥皮进行洗井，一般通过自上而下逐段洗井。其洗井强度大，效果好，但对井管强度要求较高。</w:t>
      </w:r>
    </w:p>
    <w:p w14:paraId="74035770">
      <w:pPr>
        <w:pStyle w:val="32"/>
        <w:spacing w:after="0" w:line="240" w:lineRule="auto"/>
        <w:ind w:left="0" w:leftChars="0" w:firstLine="420"/>
        <w:rPr>
          <w:rFonts w:hint="default" w:ascii="Times New Roman" w:hAnsi="Times New Roman" w:eastAsia="宋体"/>
        </w:rPr>
      </w:pPr>
      <w:r>
        <w:rPr>
          <w:rFonts w:ascii="Times New Roman" w:hAnsi="Times New Roman" w:eastAsia="宋体"/>
        </w:rPr>
        <w:t>联合洗井有压风机水泵接力洗井和活塞送风（水）洗井，压风机水泵接力洗井是指通过压风机、水泵同时进行工作，水泵冲洗下部沉淀物，由上部压风机排出；活塞送风（水）洗井是在混合器下部加一个洗井活塞，送风（水）的同时上下提动活塞，洗井效果好，时间短。</w:t>
      </w:r>
    </w:p>
    <w:p w14:paraId="5658DFDC">
      <w:pPr>
        <w:spacing w:line="240" w:lineRule="auto"/>
        <w:ind w:firstLine="420" w:firstLineChars="200"/>
      </w:pPr>
      <w:r>
        <w:rPr>
          <w:rFonts w:hint="eastAsia"/>
        </w:rPr>
        <w:t>本条文规定基岩中抽水试验井成井井径不宜小于219 mm，主要是基于基岩含水层赋水条件复杂且出水量极不均匀的特点；在进行抽水试验时，应充分考虑不同抽水设备的安装和试验降深的需求，抽水井成井井径不宜过小。在地下水控制设计阶段则可依据含水层水量的大小，调整井径。</w:t>
      </w:r>
    </w:p>
    <w:p w14:paraId="700F72BF">
      <w:pPr>
        <w:spacing w:line="240" w:lineRule="auto"/>
        <w:rPr>
          <w:rFonts w:hint="eastAsia" w:ascii="宋体" w:hAnsi="宋体" w:cs="宋体"/>
        </w:rPr>
      </w:pPr>
      <w:r>
        <w:rPr>
          <w:rFonts w:hint="eastAsia" w:ascii="黑体" w:hAnsi="黑体" w:eastAsia="黑体"/>
          <w:bCs/>
          <w:kern w:val="0"/>
        </w:rPr>
        <w:t>7.3.10 </w:t>
      </w:r>
      <w:r>
        <w:rPr>
          <w:rFonts w:hint="eastAsia" w:ascii="宋体" w:hAnsi="宋体" w:cs="宋体"/>
        </w:rPr>
        <w:t>因钻孔没有封孔或封孔质量不严而造成的基坑突涌事故较多，应引起高度重视；封孔施工方案应根据地质结构、水文地质条件，结合周边环境、建（构）筑物要求、施工工法等条件进行编制。勘察单位应采取措施，建立封孔质量保证体系，确保封孔质量。</w:t>
      </w:r>
    </w:p>
    <w:p w14:paraId="0D973DBD">
      <w:pPr>
        <w:spacing w:before="156" w:beforeLines="50" w:after="156" w:afterLines="50" w:line="240" w:lineRule="auto"/>
        <w:outlineLvl w:val="1"/>
        <w:rPr>
          <w:rFonts w:hint="eastAsia" w:ascii="黑体" w:hAnsi="黑体" w:eastAsia="黑体"/>
          <w:bCs/>
          <w:szCs w:val="32"/>
        </w:rPr>
      </w:pPr>
      <w:bookmarkStart w:id="572" w:name="_Toc142730224"/>
      <w:r>
        <w:rPr>
          <w:rFonts w:hint="eastAsia" w:ascii="黑体" w:hAnsi="黑体" w:eastAsia="黑体"/>
          <w:bCs/>
          <w:szCs w:val="32"/>
        </w:rPr>
        <w:t>7.4  水文地质试验</w:t>
      </w:r>
      <w:bookmarkEnd w:id="572"/>
    </w:p>
    <w:p w14:paraId="6277946D">
      <w:pPr>
        <w:pStyle w:val="14"/>
        <w:spacing w:line="240" w:lineRule="auto"/>
        <w:rPr>
          <w:kern w:val="0"/>
        </w:rPr>
      </w:pPr>
      <w:r>
        <w:rPr>
          <w:rFonts w:hint="eastAsia" w:ascii="黑体" w:hAnsi="黑体" w:eastAsia="黑体"/>
          <w:bCs/>
          <w:kern w:val="0"/>
        </w:rPr>
        <w:t>7.4.1  </w:t>
      </w:r>
      <w:r>
        <w:rPr>
          <w:rFonts w:hint="eastAsia"/>
          <w:kern w:val="0"/>
        </w:rPr>
        <w:t>水文地质试验是为测定水文地质参数和了解地下水的运动规律而进行的试验工作，常用的水文地质试验包括抽水试验、注水试验等；如图7</w:t>
      </w:r>
      <w:r>
        <w:rPr>
          <w:kern w:val="0"/>
        </w:rPr>
        <w:t>.4.1</w:t>
      </w:r>
      <w:r>
        <w:rPr>
          <w:rFonts w:hint="eastAsia"/>
          <w:kern w:val="0"/>
        </w:rPr>
        <w:t>所示，当场地内存在多层含水层，试验过程中需要分层观测地下水位时，应对目标含水层之外的地层严格止水，止水段厚度不宜小于5 m，止水方法可采用黏土球围填、压力灌浆、托盘止水等。松散含水层可采用套管隔离变径钻进，变径钻进最小成孔口径不应小于75 mm。</w:t>
      </w:r>
    </w:p>
    <w:p w14:paraId="788BCA95">
      <w:pPr>
        <w:pStyle w:val="252"/>
        <w:spacing w:line="240" w:lineRule="auto"/>
        <w:ind w:left="0" w:leftChars="0" w:firstLine="480" w:firstLineChars="200"/>
        <w:jc w:val="center"/>
      </w:pPr>
      <w:r>
        <w:rPr>
          <w:rFonts w:ascii="宋体" w:hAnsi="宋体" w:cs="宋体"/>
          <w:sz w:val="24"/>
        </w:rPr>
        <w:drawing>
          <wp:inline distT="0" distB="0" distL="114300" distR="114300">
            <wp:extent cx="2682240" cy="2160270"/>
            <wp:effectExtent l="0" t="0" r="3810" b="11430"/>
            <wp:docPr id="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56"/>
                    <pic:cNvPicPr>
                      <a:picLocks noChangeAspect="1"/>
                    </pic:cNvPicPr>
                  </pic:nvPicPr>
                  <pic:blipFill>
                    <a:blip r:embed="rId100"/>
                    <a:stretch>
                      <a:fillRect/>
                    </a:stretch>
                  </pic:blipFill>
                  <pic:spPr>
                    <a:xfrm>
                      <a:off x="0" y="0"/>
                      <a:ext cx="2682240" cy="2160270"/>
                    </a:xfrm>
                    <a:prstGeom prst="rect">
                      <a:avLst/>
                    </a:prstGeom>
                    <a:noFill/>
                    <a:ln w="9525">
                      <a:noFill/>
                    </a:ln>
                  </pic:spPr>
                </pic:pic>
              </a:graphicData>
            </a:graphic>
          </wp:inline>
        </w:drawing>
      </w:r>
    </w:p>
    <w:p w14:paraId="6CDEFB03">
      <w:pPr>
        <w:pStyle w:val="252"/>
        <w:spacing w:before="156" w:beforeLines="50" w:after="156" w:afterLines="50" w:line="240" w:lineRule="auto"/>
        <w:ind w:left="0" w:leftChars="0"/>
        <w:jc w:val="center"/>
        <w:rPr>
          <w:rFonts w:hint="eastAsia" w:ascii="黑体" w:hAnsi="黑体" w:eastAsia="黑体" w:cs="黑体"/>
        </w:rPr>
      </w:pPr>
      <w:r>
        <w:rPr>
          <w:rFonts w:hint="eastAsia" w:ascii="黑体" w:hAnsi="黑体" w:eastAsia="黑体" w:cs="黑体"/>
        </w:rPr>
        <w:t>图</w:t>
      </w:r>
      <w:r>
        <w:rPr>
          <w:rFonts w:ascii="黑体" w:hAnsi="黑体" w:eastAsia="黑体" w:cs="黑体"/>
        </w:rPr>
        <w:t>7.4.1</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水位分层观测止水示意图 </w:t>
      </w:r>
    </w:p>
    <w:p w14:paraId="7DDC640C">
      <w:pPr>
        <w:spacing w:line="240" w:lineRule="auto"/>
        <w:rPr>
          <w:rFonts w:hint="eastAsia" w:ascii="宋体" w:hAnsi="宋体" w:cs="宋体"/>
        </w:rPr>
      </w:pPr>
      <w:r>
        <w:rPr>
          <w:rFonts w:hint="eastAsia" w:ascii="黑体" w:hAnsi="黑体" w:eastAsia="黑体"/>
          <w:bCs/>
          <w:kern w:val="0"/>
        </w:rPr>
        <w:t>7.4.2、7.4.3  </w:t>
      </w:r>
      <w:r>
        <w:rPr>
          <w:rFonts w:hint="eastAsia" w:ascii="宋体" w:hAnsi="宋体" w:cs="宋体"/>
        </w:rPr>
        <w:t>应根据场地水文地质条件和勘察目的选择适宜的试验方法，以保证求取的水文地质参数符合实际。抽水试验分为单井抽水和多井抽水。单井抽水试验仅在一个试验井中抽水，用以确定出水量与水位降深的关系，初步测定含水层渗透系数。多井抽水试验在一个主井内抽水，在其周围设置若干个观测井观测地下水位，通过多井抽水试验可以求得较为确切的水文地质参数和含水层不同方向的渗透性及边界条件。</w:t>
      </w:r>
    </w:p>
    <w:p w14:paraId="479EB9FD">
      <w:pPr>
        <w:spacing w:line="240" w:lineRule="auto"/>
        <w:ind w:firstLine="420" w:firstLineChars="200"/>
        <w:rPr>
          <w:rFonts w:hint="eastAsia" w:ascii="宋体" w:hAnsi="宋体" w:cs="宋体"/>
        </w:rPr>
      </w:pPr>
      <w:r>
        <w:rPr>
          <w:rFonts w:hint="eastAsia" w:ascii="宋体" w:hAnsi="宋体" w:cs="宋体"/>
        </w:rPr>
        <w:t>稳定流抽水试验的稳定标准，是指在一定时间段内，抽水量的波动值不超过正常流量的5 %，抽水井水位波动值不超过</w:t>
      </w:r>
      <w:r>
        <w:rPr>
          <w:rFonts w:hint="eastAsia"/>
        </w:rPr>
        <w:t>5cm</w:t>
      </w:r>
      <w:r>
        <w:rPr>
          <w:rFonts w:hint="eastAsia" w:ascii="宋体" w:hAnsi="宋体" w:cs="宋体"/>
        </w:rPr>
        <w:t>，观测井水位波动值不超过3cm。稳定延续时间是指某一降深下，相应的流量和动水位趋于稳定后的延续时间。</w:t>
      </w:r>
    </w:p>
    <w:p w14:paraId="61838C57">
      <w:pPr>
        <w:spacing w:line="240" w:lineRule="auto"/>
        <w:ind w:firstLine="420" w:firstLineChars="200"/>
        <w:rPr>
          <w:rFonts w:hint="eastAsia" w:ascii="宋体" w:hAnsi="宋体" w:cs="宋体"/>
        </w:rPr>
      </w:pPr>
      <w:r>
        <w:rPr>
          <w:rFonts w:hint="eastAsia" w:ascii="宋体" w:hAnsi="宋体" w:cs="宋体"/>
        </w:rPr>
        <w:t>非稳定流抽水试验要求为：采用定流量时，流量变化幅度不宜大于3 %；采用定降深抽水时，水位变化幅度不宜超过1 %。抽水试验的延续时间可根据非稳定流计算方法和实际需要来确定。</w:t>
      </w:r>
    </w:p>
    <w:p w14:paraId="638B15AE">
      <w:pPr>
        <w:spacing w:before="156" w:beforeLines="50" w:after="156" w:afterLines="50" w:line="240" w:lineRule="auto"/>
        <w:outlineLvl w:val="1"/>
        <w:rPr>
          <w:rFonts w:hint="eastAsia" w:ascii="黑体" w:hAnsi="黑体" w:eastAsia="黑体"/>
          <w:bCs/>
          <w:szCs w:val="32"/>
        </w:rPr>
      </w:pPr>
      <w:bookmarkStart w:id="573" w:name="_Toc142730225"/>
      <w:r>
        <w:rPr>
          <w:rFonts w:hint="eastAsia" w:ascii="黑体" w:hAnsi="黑体" w:eastAsia="黑体"/>
          <w:bCs/>
          <w:szCs w:val="32"/>
        </w:rPr>
        <w:t>7.5  水文地质勘察成果</w:t>
      </w:r>
      <w:bookmarkEnd w:id="573"/>
    </w:p>
    <w:p w14:paraId="1C315CBF">
      <w:pPr>
        <w:spacing w:line="240" w:lineRule="auto"/>
        <w:rPr>
          <w:rFonts w:hint="eastAsia" w:ascii="宋体" w:hAnsi="宋体" w:cs="宋体"/>
        </w:rPr>
      </w:pPr>
      <w:r>
        <w:rPr>
          <w:rFonts w:ascii="黑体" w:hAnsi="黑体" w:eastAsia="黑体"/>
        </w:rPr>
        <w:t>7.5</w:t>
      </w:r>
      <w:r>
        <w:rPr>
          <w:rFonts w:hint="eastAsia" w:ascii="黑体" w:hAnsi="黑体" w:eastAsia="黑体"/>
        </w:rPr>
        <w:t>  </w:t>
      </w:r>
      <w:r>
        <w:rPr>
          <w:rFonts w:ascii="宋体" w:hAnsi="宋体" w:cs="宋体"/>
        </w:rPr>
        <w:t>水文地质勘察成果一般是结合岩土工程勘察报告进行编制</w:t>
      </w:r>
      <w:r>
        <w:rPr>
          <w:rFonts w:hint="eastAsia" w:ascii="宋体" w:hAnsi="宋体" w:cs="宋体"/>
        </w:rPr>
        <w:t>。</w:t>
      </w:r>
      <w:r>
        <w:rPr>
          <w:rFonts w:ascii="宋体" w:hAnsi="宋体" w:cs="宋体"/>
        </w:rPr>
        <w:t>由于工程规模大小不同、工程特点及地质条件差别较大，本条只规定了报告</w:t>
      </w:r>
      <w:r>
        <w:rPr>
          <w:rFonts w:hint="eastAsia" w:ascii="宋体" w:hAnsi="宋体" w:cs="宋体"/>
        </w:rPr>
        <w:t>包含</w:t>
      </w:r>
      <w:r>
        <w:rPr>
          <w:rFonts w:ascii="宋体" w:hAnsi="宋体" w:cs="宋体"/>
        </w:rPr>
        <w:t>的基本内容，工程师可根据具体情况加以选用</w:t>
      </w:r>
      <w:r>
        <w:rPr>
          <w:rFonts w:hint="eastAsia" w:ascii="宋体" w:hAnsi="宋体" w:cs="宋体"/>
        </w:rPr>
        <w:t>，</w:t>
      </w:r>
      <w:r>
        <w:rPr>
          <w:rFonts w:ascii="宋体" w:hAnsi="宋体" w:cs="宋体"/>
        </w:rPr>
        <w:t>也可根据任务要求提交专题报告</w:t>
      </w:r>
      <w:r>
        <w:rPr>
          <w:rFonts w:hint="eastAsia" w:ascii="宋体" w:hAnsi="宋体" w:cs="宋体"/>
        </w:rPr>
        <w:t>，</w:t>
      </w:r>
      <w:r>
        <w:rPr>
          <w:rFonts w:ascii="宋体" w:hAnsi="宋体" w:cs="宋体"/>
        </w:rPr>
        <w:t>如抽水试验报告、注水试验报告等。</w:t>
      </w:r>
    </w:p>
    <w:p w14:paraId="33766E14">
      <w:pPr>
        <w:pStyle w:val="2"/>
        <w:keepLines w:val="0"/>
        <w:spacing w:before="312" w:beforeLines="100" w:after="312" w:afterLines="100" w:line="240" w:lineRule="auto"/>
        <w:rPr>
          <w:rFonts w:hint="eastAsia" w:ascii="黑体" w:hAnsi="黑体" w:eastAsia="黑体"/>
          <w:b w:val="0"/>
          <w:bCs w:val="0"/>
          <w:sz w:val="21"/>
          <w:szCs w:val="21"/>
        </w:rPr>
      </w:pPr>
      <w:bookmarkStart w:id="574" w:name="_Toc142730226"/>
      <w:bookmarkStart w:id="575" w:name="_Toc11175"/>
      <w:bookmarkStart w:id="576" w:name="_Toc1261"/>
      <w:r>
        <w:rPr>
          <w:rFonts w:hint="eastAsia" w:ascii="黑体" w:hAnsi="黑体" w:eastAsia="黑体"/>
          <w:b w:val="0"/>
          <w:bCs w:val="0"/>
          <w:sz w:val="21"/>
          <w:szCs w:val="21"/>
        </w:rPr>
        <w:t>8  隔渗</w:t>
      </w:r>
      <w:bookmarkEnd w:id="574"/>
      <w:bookmarkEnd w:id="575"/>
      <w:bookmarkEnd w:id="576"/>
    </w:p>
    <w:p w14:paraId="6B356D94">
      <w:pPr>
        <w:spacing w:before="156" w:beforeLines="50" w:after="156" w:afterLines="50" w:line="240" w:lineRule="auto"/>
        <w:outlineLvl w:val="1"/>
        <w:rPr>
          <w:rFonts w:hint="eastAsia" w:ascii="黑体" w:hAnsi="黑体" w:eastAsia="黑体"/>
          <w:bCs/>
          <w:szCs w:val="32"/>
        </w:rPr>
      </w:pPr>
      <w:bookmarkStart w:id="577" w:name="_Toc142730227"/>
      <w:bookmarkStart w:id="578" w:name="_Toc24709"/>
      <w:bookmarkStart w:id="579" w:name="_Toc142730229"/>
      <w:r>
        <w:rPr>
          <w:rFonts w:hint="eastAsia" w:ascii="黑体" w:hAnsi="黑体" w:eastAsia="黑体"/>
          <w:bCs/>
          <w:szCs w:val="32"/>
        </w:rPr>
        <w:t>8.1一般规定</w:t>
      </w:r>
    </w:p>
    <w:p w14:paraId="02DCF3A6">
      <w:pPr>
        <w:spacing w:line="240" w:lineRule="auto"/>
        <w:rPr>
          <w:rFonts w:hint="eastAsia" w:ascii="宋体" w:hAnsi="宋体" w:cs="宋体"/>
        </w:rPr>
      </w:pPr>
      <w:r>
        <w:rPr>
          <w:rFonts w:hint="eastAsia" w:ascii="黑体" w:hAnsi="黑体" w:eastAsia="黑体"/>
          <w:bCs/>
          <w:kern w:val="0"/>
        </w:rPr>
        <w:t>8.1.1</w:t>
      </w:r>
      <w:r>
        <w:rPr>
          <w:rFonts w:hint="eastAsia" w:ascii="宋体" w:hAnsi="宋体" w:cs="宋体"/>
        </w:rPr>
        <w:t>工程有特殊的隔渗要求是指河、湖等水源保护区或垃圾填埋区、化学化工区等。</w:t>
      </w:r>
    </w:p>
    <w:p w14:paraId="6F058E7E">
      <w:pPr>
        <w:spacing w:line="240" w:lineRule="auto"/>
        <w:rPr>
          <w:rFonts w:hint="eastAsia" w:ascii="黑体" w:hAnsi="黑体" w:eastAsia="黑体"/>
          <w:bCs/>
          <w:color w:val="0000FF"/>
          <w:kern w:val="0"/>
          <w:highlight w:val="yellow"/>
        </w:rPr>
      </w:pPr>
      <w:r>
        <w:rPr>
          <w:rFonts w:hint="eastAsia" w:ascii="黑体" w:hAnsi="黑体" w:eastAsia="黑体"/>
          <w:bCs/>
          <w:kern w:val="0"/>
        </w:rPr>
        <w:t>8.1.4</w:t>
      </w:r>
      <w:r>
        <w:rPr>
          <w:rFonts w:hint="eastAsia" w:ascii="宋体" w:hAnsi="宋体" w:cs="宋体"/>
        </w:rPr>
        <w:t>冷冻法也称冻结法或冷冻隔水法，是一种通过人工制冷技术，将特定的含水地层暂时冻结，形成高强度、高隔水性的冻土帷幕，以阻隔地下水渗流、稳定地层的特殊施工方法。本规程将其按施工工法分类作为隔渗帷幕的一种，目前在武汉市地铁盾构隧道掘进，特别是联络通道（旁通道）和泵房井的施工已有成功应用。本规程对冷冻法具体操作细节不作详细阐述。</w:t>
      </w:r>
      <w:r>
        <w:rPr>
          <w:rFonts w:ascii="Arial" w:hAnsi="Arial" w:eastAsia="Arial" w:cs="Arial"/>
          <w:color w:val="333333"/>
          <w:sz w:val="19"/>
          <w:szCs w:val="19"/>
          <w:highlight w:val="yellow"/>
          <w:shd w:val="clear" w:color="auto" w:fill="FFFFFF"/>
        </w:rPr>
        <w:t>‌</w:t>
      </w:r>
    </w:p>
    <w:p w14:paraId="4A6E796E">
      <w:pPr>
        <w:spacing w:before="156" w:beforeLines="50" w:after="156" w:afterLines="50" w:line="240" w:lineRule="auto"/>
        <w:outlineLvl w:val="1"/>
        <w:rPr>
          <w:rFonts w:hint="eastAsia" w:ascii="黑体" w:hAnsi="黑体" w:eastAsia="黑体"/>
          <w:bCs/>
          <w:szCs w:val="32"/>
        </w:rPr>
      </w:pPr>
      <w:r>
        <w:rPr>
          <w:rFonts w:hint="eastAsia" w:ascii="黑体" w:hAnsi="黑体" w:eastAsia="黑体"/>
          <w:bCs/>
          <w:szCs w:val="32"/>
        </w:rPr>
        <w:t>8.2  设计</w:t>
      </w:r>
      <w:bookmarkEnd w:id="577"/>
    </w:p>
    <w:p w14:paraId="41D16709">
      <w:pPr>
        <w:spacing w:line="240" w:lineRule="auto"/>
      </w:pPr>
      <w:r>
        <w:rPr>
          <w:rFonts w:hint="eastAsia" w:ascii="黑体" w:hAnsi="黑体" w:eastAsia="黑体"/>
          <w:bCs/>
          <w:kern w:val="0"/>
        </w:rPr>
        <w:t>8.2.3</w:t>
      </w:r>
      <w:r>
        <w:rPr>
          <w:rFonts w:hint="eastAsia"/>
        </w:rPr>
        <w:t>支护结构形式差异、场地限制、地质条件差别以及既有建（构）筑物影响等可能造成帷幕无需闭合或无法闭合的情况。如一侧采用钻孔灌注桩+桩间止水帷幕，另一侧采用放坡开挖，无需设置连续的竖向帷幕；或者红线范围限制、场地内存在无法迁移的障碍物（如大型基础、管线、古树名木等），导致帷幕无法按理想路径闭合。</w:t>
      </w:r>
    </w:p>
    <w:p w14:paraId="01A58DB5">
      <w:pPr>
        <w:spacing w:line="240" w:lineRule="auto"/>
        <w:rPr>
          <w:rFonts w:hint="eastAsia" w:ascii="宋体" w:hAnsi="宋体" w:cs="宋体"/>
        </w:rPr>
      </w:pPr>
      <w:r>
        <w:rPr>
          <w:rFonts w:hint="eastAsia" w:ascii="黑体" w:hAnsi="黑体" w:eastAsia="黑体"/>
          <w:bCs/>
          <w:kern w:val="0"/>
        </w:rPr>
        <w:t>8.2.</w:t>
      </w:r>
      <w:r>
        <w:rPr>
          <w:rFonts w:ascii="黑体" w:hAnsi="黑体" w:eastAsia="黑体"/>
          <w:bCs/>
          <w:kern w:val="0"/>
        </w:rPr>
        <w:t>5</w:t>
      </w:r>
      <w:r>
        <w:rPr>
          <w:rFonts w:hint="eastAsia" w:ascii="黑体" w:hAnsi="黑体" w:eastAsia="黑体"/>
          <w:bCs/>
          <w:kern w:val="0"/>
        </w:rPr>
        <w:t> </w:t>
      </w:r>
      <w:r>
        <w:rPr>
          <w:rFonts w:hint="eastAsia" w:ascii="宋体" w:hAnsi="宋体" w:cs="宋体"/>
        </w:rPr>
        <w:t>根据国内及武汉市一些采用落底式帷幕的房屋建筑及市政工程深基坑项目实例，即使采用了地下连续墙或CSM/TRD落底式帷幕，基坑内仍然会出现不同程度的渗流补给。尤其是武汉地区特殊的地层结构，如基岩面之上为强透水层，基岩内的渗流无法阻隔，即使采用了落底式帷幕，基坑内仍需布设一定数量的降水管井。</w:t>
      </w:r>
    </w:p>
    <w:p w14:paraId="4974BC15">
      <w:pPr>
        <w:keepNext/>
        <w:spacing w:before="156" w:beforeLines="50" w:after="156" w:afterLines="50" w:line="240" w:lineRule="auto"/>
        <w:outlineLvl w:val="1"/>
        <w:rPr>
          <w:rFonts w:hint="eastAsia" w:ascii="黑体" w:hAnsi="黑体" w:eastAsia="黑体"/>
          <w:bCs/>
          <w:szCs w:val="32"/>
        </w:rPr>
      </w:pPr>
      <w:bookmarkStart w:id="580" w:name="_Toc142730228"/>
      <w:r>
        <w:rPr>
          <w:rFonts w:hint="eastAsia" w:ascii="黑体" w:hAnsi="黑体" w:eastAsia="黑体"/>
          <w:bCs/>
          <w:szCs w:val="32"/>
        </w:rPr>
        <w:t>8.3  施工</w:t>
      </w:r>
      <w:bookmarkEnd w:id="580"/>
    </w:p>
    <w:p w14:paraId="747F9BF7">
      <w:pPr>
        <w:spacing w:line="264" w:lineRule="auto"/>
        <w:rPr>
          <w:rFonts w:hint="eastAsia" w:ascii="宋体" w:hAnsi="宋体" w:cs="宋体"/>
        </w:rPr>
      </w:pPr>
      <w:r>
        <w:rPr>
          <w:rFonts w:hint="eastAsia" w:ascii="黑体" w:hAnsi="黑体" w:eastAsia="黑体"/>
          <w:bCs/>
          <w:kern w:val="0"/>
        </w:rPr>
        <w:t>8.3.1  </w:t>
      </w:r>
      <w:r>
        <w:rPr>
          <w:rFonts w:hint="eastAsia" w:ascii="宋体" w:hAnsi="宋体" w:cs="宋体"/>
        </w:rPr>
        <w:t>隔渗帷幕施工前，应通过成桩（墙）试验验证施工工艺的可行性，并确定合理的施工参数，为后续规模化施工提供依据。</w:t>
      </w:r>
    </w:p>
    <w:p w14:paraId="7580E20E">
      <w:pPr>
        <w:pStyle w:val="239"/>
        <w:spacing w:line="264" w:lineRule="auto"/>
        <w:jc w:val="left"/>
        <w:rPr>
          <w:rFonts w:ascii="Arial" w:hAnsi="Arial" w:cs="Arial"/>
          <w:shd w:val="clear" w:color="auto" w:fill="FFFFFF"/>
        </w:rPr>
      </w:pPr>
      <w:r>
        <w:rPr>
          <w:rFonts w:hint="eastAsia" w:ascii="Arial" w:hAnsi="Arial" w:cs="Arial"/>
          <w:shd w:val="clear" w:color="auto" w:fill="FFFFFF"/>
        </w:rPr>
        <w:t>水泥土搅拌类隔渗帷幕的成桩（墙）试验，应重点完成以下内容：确定水泥掺量、水灰比等配合比参数；明确搅拌下沉速度、提升速度、切割速度、成墙速度等施工速度指标；确定施工深度控制方法及垂直度控制措施；验证搅拌桩在复杂地层（如有机质含量较高的淤泥、淤泥质土等）中的成桩可行性；检验外加剂的适用性，并确定其合理用量。</w:t>
      </w:r>
    </w:p>
    <w:p w14:paraId="07139E86">
      <w:pPr>
        <w:pStyle w:val="239"/>
        <w:spacing w:line="264" w:lineRule="auto"/>
        <w:jc w:val="left"/>
        <w:rPr>
          <w:rFonts w:ascii="Arial" w:hAnsi="Arial" w:cs="Arial"/>
          <w:shd w:val="clear" w:color="auto" w:fill="FFFFFF"/>
        </w:rPr>
      </w:pPr>
      <w:r>
        <w:rPr>
          <w:rFonts w:hint="eastAsia" w:ascii="Arial" w:hAnsi="Arial" w:cs="Arial"/>
          <w:shd w:val="clear" w:color="auto" w:fill="FFFFFF"/>
        </w:rPr>
        <w:t>采用咬合式排桩作为止水帷幕时，成桩（墙）试验应重点明确桩体垂直度控制方法、施工时序安排，以及前序素混凝土初凝时间的控制标准，确保桩体咬合质量满足止水要求。</w:t>
      </w:r>
    </w:p>
    <w:p w14:paraId="2C98BAC0">
      <w:pPr>
        <w:pStyle w:val="239"/>
        <w:spacing w:line="264" w:lineRule="auto"/>
        <w:jc w:val="left"/>
        <w:rPr>
          <w:rFonts w:ascii="Arial" w:hAnsi="Arial" w:cs="Arial"/>
          <w:shd w:val="clear" w:color="auto" w:fill="FFFFFF"/>
        </w:rPr>
      </w:pPr>
      <w:r>
        <w:rPr>
          <w:rFonts w:hint="eastAsia" w:ascii="Arial" w:hAnsi="Arial" w:cs="Arial"/>
          <w:shd w:val="clear" w:color="auto" w:fill="FFFFFF"/>
        </w:rPr>
        <w:t>地下连续墙作为隔渗帷幕使用时，其成桩（墙）试验可参照地下连续墙作为工程主体墙时的成桩（墙）试验相关要求执行，重点验证成槽工艺、泥浆参数及墙体施工质量控制指标。</w:t>
      </w:r>
    </w:p>
    <w:p w14:paraId="674CE729">
      <w:pPr>
        <w:pStyle w:val="239"/>
        <w:spacing w:line="264" w:lineRule="auto"/>
        <w:jc w:val="left"/>
        <w:rPr>
          <w:rFonts w:ascii="Arial" w:hAnsi="Arial" w:cs="Arial"/>
          <w:shd w:val="clear" w:color="auto" w:fill="FFFFFF"/>
        </w:rPr>
      </w:pPr>
      <w:r>
        <w:rPr>
          <w:rFonts w:hint="eastAsia" w:ascii="Arial" w:hAnsi="Arial" w:cs="Arial"/>
          <w:shd w:val="clear" w:color="auto" w:fill="FFFFFF"/>
        </w:rPr>
        <w:t>拉森钢板桩的成桩（墙）试验主要针对需要采取引孔措施的情况。</w:t>
      </w:r>
    </w:p>
    <w:p w14:paraId="77556643">
      <w:pPr>
        <w:spacing w:line="264" w:lineRule="auto"/>
      </w:pPr>
      <w:r>
        <w:rPr>
          <w:rFonts w:hint="eastAsia" w:ascii="黑体" w:hAnsi="黑体" w:eastAsia="黑体"/>
          <w:bCs/>
          <w:kern w:val="0"/>
        </w:rPr>
        <w:t>8.3.2  </w:t>
      </w:r>
      <w:r>
        <w:rPr>
          <w:rFonts w:hint="eastAsia" w:ascii="宋体" w:hAnsi="宋体" w:cs="宋体"/>
        </w:rPr>
        <w:t>水泥土搅拌类隔渗帷幕施工时，对环境保护要求高的基坑工程，宜采用挤土量小的搅拌（切削）机头或降低搅拌与喷浆速度等措施，并通过试成桩及监测结果调整施工参数。TRD工法施工时，环境复杂或邻近有保护对象时，开放区长度不宜超过10 m，并严格控制垂直度与推进速度。CSM工法施工时，深度大于30m或穿越深厚砂层、杂填土较厚等复杂地层的墙体，可采用跳槽式施工，跳槽方式应根据成墙深度、地质条件、周边环境复杂程度进行调整。</w:t>
      </w:r>
    </w:p>
    <w:p w14:paraId="670EDFCB">
      <w:pPr>
        <w:pStyle w:val="239"/>
        <w:spacing w:line="264" w:lineRule="auto"/>
        <w:jc w:val="left"/>
        <w:rPr>
          <w:rFonts w:ascii="Arial" w:hAnsi="Arial" w:cs="Arial"/>
          <w:shd w:val="clear" w:color="auto" w:fill="FFFFFF"/>
        </w:rPr>
      </w:pPr>
      <w:r>
        <w:rPr>
          <w:rFonts w:hint="eastAsia" w:ascii="Arial" w:hAnsi="Arial" w:cs="Arial"/>
          <w:shd w:val="clear" w:color="auto" w:fill="FFFFFF"/>
        </w:rPr>
        <w:t>高压喷射类隔渗帷幕施工时，应加强环境监测，严格控制喷射压力，出现异常情况应暂停作业，调整施工工艺和参数。</w:t>
      </w:r>
    </w:p>
    <w:p w14:paraId="0D32CDBB">
      <w:pPr>
        <w:pStyle w:val="239"/>
        <w:spacing w:line="264" w:lineRule="auto"/>
        <w:jc w:val="left"/>
        <w:rPr>
          <w:rFonts w:ascii="Arial" w:hAnsi="Arial" w:cs="Arial"/>
          <w:shd w:val="clear" w:color="auto" w:fill="FFFFFF"/>
        </w:rPr>
      </w:pPr>
      <w:r>
        <w:rPr>
          <w:rFonts w:hint="eastAsia" w:ascii="Arial" w:hAnsi="Arial" w:cs="Arial"/>
          <w:shd w:val="clear" w:color="auto" w:fill="FFFFFF"/>
        </w:rPr>
        <w:t>拉森钢板桩隔渗帷幕施工前应分析成桩过程以及施工结束后钢板桩拔除对周围环境的不利影响，并提出相应的措施；振动成桩宜选用高频免共振振动锤。高频免共振振动锤适用于振动敏感场地、低噪声环境、邻近重要建（构）筑物和地下管线的场地，以及其他对振动和噪声有限制的区域。</w:t>
      </w:r>
    </w:p>
    <w:p w14:paraId="746A083D">
      <w:pPr>
        <w:pStyle w:val="239"/>
        <w:spacing w:line="264" w:lineRule="auto"/>
        <w:ind w:firstLine="0" w:firstLineChars="0"/>
        <w:jc w:val="left"/>
        <w:rPr>
          <w:rFonts w:ascii="Arial" w:hAnsi="Arial" w:cs="Arial"/>
          <w:shd w:val="clear" w:color="auto" w:fill="FFFFFF"/>
        </w:rPr>
      </w:pPr>
      <w:r>
        <w:rPr>
          <w:rFonts w:hint="eastAsia" w:ascii="黑体" w:hAnsi="黑体" w:eastAsia="黑体"/>
          <w:bCs/>
        </w:rPr>
        <w:t xml:space="preserve">8.3.10 </w:t>
      </w:r>
      <w:r>
        <w:rPr>
          <w:rFonts w:hint="eastAsia" w:ascii="Arial" w:hAnsi="Arial" w:cs="Arial"/>
          <w:shd w:val="clear" w:color="auto" w:fill="FFFFFF"/>
        </w:rPr>
        <w:t>本条款附图套打施工采用的是隔一跳一的跳槽方式，当地质条件或周边环境负责时，为减少墙体施工对周边环境的影响，可采用其他的跳桩施工方式，如隔二打一等。2013年铁四院总部设计大楼基坑项目，三轴搅拌桩边线与外侧3F档案馆外轮廓线距离约2.20m，档案馆存放中铁四院多年的纸质设计文件等资料，荷载较大。且该场地上部存在一定厚度的软土，为保证档案馆的安全，该项目三轴搅拌桩采用了隔三打一的施工方案，实施效果较好。</w:t>
      </w:r>
    </w:p>
    <w:p w14:paraId="4D499FA6">
      <w:pPr>
        <w:pStyle w:val="239"/>
        <w:spacing w:line="264" w:lineRule="auto"/>
        <w:ind w:firstLine="0" w:firstLineChars="0"/>
        <w:jc w:val="left"/>
        <w:rPr>
          <w:rFonts w:ascii="Arial" w:hAnsi="Arial" w:cs="Arial"/>
          <w:shd w:val="clear" w:color="auto" w:fill="FFFFFF"/>
        </w:rPr>
      </w:pPr>
      <w:r>
        <w:rPr>
          <w:rFonts w:hint="eastAsia" w:ascii="黑体" w:hAnsi="黑体" w:eastAsia="黑体"/>
          <w:bCs/>
        </w:rPr>
        <w:t>8.3.14  </w:t>
      </w:r>
      <w:r>
        <w:rPr>
          <w:rFonts w:hint="eastAsia" w:hAnsi="宋体" w:cs="宋体"/>
          <w:shd w:val="clear" w:color="auto" w:fill="FFFFFF"/>
        </w:rPr>
        <w:t>采用钻孔桩相互咬合形成咬合排桩止水帷幕，排桩可兼支护结构。钻孔桩的排桩方式有：（1）有筋桩和无筋桩搭配：广泛应用在卵石层、块石填料区及变形敏感区等复杂岩土环境下基坑支护及止水工程；（2）有筋桩和有筋桩搭配：多用于支护桩作为后期永久结构的一部分。目前多用于隧道出入口、地铁站及盾构井等；（3）无筋桩和无筋桩搭配：多用于围堰帷幕、大坝防渗、垃圾填埋场及尾矿隔渗等。咬合桩钻孔直径宜采用1000 mm、1200 mm、1400 mm、1600 mm等规格；当有筋桩与有筋桩咬合时桩径宜相同，且直径不宜小于1200 mm。</w:t>
      </w:r>
    </w:p>
    <w:p w14:paraId="2BFC3A85">
      <w:pPr>
        <w:pStyle w:val="2"/>
        <w:keepNext w:val="0"/>
        <w:keepLines w:val="0"/>
        <w:spacing w:before="312" w:beforeLines="100" w:after="312" w:afterLines="100" w:line="240" w:lineRule="auto"/>
        <w:rPr>
          <w:rFonts w:hint="eastAsia" w:ascii="黑体" w:hAnsi="黑体" w:eastAsia="黑体"/>
          <w:b w:val="0"/>
          <w:bCs w:val="0"/>
          <w:sz w:val="21"/>
          <w:szCs w:val="21"/>
        </w:rPr>
      </w:pPr>
      <w:bookmarkStart w:id="581" w:name="_Toc10752"/>
      <w:r>
        <w:rPr>
          <w:rFonts w:hint="eastAsia" w:ascii="黑体" w:hAnsi="黑体" w:eastAsia="黑体"/>
          <w:b w:val="0"/>
          <w:bCs w:val="0"/>
          <w:sz w:val="21"/>
          <w:szCs w:val="21"/>
        </w:rPr>
        <w:t>9  降水与集水明排</w:t>
      </w:r>
      <w:bookmarkEnd w:id="578"/>
      <w:bookmarkEnd w:id="579"/>
      <w:bookmarkEnd w:id="581"/>
    </w:p>
    <w:p w14:paraId="175094BA">
      <w:pPr>
        <w:spacing w:before="156" w:beforeLines="50" w:after="156" w:afterLines="50" w:line="240" w:lineRule="auto"/>
        <w:outlineLvl w:val="1"/>
        <w:rPr>
          <w:rFonts w:hint="eastAsia" w:ascii="黑体" w:hAnsi="黑体" w:eastAsia="黑体"/>
          <w:bCs/>
          <w:szCs w:val="32"/>
        </w:rPr>
      </w:pPr>
      <w:bookmarkStart w:id="582" w:name="_Toc142730230"/>
      <w:r>
        <w:rPr>
          <w:rFonts w:hint="eastAsia" w:ascii="黑体" w:hAnsi="黑体" w:eastAsia="黑体"/>
          <w:bCs/>
          <w:szCs w:val="32"/>
        </w:rPr>
        <w:t>9.2</w:t>
      </w:r>
      <w:bookmarkEnd w:id="582"/>
      <w:r>
        <w:rPr>
          <w:rFonts w:hint="eastAsia" w:ascii="黑体" w:hAnsi="黑体" w:eastAsia="黑体"/>
          <w:bCs/>
          <w:szCs w:val="32"/>
        </w:rPr>
        <w:t>  降排水设计</w:t>
      </w:r>
    </w:p>
    <w:p w14:paraId="41E38587">
      <w:pPr>
        <w:spacing w:line="264" w:lineRule="auto"/>
        <w:rPr>
          <w:rFonts w:hint="eastAsia" w:ascii="宋体" w:hAnsi="宋体" w:cs="宋体"/>
        </w:rPr>
      </w:pPr>
      <w:r>
        <w:rPr>
          <w:rFonts w:ascii="黑体" w:hAnsi="黑体" w:eastAsia="黑体"/>
        </w:rPr>
        <w:t>9.</w:t>
      </w:r>
      <w:r>
        <w:rPr>
          <w:rFonts w:hint="eastAsia" w:ascii="黑体" w:hAnsi="黑体" w:eastAsia="黑体"/>
        </w:rPr>
        <w:t>2</w:t>
      </w:r>
      <w:r>
        <w:rPr>
          <w:rFonts w:ascii="黑体" w:hAnsi="黑体" w:eastAsia="黑体"/>
        </w:rPr>
        <w:t>.</w:t>
      </w:r>
      <w:r>
        <w:rPr>
          <w:rFonts w:hint="eastAsia" w:ascii="黑体" w:hAnsi="黑体" w:eastAsia="黑体"/>
        </w:rPr>
        <w:t>1 </w:t>
      </w:r>
      <w:r>
        <w:rPr>
          <w:rFonts w:ascii="宋体" w:hAnsi="宋体" w:cs="宋体"/>
        </w:rPr>
        <w:t>武汉市基坑</w:t>
      </w:r>
      <w:r>
        <w:rPr>
          <w:rFonts w:hint="eastAsia" w:ascii="宋体" w:hAnsi="宋体" w:cs="宋体"/>
        </w:rPr>
        <w:t>开挖的</w:t>
      </w:r>
      <w:r>
        <w:rPr>
          <w:rFonts w:ascii="宋体" w:hAnsi="宋体" w:cs="宋体"/>
        </w:rPr>
        <w:t>面积、长度、深度越来越大，部分区域开挖时段还受长江汛期的影响。当一个基坑被分成几个基坑</w:t>
      </w:r>
      <w:r>
        <w:rPr>
          <w:rFonts w:hint="eastAsia" w:ascii="宋体" w:hAnsi="宋体" w:cs="宋体"/>
        </w:rPr>
        <w:t>分区实施</w:t>
      </w:r>
      <w:r>
        <w:rPr>
          <w:rFonts w:ascii="宋体" w:hAnsi="宋体" w:cs="宋体"/>
        </w:rPr>
        <w:t>时，各分区基坑需各自独立进行降水运行</w:t>
      </w:r>
      <w:r>
        <w:rPr>
          <w:rFonts w:hint="eastAsia" w:ascii="宋体" w:hAnsi="宋体" w:cs="宋体"/>
        </w:rPr>
        <w:t>。</w:t>
      </w:r>
      <w:r>
        <w:rPr>
          <w:rFonts w:ascii="宋体" w:hAnsi="宋体" w:cs="宋体"/>
        </w:rPr>
        <w:t>降水设计时要充分考虑这一工况</w:t>
      </w:r>
      <w:r>
        <w:rPr>
          <w:rFonts w:hint="eastAsia" w:ascii="宋体" w:hAnsi="宋体" w:cs="宋体"/>
        </w:rPr>
        <w:t>，</w:t>
      </w:r>
      <w:r>
        <w:rPr>
          <w:rFonts w:ascii="宋体" w:hAnsi="宋体" w:cs="宋体"/>
        </w:rPr>
        <w:t>降水管井</w:t>
      </w:r>
      <w:r>
        <w:rPr>
          <w:rFonts w:hint="eastAsia" w:ascii="宋体" w:hAnsi="宋体" w:cs="宋体"/>
        </w:rPr>
        <w:t>平面</w:t>
      </w:r>
      <w:r>
        <w:rPr>
          <w:rFonts w:ascii="宋体" w:hAnsi="宋体" w:cs="宋体"/>
        </w:rPr>
        <w:t>布置和数量</w:t>
      </w:r>
      <w:r>
        <w:rPr>
          <w:rFonts w:hint="eastAsia" w:ascii="宋体" w:hAnsi="宋体" w:cs="宋体"/>
        </w:rPr>
        <w:t>应能</w:t>
      </w:r>
      <w:r>
        <w:rPr>
          <w:rFonts w:ascii="宋体" w:hAnsi="宋体" w:cs="宋体"/>
        </w:rPr>
        <w:t>满足基坑实际开挖</w:t>
      </w:r>
      <w:r>
        <w:rPr>
          <w:rFonts w:hint="eastAsia" w:ascii="宋体" w:hAnsi="宋体" w:cs="宋体"/>
        </w:rPr>
        <w:t>的</w:t>
      </w:r>
      <w:r>
        <w:rPr>
          <w:rFonts w:ascii="宋体" w:hAnsi="宋体" w:cs="宋体"/>
        </w:rPr>
        <w:t>要求</w:t>
      </w:r>
      <w:r>
        <w:rPr>
          <w:rFonts w:hint="eastAsia" w:ascii="宋体" w:hAnsi="宋体" w:cs="宋体"/>
        </w:rPr>
        <w:t>。</w:t>
      </w:r>
    </w:p>
    <w:p w14:paraId="79E706EC">
      <w:pPr>
        <w:spacing w:line="264" w:lineRule="auto"/>
        <w:rPr>
          <w:rFonts w:hint="eastAsia" w:ascii="黑体" w:hAnsi="黑体" w:eastAsia="黑体"/>
        </w:rPr>
      </w:pPr>
      <w:r>
        <w:rPr>
          <w:rFonts w:ascii="黑体" w:hAnsi="黑体" w:eastAsia="黑体"/>
        </w:rPr>
        <w:t>9.</w:t>
      </w:r>
      <w:r>
        <w:rPr>
          <w:rFonts w:hint="eastAsia" w:ascii="黑体" w:hAnsi="黑体" w:eastAsia="黑体"/>
        </w:rPr>
        <w:t>2.</w:t>
      </w:r>
      <w:r>
        <w:rPr>
          <w:rFonts w:ascii="黑体" w:hAnsi="黑体" w:eastAsia="黑体"/>
        </w:rPr>
        <w:t>6</w:t>
      </w:r>
      <w:r>
        <w:rPr>
          <w:rFonts w:hint="eastAsia" w:ascii="黑体" w:hAnsi="黑体" w:eastAsia="黑体"/>
        </w:rPr>
        <w:t xml:space="preserve"> </w:t>
      </w:r>
      <w:r>
        <w:rPr>
          <w:rFonts w:hint="eastAsia" w:ascii="宋体" w:hAnsi="宋体" w:cs="宋体"/>
        </w:rPr>
        <w:t>沿古河道走向，降水井平面布设常由密到疏；古河道发育区域，地层常具有“上弱下强”二元结构，降水井可采用深浅结合的布设方式；降水计算可通过建立三维渗流模型数值求解。</w:t>
      </w:r>
    </w:p>
    <w:p w14:paraId="1E5A2CC2">
      <w:pPr>
        <w:spacing w:line="264" w:lineRule="auto"/>
        <w:rPr>
          <w:rFonts w:hint="eastAsia" w:ascii="宋体" w:hAnsi="宋体" w:cs="宋体"/>
        </w:rPr>
      </w:pPr>
      <w:r>
        <w:rPr>
          <w:rFonts w:ascii="黑体" w:hAnsi="黑体" w:eastAsia="黑体"/>
        </w:rPr>
        <w:t>9.</w:t>
      </w:r>
      <w:r>
        <w:rPr>
          <w:rFonts w:hint="eastAsia" w:ascii="黑体" w:hAnsi="黑体" w:eastAsia="黑体"/>
        </w:rPr>
        <w:t>2</w:t>
      </w:r>
      <w:r>
        <w:rPr>
          <w:rFonts w:ascii="黑体" w:hAnsi="黑体" w:eastAsia="黑体"/>
        </w:rPr>
        <w:t>.</w:t>
      </w:r>
      <w:r>
        <w:rPr>
          <w:rFonts w:hint="eastAsia" w:ascii="黑体" w:hAnsi="黑体" w:eastAsia="黑体"/>
        </w:rPr>
        <w:t>7 </w:t>
      </w:r>
      <w:r>
        <w:rPr>
          <w:rFonts w:hint="eastAsia" w:ascii="宋体" w:hAnsi="宋体" w:eastAsia="黑体" w:cs="宋体"/>
        </w:rPr>
        <w:t> </w:t>
      </w:r>
      <w:r>
        <w:rPr>
          <w:rFonts w:ascii="宋体" w:hAnsi="宋体" w:cs="宋体"/>
        </w:rPr>
        <w:t>基坑渗透稳定性验算</w:t>
      </w:r>
    </w:p>
    <w:p w14:paraId="7FEE45CB">
      <w:pPr>
        <w:spacing w:line="264" w:lineRule="auto"/>
        <w:ind w:firstLine="420" w:firstLineChars="200"/>
        <w:rPr>
          <w:rFonts w:hint="eastAsia" w:ascii="宋体" w:hAnsi="宋体" w:cs="宋体"/>
        </w:rPr>
      </w:pPr>
      <w:r>
        <w:rPr>
          <w:kern w:val="0"/>
        </w:rPr>
        <w:t>a</w:t>
      </w:r>
      <w:r>
        <w:rPr>
          <w:rFonts w:hint="eastAsia"/>
          <w:kern w:val="0"/>
        </w:rPr>
        <w:t>） </w:t>
      </w:r>
      <w:r>
        <w:rPr>
          <w:rFonts w:ascii="宋体" w:hAnsi="宋体" w:cs="宋体"/>
        </w:rPr>
        <w:t>对一般黏性土与软土、互层土、粉土，坑底抗突涌安全系数应取大值。对长江</w:t>
      </w:r>
      <w:r>
        <w:rPr>
          <w:rFonts w:hint="eastAsia" w:ascii="宋体" w:hAnsi="宋体" w:cs="宋体"/>
        </w:rPr>
        <w:t>二</w:t>
      </w:r>
      <w:r>
        <w:rPr>
          <w:rFonts w:ascii="宋体" w:hAnsi="宋体" w:cs="宋体"/>
        </w:rPr>
        <w:t>级阶地、长江古河道地带以及剥蚀丘陵等地貌单元的基坑抗突涌验算，适当考虑坑底老黏性土的抗剪强度，坑底抗突涌安全系数可以取小值。</w:t>
      </w:r>
    </w:p>
    <w:p w14:paraId="37575855">
      <w:pPr>
        <w:spacing w:line="264" w:lineRule="auto"/>
        <w:ind w:firstLine="420" w:firstLineChars="200"/>
        <w:rPr>
          <w:rFonts w:hint="eastAsia" w:ascii="宋体" w:hAnsi="宋体" w:cs="宋体"/>
        </w:rPr>
      </w:pPr>
      <w:r>
        <w:rPr>
          <w:rFonts w:hint="eastAsia"/>
          <w:kern w:val="0"/>
        </w:rPr>
        <w:t>b） </w:t>
      </w:r>
      <w:r>
        <w:rPr>
          <w:rFonts w:ascii="宋体" w:hAnsi="宋体" w:cs="宋体"/>
        </w:rPr>
        <w:t>流土与管涌的判别：</w:t>
      </w:r>
    </w:p>
    <w:p w14:paraId="69549D1D">
      <w:pPr>
        <w:spacing w:line="264" w:lineRule="auto"/>
        <w:ind w:firstLine="420" w:firstLineChars="200"/>
        <w:rPr>
          <w:rFonts w:hint="eastAsia" w:ascii="宋体" w:hAnsi="宋体" w:cs="宋体"/>
        </w:rPr>
      </w:pPr>
      <w:r>
        <w:rPr>
          <w:rFonts w:hint="eastAsia" w:ascii="宋体" w:hAnsi="宋体" w:cs="宋体"/>
        </w:rPr>
        <w:t>①</w:t>
      </w:r>
      <w:r>
        <w:rPr>
          <w:rFonts w:ascii="宋体" w:hAnsi="宋体" w:cs="宋体"/>
        </w:rPr>
        <w:t>流土是在渗流作用下，局部土体的表面隆起、浮动或某一颗粒群的同时起动而流失的现象；管涌是在渗流的作用下，土体中的细颗粒在孔隙</w:t>
      </w:r>
      <w:r>
        <w:rPr>
          <w:rFonts w:hint="eastAsia" w:ascii="宋体" w:hAnsi="宋体" w:cs="宋体"/>
        </w:rPr>
        <w:t>、</w:t>
      </w:r>
      <w:r>
        <w:rPr>
          <w:rFonts w:ascii="宋体" w:hAnsi="宋体" w:cs="宋体"/>
        </w:rPr>
        <w:t>孔道中移动并被带出土体以外的现象，主要发生在砂砾石土层中。</w:t>
      </w:r>
    </w:p>
    <w:p w14:paraId="6680AF8E">
      <w:pPr>
        <w:spacing w:line="264" w:lineRule="auto"/>
        <w:ind w:firstLine="420" w:firstLineChars="200"/>
      </w:pPr>
      <w:r>
        <w:rPr>
          <w:rFonts w:hint="eastAsia" w:ascii="宋体" w:hAnsi="宋体" w:cs="宋体"/>
        </w:rPr>
        <w:t>②流土</w:t>
      </w:r>
      <w:r>
        <w:rPr>
          <w:rFonts w:ascii="宋体" w:hAnsi="宋体" w:cs="宋体"/>
        </w:rPr>
        <w:t>多发生在含有粉土颗粒的土体或较均匀的砂土中，</w:t>
      </w:r>
      <w:r>
        <w:rPr>
          <w:rFonts w:hint="eastAsia" w:ascii="宋体" w:hAnsi="宋体" w:cs="宋体"/>
        </w:rPr>
        <w:t>管涌</w:t>
      </w:r>
      <w:r>
        <w:rPr>
          <w:rFonts w:ascii="宋体" w:hAnsi="宋体" w:cs="宋体"/>
        </w:rPr>
        <w:t>多发生在不均匀的砂性土中，而且都是发生在渗流出口无任何保护的情况下。</w:t>
      </w:r>
    </w:p>
    <w:p w14:paraId="6151CB55">
      <w:pPr>
        <w:spacing w:before="156" w:beforeLines="50" w:after="156" w:afterLines="50" w:line="240" w:lineRule="auto"/>
        <w:outlineLvl w:val="1"/>
        <w:rPr>
          <w:rFonts w:hint="eastAsia" w:ascii="黑体" w:hAnsi="黑体" w:eastAsia="黑体"/>
          <w:bCs/>
          <w:szCs w:val="32"/>
        </w:rPr>
      </w:pPr>
      <w:bookmarkStart w:id="583" w:name="_Toc142730231"/>
      <w:r>
        <w:rPr>
          <w:rFonts w:hint="eastAsia" w:ascii="黑体" w:hAnsi="黑体" w:eastAsia="黑体"/>
          <w:bCs/>
          <w:szCs w:val="32"/>
        </w:rPr>
        <w:t>9.3</w:t>
      </w:r>
      <w:bookmarkEnd w:id="583"/>
      <w:r>
        <w:rPr>
          <w:rFonts w:hint="eastAsia" w:ascii="黑体" w:hAnsi="黑体" w:eastAsia="黑体"/>
          <w:bCs/>
          <w:szCs w:val="32"/>
        </w:rPr>
        <w:t>  管井降水</w:t>
      </w:r>
    </w:p>
    <w:p w14:paraId="43172442">
      <w:pPr>
        <w:spacing w:line="264" w:lineRule="auto"/>
        <w:rPr>
          <w:rFonts w:hint="eastAsia" w:ascii="宋体" w:hAnsi="宋体" w:cs="宋体"/>
        </w:rPr>
      </w:pPr>
      <w:r>
        <w:rPr>
          <w:rFonts w:ascii="黑体" w:hAnsi="黑体" w:eastAsia="黑体"/>
        </w:rPr>
        <w:t>9.</w:t>
      </w:r>
      <w:r>
        <w:rPr>
          <w:rFonts w:hint="eastAsia" w:ascii="黑体" w:hAnsi="黑体" w:eastAsia="黑体"/>
        </w:rPr>
        <w:t>3</w:t>
      </w:r>
      <w:r>
        <w:rPr>
          <w:rFonts w:ascii="黑体" w:hAnsi="黑体" w:eastAsia="黑体"/>
        </w:rPr>
        <w:t>.1</w:t>
      </w:r>
      <w:r>
        <w:rPr>
          <w:rFonts w:hint="eastAsia" w:ascii="黑体" w:hAnsi="黑体" w:eastAsia="黑体"/>
        </w:rPr>
        <w:t> </w:t>
      </w:r>
      <w:r>
        <w:rPr>
          <w:rFonts w:ascii="宋体" w:hAnsi="宋体" w:cs="宋体"/>
        </w:rPr>
        <w:t>根据地下水动力学理论，对于</w:t>
      </w:r>
      <w:r>
        <w:rPr>
          <w:rFonts w:hint="eastAsia" w:ascii="宋体" w:hAnsi="宋体" w:cs="宋体"/>
        </w:rPr>
        <w:t>面积、</w:t>
      </w:r>
      <w:r>
        <w:rPr>
          <w:rFonts w:ascii="宋体" w:hAnsi="宋体" w:cs="宋体"/>
        </w:rPr>
        <w:t>降深</w:t>
      </w:r>
      <w:r>
        <w:rPr>
          <w:rFonts w:hint="eastAsia" w:ascii="宋体" w:hAnsi="宋体" w:cs="宋体"/>
        </w:rPr>
        <w:t>确定</w:t>
      </w:r>
      <w:r>
        <w:rPr>
          <w:rFonts w:ascii="宋体" w:hAnsi="宋体" w:cs="宋体"/>
        </w:rPr>
        <w:t>的基坑</w:t>
      </w:r>
      <w:r>
        <w:rPr>
          <w:rFonts w:hint="eastAsia" w:ascii="宋体" w:hAnsi="宋体" w:cs="宋体"/>
        </w:rPr>
        <w:t>工程</w:t>
      </w:r>
      <w:r>
        <w:rPr>
          <w:rFonts w:ascii="宋体" w:hAnsi="宋体" w:cs="宋体"/>
        </w:rPr>
        <w:t>，降水管井数量是确定的。降水管井的平面布置既</w:t>
      </w:r>
      <w:r>
        <w:rPr>
          <w:rFonts w:hint="eastAsia" w:ascii="宋体" w:hAnsi="宋体" w:cs="宋体"/>
        </w:rPr>
        <w:t>要保证基坑内地下水的水位在不同的工况下</w:t>
      </w:r>
      <w:r>
        <w:rPr>
          <w:rFonts w:ascii="宋体" w:hAnsi="宋体" w:cs="宋体"/>
        </w:rPr>
        <w:t>达到</w:t>
      </w:r>
      <w:r>
        <w:rPr>
          <w:rFonts w:hint="eastAsia" w:ascii="宋体" w:hAnsi="宋体" w:cs="宋体"/>
        </w:rPr>
        <w:t>目标降深</w:t>
      </w:r>
      <w:r>
        <w:rPr>
          <w:rFonts w:ascii="宋体" w:hAnsi="宋体" w:cs="宋体"/>
        </w:rPr>
        <w:t>，又</w:t>
      </w:r>
      <w:r>
        <w:rPr>
          <w:rFonts w:hint="eastAsia" w:ascii="宋体" w:hAnsi="宋体" w:cs="宋体"/>
        </w:rPr>
        <w:t>要</w:t>
      </w:r>
      <w:r>
        <w:rPr>
          <w:rFonts w:ascii="宋体" w:hAnsi="宋体" w:cs="宋体"/>
        </w:rPr>
        <w:t>使降水对环境</w:t>
      </w:r>
      <w:r>
        <w:rPr>
          <w:rFonts w:hint="eastAsia" w:ascii="宋体" w:hAnsi="宋体" w:cs="宋体"/>
        </w:rPr>
        <w:t>的</w:t>
      </w:r>
      <w:r>
        <w:rPr>
          <w:rFonts w:ascii="宋体" w:hAnsi="宋体" w:cs="宋体"/>
        </w:rPr>
        <w:t>影响尽可能小。为了尽可能使水位降深较大的地段集中在基坑内部，以减少降水引起的地面沉降，在降水方案设计时，降水管井主要以布置在基坑内部为主，武汉地区的工程实践充分证实，此种布置降水效果最佳。</w:t>
      </w:r>
    </w:p>
    <w:p w14:paraId="400AE371">
      <w:pPr>
        <w:spacing w:line="264" w:lineRule="auto"/>
        <w:ind w:firstLine="420" w:firstLineChars="200"/>
        <w:rPr>
          <w:rFonts w:hint="eastAsia" w:ascii="宋体" w:hAnsi="宋体" w:cs="宋体"/>
        </w:rPr>
      </w:pPr>
      <w:r>
        <w:rPr>
          <w:rFonts w:hint="eastAsia" w:ascii="宋体" w:hAnsi="宋体" w:cs="宋体"/>
        </w:rPr>
        <w:t>对于卵、砾石层埋深较浅，坑底进入卵石层，帷幕未能完全封闭卵石层，形成短悬挂帷幕时，降水井可布置在坑外，形成局部反向三维渗流通道，从而避免卵、砾石层填充物损失（见图9.3.1所示）。反向三维渗流通道的形成与降水井与帷幕距离、单井出水量、降水井数量及降水时间等因素有关，可建立三维渗流模型通过数值方法求解。</w:t>
      </w:r>
    </w:p>
    <w:p w14:paraId="0301AC38">
      <w:pPr>
        <w:keepNext/>
        <w:keepLines/>
        <w:spacing w:line="416" w:lineRule="auto"/>
        <w:jc w:val="center"/>
        <w:rPr>
          <w:rFonts w:hint="eastAsia" w:ascii="宋体" w:hAnsi="宋体"/>
        </w:rPr>
      </w:pPr>
      <w:r>
        <w:rPr>
          <w:rFonts w:hint="eastAsia" w:ascii="宋体" w:hAnsi="宋体"/>
        </w:rPr>
        <w:drawing>
          <wp:inline distT="0" distB="0" distL="114300" distR="114300">
            <wp:extent cx="3023870" cy="1934210"/>
            <wp:effectExtent l="0" t="0" r="5080" b="889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01"/>
                    <a:srcRect b="18644"/>
                    <a:stretch>
                      <a:fillRect/>
                    </a:stretch>
                  </pic:blipFill>
                  <pic:spPr>
                    <a:xfrm>
                      <a:off x="0" y="0"/>
                      <a:ext cx="3023870" cy="1934210"/>
                    </a:xfrm>
                    <a:prstGeom prst="rect">
                      <a:avLst/>
                    </a:prstGeom>
                    <a:noFill/>
                    <a:ln>
                      <a:noFill/>
                    </a:ln>
                  </pic:spPr>
                </pic:pic>
              </a:graphicData>
            </a:graphic>
          </wp:inline>
        </w:drawing>
      </w:r>
    </w:p>
    <w:p w14:paraId="337348B1">
      <w:pPr>
        <w:pStyle w:val="252"/>
        <w:keepNext/>
        <w:spacing w:before="156" w:beforeLines="50" w:after="156" w:afterLines="50" w:line="240" w:lineRule="auto"/>
        <w:ind w:left="0" w:leftChars="0"/>
        <w:jc w:val="center"/>
        <w:rPr>
          <w:rFonts w:hint="eastAsia" w:ascii="黑体" w:hAnsi="黑体" w:eastAsia="黑体" w:cs="黑体"/>
        </w:rPr>
      </w:pPr>
      <w:r>
        <w:rPr>
          <w:rFonts w:hint="eastAsia" w:ascii="黑体" w:hAnsi="黑体" w:eastAsia="黑体" w:cs="黑体"/>
        </w:rPr>
        <w:t>图9.3.1  短悬挂帷幕条件下坑外疏干降水示意图（多用于荆州地区）</w:t>
      </w:r>
    </w:p>
    <w:p w14:paraId="47937E91">
      <w:pPr>
        <w:pStyle w:val="13"/>
        <w:spacing w:line="240" w:lineRule="auto"/>
        <w:ind w:left="761" w:leftChars="199" w:hanging="343" w:hangingChars="191"/>
        <w:rPr>
          <w:rFonts w:hint="eastAsia" w:eastAsia="宋体"/>
        </w:rPr>
      </w:pPr>
      <w:r>
        <w:rPr>
          <w:rFonts w:ascii="Times New Roman" w:hAnsi="Times New Roman" w:eastAsia="宋体"/>
          <w:sz w:val="18"/>
          <w:szCs w:val="18"/>
        </w:rPr>
        <w:t>1—降水管井；2—隔渗帷幕；3—</w:t>
      </w:r>
      <w:r>
        <w:rPr>
          <w:rFonts w:hint="eastAsia" w:ascii="Times New Roman" w:hAnsi="Times New Roman" w:eastAsia="宋体"/>
          <w:sz w:val="18"/>
          <w:szCs w:val="18"/>
        </w:rPr>
        <w:t>隔水</w:t>
      </w:r>
      <w:r>
        <w:rPr>
          <w:rFonts w:ascii="Times New Roman" w:hAnsi="Times New Roman" w:eastAsia="宋体"/>
          <w:sz w:val="18"/>
          <w:szCs w:val="18"/>
        </w:rPr>
        <w:t>层；4—承压含水层</w:t>
      </w:r>
      <w:r>
        <w:rPr>
          <w:rFonts w:hint="eastAsia" w:ascii="Times New Roman" w:hAnsi="Times New Roman" w:eastAsia="宋体"/>
          <w:sz w:val="18"/>
          <w:szCs w:val="18"/>
        </w:rPr>
        <w:t>（砂层）</w:t>
      </w:r>
      <w:r>
        <w:rPr>
          <w:rFonts w:ascii="Times New Roman" w:hAnsi="Times New Roman" w:eastAsia="宋体"/>
          <w:sz w:val="18"/>
          <w:szCs w:val="18"/>
        </w:rPr>
        <w:t>；5—承压含水层</w:t>
      </w:r>
      <w:r>
        <w:rPr>
          <w:rFonts w:hint="eastAsia" w:ascii="Times New Roman" w:hAnsi="Times New Roman" w:eastAsia="宋体"/>
          <w:sz w:val="18"/>
          <w:szCs w:val="18"/>
        </w:rPr>
        <w:t>（卵、砾石层）</w:t>
      </w:r>
    </w:p>
    <w:p w14:paraId="5369CF60">
      <w:pPr>
        <w:tabs>
          <w:tab w:val="left" w:pos="258"/>
        </w:tabs>
        <w:spacing w:line="240" w:lineRule="auto"/>
        <w:jc w:val="left"/>
        <w:rPr>
          <w:rFonts w:hint="eastAsia" w:ascii="宋体" w:hAnsi="宋体"/>
          <w:kern w:val="0"/>
        </w:rPr>
      </w:pPr>
      <w:r>
        <w:rPr>
          <w:rFonts w:ascii="黑体" w:hAnsi="黑体" w:eastAsia="黑体"/>
        </w:rPr>
        <w:t>9.</w:t>
      </w:r>
      <w:r>
        <w:rPr>
          <w:rFonts w:hint="eastAsia" w:ascii="黑体" w:hAnsi="黑体" w:eastAsia="黑体"/>
        </w:rPr>
        <w:t>3</w:t>
      </w:r>
      <w:r>
        <w:rPr>
          <w:rFonts w:ascii="黑体" w:hAnsi="黑体" w:eastAsia="黑体"/>
        </w:rPr>
        <w:t>.</w:t>
      </w:r>
      <w:r>
        <w:rPr>
          <w:rFonts w:hint="eastAsia" w:ascii="黑体" w:hAnsi="黑体" w:eastAsia="黑体"/>
        </w:rPr>
        <w:t>2 </w:t>
      </w:r>
      <w:r>
        <w:rPr>
          <w:rFonts w:hint="eastAsia" w:ascii="宋体" w:hAnsi="宋体" w:eastAsia="黑体" w:cs="宋体"/>
        </w:rPr>
        <w:t>  </w:t>
      </w:r>
      <w:r>
        <w:rPr>
          <w:rFonts w:ascii="宋体" w:hAnsi="宋体"/>
          <w:kern w:val="0"/>
        </w:rPr>
        <w:t>基坑涌水量计算</w:t>
      </w:r>
    </w:p>
    <w:p w14:paraId="32D44330">
      <w:pPr>
        <w:spacing w:line="240" w:lineRule="auto"/>
        <w:ind w:firstLine="420" w:firstLineChars="200"/>
        <w:rPr>
          <w:rFonts w:hint="eastAsia" w:ascii="宋体" w:hAnsi="宋体" w:cs="宋体"/>
        </w:rPr>
      </w:pPr>
      <w:r>
        <w:rPr>
          <w:rFonts w:hint="eastAsia"/>
        </w:rPr>
        <w:t>a）</w:t>
      </w:r>
      <w:r>
        <w:rPr>
          <w:rFonts w:hint="eastAsia" w:ascii="宋体" w:hAnsi="宋体" w:cs="宋体"/>
        </w:rPr>
        <w:t>根据基坑降水工程帷幕设置的状态，划分为三种类型，给出对应计算方法，见表9.3.2。</w:t>
      </w:r>
    </w:p>
    <w:p w14:paraId="7E190136">
      <w:pPr>
        <w:pStyle w:val="252"/>
        <w:keepNext/>
        <w:spacing w:before="156" w:beforeLines="50" w:after="156" w:afterLines="50" w:line="240" w:lineRule="auto"/>
        <w:ind w:left="0" w:leftChars="0"/>
        <w:jc w:val="center"/>
        <w:rPr>
          <w:rFonts w:hint="eastAsia" w:ascii="黑体" w:hAnsi="黑体" w:eastAsia="黑体" w:cs="黑体"/>
        </w:rPr>
      </w:pPr>
      <w:r>
        <w:rPr>
          <w:rFonts w:hint="eastAsia" w:ascii="黑体" w:hAnsi="黑体" w:eastAsia="黑体" w:cs="黑体"/>
        </w:rPr>
        <w:t>表9.3.2  基坑工程降水类型及方法</w:t>
      </w:r>
    </w:p>
    <w:tbl>
      <w:tblPr>
        <w:tblStyle w:val="34"/>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8"/>
        <w:gridCol w:w="1625"/>
        <w:gridCol w:w="1418"/>
        <w:gridCol w:w="1134"/>
        <w:gridCol w:w="2268"/>
        <w:gridCol w:w="1276"/>
      </w:tblGrid>
      <w:tr w14:paraId="6AB0A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tcBorders>
              <w:top w:val="single" w:color="auto" w:sz="12" w:space="0"/>
              <w:bottom w:val="single" w:color="auto" w:sz="12" w:space="0"/>
            </w:tcBorders>
            <w:vAlign w:val="center"/>
          </w:tcPr>
          <w:p w14:paraId="152594C2">
            <w:pPr>
              <w:spacing w:line="240" w:lineRule="auto"/>
              <w:jc w:val="center"/>
              <w:rPr>
                <w:rFonts w:hint="eastAsia" w:ascii="宋体" w:hAnsi="宋体" w:cs="宋体"/>
                <w:sz w:val="18"/>
                <w:szCs w:val="18"/>
              </w:rPr>
            </w:pPr>
            <w:r>
              <w:rPr>
                <w:rFonts w:hint="eastAsia" w:ascii="宋体" w:hAnsi="宋体" w:cs="宋体"/>
                <w:sz w:val="18"/>
                <w:szCs w:val="18"/>
              </w:rPr>
              <w:t>类型</w:t>
            </w:r>
          </w:p>
        </w:tc>
        <w:tc>
          <w:tcPr>
            <w:tcW w:w="4177" w:type="dxa"/>
            <w:gridSpan w:val="3"/>
            <w:tcBorders>
              <w:top w:val="single" w:color="auto" w:sz="12" w:space="0"/>
              <w:bottom w:val="single" w:color="auto" w:sz="12" w:space="0"/>
            </w:tcBorders>
            <w:vAlign w:val="center"/>
          </w:tcPr>
          <w:p w14:paraId="06247A8F">
            <w:pPr>
              <w:spacing w:line="240" w:lineRule="auto"/>
              <w:jc w:val="center"/>
              <w:rPr>
                <w:rFonts w:hint="eastAsia" w:ascii="宋体" w:hAnsi="宋体" w:cs="宋体"/>
                <w:sz w:val="18"/>
                <w:szCs w:val="18"/>
              </w:rPr>
            </w:pPr>
            <w:r>
              <w:rPr>
                <w:rFonts w:hint="eastAsia" w:ascii="宋体" w:hAnsi="宋体" w:cs="宋体"/>
                <w:sz w:val="18"/>
                <w:szCs w:val="18"/>
              </w:rPr>
              <w:t>隔渗帷幕设置状态</w:t>
            </w:r>
          </w:p>
        </w:tc>
        <w:tc>
          <w:tcPr>
            <w:tcW w:w="2268" w:type="dxa"/>
            <w:tcBorders>
              <w:top w:val="single" w:color="auto" w:sz="12" w:space="0"/>
              <w:bottom w:val="single" w:color="auto" w:sz="12" w:space="0"/>
            </w:tcBorders>
            <w:vAlign w:val="center"/>
          </w:tcPr>
          <w:p w14:paraId="400906A9">
            <w:pPr>
              <w:spacing w:line="240" w:lineRule="auto"/>
              <w:jc w:val="center"/>
              <w:rPr>
                <w:rFonts w:hint="eastAsia" w:ascii="宋体" w:hAnsi="宋体" w:cs="宋体"/>
                <w:sz w:val="18"/>
                <w:szCs w:val="18"/>
              </w:rPr>
            </w:pPr>
            <w:r>
              <w:rPr>
                <w:rFonts w:hint="eastAsia" w:ascii="宋体" w:hAnsi="宋体" w:cs="宋体"/>
                <w:sz w:val="18"/>
                <w:szCs w:val="18"/>
              </w:rPr>
              <w:t>设计理论依据</w:t>
            </w:r>
          </w:p>
        </w:tc>
        <w:tc>
          <w:tcPr>
            <w:tcW w:w="1276" w:type="dxa"/>
            <w:tcBorders>
              <w:top w:val="single" w:color="auto" w:sz="12" w:space="0"/>
              <w:bottom w:val="single" w:color="auto" w:sz="12" w:space="0"/>
            </w:tcBorders>
            <w:vAlign w:val="center"/>
          </w:tcPr>
          <w:p w14:paraId="0D8C6811">
            <w:pPr>
              <w:spacing w:line="240" w:lineRule="auto"/>
              <w:jc w:val="center"/>
              <w:rPr>
                <w:rFonts w:hint="eastAsia" w:ascii="宋体" w:hAnsi="宋体" w:cs="宋体"/>
                <w:sz w:val="18"/>
                <w:szCs w:val="18"/>
              </w:rPr>
            </w:pPr>
            <w:r>
              <w:rPr>
                <w:rFonts w:hint="eastAsia" w:ascii="宋体" w:hAnsi="宋体" w:cs="宋体"/>
                <w:sz w:val="18"/>
                <w:szCs w:val="18"/>
              </w:rPr>
              <w:t>涌水量计算方法</w:t>
            </w:r>
          </w:p>
        </w:tc>
      </w:tr>
      <w:tr w14:paraId="76FFF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tcBorders>
              <w:top w:val="single" w:color="auto" w:sz="12" w:space="0"/>
            </w:tcBorders>
            <w:vAlign w:val="center"/>
          </w:tcPr>
          <w:p w14:paraId="7FD88A82">
            <w:pPr>
              <w:spacing w:line="240" w:lineRule="auto"/>
              <w:jc w:val="center"/>
              <w:rPr>
                <w:rFonts w:hint="eastAsia" w:ascii="宋体" w:hAnsi="宋体" w:cs="宋体"/>
                <w:sz w:val="18"/>
                <w:szCs w:val="18"/>
              </w:rPr>
            </w:pPr>
            <w:r>
              <w:rPr>
                <w:rFonts w:hint="eastAsia" w:ascii="宋体" w:hAnsi="宋体" w:cs="宋体"/>
                <w:sz w:val="18"/>
                <w:szCs w:val="18"/>
              </w:rPr>
              <w:t>1</w:t>
            </w:r>
          </w:p>
        </w:tc>
        <w:tc>
          <w:tcPr>
            <w:tcW w:w="4177" w:type="dxa"/>
            <w:gridSpan w:val="3"/>
            <w:tcBorders>
              <w:top w:val="single" w:color="auto" w:sz="12" w:space="0"/>
            </w:tcBorders>
            <w:vAlign w:val="center"/>
          </w:tcPr>
          <w:p w14:paraId="43F097F3">
            <w:pPr>
              <w:spacing w:line="240" w:lineRule="auto"/>
              <w:jc w:val="center"/>
              <w:rPr>
                <w:rFonts w:hint="eastAsia" w:ascii="宋体" w:hAnsi="宋体" w:cs="宋体"/>
                <w:sz w:val="18"/>
                <w:szCs w:val="18"/>
              </w:rPr>
            </w:pPr>
            <w:r>
              <w:rPr>
                <w:rFonts w:hint="eastAsia" w:ascii="宋体" w:hAnsi="宋体" w:cs="宋体"/>
                <w:sz w:val="18"/>
                <w:szCs w:val="18"/>
              </w:rPr>
              <w:t>无隔渗帷幕或不考虑隔渗帷幕影响</w:t>
            </w:r>
          </w:p>
        </w:tc>
        <w:tc>
          <w:tcPr>
            <w:tcW w:w="2268" w:type="dxa"/>
            <w:tcBorders>
              <w:top w:val="single" w:color="auto" w:sz="12" w:space="0"/>
            </w:tcBorders>
            <w:vAlign w:val="center"/>
          </w:tcPr>
          <w:p w14:paraId="5C347EBF">
            <w:pPr>
              <w:spacing w:line="240" w:lineRule="auto"/>
              <w:jc w:val="center"/>
              <w:rPr>
                <w:rFonts w:hint="eastAsia" w:ascii="宋体" w:hAnsi="宋体" w:cs="宋体"/>
                <w:sz w:val="18"/>
                <w:szCs w:val="18"/>
              </w:rPr>
            </w:pPr>
            <w:r>
              <w:rPr>
                <w:rFonts w:hint="eastAsia" w:ascii="宋体" w:hAnsi="宋体" w:cs="宋体"/>
                <w:sz w:val="18"/>
                <w:szCs w:val="18"/>
              </w:rPr>
              <w:t>含水层平面渗流理论</w:t>
            </w:r>
          </w:p>
        </w:tc>
        <w:tc>
          <w:tcPr>
            <w:tcW w:w="1276" w:type="dxa"/>
            <w:tcBorders>
              <w:top w:val="single" w:color="auto" w:sz="12" w:space="0"/>
            </w:tcBorders>
            <w:vAlign w:val="center"/>
          </w:tcPr>
          <w:p w14:paraId="430DFA8F">
            <w:pPr>
              <w:spacing w:line="240" w:lineRule="auto"/>
              <w:jc w:val="center"/>
              <w:rPr>
                <w:rFonts w:hint="eastAsia" w:ascii="宋体" w:hAnsi="宋体" w:cs="宋体"/>
                <w:sz w:val="18"/>
                <w:szCs w:val="18"/>
              </w:rPr>
            </w:pPr>
            <w:r>
              <w:rPr>
                <w:rFonts w:hint="eastAsia" w:ascii="宋体" w:hAnsi="宋体" w:cs="宋体"/>
                <w:sz w:val="18"/>
                <w:szCs w:val="18"/>
              </w:rPr>
              <w:t>大井法</w:t>
            </w:r>
          </w:p>
        </w:tc>
      </w:tr>
      <w:tr w14:paraId="4DA5C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vMerge w:val="restart"/>
            <w:vAlign w:val="center"/>
          </w:tcPr>
          <w:p w14:paraId="08612F11">
            <w:pPr>
              <w:spacing w:line="240" w:lineRule="auto"/>
              <w:jc w:val="center"/>
              <w:rPr>
                <w:rFonts w:hint="eastAsia" w:ascii="宋体" w:hAnsi="宋体" w:cs="宋体"/>
                <w:sz w:val="18"/>
                <w:szCs w:val="18"/>
              </w:rPr>
            </w:pPr>
            <w:r>
              <w:rPr>
                <w:rFonts w:hint="eastAsia" w:ascii="宋体" w:hAnsi="宋体" w:cs="宋体"/>
                <w:sz w:val="18"/>
                <w:szCs w:val="18"/>
              </w:rPr>
              <w:t>2</w:t>
            </w:r>
          </w:p>
        </w:tc>
        <w:tc>
          <w:tcPr>
            <w:tcW w:w="1625" w:type="dxa"/>
            <w:vMerge w:val="restart"/>
            <w:vAlign w:val="center"/>
          </w:tcPr>
          <w:p w14:paraId="0B415499">
            <w:pPr>
              <w:spacing w:line="240" w:lineRule="auto"/>
              <w:jc w:val="left"/>
              <w:rPr>
                <w:rFonts w:hint="eastAsia" w:ascii="宋体" w:hAnsi="宋体" w:cs="宋体"/>
                <w:sz w:val="18"/>
                <w:szCs w:val="18"/>
              </w:rPr>
            </w:pPr>
            <w:r>
              <w:rPr>
                <w:rFonts w:hint="eastAsia" w:ascii="宋体" w:hAnsi="宋体" w:cs="宋体"/>
                <w:sz w:val="18"/>
                <w:szCs w:val="18"/>
              </w:rPr>
              <w:t>帷幕底端位于目的含水层中（悬挂式帷幕）</w:t>
            </w:r>
          </w:p>
        </w:tc>
        <w:tc>
          <w:tcPr>
            <w:tcW w:w="1418" w:type="dxa"/>
            <w:vAlign w:val="center"/>
          </w:tcPr>
          <w:p w14:paraId="3CF2B4C9">
            <w:pPr>
              <w:spacing w:line="240" w:lineRule="auto"/>
              <w:jc w:val="left"/>
              <w:rPr>
                <w:rFonts w:hint="eastAsia" w:ascii="宋体" w:hAnsi="宋体" w:cs="宋体"/>
                <w:sz w:val="18"/>
                <w:szCs w:val="18"/>
              </w:rPr>
            </w:pPr>
            <w:r>
              <w:rPr>
                <w:rFonts w:hint="eastAsia" w:ascii="宋体" w:hAnsi="宋体" w:cs="宋体"/>
                <w:sz w:val="18"/>
                <w:szCs w:val="18"/>
              </w:rPr>
              <w:t>管井过滤器全部或大部分超出帷幕底端</w:t>
            </w:r>
          </w:p>
        </w:tc>
        <w:tc>
          <w:tcPr>
            <w:tcW w:w="1134" w:type="dxa"/>
            <w:vAlign w:val="center"/>
          </w:tcPr>
          <w:p w14:paraId="52665B91">
            <w:pPr>
              <w:spacing w:line="240" w:lineRule="auto"/>
              <w:jc w:val="center"/>
              <w:rPr>
                <w:rFonts w:hint="eastAsia" w:ascii="宋体" w:hAnsi="宋体" w:cs="宋体"/>
                <w:sz w:val="18"/>
                <w:szCs w:val="18"/>
              </w:rPr>
            </w:pPr>
            <w:r>
              <w:rPr>
                <w:rFonts w:hint="eastAsia" w:ascii="宋体" w:hAnsi="宋体" w:cs="宋体"/>
                <w:sz w:val="18"/>
                <w:szCs w:val="18"/>
              </w:rPr>
              <w:t>—</w:t>
            </w:r>
          </w:p>
        </w:tc>
        <w:tc>
          <w:tcPr>
            <w:tcW w:w="2268" w:type="dxa"/>
            <w:vAlign w:val="center"/>
          </w:tcPr>
          <w:p w14:paraId="354F9819">
            <w:pPr>
              <w:spacing w:line="240" w:lineRule="auto"/>
              <w:jc w:val="center"/>
              <w:rPr>
                <w:rFonts w:hint="eastAsia" w:ascii="宋体" w:hAnsi="宋体" w:cs="宋体"/>
                <w:sz w:val="18"/>
                <w:szCs w:val="18"/>
              </w:rPr>
            </w:pPr>
            <w:r>
              <w:rPr>
                <w:rFonts w:hint="eastAsia" w:ascii="宋体" w:hAnsi="宋体" w:cs="宋体"/>
                <w:sz w:val="18"/>
                <w:szCs w:val="18"/>
              </w:rPr>
              <w:t>—</w:t>
            </w:r>
          </w:p>
        </w:tc>
        <w:tc>
          <w:tcPr>
            <w:tcW w:w="1276" w:type="dxa"/>
            <w:vAlign w:val="center"/>
          </w:tcPr>
          <w:p w14:paraId="503DABC6">
            <w:pPr>
              <w:spacing w:line="240" w:lineRule="auto"/>
              <w:jc w:val="center"/>
              <w:rPr>
                <w:rFonts w:hint="eastAsia" w:ascii="宋体" w:hAnsi="宋体" w:cs="宋体"/>
                <w:sz w:val="18"/>
                <w:szCs w:val="18"/>
              </w:rPr>
            </w:pPr>
            <w:r>
              <w:rPr>
                <w:rFonts w:hint="eastAsia" w:ascii="宋体" w:hAnsi="宋体" w:cs="宋体"/>
                <w:sz w:val="18"/>
                <w:szCs w:val="18"/>
              </w:rPr>
              <w:t>大井法</w:t>
            </w:r>
          </w:p>
        </w:tc>
      </w:tr>
      <w:tr w14:paraId="7A24A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28" w:type="dxa"/>
            <w:vMerge w:val="continue"/>
            <w:vAlign w:val="center"/>
          </w:tcPr>
          <w:p w14:paraId="48A8694B">
            <w:pPr>
              <w:spacing w:line="240" w:lineRule="auto"/>
              <w:jc w:val="center"/>
              <w:rPr>
                <w:rFonts w:hint="eastAsia" w:ascii="宋体" w:hAnsi="宋体" w:cs="宋体"/>
                <w:sz w:val="18"/>
                <w:szCs w:val="18"/>
              </w:rPr>
            </w:pPr>
          </w:p>
        </w:tc>
        <w:tc>
          <w:tcPr>
            <w:tcW w:w="1625" w:type="dxa"/>
            <w:vMerge w:val="continue"/>
            <w:vAlign w:val="center"/>
          </w:tcPr>
          <w:p w14:paraId="68840085">
            <w:pPr>
              <w:spacing w:line="240" w:lineRule="auto"/>
              <w:jc w:val="center"/>
              <w:rPr>
                <w:rFonts w:hint="eastAsia" w:ascii="宋体" w:hAnsi="宋体" w:cs="宋体"/>
                <w:sz w:val="18"/>
                <w:szCs w:val="18"/>
              </w:rPr>
            </w:pPr>
          </w:p>
        </w:tc>
        <w:tc>
          <w:tcPr>
            <w:tcW w:w="1418" w:type="dxa"/>
            <w:vMerge w:val="restart"/>
            <w:vAlign w:val="center"/>
          </w:tcPr>
          <w:p w14:paraId="7302CDA2">
            <w:pPr>
              <w:spacing w:line="240" w:lineRule="auto"/>
              <w:jc w:val="left"/>
              <w:rPr>
                <w:rFonts w:hint="eastAsia" w:ascii="宋体" w:hAnsi="宋体" w:cs="宋体"/>
                <w:sz w:val="18"/>
                <w:szCs w:val="18"/>
              </w:rPr>
            </w:pPr>
            <w:r>
              <w:rPr>
                <w:rFonts w:hint="eastAsia" w:ascii="宋体" w:hAnsi="宋体" w:cs="宋体"/>
                <w:sz w:val="18"/>
                <w:szCs w:val="18"/>
              </w:rPr>
              <w:t>管井过滤器底端埋深与帷幕底端埋深接近</w:t>
            </w:r>
          </w:p>
        </w:tc>
        <w:tc>
          <w:tcPr>
            <w:tcW w:w="1134" w:type="dxa"/>
            <w:vAlign w:val="center"/>
          </w:tcPr>
          <w:p w14:paraId="2A90E0B5">
            <w:pPr>
              <w:spacing w:line="240" w:lineRule="auto"/>
              <w:jc w:val="center"/>
              <w:rPr>
                <w:rFonts w:hint="eastAsia" w:ascii="宋体" w:hAnsi="宋体" w:cs="宋体"/>
                <w:sz w:val="18"/>
                <w:szCs w:val="18"/>
              </w:rPr>
            </w:pPr>
            <w:r>
              <w:rPr>
                <w:rFonts w:hint="eastAsia" w:ascii="宋体" w:hAnsi="宋体" w:cs="宋体"/>
                <w:sz w:val="18"/>
                <w:szCs w:val="18"/>
              </w:rPr>
              <w:t>减压降水</w:t>
            </w:r>
          </w:p>
        </w:tc>
        <w:tc>
          <w:tcPr>
            <w:tcW w:w="2268" w:type="dxa"/>
            <w:vMerge w:val="restart"/>
            <w:vAlign w:val="center"/>
          </w:tcPr>
          <w:p w14:paraId="6B783C31">
            <w:pPr>
              <w:spacing w:line="240" w:lineRule="auto"/>
              <w:jc w:val="center"/>
              <w:rPr>
                <w:rFonts w:hint="eastAsia" w:ascii="宋体" w:hAnsi="宋体" w:cs="宋体"/>
                <w:sz w:val="18"/>
                <w:szCs w:val="18"/>
              </w:rPr>
            </w:pPr>
            <w:r>
              <w:rPr>
                <w:rFonts w:hint="eastAsia" w:ascii="宋体" w:hAnsi="宋体" w:cs="宋体"/>
                <w:sz w:val="18"/>
                <w:szCs w:val="18"/>
              </w:rPr>
              <w:t>Dupuit假设和阻隔理论</w:t>
            </w:r>
          </w:p>
        </w:tc>
        <w:tc>
          <w:tcPr>
            <w:tcW w:w="1276" w:type="dxa"/>
            <w:vAlign w:val="center"/>
          </w:tcPr>
          <w:p w14:paraId="62A8FE8D">
            <w:pPr>
              <w:spacing w:line="240" w:lineRule="auto"/>
              <w:jc w:val="center"/>
              <w:rPr>
                <w:rFonts w:hint="eastAsia" w:ascii="宋体" w:hAnsi="宋体" w:cs="宋体"/>
                <w:sz w:val="18"/>
                <w:szCs w:val="18"/>
              </w:rPr>
            </w:pPr>
            <w:r>
              <w:rPr>
                <w:rFonts w:hint="eastAsia" w:ascii="宋体" w:hAnsi="宋体" w:cs="宋体"/>
                <w:sz w:val="18"/>
                <w:szCs w:val="18"/>
              </w:rPr>
              <w:t>修正大井法</w:t>
            </w:r>
          </w:p>
        </w:tc>
      </w:tr>
      <w:tr w14:paraId="59B16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628" w:type="dxa"/>
            <w:vMerge w:val="continue"/>
            <w:vAlign w:val="center"/>
          </w:tcPr>
          <w:p w14:paraId="62768DBF">
            <w:pPr>
              <w:spacing w:line="240" w:lineRule="auto"/>
              <w:jc w:val="center"/>
              <w:rPr>
                <w:rFonts w:hint="eastAsia" w:ascii="宋体" w:hAnsi="宋体" w:cs="宋体"/>
                <w:sz w:val="18"/>
                <w:szCs w:val="18"/>
              </w:rPr>
            </w:pPr>
          </w:p>
        </w:tc>
        <w:tc>
          <w:tcPr>
            <w:tcW w:w="1625" w:type="dxa"/>
            <w:vMerge w:val="continue"/>
            <w:vAlign w:val="center"/>
          </w:tcPr>
          <w:p w14:paraId="79AEDA5A">
            <w:pPr>
              <w:spacing w:line="240" w:lineRule="auto"/>
              <w:jc w:val="center"/>
              <w:rPr>
                <w:rFonts w:hint="eastAsia" w:ascii="宋体" w:hAnsi="宋体" w:cs="宋体"/>
                <w:sz w:val="18"/>
                <w:szCs w:val="18"/>
              </w:rPr>
            </w:pPr>
          </w:p>
        </w:tc>
        <w:tc>
          <w:tcPr>
            <w:tcW w:w="1418" w:type="dxa"/>
            <w:vMerge w:val="continue"/>
            <w:vAlign w:val="center"/>
          </w:tcPr>
          <w:p w14:paraId="67251223">
            <w:pPr>
              <w:spacing w:line="240" w:lineRule="auto"/>
              <w:jc w:val="left"/>
              <w:rPr>
                <w:rFonts w:hint="eastAsia" w:ascii="宋体" w:hAnsi="宋体" w:cs="宋体"/>
                <w:sz w:val="18"/>
                <w:szCs w:val="18"/>
              </w:rPr>
            </w:pPr>
          </w:p>
        </w:tc>
        <w:tc>
          <w:tcPr>
            <w:tcW w:w="1134" w:type="dxa"/>
            <w:vAlign w:val="center"/>
          </w:tcPr>
          <w:p w14:paraId="4B9801AD">
            <w:pPr>
              <w:spacing w:line="240" w:lineRule="auto"/>
              <w:jc w:val="center"/>
              <w:rPr>
                <w:rFonts w:hint="eastAsia" w:ascii="宋体" w:hAnsi="宋体" w:cs="宋体"/>
                <w:sz w:val="18"/>
                <w:szCs w:val="18"/>
              </w:rPr>
            </w:pPr>
            <w:r>
              <w:rPr>
                <w:rFonts w:hint="eastAsia" w:ascii="宋体" w:hAnsi="宋体" w:cs="宋体"/>
                <w:sz w:val="18"/>
                <w:szCs w:val="18"/>
              </w:rPr>
              <w:t>疏干降水</w:t>
            </w:r>
          </w:p>
        </w:tc>
        <w:tc>
          <w:tcPr>
            <w:tcW w:w="2268" w:type="dxa"/>
            <w:vMerge w:val="continue"/>
            <w:vAlign w:val="center"/>
          </w:tcPr>
          <w:p w14:paraId="0BB6DD59">
            <w:pPr>
              <w:spacing w:line="240" w:lineRule="auto"/>
              <w:jc w:val="center"/>
              <w:rPr>
                <w:rFonts w:hint="eastAsia" w:ascii="宋体" w:hAnsi="宋体" w:cs="宋体"/>
                <w:sz w:val="18"/>
                <w:szCs w:val="18"/>
              </w:rPr>
            </w:pPr>
          </w:p>
        </w:tc>
        <w:tc>
          <w:tcPr>
            <w:tcW w:w="1276" w:type="dxa"/>
            <w:vAlign w:val="center"/>
          </w:tcPr>
          <w:p w14:paraId="68ADAE50">
            <w:pPr>
              <w:spacing w:line="240" w:lineRule="auto"/>
              <w:jc w:val="center"/>
              <w:rPr>
                <w:rFonts w:hint="eastAsia" w:ascii="宋体" w:hAnsi="宋体" w:cs="宋体"/>
                <w:sz w:val="18"/>
                <w:szCs w:val="18"/>
              </w:rPr>
            </w:pPr>
            <w:r>
              <w:rPr>
                <w:rFonts w:hint="eastAsia" w:ascii="宋体" w:hAnsi="宋体" w:cs="宋体"/>
                <w:sz w:val="18"/>
                <w:szCs w:val="18"/>
              </w:rPr>
              <w:t>修正大井法</w:t>
            </w:r>
          </w:p>
        </w:tc>
      </w:tr>
      <w:tr w14:paraId="50A13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vMerge w:val="continue"/>
            <w:vAlign w:val="center"/>
          </w:tcPr>
          <w:p w14:paraId="7625FAAE">
            <w:pPr>
              <w:spacing w:line="240" w:lineRule="auto"/>
              <w:jc w:val="center"/>
              <w:rPr>
                <w:rFonts w:hint="eastAsia" w:ascii="宋体" w:hAnsi="宋体" w:cs="宋体"/>
                <w:sz w:val="18"/>
                <w:szCs w:val="18"/>
              </w:rPr>
            </w:pPr>
          </w:p>
        </w:tc>
        <w:tc>
          <w:tcPr>
            <w:tcW w:w="1625" w:type="dxa"/>
            <w:vMerge w:val="continue"/>
            <w:vAlign w:val="center"/>
          </w:tcPr>
          <w:p w14:paraId="732C08E3">
            <w:pPr>
              <w:spacing w:line="240" w:lineRule="auto"/>
              <w:jc w:val="center"/>
              <w:rPr>
                <w:rFonts w:hint="eastAsia" w:ascii="宋体" w:hAnsi="宋体" w:cs="宋体"/>
                <w:sz w:val="18"/>
                <w:szCs w:val="18"/>
              </w:rPr>
            </w:pPr>
          </w:p>
        </w:tc>
        <w:tc>
          <w:tcPr>
            <w:tcW w:w="1418" w:type="dxa"/>
            <w:vMerge w:val="continue"/>
            <w:vAlign w:val="center"/>
          </w:tcPr>
          <w:p w14:paraId="1578AA4F">
            <w:pPr>
              <w:spacing w:line="240" w:lineRule="auto"/>
              <w:jc w:val="left"/>
              <w:rPr>
                <w:rFonts w:hint="eastAsia" w:ascii="宋体" w:hAnsi="宋体" w:cs="宋体"/>
                <w:sz w:val="18"/>
                <w:szCs w:val="18"/>
              </w:rPr>
            </w:pPr>
          </w:p>
        </w:tc>
        <w:tc>
          <w:tcPr>
            <w:tcW w:w="1134" w:type="dxa"/>
            <w:vAlign w:val="center"/>
          </w:tcPr>
          <w:p w14:paraId="777984DA">
            <w:pPr>
              <w:spacing w:line="240" w:lineRule="auto"/>
              <w:jc w:val="center"/>
              <w:rPr>
                <w:rFonts w:hint="eastAsia" w:ascii="宋体" w:hAnsi="宋体" w:cs="宋体"/>
                <w:sz w:val="18"/>
                <w:szCs w:val="18"/>
              </w:rPr>
            </w:pPr>
            <w:r>
              <w:rPr>
                <w:rFonts w:hint="eastAsia" w:ascii="宋体" w:hAnsi="宋体" w:cs="宋体"/>
                <w:sz w:val="18"/>
                <w:szCs w:val="18"/>
              </w:rPr>
              <w:t>—</w:t>
            </w:r>
          </w:p>
        </w:tc>
        <w:tc>
          <w:tcPr>
            <w:tcW w:w="2268" w:type="dxa"/>
            <w:vAlign w:val="center"/>
          </w:tcPr>
          <w:p w14:paraId="05C165D4">
            <w:pPr>
              <w:spacing w:line="240" w:lineRule="auto"/>
              <w:jc w:val="center"/>
              <w:rPr>
                <w:rFonts w:hint="eastAsia" w:ascii="宋体" w:hAnsi="宋体" w:cs="宋体"/>
                <w:sz w:val="18"/>
                <w:szCs w:val="18"/>
              </w:rPr>
            </w:pPr>
            <w:r>
              <w:rPr>
                <w:rFonts w:hint="eastAsia" w:ascii="宋体" w:hAnsi="宋体" w:cs="宋体"/>
                <w:sz w:val="18"/>
                <w:szCs w:val="18"/>
              </w:rPr>
              <w:t>—</w:t>
            </w:r>
          </w:p>
        </w:tc>
        <w:tc>
          <w:tcPr>
            <w:tcW w:w="1276" w:type="dxa"/>
            <w:vAlign w:val="center"/>
          </w:tcPr>
          <w:p w14:paraId="5DD17BE6">
            <w:pPr>
              <w:spacing w:line="240" w:lineRule="auto"/>
              <w:jc w:val="center"/>
              <w:rPr>
                <w:rFonts w:hint="eastAsia" w:ascii="宋体" w:hAnsi="宋体" w:cs="宋体"/>
                <w:sz w:val="18"/>
                <w:szCs w:val="18"/>
              </w:rPr>
            </w:pPr>
            <w:r>
              <w:rPr>
                <w:rFonts w:hint="eastAsia" w:ascii="宋体" w:hAnsi="宋体" w:cs="宋体"/>
                <w:sz w:val="18"/>
                <w:szCs w:val="18"/>
              </w:rPr>
              <w:t>数值模拟法</w:t>
            </w:r>
          </w:p>
        </w:tc>
      </w:tr>
      <w:tr w14:paraId="044B9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vMerge w:val="restart"/>
            <w:vAlign w:val="center"/>
          </w:tcPr>
          <w:p w14:paraId="4C52A20B">
            <w:pPr>
              <w:spacing w:line="240" w:lineRule="auto"/>
              <w:jc w:val="center"/>
              <w:rPr>
                <w:rFonts w:hint="eastAsia" w:ascii="宋体" w:hAnsi="宋体" w:cs="宋体"/>
                <w:sz w:val="18"/>
                <w:szCs w:val="18"/>
              </w:rPr>
            </w:pPr>
            <w:r>
              <w:rPr>
                <w:rFonts w:hint="eastAsia" w:ascii="宋体" w:hAnsi="宋体" w:cs="宋体"/>
                <w:sz w:val="18"/>
                <w:szCs w:val="18"/>
              </w:rPr>
              <w:t>3</w:t>
            </w:r>
          </w:p>
        </w:tc>
        <w:tc>
          <w:tcPr>
            <w:tcW w:w="3043" w:type="dxa"/>
            <w:gridSpan w:val="2"/>
            <w:vMerge w:val="restart"/>
            <w:vAlign w:val="center"/>
          </w:tcPr>
          <w:p w14:paraId="29BFA6E6">
            <w:pPr>
              <w:spacing w:line="240" w:lineRule="auto"/>
              <w:jc w:val="left"/>
              <w:rPr>
                <w:rFonts w:hint="eastAsia" w:ascii="宋体" w:hAnsi="宋体" w:cs="宋体"/>
                <w:sz w:val="18"/>
                <w:szCs w:val="18"/>
              </w:rPr>
            </w:pPr>
            <w:r>
              <w:rPr>
                <w:rFonts w:hint="eastAsia" w:ascii="宋体" w:hAnsi="宋体" w:cs="宋体"/>
                <w:sz w:val="18"/>
                <w:szCs w:val="18"/>
              </w:rPr>
              <w:t>帷幕底端位于目的含水层的隔水底板中（落底式帷幕）</w:t>
            </w:r>
          </w:p>
        </w:tc>
        <w:tc>
          <w:tcPr>
            <w:tcW w:w="1134" w:type="dxa"/>
            <w:vAlign w:val="center"/>
          </w:tcPr>
          <w:p w14:paraId="3CB81258">
            <w:pPr>
              <w:spacing w:line="240" w:lineRule="auto"/>
              <w:jc w:val="center"/>
              <w:rPr>
                <w:rFonts w:hint="eastAsia" w:ascii="宋体" w:hAnsi="宋体" w:cs="宋体"/>
                <w:sz w:val="18"/>
                <w:szCs w:val="18"/>
              </w:rPr>
            </w:pPr>
            <w:r>
              <w:rPr>
                <w:rFonts w:hint="eastAsia" w:ascii="宋体" w:hAnsi="宋体" w:cs="宋体"/>
                <w:sz w:val="18"/>
                <w:szCs w:val="18"/>
              </w:rPr>
              <w:t>无补给源</w:t>
            </w:r>
          </w:p>
        </w:tc>
        <w:tc>
          <w:tcPr>
            <w:tcW w:w="2268" w:type="dxa"/>
            <w:vMerge w:val="restart"/>
            <w:vAlign w:val="center"/>
          </w:tcPr>
          <w:p w14:paraId="07419BFF">
            <w:pPr>
              <w:spacing w:line="240" w:lineRule="auto"/>
              <w:jc w:val="center"/>
              <w:rPr>
                <w:rFonts w:hint="eastAsia" w:ascii="宋体" w:hAnsi="宋体" w:cs="宋体"/>
                <w:sz w:val="18"/>
                <w:szCs w:val="18"/>
              </w:rPr>
            </w:pPr>
            <w:r>
              <w:rPr>
                <w:rFonts w:hint="eastAsia" w:ascii="宋体" w:hAnsi="宋体" w:cs="宋体"/>
                <w:sz w:val="18"/>
                <w:szCs w:val="18"/>
              </w:rPr>
              <w:t>带隔水边界的基坑平面渗流理论</w:t>
            </w:r>
          </w:p>
        </w:tc>
        <w:tc>
          <w:tcPr>
            <w:tcW w:w="1276" w:type="dxa"/>
            <w:vAlign w:val="center"/>
          </w:tcPr>
          <w:p w14:paraId="449B4BBD">
            <w:pPr>
              <w:spacing w:line="240" w:lineRule="auto"/>
              <w:jc w:val="center"/>
              <w:rPr>
                <w:rFonts w:hint="eastAsia" w:ascii="宋体" w:hAnsi="宋体" w:cs="宋体"/>
                <w:sz w:val="18"/>
                <w:szCs w:val="18"/>
              </w:rPr>
            </w:pPr>
            <w:r>
              <w:rPr>
                <w:rFonts w:hint="eastAsia" w:ascii="宋体" w:hAnsi="宋体" w:cs="宋体"/>
                <w:sz w:val="18"/>
                <w:szCs w:val="18"/>
              </w:rPr>
              <w:t>体积法</w:t>
            </w:r>
          </w:p>
        </w:tc>
      </w:tr>
      <w:tr w14:paraId="5289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8" w:type="dxa"/>
            <w:vMerge w:val="continue"/>
            <w:vAlign w:val="center"/>
          </w:tcPr>
          <w:p w14:paraId="113A643F">
            <w:pPr>
              <w:spacing w:line="240" w:lineRule="auto"/>
              <w:jc w:val="center"/>
              <w:rPr>
                <w:rFonts w:hint="eastAsia" w:ascii="宋体" w:hAnsi="宋体" w:cs="宋体"/>
                <w:sz w:val="18"/>
                <w:szCs w:val="18"/>
              </w:rPr>
            </w:pPr>
          </w:p>
        </w:tc>
        <w:tc>
          <w:tcPr>
            <w:tcW w:w="3043" w:type="dxa"/>
            <w:gridSpan w:val="2"/>
            <w:vMerge w:val="continue"/>
            <w:vAlign w:val="center"/>
          </w:tcPr>
          <w:p w14:paraId="48773C9D">
            <w:pPr>
              <w:spacing w:line="240" w:lineRule="auto"/>
              <w:jc w:val="left"/>
              <w:rPr>
                <w:rFonts w:hint="eastAsia" w:ascii="宋体" w:hAnsi="宋体" w:cs="宋体"/>
                <w:sz w:val="18"/>
                <w:szCs w:val="18"/>
              </w:rPr>
            </w:pPr>
          </w:p>
        </w:tc>
        <w:tc>
          <w:tcPr>
            <w:tcW w:w="1134" w:type="dxa"/>
            <w:vAlign w:val="center"/>
          </w:tcPr>
          <w:p w14:paraId="2ABF077A">
            <w:pPr>
              <w:spacing w:line="240" w:lineRule="auto"/>
              <w:jc w:val="center"/>
              <w:rPr>
                <w:rFonts w:hint="eastAsia" w:ascii="宋体" w:hAnsi="宋体" w:cs="宋体"/>
                <w:sz w:val="18"/>
                <w:szCs w:val="18"/>
              </w:rPr>
            </w:pPr>
            <w:r>
              <w:rPr>
                <w:rFonts w:hint="eastAsia" w:ascii="宋体" w:hAnsi="宋体" w:cs="宋体"/>
                <w:sz w:val="18"/>
                <w:szCs w:val="18"/>
              </w:rPr>
              <w:t>有补给源</w:t>
            </w:r>
          </w:p>
        </w:tc>
        <w:tc>
          <w:tcPr>
            <w:tcW w:w="2268" w:type="dxa"/>
            <w:vMerge w:val="continue"/>
            <w:vAlign w:val="center"/>
          </w:tcPr>
          <w:p w14:paraId="6AFB5692">
            <w:pPr>
              <w:spacing w:line="240" w:lineRule="auto"/>
              <w:jc w:val="center"/>
              <w:rPr>
                <w:rFonts w:hint="eastAsia" w:ascii="宋体" w:hAnsi="宋体" w:cs="宋体"/>
                <w:sz w:val="18"/>
                <w:szCs w:val="18"/>
              </w:rPr>
            </w:pPr>
          </w:p>
        </w:tc>
        <w:tc>
          <w:tcPr>
            <w:tcW w:w="1276" w:type="dxa"/>
            <w:vAlign w:val="center"/>
          </w:tcPr>
          <w:p w14:paraId="36C8B4F1">
            <w:pPr>
              <w:spacing w:line="240" w:lineRule="auto"/>
              <w:jc w:val="center"/>
              <w:rPr>
                <w:rFonts w:hint="eastAsia" w:ascii="宋体" w:hAnsi="宋体" w:cs="宋体"/>
                <w:sz w:val="18"/>
                <w:szCs w:val="18"/>
              </w:rPr>
            </w:pPr>
            <w:r>
              <w:rPr>
                <w:rFonts w:hint="eastAsia" w:ascii="宋体" w:hAnsi="宋体" w:cs="宋体"/>
                <w:sz w:val="18"/>
                <w:szCs w:val="18"/>
              </w:rPr>
              <w:t>表观参数法</w:t>
            </w:r>
          </w:p>
        </w:tc>
      </w:tr>
    </w:tbl>
    <w:p w14:paraId="016D29F1">
      <w:pPr>
        <w:spacing w:line="240" w:lineRule="auto"/>
        <w:ind w:firstLine="420" w:firstLineChars="200"/>
        <w:rPr>
          <w:rFonts w:hint="eastAsia" w:ascii="宋体" w:hAnsi="宋体" w:cs="宋体"/>
        </w:rPr>
      </w:pPr>
      <w:r>
        <w:rPr>
          <w:rFonts w:hint="eastAsia"/>
        </w:rPr>
        <w:t>b）</w:t>
      </w:r>
      <w:r>
        <w:rPr>
          <w:rFonts w:hint="eastAsia" w:ascii="宋体" w:hAnsi="宋体" w:cs="宋体"/>
        </w:rPr>
        <w:t>基坑帷幕底端位于目的含水层中（悬挂式帷幕）时，本文件主要针对的是承压含水层。</w:t>
      </w:r>
    </w:p>
    <w:p w14:paraId="01FD65B5">
      <w:pPr>
        <w:spacing w:line="240" w:lineRule="auto"/>
        <w:ind w:firstLine="420"/>
        <w:rPr>
          <w:rFonts w:hint="eastAsia" w:ascii="宋体" w:hAnsi="宋体" w:cs="宋体"/>
        </w:rPr>
      </w:pPr>
      <w:r>
        <w:rPr>
          <w:rFonts w:hint="eastAsia" w:ascii="宋体" w:hAnsi="宋体" w:cs="宋体"/>
        </w:rPr>
        <w:t>悬挂式帷幕的存在，会在一定范围内改变其周边地下水的渗流路径，如图9.3.2-1所示。邻近基坑工程，地下水的渗流存在竖向和水平两个方向，即绕流区</w:t>
      </w:r>
      <m:oMath>
        <m:sSub>
          <m:sSubPr>
            <m:ctrlPr>
              <w:rPr>
                <w:rFonts w:hint="eastAsia" w:ascii="Cambria Math" w:hAnsi="Cambria Math" w:cs="宋体"/>
                <w:i/>
              </w:rPr>
            </m:ctrlPr>
          </m:sSubPr>
          <m:e>
            <m:r>
              <m:rPr/>
              <w:rPr>
                <w:rFonts w:hint="eastAsia" w:ascii="Cambria Math" w:hAnsi="Cambria Math" w:cs="宋体"/>
              </w:rPr>
              <m:t>R</m:t>
            </m:r>
            <m:ctrlPr>
              <w:rPr>
                <w:rFonts w:hint="eastAsia" w:ascii="Cambria Math" w:hAnsi="Cambria Math" w:cs="宋体"/>
                <w:i/>
              </w:rPr>
            </m:ctrlPr>
          </m:e>
          <m:sub>
            <m:r>
              <m:rPr/>
              <w:rPr>
                <w:rFonts w:hint="eastAsia" w:ascii="Cambria Math" w:hAnsi="Cambria Math" w:cs="宋体"/>
              </w:rPr>
              <m:t>1</m:t>
            </m:r>
            <m:ctrlPr>
              <w:rPr>
                <w:rFonts w:hint="eastAsia" w:ascii="Cambria Math" w:hAnsi="Cambria Math" w:cs="宋体"/>
                <w:i/>
              </w:rPr>
            </m:ctrlPr>
          </m:sub>
        </m:sSub>
      </m:oMath>
      <w:r>
        <w:rPr>
          <w:rFonts w:hint="eastAsia" w:ascii="宋体" w:hAnsi="宋体" w:cs="宋体"/>
        </w:rPr>
        <w:t>（</w:t>
      </w:r>
      <m:oMath>
        <m:sSub>
          <m:sSubPr>
            <m:ctrlPr>
              <w:rPr>
                <w:rFonts w:hint="eastAsia" w:ascii="Cambria Math" w:hAnsi="Cambria Math" w:cs="宋体"/>
                <w:i/>
              </w:rPr>
            </m:ctrlPr>
          </m:sSubPr>
          <m:e>
            <m:r>
              <m:rPr/>
              <w:rPr>
                <w:rFonts w:hint="eastAsia" w:ascii="Cambria Math" w:hAnsi="Cambria Math" w:cs="宋体"/>
              </w:rPr>
              <m:t>r</m:t>
            </m:r>
            <m:ctrlPr>
              <w:rPr>
                <w:rFonts w:hint="eastAsia" w:ascii="Cambria Math" w:hAnsi="Cambria Math" w:cs="宋体"/>
                <w:i/>
              </w:rPr>
            </m:ctrlPr>
          </m:e>
          <m:sub>
            <m:r>
              <m:rPr/>
              <w:rPr>
                <w:rFonts w:hint="eastAsia" w:ascii="Cambria Math" w:hAnsi="Cambria Math" w:cs="宋体"/>
              </w:rPr>
              <m:t>0</m:t>
            </m:r>
            <m:ctrlPr>
              <w:rPr>
                <w:rFonts w:hint="eastAsia" w:ascii="Cambria Math" w:hAnsi="Cambria Math" w:cs="宋体"/>
                <w:i/>
              </w:rPr>
            </m:ctrlPr>
          </m:sub>
        </m:sSub>
        <m:r>
          <m:rPr/>
          <w:rPr>
            <w:rFonts w:hint="eastAsia" w:ascii="Cambria Math" w:hAnsi="Cambria Math" w:cs="宋体"/>
          </w:rPr>
          <m:t>+ω&lt;</m:t>
        </m:r>
        <m:sSub>
          <m:sSubPr>
            <m:ctrlPr>
              <w:rPr>
                <w:rFonts w:hint="eastAsia" w:ascii="Cambria Math" w:hAnsi="Cambria Math" w:cs="宋体"/>
                <w:i/>
              </w:rPr>
            </m:ctrlPr>
          </m:sSubPr>
          <m:e>
            <m:r>
              <m:rPr/>
              <w:rPr>
                <w:rFonts w:hint="eastAsia" w:ascii="Cambria Math" w:hAnsi="Cambria Math" w:cs="宋体"/>
              </w:rPr>
              <m:t>R</m:t>
            </m:r>
            <m:ctrlPr>
              <w:rPr>
                <w:rFonts w:hint="eastAsia" w:ascii="Cambria Math" w:hAnsi="Cambria Math" w:cs="宋体"/>
                <w:i/>
              </w:rPr>
            </m:ctrlPr>
          </m:e>
          <m:sub>
            <m:r>
              <m:rPr/>
              <w:rPr>
                <w:rFonts w:hint="eastAsia" w:ascii="Cambria Math" w:hAnsi="Cambria Math" w:cs="宋体"/>
              </w:rPr>
              <m:t>1</m:t>
            </m:r>
            <m:ctrlPr>
              <w:rPr>
                <w:rFonts w:hint="eastAsia" w:ascii="Cambria Math" w:hAnsi="Cambria Math" w:cs="宋体"/>
                <w:i/>
              </w:rPr>
            </m:ctrlPr>
          </m:sub>
        </m:sSub>
      </m:oMath>
      <w:r>
        <w:rPr>
          <w:rFonts w:hint="eastAsia" w:ascii="宋体" w:hAnsi="宋体" w:cs="宋体"/>
        </w:rPr>
        <w:t>≤</w:t>
      </w:r>
      <m:oMath>
        <m:r>
          <m:rPr/>
          <w:rPr>
            <w:rFonts w:hint="eastAsia" w:ascii="Cambria Math" w:hAnsi="Cambria Math" w:cs="宋体"/>
          </w:rPr>
          <m:t>R</m:t>
        </m:r>
      </m:oMath>
      <w:r>
        <w:rPr>
          <w:rFonts w:hint="eastAsia" w:ascii="宋体" w:hAnsi="宋体" w:cs="宋体"/>
        </w:rPr>
        <w:t>）；但随着与帷幕外侧距离的增加，这种绕流的影响程度逐渐减小，直至可以忽略，在该区地下水流向以水平方向为主，竖向分量可以忽略，即非绕流区(当</w:t>
      </w:r>
      <m:oMath>
        <m:r>
          <m:rPr/>
          <w:rPr>
            <w:rFonts w:hint="eastAsia" w:ascii="Cambria Math" w:hAnsi="Cambria Math" w:cs="宋体"/>
          </w:rPr>
          <m:t>r&gt;</m:t>
        </m:r>
        <m:sSub>
          <m:sSubPr>
            <m:ctrlPr>
              <w:rPr>
                <w:rFonts w:hint="eastAsia" w:ascii="Cambria Math" w:hAnsi="Cambria Math" w:cs="宋体"/>
                <w:i/>
              </w:rPr>
            </m:ctrlPr>
          </m:sSubPr>
          <m:e>
            <m:r>
              <m:rPr/>
              <w:rPr>
                <w:rFonts w:hint="eastAsia" w:ascii="Cambria Math" w:hAnsi="Cambria Math" w:cs="宋体"/>
              </w:rPr>
              <m:t>R</m:t>
            </m:r>
            <m:ctrlPr>
              <w:rPr>
                <w:rFonts w:hint="eastAsia" w:ascii="Cambria Math" w:hAnsi="Cambria Math" w:cs="宋体"/>
                <w:i/>
              </w:rPr>
            </m:ctrlPr>
          </m:e>
          <m:sub>
            <m:r>
              <m:rPr/>
              <w:rPr>
                <w:rFonts w:hint="eastAsia" w:ascii="Cambria Math" w:hAnsi="Cambria Math" w:cs="宋体"/>
              </w:rPr>
              <m:t>1</m:t>
            </m:r>
            <m:ctrlPr>
              <w:rPr>
                <w:rFonts w:hint="eastAsia" w:ascii="Cambria Math" w:hAnsi="Cambria Math" w:cs="宋体"/>
                <w:i/>
              </w:rPr>
            </m:ctrlPr>
          </m:sub>
        </m:sSub>
      </m:oMath>
      <w:r>
        <w:rPr>
          <w:rFonts w:hint="eastAsia" w:ascii="宋体" w:hAnsi="宋体" w:cs="宋体"/>
        </w:rPr>
        <w:t>时）。</w:t>
      </w:r>
    </w:p>
    <w:p w14:paraId="6AB4250F">
      <w:pPr>
        <w:pStyle w:val="253"/>
        <w:spacing w:line="240" w:lineRule="auto"/>
        <w:ind w:firstLine="630" w:firstLineChars="300"/>
        <w:jc w:val="center"/>
        <w:rPr>
          <w:rFonts w:ascii="Times New Roman" w:hAnsi="Times New Roman" w:cs="Times New Roman"/>
          <w:color w:val="auto"/>
          <w:sz w:val="21"/>
        </w:rPr>
      </w:pPr>
      <w:r>
        <w:rPr>
          <w:rFonts w:ascii="Times New Roman" w:hAnsi="Times New Roman" w:cs="Times New Roman"/>
          <w:color w:val="auto"/>
          <w:sz w:val="21"/>
        </w:rPr>
        <w:drawing>
          <wp:inline distT="0" distB="0" distL="0" distR="0">
            <wp:extent cx="3672840" cy="2334260"/>
            <wp:effectExtent l="0" t="0" r="381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672840" cy="2334260"/>
                    </a:xfrm>
                    <a:prstGeom prst="rect">
                      <a:avLst/>
                    </a:prstGeom>
                  </pic:spPr>
                </pic:pic>
              </a:graphicData>
            </a:graphic>
          </wp:inline>
        </w:drawing>
      </w:r>
    </w:p>
    <w:p w14:paraId="7C3E4013">
      <w:pPr>
        <w:pStyle w:val="252"/>
        <w:spacing w:before="156" w:beforeLines="50" w:after="156" w:afterLines="50" w:line="240" w:lineRule="auto"/>
        <w:ind w:left="0" w:leftChars="0"/>
        <w:jc w:val="center"/>
        <w:rPr>
          <w:rFonts w:hint="eastAsia" w:ascii="黑体" w:hAnsi="黑体" w:eastAsia="黑体" w:cs="黑体"/>
        </w:rPr>
      </w:pPr>
      <w:r>
        <w:rPr>
          <w:rFonts w:hint="eastAsia" w:ascii="黑体" w:hAnsi="黑体" w:eastAsia="黑体" w:cs="黑体"/>
        </w:rPr>
        <w:t xml:space="preserve">图9.3.2-1 </w:t>
      </w:r>
      <w:r>
        <w:rPr>
          <w:rFonts w:ascii="黑体" w:hAnsi="黑体" w:eastAsia="黑体" w:cs="黑体"/>
        </w:rPr>
        <w:t xml:space="preserve"> </w:t>
      </w:r>
      <w:r>
        <w:rPr>
          <w:rFonts w:hint="eastAsia" w:ascii="黑体" w:hAnsi="黑体" w:eastAsia="黑体" w:cs="黑体"/>
        </w:rPr>
        <w:t>帷幕作用下地下水渗流路径示意图</w:t>
      </w:r>
    </w:p>
    <w:p w14:paraId="66654A04">
      <w:pPr>
        <w:spacing w:line="240" w:lineRule="auto"/>
        <w:ind w:firstLine="420"/>
        <w:rPr>
          <w:rFonts w:hint="eastAsia" w:ascii="宋体" w:hAnsi="宋体" w:cs="宋体"/>
        </w:rPr>
      </w:pPr>
      <w:r>
        <w:rPr>
          <w:rFonts w:hint="eastAsia" w:ascii="宋体" w:hAnsi="宋体" w:cs="宋体"/>
        </w:rPr>
        <w:t>针对悬挂式帷幕+管井联合降水体系的复杂三维渗流问题，常采用数值模拟方法；但数值模拟方法计算过程较为繁琐，工程中常在大井法的基础上，结合经验法进行估算设计。武汉地区已有不少研究学者基于Dupuit假设和阻隔理论对于悬挂式帷幕+管井联合降水体系的解析解法作了大量的研究，如公式（9.3.2-1）、（9.3.2-2），工程技术人员可以参考使用。对于帷幕外侧为无压状态的情况，建议采用数值模拟的方法进行分析计算。</w:t>
      </w:r>
    </w:p>
    <w:p w14:paraId="16EB2F50">
      <w:pPr>
        <w:pStyle w:val="253"/>
        <w:keepNext/>
        <w:spacing w:line="240" w:lineRule="auto"/>
        <w:ind w:left="1280" w:leftChars="400" w:hanging="440" w:hangingChars="200"/>
        <w:jc w:val="both"/>
        <w:rPr>
          <w:rFonts w:hint="eastAsia"/>
          <w:b/>
          <w:bCs/>
          <w:strike/>
          <w:color w:val="auto"/>
        </w:rPr>
      </w:pPr>
      <w:r>
        <w:rPr>
          <w:rFonts w:hint="eastAsia"/>
          <w:color w:val="auto"/>
        </w:rPr>
        <w:t>1）</w:t>
      </w:r>
      <w:r>
        <w:rPr>
          <w:rFonts w:hint="eastAsia"/>
          <w:color w:val="auto"/>
          <w:sz w:val="21"/>
        </w:rPr>
        <w:t>当悬挂式帷幕条件下，基坑为减压降水时，如图9.3.2-2所示：</w:t>
      </w:r>
    </w:p>
    <w:p w14:paraId="14D99F7D">
      <w:pPr>
        <w:spacing w:line="240" w:lineRule="auto"/>
        <w:jc w:val="center"/>
        <w:rPr>
          <w:rFonts w:hint="eastAsia" w:ascii="仿宋" w:hAnsi="仿宋" w:eastAsia="仿宋" w:cs="仿宋"/>
          <w:kern w:val="0"/>
          <w:sz w:val="30"/>
          <w:szCs w:val="30"/>
        </w:rPr>
      </w:pPr>
      <w:r>
        <w:drawing>
          <wp:inline distT="0" distB="0" distL="114300" distR="114300">
            <wp:extent cx="5039995" cy="2139950"/>
            <wp:effectExtent l="0" t="0" r="8255" b="1270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70"/>
                    <a:stretch>
                      <a:fillRect/>
                    </a:stretch>
                  </pic:blipFill>
                  <pic:spPr>
                    <a:xfrm>
                      <a:off x="0" y="0"/>
                      <a:ext cx="5039995" cy="2139950"/>
                    </a:xfrm>
                    <a:prstGeom prst="rect">
                      <a:avLst/>
                    </a:prstGeom>
                    <a:noFill/>
                    <a:ln>
                      <a:noFill/>
                    </a:ln>
                  </pic:spPr>
                </pic:pic>
              </a:graphicData>
            </a:graphic>
          </wp:inline>
        </w:drawing>
      </w:r>
    </w:p>
    <w:p w14:paraId="707F77D6">
      <w:pPr>
        <w:keepNext/>
        <w:spacing w:before="156" w:beforeLines="50" w:after="156" w:afterLines="50" w:line="240" w:lineRule="auto"/>
        <w:jc w:val="center"/>
        <w:rPr>
          <w:rFonts w:hint="eastAsia" w:ascii="黑体" w:hAnsi="黑体" w:eastAsia="黑体" w:cs="宋体"/>
        </w:rPr>
      </w:pPr>
      <w:r>
        <w:rPr>
          <w:rFonts w:hint="eastAsia" w:ascii="黑体" w:hAnsi="黑体" w:eastAsia="黑体" w:cs="宋体"/>
        </w:rPr>
        <w:t xml:space="preserve">图9.3.2-2 </w:t>
      </w:r>
      <w:r>
        <w:rPr>
          <w:rFonts w:ascii="黑体" w:hAnsi="黑体" w:eastAsia="黑体" w:cs="宋体"/>
        </w:rPr>
        <w:t xml:space="preserve"> </w:t>
      </w:r>
      <w:r>
        <w:rPr>
          <w:rFonts w:hint="eastAsia" w:ascii="黑体" w:hAnsi="黑体" w:eastAsia="黑体" w:cs="宋体"/>
        </w:rPr>
        <w:t>悬挂式帷幕+减压降水示意图</w:t>
      </w:r>
    </w:p>
    <w:p w14:paraId="45DC1D47">
      <w:pPr>
        <w:pStyle w:val="253"/>
        <w:spacing w:line="240" w:lineRule="auto"/>
        <w:ind w:firstLine="435" w:firstLineChars="198"/>
        <w:jc w:val="right"/>
        <w:rPr>
          <w:rFonts w:ascii="Times New Roman" w:hAnsi="Times New Roman" w:cs="Times New Roman"/>
          <w:iCs/>
          <w:color w:val="auto"/>
        </w:rPr>
      </w:pPr>
      <m:oMath>
        <m:r>
          <m:rPr/>
          <w:rPr>
            <w:rFonts w:ascii="Cambria Math" w:hAnsi="Cambria Math"/>
            <w:color w:val="auto"/>
          </w:rPr>
          <m:t>Q=</m:t>
        </m:r>
        <m:f>
          <m:fPr>
            <m:ctrlPr>
              <w:rPr>
                <w:rFonts w:ascii="Cambria Math" w:hAnsi="Cambria Math"/>
                <w:i/>
                <w:iCs/>
                <w:color w:val="auto"/>
              </w:rPr>
            </m:ctrlPr>
          </m:fPr>
          <m:num>
            <m:r>
              <m:rPr/>
              <w:rPr>
                <w:rFonts w:ascii="Cambria Math" w:hAnsi="Cambria Math"/>
                <w:color w:val="auto"/>
              </w:rPr>
              <m:t>2</m:t>
            </m:r>
            <m:r>
              <m:rPr>
                <m:sty m:val="p"/>
              </m:rPr>
              <w:rPr>
                <w:rFonts w:ascii="Cambria Math" w:hAnsi="Cambria Math"/>
                <w:color w:val="auto"/>
              </w:rPr>
              <m:t>π</m:t>
            </m:r>
            <m:r>
              <m:rPr/>
              <w:rPr>
                <w:rFonts w:ascii="Cambria Math" w:hAnsi="Cambria Math"/>
                <w:color w:val="auto"/>
              </w:rPr>
              <m:t>KM</m:t>
            </m:r>
            <m:sSub>
              <m:sSubPr>
                <m:ctrlPr>
                  <w:rPr>
                    <w:rFonts w:ascii="Cambria Math" w:hAnsi="Cambria Math"/>
                    <w:i/>
                    <w:iCs/>
                    <w:color w:val="auto"/>
                  </w:rPr>
                </m:ctrlPr>
              </m:sSubPr>
              <m:e>
                <m:r>
                  <m:rPr/>
                  <w:rPr>
                    <w:rFonts w:ascii="Cambria Math" w:hAnsi="Cambria Math"/>
                    <w:color w:val="auto"/>
                  </w:rPr>
                  <m:t>r</m:t>
                </m:r>
                <m:ctrlPr>
                  <w:rPr>
                    <w:rFonts w:ascii="Cambria Math" w:hAnsi="Cambria Math"/>
                    <w:i/>
                    <w:iCs/>
                    <w:color w:val="auto"/>
                  </w:rPr>
                </m:ctrlPr>
              </m:e>
              <m:sub>
                <m:r>
                  <m:rPr/>
                  <w:rPr>
                    <w:rFonts w:ascii="Cambria Math" w:hAnsi="Cambria Math"/>
                    <w:color w:val="auto"/>
                  </w:rPr>
                  <m:t>0</m:t>
                </m:r>
                <m:ctrlPr>
                  <w:rPr>
                    <w:rFonts w:ascii="Cambria Math" w:hAnsi="Cambria Math"/>
                    <w:i/>
                    <w:iCs/>
                    <w:color w:val="auto"/>
                  </w:rPr>
                </m:ctrlPr>
              </m:sub>
            </m:sSub>
            <m:sSub>
              <m:sSubPr>
                <m:ctrlPr>
                  <w:rPr>
                    <w:rFonts w:ascii="Cambria Math" w:hAnsi="Cambria Math"/>
                    <w:i/>
                    <w:color w:val="auto"/>
                  </w:rPr>
                </m:ctrlPr>
              </m:sSubPr>
              <m:e>
                <m:r>
                  <m:rPr/>
                  <w:rPr>
                    <w:rFonts w:ascii="Cambria Math" w:hAnsi="Cambria Math"/>
                    <w:color w:val="auto"/>
                  </w:rPr>
                  <m:t>SM</m:t>
                </m:r>
                <m:ctrlPr>
                  <w:rPr>
                    <w:rFonts w:ascii="Cambria Math" w:hAnsi="Cambria Math"/>
                    <w:i/>
                    <w:color w:val="auto"/>
                  </w:rPr>
                </m:ctrlPr>
              </m:e>
              <m:sub>
                <m:r>
                  <m:rPr/>
                  <w:rPr>
                    <w:rFonts w:ascii="Cambria Math" w:hAnsi="Cambria Math"/>
                    <w:color w:val="auto"/>
                  </w:rPr>
                  <m:t>R</m:t>
                </m:r>
                <m:ctrlPr>
                  <w:rPr>
                    <w:rFonts w:ascii="Cambria Math" w:hAnsi="Cambria Math"/>
                    <w:i/>
                    <w:color w:val="auto"/>
                  </w:rPr>
                </m:ctrlPr>
              </m:sub>
            </m:sSub>
            <m:ctrlPr>
              <w:rPr>
                <w:rFonts w:ascii="Cambria Math" w:hAnsi="Cambria Math"/>
                <w:i/>
                <w:iCs/>
                <w:color w:val="auto"/>
              </w:rPr>
            </m:ctrlPr>
          </m:num>
          <m:den>
            <m:func>
              <m:funcPr>
                <m:ctrlPr>
                  <w:rPr>
                    <w:rFonts w:ascii="Cambria Math" w:hAnsi="Cambria Math"/>
                    <w:i/>
                    <w:iCs/>
                    <w:color w:val="auto"/>
                  </w:rPr>
                </m:ctrlPr>
              </m:funcPr>
              <m:fName>
                <m:r>
                  <m:rPr/>
                  <w:rPr>
                    <w:rFonts w:ascii="Cambria Math" w:hAnsi="Cambria Math"/>
                    <w:color w:val="auto"/>
                  </w:rPr>
                  <m:t>M</m:t>
                </m:r>
                <m:ctrlPr>
                  <w:rPr>
                    <w:rFonts w:ascii="Cambria Math" w:hAnsi="Cambria Math"/>
                    <w:i/>
                    <w:iCs/>
                    <w:color w:val="auto"/>
                  </w:rPr>
                </m:ctrlPr>
              </m:fName>
              <m:e>
                <m:d>
                  <m:dPr>
                    <m:begChr m:val="（"/>
                    <m:endChr m:val="）"/>
                    <m:ctrlPr>
                      <w:rPr>
                        <w:rFonts w:ascii="Cambria Math" w:hAnsi="Cambria Math"/>
                        <w:i/>
                        <w:color w:val="auto"/>
                      </w:rPr>
                    </m:ctrlPr>
                  </m:dPr>
                  <m:e>
                    <m:r>
                      <m:rPr/>
                      <w:rPr>
                        <w:rFonts w:ascii="Cambria Math" w:hAnsi="Cambria Math"/>
                        <w:color w:val="auto"/>
                      </w:rPr>
                      <m:t>M−</m:t>
                    </m:r>
                    <m:sSub>
                      <m:sSubPr>
                        <m:ctrlPr>
                          <w:rPr>
                            <w:rFonts w:ascii="Cambria Math" w:hAnsi="Cambria Math"/>
                            <w:i/>
                            <w:iCs/>
                            <w:color w:val="auto"/>
                          </w:rPr>
                        </m:ctrlPr>
                      </m:sSubPr>
                      <m:e>
                        <m:r>
                          <m:rPr/>
                          <w:rPr>
                            <w:rFonts w:ascii="Cambria Math" w:hAnsi="Cambria Math"/>
                            <w:color w:val="auto"/>
                          </w:rPr>
                          <m:t>M</m:t>
                        </m:r>
                        <m:ctrlPr>
                          <w:rPr>
                            <w:rFonts w:ascii="Cambria Math" w:hAnsi="Cambria Math"/>
                            <w:i/>
                            <w:iCs/>
                            <w:color w:val="auto"/>
                          </w:rPr>
                        </m:ctrlPr>
                      </m:e>
                      <m:sub>
                        <m:r>
                          <m:rPr/>
                          <w:rPr>
                            <w:rFonts w:ascii="Cambria Math" w:hAnsi="Cambria Math"/>
                            <w:color w:val="auto"/>
                          </w:rPr>
                          <m:t>R</m:t>
                        </m:r>
                        <m:ctrlPr>
                          <w:rPr>
                            <w:rFonts w:ascii="Cambria Math" w:hAnsi="Cambria Math"/>
                            <w:i/>
                            <w:iCs/>
                            <w:color w:val="auto"/>
                          </w:rPr>
                        </m:ctrlPr>
                      </m:sub>
                    </m:sSub>
                    <m:r>
                      <m:rPr/>
                      <w:rPr>
                        <w:rFonts w:ascii="Cambria Math" w:hAnsi="Cambria Math"/>
                        <w:color w:val="auto"/>
                      </w:rPr>
                      <m:t>+ω</m:t>
                    </m:r>
                    <m:ctrlPr>
                      <w:rPr>
                        <w:rFonts w:ascii="Cambria Math" w:hAnsi="Cambria Math"/>
                        <w:i/>
                        <w:color w:val="auto"/>
                      </w:rPr>
                    </m:ctrlPr>
                  </m:e>
                </m:d>
                <m:ctrlPr>
                  <w:rPr>
                    <w:rFonts w:ascii="Cambria Math" w:hAnsi="Cambria Math"/>
                    <w:i/>
                    <w:iCs/>
                    <w:color w:val="auto"/>
                  </w:rPr>
                </m:ctrlPr>
              </m:e>
            </m:func>
            <m:r>
              <m:rPr/>
              <w:rPr>
                <w:rFonts w:ascii="Cambria Math" w:hAnsi="Cambria Math"/>
                <w:color w:val="auto"/>
              </w:rPr>
              <m:t>+</m:t>
            </m:r>
            <m:sSub>
              <m:sSubPr>
                <m:ctrlPr>
                  <w:rPr>
                    <w:rFonts w:ascii="Cambria Math" w:hAnsi="Cambria Math"/>
                    <w:i/>
                    <w:iCs/>
                    <w:color w:val="auto"/>
                  </w:rPr>
                </m:ctrlPr>
              </m:sSubPr>
              <m:e>
                <m:r>
                  <m:rPr/>
                  <w:rPr>
                    <w:rFonts w:ascii="Cambria Math" w:hAnsi="Cambria Math"/>
                    <w:color w:val="auto"/>
                  </w:rPr>
                  <m:t>r</m:t>
                </m:r>
                <m:ctrlPr>
                  <w:rPr>
                    <w:rFonts w:ascii="Cambria Math" w:hAnsi="Cambria Math"/>
                    <w:i/>
                    <w:iCs/>
                    <w:color w:val="auto"/>
                  </w:rPr>
                </m:ctrlPr>
              </m:e>
              <m:sub>
                <m:r>
                  <m:rPr/>
                  <w:rPr>
                    <w:rFonts w:ascii="Cambria Math" w:hAnsi="Cambria Math"/>
                    <w:color w:val="auto"/>
                  </w:rPr>
                  <m:t>0</m:t>
                </m:r>
                <m:ctrlPr>
                  <w:rPr>
                    <w:rFonts w:ascii="Cambria Math" w:hAnsi="Cambria Math"/>
                    <w:i/>
                    <w:iCs/>
                    <w:color w:val="auto"/>
                  </w:rPr>
                </m:ctrlPr>
              </m:sub>
            </m:sSub>
            <m:sSub>
              <m:sSubPr>
                <m:ctrlPr>
                  <w:rPr>
                    <w:rFonts w:ascii="Cambria Math" w:hAnsi="Cambria Math"/>
                    <w:i/>
                    <w:iCs/>
                    <w:color w:val="auto"/>
                  </w:rPr>
                </m:ctrlPr>
              </m:sSubPr>
              <m:e>
                <m:r>
                  <m:rPr/>
                  <w:rPr>
                    <w:rFonts w:ascii="Cambria Math" w:hAnsi="Cambria Math"/>
                    <w:color w:val="auto"/>
                  </w:rPr>
                  <m:t>M</m:t>
                </m:r>
                <m:ctrlPr>
                  <w:rPr>
                    <w:rFonts w:ascii="Cambria Math" w:hAnsi="Cambria Math"/>
                    <w:i/>
                    <w:iCs/>
                    <w:color w:val="auto"/>
                  </w:rPr>
                </m:ctrlPr>
              </m:e>
              <m:sub>
                <m:r>
                  <m:rPr/>
                  <w:rPr>
                    <w:rFonts w:ascii="Cambria Math" w:hAnsi="Cambria Math"/>
                    <w:color w:val="auto"/>
                  </w:rPr>
                  <m:t>R</m:t>
                </m:r>
                <m:ctrlPr>
                  <w:rPr>
                    <w:rFonts w:ascii="Cambria Math" w:hAnsi="Cambria Math"/>
                    <w:i/>
                    <w:iCs/>
                    <w:color w:val="auto"/>
                  </w:rPr>
                </m:ctrlPr>
              </m:sub>
            </m:sSub>
            <m:r>
              <m:rPr>
                <m:sty m:val="p"/>
              </m:rPr>
              <w:rPr>
                <w:rFonts w:ascii="Cambria Math" w:hAnsi="Cambria Math"/>
                <w:color w:val="auto"/>
              </w:rPr>
              <m:t>ln</m:t>
            </m:r>
            <m:d>
              <m:dPr>
                <m:ctrlPr>
                  <w:rPr>
                    <w:rFonts w:ascii="Cambria Math" w:hAnsi="Cambria Math"/>
                    <w:i/>
                    <w:iCs/>
                    <w:color w:val="auto"/>
                  </w:rPr>
                </m:ctrlPr>
              </m:dPr>
              <m:e>
                <m:r>
                  <m:rPr/>
                  <w:rPr>
                    <w:rFonts w:ascii="Cambria Math" w:hAnsi="Cambria Math"/>
                    <w:color w:val="auto"/>
                  </w:rPr>
                  <m:t>1+</m:t>
                </m:r>
                <m:f>
                  <m:fPr>
                    <m:ctrlPr>
                      <w:rPr>
                        <w:rFonts w:ascii="Cambria Math" w:hAnsi="Cambria Math"/>
                        <w:i/>
                        <w:iCs/>
                        <w:color w:val="auto"/>
                      </w:rPr>
                    </m:ctrlPr>
                  </m:fPr>
                  <m:num>
                    <m:r>
                      <m:rPr/>
                      <w:rPr>
                        <w:rFonts w:ascii="Cambria Math" w:hAnsi="Cambria Math"/>
                        <w:color w:val="auto"/>
                      </w:rPr>
                      <m:t>R</m:t>
                    </m:r>
                    <m:ctrlPr>
                      <w:rPr>
                        <w:rFonts w:ascii="Cambria Math" w:hAnsi="Cambria Math"/>
                        <w:i/>
                        <w:iCs/>
                        <w:color w:val="auto"/>
                      </w:rPr>
                    </m:ctrlPr>
                  </m:num>
                  <m:den>
                    <m:sSub>
                      <m:sSubPr>
                        <m:ctrlPr>
                          <w:rPr>
                            <w:rFonts w:ascii="Cambria Math" w:hAnsi="Cambria Math"/>
                            <w:i/>
                            <w:iCs/>
                            <w:color w:val="auto"/>
                          </w:rPr>
                        </m:ctrlPr>
                      </m:sSubPr>
                      <m:e>
                        <m:r>
                          <m:rPr/>
                          <w:rPr>
                            <w:rFonts w:hint="eastAsia" w:ascii="Cambria Math" w:hAnsi="Cambria Math"/>
                            <w:color w:val="auto"/>
                          </w:rPr>
                          <m:t>r</m:t>
                        </m:r>
                        <m:ctrlPr>
                          <w:rPr>
                            <w:rFonts w:ascii="Cambria Math" w:hAnsi="Cambria Math"/>
                            <w:i/>
                            <w:iCs/>
                            <w:color w:val="auto"/>
                          </w:rPr>
                        </m:ctrlPr>
                      </m:e>
                      <m:sub>
                        <m:r>
                          <m:rPr/>
                          <w:rPr>
                            <w:rFonts w:ascii="Cambria Math" w:hAnsi="Cambria Math"/>
                            <w:color w:val="auto"/>
                          </w:rPr>
                          <m:t>0</m:t>
                        </m:r>
                        <m:ctrlPr>
                          <w:rPr>
                            <w:rFonts w:ascii="Cambria Math" w:hAnsi="Cambria Math"/>
                            <w:i/>
                            <w:iCs/>
                            <w:color w:val="auto"/>
                          </w:rPr>
                        </m:ctrlPr>
                      </m:sub>
                    </m:sSub>
                    <m:ctrlPr>
                      <w:rPr>
                        <w:rFonts w:ascii="Cambria Math" w:hAnsi="Cambria Math"/>
                        <w:i/>
                        <w:iCs/>
                        <w:color w:val="auto"/>
                      </w:rPr>
                    </m:ctrlPr>
                  </m:den>
                </m:f>
                <m:ctrlPr>
                  <w:rPr>
                    <w:rFonts w:ascii="Cambria Math" w:hAnsi="Cambria Math"/>
                    <w:i/>
                    <w:iCs/>
                    <w:color w:val="auto"/>
                  </w:rPr>
                </m:ctrlPr>
              </m:e>
            </m:d>
            <m:ctrlPr>
              <w:rPr>
                <w:rFonts w:ascii="Cambria Math" w:hAnsi="Cambria Math"/>
                <w:i/>
                <w:iCs/>
                <w:color w:val="auto"/>
              </w:rPr>
            </m:ctrlPr>
          </m:den>
        </m:f>
      </m:oMath>
      <w:r>
        <w:rPr>
          <w:rFonts w:hint="eastAsia" w:ascii="Times New Roman" w:hAnsi="Times New Roman" w:cs="Times New Roman"/>
          <w:iCs/>
          <w:color w:val="auto"/>
        </w:rPr>
        <w:t xml:space="preserve">                </w:t>
      </w:r>
      <w:r>
        <w:rPr>
          <w:rFonts w:ascii="Times New Roman" w:hAnsi="Times New Roman" w:cs="Times New Roman"/>
          <w:iCs/>
          <w:color w:val="auto"/>
        </w:rPr>
        <w:t xml:space="preserve">          </w:t>
      </w:r>
      <w:r>
        <w:rPr>
          <w:rFonts w:hint="eastAsia" w:ascii="Times New Roman" w:hAnsi="Times New Roman" w:cs="Times New Roman"/>
          <w:iCs/>
          <w:color w:val="auto"/>
        </w:rPr>
        <w:t>              </w:t>
      </w:r>
      <w:r>
        <w:rPr>
          <w:rFonts w:hint="eastAsia"/>
          <w:color w:val="auto"/>
        </w:rPr>
        <w:t>（9.3.2-1）</w:t>
      </w:r>
    </w:p>
    <w:p w14:paraId="54D55F42">
      <w:pPr>
        <w:spacing w:line="240" w:lineRule="auto"/>
        <w:ind w:left="630" w:leftChars="300"/>
        <w:jc w:val="left"/>
        <w:rPr>
          <w:rFonts w:hint="eastAsia" w:ascii="宋体" w:hAnsi="宋体" w:cs="宋体"/>
        </w:rPr>
      </w:pPr>
      <w:r>
        <w:rPr>
          <w:rFonts w:hint="eastAsia" w:ascii="宋体" w:hAnsi="宋体" w:cs="宋体"/>
        </w:rPr>
        <w:t>式中：</w:t>
      </w:r>
    </w:p>
    <w:p w14:paraId="3CDF0375">
      <w:pPr>
        <w:spacing w:line="240" w:lineRule="auto"/>
        <w:ind w:left="630" w:leftChars="300"/>
        <w:jc w:val="left"/>
        <w:rPr>
          <w:rFonts w:hint="eastAsia" w:ascii="宋体" w:hAnsi="宋体" w:cs="宋体"/>
        </w:rPr>
      </w:pPr>
      <w:r>
        <w:rPr>
          <w:rFonts w:hint="eastAsia" w:ascii="宋体" w:hAnsi="宋体" w:cs="宋体"/>
          <w:i/>
          <w:iCs/>
        </w:rPr>
        <w:t>Q</w:t>
      </w:r>
      <w:r>
        <w:rPr>
          <w:rFonts w:hint="eastAsia" w:ascii="宋体" w:hAnsi="宋体" w:cs="宋体"/>
        </w:rPr>
        <w:t>——基坑计算涌水量，m</w:t>
      </w:r>
      <w:r>
        <w:rPr>
          <w:rFonts w:hint="eastAsia" w:ascii="宋体" w:hAnsi="宋体" w:cs="宋体"/>
          <w:vertAlign w:val="superscript"/>
        </w:rPr>
        <w:t>3</w:t>
      </w:r>
      <w:r>
        <w:rPr>
          <w:rFonts w:hint="eastAsia" w:ascii="宋体" w:hAnsi="宋体" w:cs="宋体"/>
        </w:rPr>
        <w:t>/d；</w:t>
      </w:r>
    </w:p>
    <w:p w14:paraId="06733FC2">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i/>
          <w:iCs/>
          <w:vertAlign w:val="subscript"/>
        </w:rPr>
        <w:t>0</w:t>
      </w:r>
      <w:r>
        <w:rPr>
          <w:rFonts w:hint="eastAsia" w:ascii="宋体" w:hAnsi="宋体" w:cs="宋体"/>
        </w:rPr>
        <w:t>——基坑等效半径，m；</w:t>
      </w:r>
    </w:p>
    <w:p w14:paraId="360A4075">
      <w:pPr>
        <w:spacing w:line="240" w:lineRule="auto"/>
        <w:ind w:left="630" w:leftChars="300"/>
        <w:jc w:val="left"/>
        <w:rPr>
          <w:rFonts w:hint="eastAsia" w:ascii="宋体" w:hAnsi="宋体" w:cs="宋体"/>
        </w:rPr>
      </w:pPr>
      <w:r>
        <w:rPr>
          <w:rFonts w:hint="eastAsia" w:ascii="宋体" w:hAnsi="宋体" w:cs="宋体"/>
          <w:i/>
          <w:iCs/>
        </w:rPr>
        <w:t>K</w:t>
      </w:r>
      <w:r>
        <w:rPr>
          <w:rFonts w:hint="eastAsia" w:ascii="宋体" w:hAnsi="宋体" w:cs="宋体"/>
        </w:rPr>
        <w:t>——渗透系数，m/d；</w:t>
      </w:r>
    </w:p>
    <w:p w14:paraId="05EEFAD7">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rPr>
        <w:t>——含水层厚度，m；</w:t>
      </w:r>
    </w:p>
    <w:p w14:paraId="2387169C">
      <w:pPr>
        <w:spacing w:line="240" w:lineRule="auto"/>
        <w:ind w:left="630" w:leftChars="300"/>
        <w:jc w:val="left"/>
        <w:rPr>
          <w:rFonts w:hint="eastAsia" w:ascii="宋体" w:hAnsi="宋体" w:cs="宋体"/>
        </w:rPr>
      </w:pPr>
      <w:r>
        <w:rPr>
          <w:rFonts w:hint="eastAsia" w:ascii="宋体" w:hAnsi="宋体" w:cs="宋体"/>
          <w:i/>
          <w:iCs/>
        </w:rPr>
        <w:t>H</w:t>
      </w:r>
      <w:r>
        <w:rPr>
          <w:rFonts w:hint="eastAsia" w:ascii="宋体" w:hAnsi="宋体" w:cs="宋体"/>
        </w:rPr>
        <w:t>——任意点处隔水底板到降水前静水位的高度，m；</w:t>
      </w:r>
    </w:p>
    <w:p w14:paraId="1F84F21B">
      <w:pPr>
        <w:spacing w:line="240" w:lineRule="auto"/>
        <w:ind w:left="630" w:leftChars="300"/>
        <w:jc w:val="left"/>
        <w:rPr>
          <w:rFonts w:hint="eastAsia" w:ascii="宋体" w:hAnsi="宋体" w:cs="宋体"/>
        </w:rPr>
      </w:pPr>
      <w:r>
        <w:rPr>
          <w:rFonts w:hint="eastAsia" w:ascii="宋体" w:hAnsi="宋体" w:cs="宋体"/>
          <w:i/>
          <w:iCs/>
        </w:rPr>
        <w:t>S</w:t>
      </w:r>
      <w:r>
        <w:rPr>
          <w:rFonts w:hint="eastAsia" w:ascii="宋体" w:hAnsi="宋体" w:cs="宋体"/>
        </w:rPr>
        <w:t>——水位降深,m；</w:t>
      </w:r>
    </w:p>
    <w:p w14:paraId="1043C70E">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i/>
          <w:iCs/>
          <w:vertAlign w:val="subscript"/>
        </w:rPr>
        <w:t>R</w:t>
      </w:r>
      <w:r>
        <w:rPr>
          <w:rFonts w:hint="eastAsia" w:ascii="宋体" w:hAnsi="宋体" w:cs="宋体"/>
        </w:rPr>
        <w:t>——帷幕底端距含水层底板的距离，m；</w:t>
      </w:r>
    </w:p>
    <w:p w14:paraId="2B53ABC6">
      <w:pPr>
        <w:spacing w:line="240" w:lineRule="auto"/>
        <w:ind w:left="630" w:leftChars="300"/>
        <w:jc w:val="left"/>
        <w:rPr>
          <w:rFonts w:hint="eastAsia" w:ascii="宋体" w:hAnsi="宋体" w:cs="宋体"/>
        </w:rPr>
      </w:pPr>
      <w:r>
        <w:rPr>
          <w:rFonts w:hint="eastAsia" w:ascii="宋体" w:hAnsi="宋体" w:cs="宋体"/>
          <w:i/>
          <w:iCs/>
        </w:rPr>
        <w:t>ω</w:t>
      </w:r>
      <w:r>
        <w:rPr>
          <w:rFonts w:hint="eastAsia" w:ascii="宋体" w:hAnsi="宋体" w:cs="宋体"/>
        </w:rPr>
        <w:t>——帷幕厚度，m；</w:t>
      </w:r>
    </w:p>
    <w:p w14:paraId="581AFEE0">
      <w:pPr>
        <w:spacing w:line="240" w:lineRule="auto"/>
        <w:ind w:left="630" w:leftChars="300"/>
        <w:jc w:val="left"/>
        <w:rPr>
          <w:rFonts w:hint="eastAsia" w:ascii="宋体" w:hAnsi="宋体" w:cs="宋体"/>
        </w:rPr>
      </w:pPr>
      <w:r>
        <w:rPr>
          <w:rFonts w:hint="eastAsia" w:ascii="宋体" w:hAnsi="宋体" w:cs="宋体"/>
          <w:i/>
          <w:iCs/>
        </w:rPr>
        <w:t>R</w:t>
      </w:r>
      <w:r>
        <w:rPr>
          <w:rFonts w:hint="eastAsia" w:ascii="宋体" w:hAnsi="宋体" w:cs="宋体"/>
        </w:rPr>
        <w:t>——抽水影响半径，m。</w:t>
      </w:r>
    </w:p>
    <w:p w14:paraId="52223807">
      <w:pPr>
        <w:pStyle w:val="253"/>
        <w:keepNext/>
        <w:spacing w:line="240" w:lineRule="auto"/>
        <w:ind w:left="1260" w:leftChars="400" w:hanging="420" w:hangingChars="200"/>
        <w:jc w:val="both"/>
        <w:rPr>
          <w:rFonts w:hint="eastAsia"/>
          <w:color w:val="auto"/>
          <w:sz w:val="21"/>
        </w:rPr>
      </w:pPr>
      <w:r>
        <w:rPr>
          <w:color w:val="auto"/>
          <w:sz w:val="21"/>
        </w:rPr>
        <w:t>2</w:t>
      </w:r>
      <w:r>
        <w:rPr>
          <w:rFonts w:hint="eastAsia"/>
          <w:color w:val="auto"/>
          <w:sz w:val="21"/>
        </w:rPr>
        <w:t>）当悬挂式帷幕条件下，</w:t>
      </w:r>
      <w:r>
        <w:rPr>
          <w:color w:val="auto"/>
          <w:sz w:val="21"/>
        </w:rPr>
        <w:t>基坑为</w:t>
      </w:r>
      <w:r>
        <w:rPr>
          <w:rFonts w:hint="eastAsia"/>
          <w:color w:val="auto"/>
          <w:sz w:val="21"/>
        </w:rPr>
        <w:t>疏干</w:t>
      </w:r>
      <w:r>
        <w:rPr>
          <w:color w:val="auto"/>
          <w:sz w:val="21"/>
        </w:rPr>
        <w:t>降水</w:t>
      </w:r>
      <w:r>
        <w:rPr>
          <w:rFonts w:hint="eastAsia"/>
          <w:color w:val="auto"/>
          <w:sz w:val="21"/>
        </w:rPr>
        <w:t>时，如图9.3.2-3所示：</w:t>
      </w:r>
    </w:p>
    <w:p w14:paraId="53257D22">
      <w:pPr>
        <w:pStyle w:val="13"/>
        <w:spacing w:line="240" w:lineRule="auto"/>
        <w:rPr>
          <w:rFonts w:hint="eastAsia"/>
        </w:rPr>
      </w:pPr>
      <w:r>
        <w:drawing>
          <wp:inline distT="0" distB="0" distL="114300" distR="114300">
            <wp:extent cx="5400040" cy="2295525"/>
            <wp:effectExtent l="0" t="0" r="0" b="952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71"/>
                    <a:stretch>
                      <a:fillRect/>
                    </a:stretch>
                  </pic:blipFill>
                  <pic:spPr>
                    <a:xfrm>
                      <a:off x="0" y="0"/>
                      <a:ext cx="5400040" cy="2295525"/>
                    </a:xfrm>
                    <a:prstGeom prst="rect">
                      <a:avLst/>
                    </a:prstGeom>
                    <a:noFill/>
                    <a:ln>
                      <a:noFill/>
                    </a:ln>
                  </pic:spPr>
                </pic:pic>
              </a:graphicData>
            </a:graphic>
          </wp:inline>
        </w:drawing>
      </w:r>
    </w:p>
    <w:p w14:paraId="313EBFA8">
      <w:pPr>
        <w:pStyle w:val="13"/>
        <w:ind w:left="819" w:leftChars="199" w:hanging="401" w:hangingChars="191"/>
        <w:rPr>
          <w:rFonts w:hint="eastAsia" w:ascii="黑体" w:hAnsi="黑体" w:cs="宋体"/>
        </w:rPr>
      </w:pPr>
      <w:r>
        <w:rPr>
          <w:rFonts w:hint="eastAsia" w:ascii="黑体" w:hAnsi="黑体" w:cs="宋体"/>
        </w:rPr>
        <w:t xml:space="preserve">图9.3.2-3 </w:t>
      </w:r>
      <w:r>
        <w:rPr>
          <w:rFonts w:ascii="黑体" w:hAnsi="黑体" w:cs="宋体"/>
        </w:rPr>
        <w:t xml:space="preserve"> </w:t>
      </w:r>
      <w:r>
        <w:rPr>
          <w:rFonts w:hint="eastAsia" w:ascii="黑体" w:hAnsi="黑体" w:cs="宋体"/>
        </w:rPr>
        <w:t>悬挂式帷幕+疏干降水示意图</w:t>
      </w:r>
    </w:p>
    <w:p w14:paraId="5751EAA5">
      <w:pPr>
        <w:spacing w:line="240" w:lineRule="auto"/>
        <w:jc w:val="right"/>
        <w:rPr>
          <w:rFonts w:hAnsi="Cambria Math"/>
          <w:iCs/>
          <w:kern w:val="0"/>
          <w:sz w:val="18"/>
          <w:szCs w:val="18"/>
        </w:rPr>
      </w:pPr>
      <m:oMath>
        <m:r>
          <m:rPr/>
          <w:rPr>
            <w:rFonts w:ascii="Cambria Math" w:hAnsi="Cambria Math" w:cs="Cambria Math"/>
            <w:kern w:val="0"/>
          </w:rPr>
          <m:t>Q=</m:t>
        </m:r>
        <m:f>
          <m:fPr>
            <m:ctrlPr>
              <w:rPr>
                <w:rFonts w:ascii="Cambria Math" w:hAnsi="Cambria Math" w:cs="Cambria Math"/>
                <w:i/>
                <w:iCs/>
                <w:kern w:val="0"/>
              </w:rPr>
            </m:ctrlPr>
          </m:fPr>
          <m:num>
            <m:r>
              <m:rPr/>
              <w:rPr>
                <w:rFonts w:ascii="Cambria Math" w:hAnsi="Cambria Math" w:cs="Cambria Math"/>
                <w:kern w:val="0"/>
              </w:rPr>
              <m:t>2</m:t>
            </m:r>
            <m:r>
              <m:rPr>
                <m:sty m:val="p"/>
              </m:rPr>
              <w:rPr>
                <w:rFonts w:ascii="Cambria Math" w:hAnsi="Cambria Math" w:cs="Cambria Math"/>
                <w:kern w:val="0"/>
              </w:rPr>
              <m:t>π</m:t>
            </m:r>
            <m:r>
              <m:rPr/>
              <w:rPr>
                <w:rFonts w:ascii="Cambria Math" w:hAnsi="Cambria Math" w:cs="Cambria Math"/>
                <w:kern w:val="0"/>
              </w:rPr>
              <m:t>KM</m:t>
            </m:r>
            <m:sSub>
              <m:sSubPr>
                <m:ctrlPr>
                  <w:rPr>
                    <w:rFonts w:ascii="Cambria Math" w:hAnsi="Cambria Math" w:cs="Cambria Math"/>
                    <w:i/>
                    <w:iCs/>
                    <w:kern w:val="0"/>
                  </w:rPr>
                </m:ctrlPr>
              </m:sSubPr>
              <m:e>
                <m:r>
                  <m:rPr/>
                  <w:rPr>
                    <w:rFonts w:ascii="Cambria Math" w:hAnsi="Cambria Math" w:cs="Cambria Math"/>
                    <w:kern w:val="0"/>
                  </w:rPr>
                  <m:t>r</m:t>
                </m:r>
                <m:ctrlPr>
                  <w:rPr>
                    <w:rFonts w:ascii="Cambria Math" w:hAnsi="Cambria Math" w:cs="Cambria Math"/>
                    <w:i/>
                    <w:iCs/>
                    <w:kern w:val="0"/>
                  </w:rPr>
                </m:ctrlPr>
              </m:e>
              <m:sub>
                <m:r>
                  <m:rPr/>
                  <w:rPr>
                    <w:rFonts w:ascii="Cambria Math" w:hAnsi="Cambria Math" w:cs="Cambria Math"/>
                    <w:kern w:val="0"/>
                  </w:rPr>
                  <m:t>0</m:t>
                </m:r>
                <m:ctrlPr>
                  <w:rPr>
                    <w:rFonts w:ascii="Cambria Math" w:hAnsi="Cambria Math" w:cs="Cambria Math"/>
                    <w:i/>
                    <w:iCs/>
                    <w:kern w:val="0"/>
                  </w:rPr>
                </m:ctrlPr>
              </m:sub>
            </m:sSub>
            <m:sSub>
              <m:sSubPr>
                <m:ctrlPr>
                  <w:rPr>
                    <w:rFonts w:ascii="Cambria Math" w:hAnsi="Cambria Math" w:cs="Cambria Math"/>
                    <w:i/>
                    <w:kern w:val="0"/>
                  </w:rPr>
                </m:ctrlPr>
              </m:sSubPr>
              <m:e>
                <m:r>
                  <m:rPr/>
                  <w:rPr>
                    <w:rFonts w:ascii="Cambria Math" w:hAnsi="Cambria Math" w:cs="Cambria Math"/>
                    <w:kern w:val="0"/>
                  </w:rPr>
                  <m:t>SM</m:t>
                </m:r>
                <m:ctrlPr>
                  <w:rPr>
                    <w:rFonts w:ascii="Cambria Math" w:hAnsi="Cambria Math" w:cs="Cambria Math"/>
                    <w:i/>
                    <w:kern w:val="0"/>
                  </w:rPr>
                </m:ctrlPr>
              </m:e>
              <m:sub>
                <m:r>
                  <m:rPr/>
                  <w:rPr>
                    <w:rFonts w:ascii="Cambria Math" w:hAnsi="Cambria Math" w:cs="Cambria Math"/>
                    <w:kern w:val="0"/>
                  </w:rPr>
                  <m:t>R</m:t>
                </m:r>
                <m:ctrlPr>
                  <w:rPr>
                    <w:rFonts w:ascii="Cambria Math" w:hAnsi="Cambria Math" w:cs="Cambria Math"/>
                    <w:i/>
                    <w:kern w:val="0"/>
                  </w:rPr>
                </m:ctrlPr>
              </m:sub>
            </m:sSub>
            <m:ctrlPr>
              <w:rPr>
                <w:rFonts w:ascii="Cambria Math" w:hAnsi="Cambria Math" w:cs="Cambria Math"/>
                <w:i/>
                <w:iCs/>
                <w:kern w:val="0"/>
              </w:rPr>
            </m:ctrlPr>
          </m:num>
          <m:den>
            <m:r>
              <m:rPr/>
              <w:rPr>
                <w:rFonts w:ascii="Cambria Math" w:hAnsi="Cambria Math" w:cs="Cambria Math"/>
                <w:kern w:val="0"/>
              </w:rPr>
              <m:t>∝</m:t>
            </m:r>
            <m:func>
              <m:funcPr>
                <m:ctrlPr>
                  <w:rPr>
                    <w:rFonts w:ascii="Cambria Math" w:hAnsi="Cambria Math" w:cs="Cambria Math"/>
                    <w:i/>
                    <w:iCs/>
                    <w:kern w:val="0"/>
                  </w:rPr>
                </m:ctrlPr>
              </m:funcPr>
              <m:fName>
                <m:r>
                  <m:rPr/>
                  <w:rPr>
                    <w:rFonts w:ascii="Cambria Math" w:hAnsi="Cambria Math" w:cs="Cambria Math"/>
                    <w:kern w:val="0"/>
                  </w:rPr>
                  <m:t>M</m:t>
                </m:r>
                <m:ctrlPr>
                  <w:rPr>
                    <w:rFonts w:ascii="Cambria Math" w:hAnsi="Cambria Math" w:cs="Cambria Math"/>
                    <w:i/>
                    <w:iCs/>
                    <w:kern w:val="0"/>
                  </w:rPr>
                </m:ctrlPr>
              </m:fName>
              <m:e>
                <m:d>
                  <m:dPr>
                    <m:begChr m:val="（"/>
                    <m:endChr m:val="）"/>
                    <m:ctrlPr>
                      <w:rPr>
                        <w:rFonts w:ascii="Cambria Math" w:hAnsi="Cambria Math" w:cs="Cambria Math"/>
                        <w:i/>
                        <w:kern w:val="0"/>
                      </w:rPr>
                    </m:ctrlPr>
                  </m:dPr>
                  <m:e>
                    <m:r>
                      <m:rPr/>
                      <w:rPr>
                        <w:rFonts w:ascii="Cambria Math" w:hAnsi="Cambria Math" w:cs="Cambria Math"/>
                        <w:kern w:val="0"/>
                      </w:rPr>
                      <m:t>M+H−</m:t>
                    </m:r>
                    <m:r>
                      <m:rPr/>
                      <w:rPr>
                        <w:rFonts w:ascii="Cambria Math" w:hAnsi="Cambria Math"/>
                        <w:kern w:val="0"/>
                      </w:rPr>
                      <m:t>S</m:t>
                    </m:r>
                    <m:r>
                      <m:rPr/>
                      <w:rPr>
                        <w:rFonts w:ascii="Cambria Math" w:hAnsi="Cambria Math" w:cs="Cambria Math"/>
                        <w:kern w:val="0"/>
                      </w:rPr>
                      <m:t>−</m:t>
                    </m:r>
                    <m:sSub>
                      <m:sSubPr>
                        <m:ctrlPr>
                          <w:rPr>
                            <w:rFonts w:ascii="Cambria Math" w:hAnsi="Cambria Math" w:cs="Cambria Math"/>
                            <w:i/>
                            <w:iCs/>
                            <w:kern w:val="0"/>
                          </w:rPr>
                        </m:ctrlPr>
                      </m:sSubPr>
                      <m:e>
                        <m:r>
                          <m:rPr/>
                          <w:rPr>
                            <w:rFonts w:ascii="Cambria Math" w:hAnsi="Cambria Math" w:cs="Cambria Math"/>
                            <w:kern w:val="0"/>
                          </w:rPr>
                          <m:t>2M</m:t>
                        </m:r>
                        <m:ctrlPr>
                          <w:rPr>
                            <w:rFonts w:ascii="Cambria Math" w:hAnsi="Cambria Math" w:cs="Cambria Math"/>
                            <w:i/>
                            <w:iCs/>
                            <w:kern w:val="0"/>
                          </w:rPr>
                        </m:ctrlPr>
                      </m:e>
                      <m:sub>
                        <m:r>
                          <m:rPr/>
                          <w:rPr>
                            <w:rFonts w:ascii="Cambria Math" w:hAnsi="Cambria Math" w:cs="Cambria Math"/>
                            <w:kern w:val="0"/>
                          </w:rPr>
                          <m:t>R</m:t>
                        </m:r>
                        <m:ctrlPr>
                          <w:rPr>
                            <w:rFonts w:ascii="Cambria Math" w:hAnsi="Cambria Math" w:cs="Cambria Math"/>
                            <w:i/>
                            <w:iCs/>
                            <w:kern w:val="0"/>
                          </w:rPr>
                        </m:ctrlPr>
                      </m:sub>
                    </m:sSub>
                    <m:r>
                      <m:rPr/>
                      <w:rPr>
                        <w:rFonts w:ascii="Cambria Math" w:hAnsi="Cambria Math" w:cs="Cambria Math"/>
                        <w:kern w:val="0"/>
                      </w:rPr>
                      <m:t>+ω</m:t>
                    </m:r>
                    <m:ctrlPr>
                      <w:rPr>
                        <w:rFonts w:ascii="Cambria Math" w:hAnsi="Cambria Math" w:cs="Cambria Math"/>
                        <w:i/>
                        <w:kern w:val="0"/>
                      </w:rPr>
                    </m:ctrlPr>
                  </m:e>
                </m:d>
                <m:ctrlPr>
                  <w:rPr>
                    <w:rFonts w:ascii="Cambria Math" w:hAnsi="Cambria Math" w:cs="Cambria Math"/>
                    <w:i/>
                    <w:iCs/>
                    <w:kern w:val="0"/>
                  </w:rPr>
                </m:ctrlPr>
              </m:e>
            </m:func>
            <m:r>
              <m:rPr/>
              <w:rPr>
                <w:rFonts w:ascii="Cambria Math" w:hAnsi="Cambria Math" w:cs="Cambria Math"/>
                <w:kern w:val="0"/>
              </w:rPr>
              <m:t>+</m:t>
            </m:r>
            <m:sSub>
              <m:sSubPr>
                <m:ctrlPr>
                  <w:rPr>
                    <w:rFonts w:ascii="Cambria Math" w:hAnsi="Cambria Math" w:cs="Cambria Math"/>
                    <w:i/>
                    <w:iCs/>
                    <w:kern w:val="0"/>
                  </w:rPr>
                </m:ctrlPr>
              </m:sSubPr>
              <m:e>
                <m:r>
                  <m:rPr/>
                  <w:rPr>
                    <w:rFonts w:ascii="Cambria Math" w:hAnsi="Cambria Math" w:cs="Cambria Math"/>
                    <w:kern w:val="0"/>
                  </w:rPr>
                  <m:t>r</m:t>
                </m:r>
                <m:ctrlPr>
                  <w:rPr>
                    <w:rFonts w:ascii="Cambria Math" w:hAnsi="Cambria Math" w:cs="Cambria Math"/>
                    <w:i/>
                    <w:iCs/>
                    <w:kern w:val="0"/>
                  </w:rPr>
                </m:ctrlPr>
              </m:e>
              <m:sub>
                <m:r>
                  <m:rPr/>
                  <w:rPr>
                    <w:rFonts w:ascii="Cambria Math" w:hAnsi="Cambria Math" w:cs="Cambria Math"/>
                    <w:kern w:val="0"/>
                  </w:rPr>
                  <m:t>0</m:t>
                </m:r>
                <m:ctrlPr>
                  <w:rPr>
                    <w:rFonts w:ascii="Cambria Math" w:hAnsi="Cambria Math" w:cs="Cambria Math"/>
                    <w:i/>
                    <w:iCs/>
                    <w:kern w:val="0"/>
                  </w:rPr>
                </m:ctrlPr>
              </m:sub>
            </m:sSub>
            <m:sSub>
              <m:sSubPr>
                <m:ctrlPr>
                  <w:rPr>
                    <w:rFonts w:ascii="Cambria Math" w:hAnsi="Cambria Math" w:cs="Cambria Math"/>
                    <w:i/>
                    <w:iCs/>
                    <w:kern w:val="0"/>
                  </w:rPr>
                </m:ctrlPr>
              </m:sSubPr>
              <m:e>
                <m:r>
                  <m:rPr/>
                  <w:rPr>
                    <w:rFonts w:ascii="Cambria Math" w:hAnsi="Cambria Math" w:cs="Cambria Math"/>
                    <w:kern w:val="0"/>
                  </w:rPr>
                  <m:t>M</m:t>
                </m:r>
                <m:ctrlPr>
                  <w:rPr>
                    <w:rFonts w:ascii="Cambria Math" w:hAnsi="Cambria Math" w:cs="Cambria Math"/>
                    <w:i/>
                    <w:iCs/>
                    <w:kern w:val="0"/>
                  </w:rPr>
                </m:ctrlPr>
              </m:e>
              <m:sub>
                <m:r>
                  <m:rPr/>
                  <w:rPr>
                    <w:rFonts w:ascii="Cambria Math" w:hAnsi="Cambria Math" w:cs="Cambria Math"/>
                    <w:kern w:val="0"/>
                  </w:rPr>
                  <m:t>R</m:t>
                </m:r>
                <m:ctrlPr>
                  <w:rPr>
                    <w:rFonts w:ascii="Cambria Math" w:hAnsi="Cambria Math" w:cs="Cambria Math"/>
                    <w:i/>
                    <w:iCs/>
                    <w:kern w:val="0"/>
                  </w:rPr>
                </m:ctrlPr>
              </m:sub>
            </m:sSub>
            <m:r>
              <m:rPr>
                <m:sty m:val="p"/>
              </m:rPr>
              <w:rPr>
                <w:rFonts w:ascii="Cambria Math" w:hAnsi="Cambria Math" w:cs="Cambria Math"/>
                <w:kern w:val="0"/>
              </w:rPr>
              <m:t>ln</m:t>
            </m:r>
            <m:d>
              <m:dPr>
                <m:ctrlPr>
                  <w:rPr>
                    <w:rFonts w:ascii="Cambria Math" w:hAnsi="Cambria Math" w:cs="宋体"/>
                    <w:i/>
                    <w:iCs/>
                    <w:kern w:val="0"/>
                  </w:rPr>
                </m:ctrlPr>
              </m:dPr>
              <m:e>
                <m:r>
                  <m:rPr/>
                  <w:rPr>
                    <w:rFonts w:ascii="Cambria Math" w:hAnsi="Cambria Math"/>
                  </w:rPr>
                  <m:t>1+</m:t>
                </m:r>
                <m:f>
                  <m:fPr>
                    <m:ctrlPr>
                      <w:rPr>
                        <w:rFonts w:ascii="Cambria Math" w:hAnsi="Cambria Math" w:cs="宋体"/>
                        <w:i/>
                        <w:iCs/>
                        <w:kern w:val="0"/>
                      </w:rPr>
                    </m:ctrlPr>
                  </m:fPr>
                  <m:num>
                    <m:r>
                      <m:rPr/>
                      <w:rPr>
                        <w:rFonts w:ascii="Cambria Math" w:hAnsi="Cambria Math"/>
                      </w:rPr>
                      <m:t>R</m:t>
                    </m:r>
                    <m:ctrlPr>
                      <w:rPr>
                        <w:rFonts w:ascii="Cambria Math" w:hAnsi="Cambria Math" w:cs="宋体"/>
                        <w:i/>
                        <w:iCs/>
                        <w:kern w:val="0"/>
                      </w:rPr>
                    </m:ctrlPr>
                  </m:num>
                  <m:den>
                    <m:sSub>
                      <m:sSubPr>
                        <m:ctrlPr>
                          <w:rPr>
                            <w:rFonts w:ascii="Cambria Math" w:hAnsi="Cambria Math" w:cs="宋体"/>
                            <w:i/>
                            <w:iCs/>
                            <w:kern w:val="0"/>
                          </w:rPr>
                        </m:ctrlPr>
                      </m:sSubPr>
                      <m:e>
                        <m:r>
                          <m:rPr/>
                          <w:rPr>
                            <w:rFonts w:hint="eastAsia" w:ascii="Cambria Math" w:hAnsi="Cambria Math"/>
                          </w:rPr>
                          <m:t>r</m:t>
                        </m:r>
                        <m:ctrlPr>
                          <w:rPr>
                            <w:rFonts w:ascii="Cambria Math" w:hAnsi="Cambria Math" w:cs="宋体"/>
                            <w:i/>
                            <w:iCs/>
                            <w:kern w:val="0"/>
                          </w:rPr>
                        </m:ctrlPr>
                      </m:e>
                      <m:sub>
                        <m:r>
                          <m:rPr/>
                          <w:rPr>
                            <w:rFonts w:ascii="Cambria Math" w:hAnsi="Cambria Math"/>
                          </w:rPr>
                          <m:t>0</m:t>
                        </m:r>
                        <m:ctrlPr>
                          <w:rPr>
                            <w:rFonts w:ascii="Cambria Math" w:hAnsi="Cambria Math" w:cs="宋体"/>
                            <w:i/>
                            <w:iCs/>
                            <w:kern w:val="0"/>
                          </w:rPr>
                        </m:ctrlPr>
                      </m:sub>
                    </m:sSub>
                    <m:ctrlPr>
                      <w:rPr>
                        <w:rFonts w:ascii="Cambria Math" w:hAnsi="Cambria Math" w:cs="宋体"/>
                        <w:i/>
                        <w:iCs/>
                        <w:kern w:val="0"/>
                      </w:rPr>
                    </m:ctrlPr>
                  </m:den>
                </m:f>
                <m:ctrlPr>
                  <w:rPr>
                    <w:rFonts w:ascii="Cambria Math" w:hAnsi="Cambria Math" w:cs="宋体"/>
                    <w:i/>
                    <w:iCs/>
                    <w:kern w:val="0"/>
                  </w:rPr>
                </m:ctrlPr>
              </m:e>
            </m:d>
            <m:ctrlPr>
              <w:rPr>
                <w:rFonts w:ascii="Cambria Math" w:hAnsi="Cambria Math" w:cs="Cambria Math"/>
                <w:i/>
                <w:iCs/>
                <w:kern w:val="0"/>
              </w:rPr>
            </m:ctrlPr>
          </m:den>
        </m:f>
      </m:oMath>
      <w:r>
        <w:rPr>
          <w:rFonts w:hint="eastAsia" w:ascii="宋体" w:hAnsi="宋体" w:cs="宋体"/>
          <w:iCs/>
          <w:kern w:val="0"/>
        </w:rPr>
        <w:t xml:space="preserve">             </w:t>
      </w:r>
      <w:r>
        <w:rPr>
          <w:rFonts w:ascii="宋体" w:hAnsi="宋体" w:cs="宋体"/>
          <w:iCs/>
          <w:kern w:val="0"/>
        </w:rPr>
        <w:t xml:space="preserve">             </w:t>
      </w:r>
      <w:r>
        <w:rPr>
          <w:rFonts w:hint="eastAsia" w:ascii="宋体" w:hAnsi="宋体" w:cs="宋体"/>
          <w:iCs/>
          <w:kern w:val="0"/>
        </w:rPr>
        <w:t>                </w:t>
      </w:r>
      <w:r>
        <w:rPr>
          <w:rFonts w:hint="eastAsia" w:ascii="宋体" w:hAnsi="宋体" w:cs="宋体"/>
        </w:rPr>
        <w:t>（9.3.2-2） </w:t>
      </w:r>
    </w:p>
    <w:p w14:paraId="4F50C2BE">
      <w:pPr>
        <w:keepNext/>
        <w:spacing w:line="240" w:lineRule="auto"/>
        <w:ind w:left="630" w:leftChars="300"/>
        <w:jc w:val="left"/>
        <w:rPr>
          <w:rFonts w:hint="eastAsia" w:ascii="宋体" w:hAnsi="宋体" w:cs="宋体"/>
        </w:rPr>
      </w:pPr>
      <w:r>
        <w:rPr>
          <w:rFonts w:hint="eastAsia" w:ascii="宋体" w:hAnsi="宋体" w:cs="宋体"/>
        </w:rPr>
        <w:t>式中：</w:t>
      </w:r>
    </w:p>
    <w:p w14:paraId="243B5185">
      <w:pPr>
        <w:spacing w:line="240" w:lineRule="auto"/>
        <w:ind w:left="630" w:leftChars="300"/>
        <w:jc w:val="left"/>
        <w:rPr>
          <w:rFonts w:hint="eastAsia" w:ascii="宋体" w:hAnsi="宋体" w:cs="宋体"/>
        </w:rPr>
      </w:pPr>
      <m:oMath>
        <m:r>
          <m:rPr/>
          <w:rPr>
            <w:rFonts w:hint="eastAsia" w:ascii="Cambria Math" w:hAnsi="Cambria Math" w:cs="宋体"/>
          </w:rPr>
          <m:t>α</m:t>
        </m:r>
      </m:oMath>
      <w:r>
        <w:rPr>
          <w:rFonts w:hint="eastAsia" w:ascii="宋体" w:hAnsi="宋体" w:cs="宋体"/>
        </w:rPr>
        <w:t>——为帷幕影响系数，</w:t>
      </w:r>
      <m:oMath>
        <m:r>
          <m:rPr/>
          <w:rPr>
            <w:rFonts w:hint="eastAsia" w:ascii="Cambria Math" w:hAnsi="Cambria Math" w:cs="宋体"/>
          </w:rPr>
          <m:t>∝=0.05+</m:t>
        </m:r>
        <m:f>
          <m:fPr>
            <m:ctrlPr>
              <w:rPr>
                <w:rFonts w:hint="eastAsia" w:ascii="Cambria Math" w:hAnsi="Cambria Math" w:cs="宋体"/>
                <w:i/>
              </w:rPr>
            </m:ctrlPr>
          </m:fPr>
          <m:num>
            <m:sSub>
              <m:sSubPr>
                <m:ctrlPr>
                  <w:rPr>
                    <w:rFonts w:hint="eastAsia" w:ascii="Cambria Math" w:hAnsi="Cambria Math" w:cs="宋体"/>
                    <w:i/>
                  </w:rPr>
                </m:ctrlPr>
              </m:sSubPr>
              <m:e>
                <m:r>
                  <m:rPr/>
                  <w:rPr>
                    <w:rFonts w:hint="eastAsia" w:ascii="Cambria Math" w:hAnsi="Cambria Math" w:cs="宋体"/>
                  </w:rPr>
                  <m:t>M</m:t>
                </m:r>
                <m:ctrlPr>
                  <w:rPr>
                    <w:rFonts w:hint="eastAsia" w:ascii="Cambria Math" w:hAnsi="Cambria Math" w:cs="宋体"/>
                    <w:i/>
                  </w:rPr>
                </m:ctrlPr>
              </m:e>
              <m:sub>
                <m:r>
                  <m:rPr/>
                  <w:rPr>
                    <w:rFonts w:hint="eastAsia" w:ascii="Cambria Math" w:hAnsi="Cambria Math" w:cs="宋体"/>
                  </w:rPr>
                  <m:t>R</m:t>
                </m:r>
                <m:ctrlPr>
                  <w:rPr>
                    <w:rFonts w:hint="eastAsia" w:ascii="Cambria Math" w:hAnsi="Cambria Math" w:cs="宋体"/>
                    <w:i/>
                  </w:rPr>
                </m:ctrlPr>
              </m:sub>
            </m:sSub>
            <m:ctrlPr>
              <w:rPr>
                <w:rFonts w:hint="eastAsia" w:ascii="Cambria Math" w:hAnsi="Cambria Math" w:cs="宋体"/>
                <w:i/>
              </w:rPr>
            </m:ctrlPr>
          </m:num>
          <m:den>
            <m:r>
              <m:rPr/>
              <w:rPr>
                <w:rFonts w:hint="eastAsia" w:ascii="Cambria Math" w:hAnsi="Cambria Math" w:cs="宋体"/>
              </w:rPr>
              <m:t>M</m:t>
            </m:r>
            <m:ctrlPr>
              <w:rPr>
                <w:rFonts w:hint="eastAsia" w:ascii="Cambria Math" w:hAnsi="Cambria Math" w:cs="宋体"/>
                <w:i/>
              </w:rPr>
            </m:ctrlPr>
          </m:den>
        </m:f>
        <m:r>
          <m:rPr/>
          <w:rPr>
            <w:rFonts w:hint="eastAsia" w:ascii="Cambria Math" w:hAnsi="Cambria Math" w:cs="宋体"/>
          </w:rPr>
          <m:t xml:space="preserve"> </m:t>
        </m:r>
      </m:oMath>
      <w:r>
        <w:rPr>
          <w:rFonts w:hint="eastAsia" w:ascii="MS Gothic" w:hAnsi="MS Gothic" w:eastAsia="MS Gothic" w:cs="MS Gothic"/>
          <w:i/>
        </w:rPr>
        <w:t> </w:t>
      </w:r>
      <w:r>
        <w:rPr>
          <w:rFonts w:hint="eastAsia" w:ascii="宋体" w:hAnsi="宋体" w:cs="宋体"/>
          <w:i/>
        </w:rPr>
        <w:t>，</w:t>
      </w:r>
      <m:oMath>
        <m:sSub>
          <m:sSubPr>
            <m:ctrlPr>
              <w:rPr>
                <w:rFonts w:hint="eastAsia" w:ascii="Cambria Math" w:hAnsi="Cambria Math" w:cs="宋体"/>
                <w:i/>
                <w:iCs/>
              </w:rPr>
            </m:ctrlPr>
          </m:sSubPr>
          <m:e>
            <m:r>
              <m:rPr/>
              <w:rPr>
                <w:rFonts w:hint="eastAsia" w:ascii="Cambria Math" w:hAnsi="Cambria Math" w:cs="宋体"/>
              </w:rPr>
              <m:t>M</m:t>
            </m:r>
            <m:ctrlPr>
              <w:rPr>
                <w:rFonts w:hint="eastAsia" w:ascii="Cambria Math" w:hAnsi="Cambria Math" w:cs="宋体"/>
                <w:i/>
                <w:iCs/>
              </w:rPr>
            </m:ctrlPr>
          </m:e>
          <m:sub>
            <m:r>
              <m:rPr/>
              <w:rPr>
                <w:rFonts w:hint="eastAsia" w:ascii="Cambria Math" w:hAnsi="Cambria Math" w:cs="宋体"/>
              </w:rPr>
              <m:t>R</m:t>
            </m:r>
            <m:ctrlPr>
              <w:rPr>
                <w:rFonts w:hint="eastAsia" w:ascii="Cambria Math" w:hAnsi="Cambria Math" w:cs="宋体"/>
                <w:i/>
                <w:iCs/>
              </w:rPr>
            </m:ctrlPr>
          </m:sub>
        </m:sSub>
        <m:r>
          <m:rPr/>
          <w:rPr>
            <w:rFonts w:hint="eastAsia" w:ascii="Cambria Math" w:hAnsi="Cambria Math" w:cs="宋体"/>
          </w:rPr>
          <m:t>&lt;</m:t>
        </m:r>
        <m:sSub>
          <m:sSubPr>
            <m:ctrlPr>
              <w:rPr>
                <w:rFonts w:hint="eastAsia" w:ascii="Cambria Math" w:hAnsi="Cambria Math" w:cs="宋体"/>
                <w:i/>
                <w:iCs/>
              </w:rPr>
            </m:ctrlPr>
          </m:sSubPr>
          <m:e>
            <m:r>
              <m:rPr/>
              <w:rPr>
                <w:rFonts w:hint="eastAsia" w:ascii="Cambria Math" w:hAnsi="Cambria Math" w:cs="宋体"/>
              </w:rPr>
              <m:t>S</m:t>
            </m:r>
            <m:ctrlPr>
              <w:rPr>
                <w:rFonts w:hint="eastAsia" w:ascii="Cambria Math" w:hAnsi="Cambria Math" w:cs="宋体"/>
                <w:i/>
                <w:iCs/>
              </w:rPr>
            </m:ctrlPr>
          </m:e>
          <m:sub>
            <m:r>
              <m:rPr/>
              <w:rPr>
                <w:rFonts w:hint="eastAsia" w:ascii="Cambria Math" w:hAnsi="Cambria Math" w:cs="宋体"/>
              </w:rPr>
              <m:t>d</m:t>
            </m:r>
            <m:ctrlPr>
              <w:rPr>
                <w:rFonts w:hint="eastAsia" w:ascii="Cambria Math" w:hAnsi="Cambria Math" w:cs="宋体"/>
                <w:i/>
                <w:iCs/>
              </w:rPr>
            </m:ctrlPr>
          </m:sub>
        </m:sSub>
      </m:oMath>
      <w:r>
        <w:rPr>
          <w:rFonts w:hint="eastAsia" w:ascii="宋体" w:hAnsi="宋体" w:cs="宋体"/>
        </w:rPr>
        <w:t>；</w:t>
      </w:r>
    </w:p>
    <w:p w14:paraId="592DBBB5">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rPr>
        <w:t>——含水层厚度，m；</w:t>
      </w:r>
    </w:p>
    <w:p w14:paraId="72EEA25C">
      <w:pPr>
        <w:spacing w:line="240" w:lineRule="auto"/>
        <w:ind w:left="630" w:leftChars="300"/>
        <w:jc w:val="left"/>
        <w:rPr>
          <w:rFonts w:hint="eastAsia" w:ascii="宋体" w:hAnsi="宋体" w:cs="宋体"/>
        </w:rPr>
      </w:pPr>
      <w:r>
        <w:rPr>
          <w:rFonts w:hint="eastAsia" w:ascii="宋体" w:hAnsi="宋体" w:cs="宋体"/>
          <w:i/>
          <w:iCs/>
        </w:rPr>
        <w:t>M</w:t>
      </w:r>
      <w:r>
        <w:rPr>
          <w:rFonts w:hint="eastAsia" w:ascii="宋体" w:hAnsi="宋体" w:cs="宋体"/>
          <w:i/>
          <w:iCs/>
          <w:vertAlign w:val="subscript"/>
        </w:rPr>
        <w:t>R</w:t>
      </w:r>
      <w:r>
        <w:rPr>
          <w:rFonts w:hint="eastAsia" w:ascii="宋体" w:hAnsi="宋体" w:cs="宋体"/>
        </w:rPr>
        <w:t>——帷幕底端距含水层底板的距离，m；</w:t>
      </w:r>
    </w:p>
    <w:p w14:paraId="5034DA3E">
      <w:pPr>
        <w:spacing w:line="240" w:lineRule="auto"/>
        <w:ind w:left="630" w:leftChars="300"/>
        <w:jc w:val="left"/>
        <w:rPr>
          <w:rFonts w:hint="eastAsia" w:ascii="宋体" w:hAnsi="宋体" w:cs="宋体"/>
        </w:rPr>
      </w:pPr>
      <w:r>
        <w:rPr>
          <w:rFonts w:hint="eastAsia" w:ascii="宋体" w:hAnsi="宋体" w:cs="宋体"/>
          <w:i/>
          <w:iCs/>
        </w:rPr>
        <w:t>S</w:t>
      </w:r>
      <w:r>
        <w:rPr>
          <w:rFonts w:hint="eastAsia" w:ascii="宋体" w:hAnsi="宋体" w:cs="宋体"/>
          <w:i/>
          <w:iCs/>
          <w:vertAlign w:val="subscript"/>
        </w:rPr>
        <w:t>d</w:t>
      </w:r>
      <w:r>
        <w:rPr>
          <w:rFonts w:hint="eastAsia" w:ascii="宋体" w:hAnsi="宋体" w:cs="宋体"/>
        </w:rPr>
        <w:t>——目标水位距含水层底板的距离，m；</w:t>
      </w:r>
    </w:p>
    <w:p w14:paraId="0863EE57">
      <w:pPr>
        <w:spacing w:line="240" w:lineRule="auto"/>
        <w:ind w:left="630" w:leftChars="300"/>
        <w:jc w:val="left"/>
        <w:rPr>
          <w:rFonts w:hint="eastAsia" w:ascii="宋体" w:hAnsi="宋体" w:cs="宋体"/>
        </w:rPr>
      </w:pPr>
      <w:r>
        <w:rPr>
          <w:rFonts w:hint="eastAsia" w:ascii="宋体" w:hAnsi="宋体" w:cs="宋体"/>
          <w:i/>
          <w:iCs/>
        </w:rPr>
        <w:t>H</w:t>
      </w:r>
      <w:r>
        <w:rPr>
          <w:rFonts w:hint="eastAsia" w:ascii="宋体" w:hAnsi="宋体" w:cs="宋体"/>
        </w:rPr>
        <w:t>——任意点处隔水底板到降水前静水位的高度，m。</w:t>
      </w:r>
    </w:p>
    <w:p w14:paraId="18152FCF">
      <w:pPr>
        <w:spacing w:line="240" w:lineRule="auto"/>
        <w:ind w:firstLine="420"/>
        <w:rPr>
          <w:rFonts w:hint="eastAsia" w:ascii="宋体" w:hAnsi="宋体" w:cs="宋体"/>
        </w:rPr>
      </w:pPr>
      <w:r>
        <w:rPr>
          <w:rFonts w:hint="eastAsia" w:ascii="宋体" w:hAnsi="宋体" w:cs="宋体"/>
        </w:rPr>
        <w:t>收集汉口地区一级阶地典型基坑工程项目，基于公式（9.3.2-1）及（9.3.2-2）计算分析，总结归纳如下：</w:t>
      </w:r>
    </w:p>
    <w:p w14:paraId="42BD2A8F">
      <w:pPr>
        <w:spacing w:line="240" w:lineRule="auto"/>
        <w:ind w:firstLine="420"/>
        <w:rPr>
          <w:rFonts w:hint="eastAsia" w:ascii="宋体" w:hAnsi="宋体" w:cs="宋体"/>
        </w:rPr>
      </w:pPr>
      <w:r>
        <w:rPr>
          <w:rFonts w:hint="eastAsia" w:ascii="宋体" w:hAnsi="宋体" w:cs="宋体"/>
        </w:rPr>
        <w:t>项目一：某地勘测院设置两层地下室，基坑周长约388m，面积约7105㎡，开挖深度8.8～11.55m。该项目位于汉口地区一级阶地，基坑侧壁土层主要为表层人工填土层、第四系全新统冲洪积物的一般粘性土层</w:t>
      </w:r>
      <w:bookmarkStart w:id="599" w:name="_GoBack"/>
      <w:bookmarkEnd w:id="599"/>
      <w:r>
        <w:rPr>
          <w:rFonts w:hint="eastAsia" w:ascii="宋体" w:hAnsi="宋体" w:cs="宋体"/>
        </w:rPr>
        <w:t>及冲洪积物的砂性土层，开挖面多位于淤泥质黏土层中。</w:t>
      </w:r>
    </w:p>
    <w:p w14:paraId="586DFD4D">
      <w:pPr>
        <w:spacing w:line="240" w:lineRule="auto"/>
        <w:ind w:firstLine="420"/>
        <w:rPr>
          <w:rFonts w:hint="eastAsia" w:ascii="宋体" w:hAnsi="宋体" w:cs="宋体"/>
        </w:rPr>
      </w:pPr>
      <w:r>
        <w:rPr>
          <w:rFonts w:hint="eastAsia" w:ascii="宋体" w:hAnsi="宋体" w:cs="宋体"/>
        </w:rPr>
        <w:t>基坑支护结构采用钻孔灌注桩+1道钢筋混凝土支撑，局部2道钢筋混凝土支撑，地下水控制设计采用悬挂式帷幕止水+管井减压降水，止水帷幕插入含水层深度2.8m。</w:t>
      </w:r>
    </w:p>
    <w:p w14:paraId="04E3044F">
      <w:pPr>
        <w:spacing w:line="240" w:lineRule="auto"/>
        <w:ind w:firstLine="420"/>
        <w:rPr>
          <w:rFonts w:hint="eastAsia" w:ascii="宋体" w:hAnsi="宋体" w:cs="宋体"/>
        </w:rPr>
      </w:pPr>
      <w:r>
        <w:rPr>
          <w:rFonts w:hint="eastAsia" w:ascii="宋体" w:hAnsi="宋体" w:cs="宋体"/>
        </w:rPr>
        <w:t>采用公式（9.3.2-1）计算涌水量22779m³/d，与敞开式涌水量公式计算值相近，该项目5～9月实测平均抽水量约12480m³/d。</w:t>
      </w:r>
    </w:p>
    <w:p w14:paraId="62D3B7EC">
      <w:pPr>
        <w:spacing w:line="240" w:lineRule="auto"/>
        <w:ind w:firstLine="420"/>
        <w:rPr>
          <w:rFonts w:hint="eastAsia" w:ascii="宋体" w:hAnsi="宋体" w:cs="宋体"/>
        </w:rPr>
      </w:pPr>
      <w:r>
        <w:rPr>
          <w:rFonts w:hint="eastAsia" w:ascii="宋体" w:hAnsi="宋体" w:cs="宋体"/>
        </w:rPr>
        <w:t>项目二：某地图书馆设置1～2层地下室，基坑周长约730m，面积约29000㎡,开挖深度6.85m～11.55m。该项目位于汉口地区一级阶地，自上而下划分为3个单元层：填士层，第四系全新统冲积一般黏性土、粉砂夹粉土、粉质黏土层及砂土层，基岩为志留系粉砂质泥岩，开挖面多位于淤泥质粉质黏土夹粉土层中。</w:t>
      </w:r>
    </w:p>
    <w:p w14:paraId="1E22F816">
      <w:pPr>
        <w:spacing w:line="240" w:lineRule="auto"/>
        <w:ind w:firstLine="420"/>
        <w:rPr>
          <w:rFonts w:hint="eastAsia" w:ascii="宋体" w:hAnsi="宋体" w:cs="宋体"/>
        </w:rPr>
      </w:pPr>
      <w:r>
        <w:rPr>
          <w:rFonts w:hint="eastAsia" w:ascii="宋体" w:hAnsi="宋体" w:cs="宋体"/>
        </w:rPr>
        <w:t>基坑支护结构采用钻孔灌注桩+1道钢筋混凝土支撑，地下水控制设计采用悬挂式帷幕止水+管井减压降水，止水帷幕插入含水层深度18.8m。</w:t>
      </w:r>
    </w:p>
    <w:p w14:paraId="53D43D1F">
      <w:pPr>
        <w:spacing w:line="240" w:lineRule="auto"/>
        <w:ind w:firstLine="420"/>
        <w:rPr>
          <w:rFonts w:hint="eastAsia" w:ascii="宋体" w:hAnsi="宋体" w:cs="宋体"/>
        </w:rPr>
      </w:pPr>
      <w:r>
        <w:rPr>
          <w:rFonts w:hint="eastAsia" w:ascii="宋体" w:hAnsi="宋体" w:cs="宋体"/>
        </w:rPr>
        <w:t>采用公式（9.3.2-1）计算涌水量约25915m³/d，约为敞开式涌水量公式计算值的82%，该项目8～11月实测平均抽水量约24192m³/d。</w:t>
      </w:r>
    </w:p>
    <w:p w14:paraId="4400F1F6">
      <w:pPr>
        <w:spacing w:line="240" w:lineRule="auto"/>
        <w:ind w:firstLine="420"/>
        <w:rPr>
          <w:rFonts w:hint="eastAsia" w:ascii="宋体" w:hAnsi="宋体" w:cs="宋体"/>
        </w:rPr>
      </w:pPr>
      <w:r>
        <w:rPr>
          <w:rFonts w:hint="eastAsia" w:ascii="宋体" w:hAnsi="宋体" w:cs="宋体"/>
        </w:rPr>
        <w:t>项目三：HZ中心设置2层地下室，基坑周长约410m，面积约9960㎡,开挖深度8.95～11.5m。该项目位于汉口地区一级阶地，自上而下划分为5个单元层：填土及填土混淤泥层，第四系全新统冲积一般黏性土、淤泥质土层，第四系全新统冲积黏性土与下部砂性土层之间的过渡层，第四系全新统冲积砂层，基岩为白垩下第三系砂岩、泥岩，开挖面多位于淤泥质粉质黏土层中。</w:t>
      </w:r>
    </w:p>
    <w:p w14:paraId="57051D43">
      <w:pPr>
        <w:spacing w:line="240" w:lineRule="auto"/>
        <w:ind w:firstLine="420"/>
        <w:rPr>
          <w:rFonts w:hint="eastAsia" w:ascii="宋体" w:hAnsi="宋体" w:cs="宋体"/>
        </w:rPr>
      </w:pPr>
      <w:r>
        <w:rPr>
          <w:rFonts w:hint="eastAsia" w:ascii="宋体" w:hAnsi="宋体" w:cs="宋体"/>
        </w:rPr>
        <w:t>基坑支护结构采用钻孔灌注桩+1道钢筋混凝土支撑，地下水控制设计采用悬挂式帷幕止水+管井减压降水，止水帷幕插入含水层深度16.5m。</w:t>
      </w:r>
    </w:p>
    <w:p w14:paraId="0F71DE43">
      <w:pPr>
        <w:spacing w:line="240" w:lineRule="auto"/>
        <w:ind w:firstLine="420"/>
        <w:rPr>
          <w:rFonts w:hint="eastAsia" w:ascii="宋体" w:hAnsi="宋体" w:cs="宋体"/>
        </w:rPr>
      </w:pPr>
      <w:r>
        <w:rPr>
          <w:rFonts w:hint="eastAsia" w:ascii="宋体" w:hAnsi="宋体" w:cs="宋体"/>
        </w:rPr>
        <w:t>采用公式（9.3.2-1）计算涌水量约5900m³/d，约为敞开式涌水量公式计算值的74%，该项目3～10实测平均抽水量约5425m³/d。</w:t>
      </w:r>
    </w:p>
    <w:p w14:paraId="7E1209F7">
      <w:pPr>
        <w:spacing w:line="240" w:lineRule="auto"/>
        <w:ind w:firstLine="420"/>
        <w:rPr>
          <w:rFonts w:hint="eastAsia" w:ascii="宋体" w:hAnsi="宋体" w:cs="宋体"/>
        </w:rPr>
      </w:pPr>
      <w:r>
        <w:rPr>
          <w:rFonts w:hint="eastAsia" w:ascii="宋体" w:hAnsi="宋体" w:cs="宋体"/>
        </w:rPr>
        <w:t>项目四：KY中心设置2～3层地下室，基坑周长约872m，面积约</w:t>
      </w:r>
      <w:r>
        <w:rPr>
          <w:rFonts w:ascii="宋体" w:hAnsi="宋体" w:cs="宋体"/>
        </w:rPr>
        <w:t>41900</w:t>
      </w:r>
      <w:r>
        <w:rPr>
          <w:rFonts w:hint="eastAsia" w:ascii="宋体" w:hAnsi="宋体" w:cs="宋体"/>
        </w:rPr>
        <w:t>㎡，开挖深度</w:t>
      </w:r>
      <w:r>
        <w:rPr>
          <w:rFonts w:ascii="宋体" w:hAnsi="宋体" w:cs="宋体"/>
        </w:rPr>
        <w:t>14.05m</w:t>
      </w:r>
      <w:r>
        <w:rPr>
          <w:rFonts w:hint="eastAsia" w:ascii="宋体" w:hAnsi="宋体" w:cs="宋体"/>
        </w:rPr>
        <w:t>～</w:t>
      </w:r>
      <w:r>
        <w:rPr>
          <w:rFonts w:ascii="宋体" w:hAnsi="宋体" w:cs="宋体"/>
        </w:rPr>
        <w:t>16.25</w:t>
      </w:r>
      <w:r>
        <w:rPr>
          <w:rFonts w:hint="eastAsia" w:ascii="宋体" w:hAnsi="宋体" w:cs="宋体"/>
        </w:rPr>
        <w:t>m。该项目位于汉口地区一级阶地，基坑侧壁土层主要为表层人工填土层、第四系全新统冲洪积物的一般粘性土层、冲洪积物的砂性土层，基岩为白垩-三系的泥岩、粉砂质泥岩，开挖面多位于淤泥质黏土层中。，开挖面多位于淤泥质黏土层中。</w:t>
      </w:r>
    </w:p>
    <w:p w14:paraId="75D86547">
      <w:pPr>
        <w:spacing w:line="240" w:lineRule="auto"/>
        <w:ind w:firstLine="420"/>
        <w:rPr>
          <w:rFonts w:hint="eastAsia" w:ascii="宋体" w:hAnsi="宋体" w:cs="宋体"/>
        </w:rPr>
      </w:pPr>
      <w:r>
        <w:rPr>
          <w:rFonts w:hint="eastAsia" w:ascii="宋体" w:hAnsi="宋体" w:cs="宋体"/>
        </w:rPr>
        <w:t>基坑支护结构采用钻孔灌注桩+2道钢筋混凝土支撑，局部2道钢筋混凝土支撑，地下水控制设计采用悬挂式帷幕止水+管井疏干降水，止水帷幕插入含水层深度21.1m。</w:t>
      </w:r>
    </w:p>
    <w:p w14:paraId="00CF7DC0">
      <w:pPr>
        <w:spacing w:line="240" w:lineRule="auto"/>
        <w:ind w:firstLine="420"/>
        <w:rPr>
          <w:rFonts w:hint="eastAsia" w:ascii="宋体" w:hAnsi="宋体" w:cs="宋体"/>
        </w:rPr>
      </w:pPr>
      <w:r>
        <w:rPr>
          <w:rFonts w:hint="eastAsia" w:ascii="宋体" w:hAnsi="宋体" w:cs="宋体"/>
        </w:rPr>
        <w:t>采用公式（9.3.2-2）计算涌水量约40370m³/d，约为敞开式涌水量公式计算值的81%，该项目首年4月至次年11月实测平均抽水量约21360m³/d。</w:t>
      </w:r>
    </w:p>
    <w:p w14:paraId="70C43178">
      <w:pPr>
        <w:spacing w:line="240" w:lineRule="auto"/>
        <w:ind w:firstLine="420"/>
        <w:rPr>
          <w:rFonts w:hint="eastAsia" w:ascii="宋体" w:hAnsi="宋体" w:cs="宋体"/>
        </w:rPr>
      </w:pPr>
      <w:r>
        <w:rPr>
          <w:rFonts w:hint="eastAsia" w:ascii="宋体" w:hAnsi="宋体" w:cs="宋体"/>
        </w:rPr>
        <w:t>项目场区地下水位受季节变化影响显著，实测抽水量受施工工况、现场降水管控等多重因素综合影响，相关数据仅作为工程分析参考依据。</w:t>
      </w:r>
    </w:p>
    <w:p w14:paraId="1444FE68">
      <w:pPr>
        <w:pStyle w:val="256"/>
        <w:ind w:firstLine="420" w:firstLineChars="200"/>
        <w:jc w:val="both"/>
        <w:rPr>
          <w:rFonts w:hint="eastAsia" w:hAnsi="宋体"/>
          <w:sz w:val="21"/>
          <w:szCs w:val="21"/>
        </w:rPr>
      </w:pPr>
      <w:r>
        <w:rPr>
          <w:rFonts w:hint="eastAsia" w:hAnsi="宋体"/>
          <w:sz w:val="21"/>
          <w:szCs w:val="21"/>
        </w:rPr>
        <w:t>c） 帷幕底端位于目的含水层的隔水底板中（落底式帷幕），降水以疏干基坑内地下水为目的，或以前期减压、后期疏干部分承压水为目的的，对于公式（3）中疏干承压含水层时，除了考虑承压转无压后在重力作用下的自由排水体积外，还应考虑承压水由于压力变化弹性释水的水体积，故而比给水度略大，考虑1.05的增大系数。</w:t>
      </w:r>
    </w:p>
    <w:p w14:paraId="482C43BB">
      <w:pPr>
        <w:pStyle w:val="256"/>
        <w:ind w:firstLine="420" w:firstLineChars="200"/>
        <w:jc w:val="both"/>
        <w:rPr>
          <w:rFonts w:hint="eastAsia" w:hAnsi="宋体"/>
          <w:sz w:val="21"/>
          <w:szCs w:val="21"/>
        </w:rPr>
      </w:pPr>
      <w:r>
        <w:rPr>
          <w:rFonts w:hint="eastAsia" w:hAnsi="宋体"/>
          <w:sz w:val="21"/>
          <w:szCs w:val="21"/>
        </w:rPr>
        <w:t>基坑工程地下水控制设计时，根据附录D基坑工程连通性抽水试验求取隔水系数λ，采用表观参数法按公式（4）确定基坑的涌水量，调整降水设计方案。利用表观参数法求取落底式帷幕条件下基坑涌水量的方法在武汉地区已有多个工程案例，如绿地中心、恒隆广场、天悦星辰等。</w:t>
      </w:r>
    </w:p>
    <w:p w14:paraId="275AC362">
      <w:pPr>
        <w:spacing w:line="360" w:lineRule="auto"/>
        <w:jc w:val="left"/>
        <w:rPr>
          <w:rFonts w:hint="eastAsia" w:ascii="宋体" w:hAnsi="宋体"/>
          <w:kern w:val="0"/>
        </w:rPr>
      </w:pPr>
      <w:r>
        <w:rPr>
          <w:rFonts w:ascii="黑体" w:hAnsi="黑体" w:eastAsia="黑体"/>
        </w:rPr>
        <w:t>9.</w:t>
      </w:r>
      <w:r>
        <w:rPr>
          <w:rFonts w:hint="eastAsia" w:ascii="黑体" w:hAnsi="黑体" w:eastAsia="黑体"/>
        </w:rPr>
        <w:t>3</w:t>
      </w:r>
      <w:r>
        <w:rPr>
          <w:rFonts w:ascii="黑体" w:hAnsi="黑体" w:eastAsia="黑体"/>
        </w:rPr>
        <w:t>.</w:t>
      </w:r>
      <w:r>
        <w:rPr>
          <w:rFonts w:hint="eastAsia" w:ascii="黑体" w:hAnsi="黑体" w:eastAsia="黑体"/>
        </w:rPr>
        <w:t>6 </w:t>
      </w:r>
      <w:r>
        <w:rPr>
          <w:rFonts w:hint="eastAsia" w:ascii="宋体" w:hAnsi="宋体" w:eastAsia="黑体" w:cs="宋体"/>
        </w:rPr>
        <w:t> </w:t>
      </w:r>
      <w:r>
        <w:rPr>
          <w:rFonts w:ascii="宋体" w:hAnsi="宋体"/>
          <w:kern w:val="0"/>
        </w:rPr>
        <w:t>水位预测</w:t>
      </w:r>
    </w:p>
    <w:p w14:paraId="4094D2FC">
      <w:pPr>
        <w:pStyle w:val="256"/>
        <w:ind w:firstLine="420" w:firstLineChars="200"/>
        <w:jc w:val="both"/>
        <w:rPr>
          <w:rFonts w:hint="eastAsia" w:hAnsi="宋体"/>
          <w:sz w:val="21"/>
          <w:szCs w:val="21"/>
        </w:rPr>
      </w:pPr>
      <w:r>
        <w:rPr>
          <w:rFonts w:hint="eastAsia" w:hAnsi="宋体"/>
          <w:sz w:val="21"/>
          <w:szCs w:val="21"/>
        </w:rPr>
        <w:t>考虑到抽水设备故障、</w:t>
      </w:r>
      <w:r>
        <w:rPr>
          <w:rFonts w:hAnsi="宋体"/>
          <w:sz w:val="21"/>
          <w:szCs w:val="21"/>
        </w:rPr>
        <w:t>土方开挖及施工过程中对井的破坏</w:t>
      </w:r>
      <w:r>
        <w:rPr>
          <w:rFonts w:hint="eastAsia" w:hAnsi="宋体"/>
          <w:sz w:val="21"/>
          <w:szCs w:val="21"/>
        </w:rPr>
        <w:t>等因素的影响,在设计时应设置备用井。</w:t>
      </w:r>
    </w:p>
    <w:p w14:paraId="487ACD5E">
      <w:pPr>
        <w:pStyle w:val="256"/>
        <w:ind w:firstLine="420" w:firstLineChars="200"/>
        <w:jc w:val="both"/>
        <w:rPr>
          <w:rFonts w:hint="eastAsia" w:hAnsi="宋体"/>
          <w:sz w:val="21"/>
          <w:szCs w:val="21"/>
        </w:rPr>
      </w:pPr>
      <w:r>
        <w:rPr>
          <w:rFonts w:hint="eastAsia" w:hAnsi="宋体" w:cs="宋体"/>
          <w:sz w:val="21"/>
          <w:szCs w:val="21"/>
        </w:rPr>
        <w:t>降水水位可</w:t>
      </w:r>
      <w:r>
        <w:rPr>
          <w:rFonts w:hint="eastAsia" w:hAnsi="宋体"/>
          <w:sz w:val="21"/>
          <w:szCs w:val="21"/>
        </w:rPr>
        <w:t>按照本条及附录</w:t>
      </w:r>
      <w:r>
        <w:rPr>
          <w:rFonts w:hAnsi="宋体"/>
          <w:sz w:val="21"/>
          <w:szCs w:val="21"/>
        </w:rPr>
        <w:t>E</w:t>
      </w:r>
      <w:r>
        <w:rPr>
          <w:rFonts w:hint="eastAsia" w:hAnsi="宋体"/>
          <w:sz w:val="21"/>
          <w:szCs w:val="21"/>
        </w:rPr>
        <w:t>（降水水位计算与预测）中所列典型公式进行计算，也可选用更加符合实际情况的其他公式进行计算，有条件时，也可通过</w:t>
      </w:r>
      <w:r>
        <w:rPr>
          <w:rFonts w:hint="eastAsia"/>
          <w:sz w:val="21"/>
          <w:szCs w:val="21"/>
        </w:rPr>
        <w:t>数值模拟方法</w:t>
      </w:r>
      <w:r>
        <w:rPr>
          <w:rFonts w:hint="eastAsia" w:hAnsi="宋体"/>
          <w:sz w:val="21"/>
          <w:szCs w:val="21"/>
        </w:rPr>
        <w:t>计算确定。</w:t>
      </w:r>
    </w:p>
    <w:p w14:paraId="152594B0">
      <w:pPr>
        <w:pStyle w:val="256"/>
        <w:ind w:firstLine="420" w:firstLineChars="200"/>
        <w:jc w:val="both"/>
        <w:rPr>
          <w:sz w:val="21"/>
          <w:szCs w:val="21"/>
        </w:rPr>
      </w:pPr>
      <w:r>
        <w:rPr>
          <w:rFonts w:hint="eastAsia" w:hAnsi="宋体"/>
          <w:sz w:val="21"/>
          <w:szCs w:val="21"/>
        </w:rPr>
        <w:t>降水水位计算点应选取基坑中心点及典型部位，其典型部位主要指基坑的角点、深大基坑边缘中部、群井抽水干扰最小处及离降水管井距离最远处。</w:t>
      </w:r>
    </w:p>
    <w:p w14:paraId="6AE2441F">
      <w:pPr>
        <w:pStyle w:val="256"/>
        <w:spacing w:line="360" w:lineRule="auto"/>
        <w:jc w:val="both"/>
        <w:rPr>
          <w:rFonts w:ascii="Times New Roman" w:hAnsi="Times New Roman"/>
          <w:bCs/>
          <w:sz w:val="21"/>
          <w:szCs w:val="21"/>
        </w:rPr>
      </w:pPr>
      <w:r>
        <w:rPr>
          <w:rFonts w:ascii="黑体" w:hAnsi="黑体" w:eastAsia="黑体"/>
          <w:sz w:val="21"/>
          <w:szCs w:val="21"/>
        </w:rPr>
        <w:t>9.</w:t>
      </w:r>
      <w:r>
        <w:rPr>
          <w:rFonts w:hint="eastAsia" w:ascii="黑体" w:hAnsi="黑体" w:eastAsia="黑体"/>
          <w:sz w:val="21"/>
          <w:szCs w:val="21"/>
        </w:rPr>
        <w:t>3</w:t>
      </w:r>
      <w:r>
        <w:rPr>
          <w:rFonts w:ascii="黑体" w:hAnsi="黑体" w:eastAsia="黑体"/>
          <w:sz w:val="21"/>
          <w:szCs w:val="21"/>
        </w:rPr>
        <w:t>.</w:t>
      </w:r>
      <w:r>
        <w:rPr>
          <w:rFonts w:hint="eastAsia" w:ascii="黑体" w:hAnsi="黑体" w:eastAsia="黑体"/>
          <w:sz w:val="21"/>
          <w:szCs w:val="21"/>
        </w:rPr>
        <w:t>7 </w:t>
      </w:r>
      <w:r>
        <w:rPr>
          <w:rFonts w:hint="eastAsia" w:hAnsi="宋体" w:eastAsia="黑体" w:cs="宋体"/>
          <w:sz w:val="21"/>
          <w:szCs w:val="21"/>
        </w:rPr>
        <w:t> </w:t>
      </w:r>
      <w:r>
        <w:rPr>
          <w:rFonts w:ascii="Times New Roman" w:hAnsi="Times New Roman"/>
          <w:bCs/>
          <w:sz w:val="21"/>
          <w:szCs w:val="21"/>
        </w:rPr>
        <w:t>降水沉降计算与预测</w:t>
      </w:r>
    </w:p>
    <w:p w14:paraId="00256AAE">
      <w:pPr>
        <w:pStyle w:val="32"/>
        <w:spacing w:after="0" w:line="240" w:lineRule="auto"/>
        <w:ind w:left="0" w:leftChars="0" w:firstLine="420"/>
        <w:rPr>
          <w:rFonts w:ascii="宋体" w:hAnsi="宋体" w:eastAsia="宋体" w:cs="宋体"/>
        </w:rPr>
      </w:pPr>
      <w:r>
        <w:rPr>
          <w:rFonts w:ascii="宋体" w:hAnsi="宋体" w:eastAsia="宋体" w:cs="宋体"/>
        </w:rPr>
        <w:t>降低地下水位可能引起地面变形的原因主要有两个：</w:t>
      </w:r>
    </w:p>
    <w:p w14:paraId="2A8DB786">
      <w:pPr>
        <w:pStyle w:val="32"/>
        <w:numPr>
          <w:ilvl w:val="0"/>
          <w:numId w:val="110"/>
        </w:numPr>
        <w:spacing w:after="0" w:line="240" w:lineRule="auto"/>
        <w:ind w:left="0" w:leftChars="0" w:firstLine="420"/>
        <w:rPr>
          <w:rFonts w:ascii="宋体" w:hAnsi="宋体" w:eastAsia="宋体" w:cs="宋体"/>
        </w:rPr>
      </w:pPr>
      <w:r>
        <w:rPr>
          <w:rFonts w:ascii="宋体" w:hAnsi="宋体" w:eastAsia="宋体" w:cs="宋体"/>
        </w:rPr>
        <w:t>是降低地下水位形成的水力坡度大于临界水力坡度时，在渗流应力作用下将细粒土带走、掏空、产生潜蚀和管涌，使得粗粒土颗粒重新排列、压密而引起地面变形；</w:t>
      </w:r>
    </w:p>
    <w:p w14:paraId="69683802">
      <w:pPr>
        <w:pStyle w:val="32"/>
        <w:numPr>
          <w:ilvl w:val="0"/>
          <w:numId w:val="110"/>
        </w:numPr>
        <w:spacing w:after="0" w:line="240" w:lineRule="auto"/>
        <w:ind w:left="0" w:leftChars="0" w:firstLine="420"/>
        <w:rPr>
          <w:rFonts w:ascii="宋体" w:hAnsi="宋体" w:eastAsia="宋体" w:cs="宋体"/>
        </w:rPr>
      </w:pPr>
      <w:r>
        <w:rPr>
          <w:rFonts w:ascii="宋体" w:hAnsi="宋体" w:eastAsia="宋体" w:cs="宋体"/>
        </w:rPr>
        <w:t>是地下水位下降引起的有效应力增加而对下部土体产生的附加压缩变形。在降水时，如果含砂量满足规范要求，因潜蚀和管涌引起地面变形的可能性很小，而有效应力的增加对土体的变形，需要考虑有效应力的增量和施加时长，即水位的变化和固结时间的影响。</w:t>
      </w:r>
    </w:p>
    <w:p w14:paraId="17D89787">
      <w:pPr>
        <w:pStyle w:val="32"/>
        <w:spacing w:after="0" w:line="240" w:lineRule="auto"/>
        <w:ind w:left="0" w:leftChars="0" w:firstLine="420"/>
        <w:rPr>
          <w:rFonts w:ascii="宋体" w:hAnsi="宋体" w:eastAsia="宋体" w:cs="宋体"/>
        </w:rPr>
      </w:pPr>
      <w:r>
        <w:rPr>
          <w:rFonts w:ascii="宋体" w:hAnsi="宋体" w:eastAsia="宋体" w:cs="宋体"/>
        </w:rPr>
        <w:t>长江及汉江在武汉城中交汇，一级阶地地下水水位受江水及大气降水综合影响，季节性变化规律明显。丰水期地下水位自阶地前缘至后缘逐渐降低，表现为江水补给地下水，地下水位一般为13.28 m～23.47 m；枯水期江水位低于地下水位，表现为地下水补给江水，阶地后缘地下水位高，前缘低，地下水位一般为6.81 m～18.26 m。因此，对长江边地下水水位剧烈波动区，其土层早已固结完成，在水位波动范围内的水位降深不会引起新的沉降。长江二级阶地、长江古河道地带以及剥蚀垄岗地貌单元碎石层中的承压水降水时，上部老黏性土土层的平均自重应力与该土层有效应力增量之和小于土体的前期固结压力，不会引起沉降变形。</w:t>
      </w:r>
    </w:p>
    <w:p w14:paraId="4075CA64">
      <w:pPr>
        <w:spacing w:line="240" w:lineRule="auto"/>
        <w:ind w:firstLine="420" w:firstLineChars="200"/>
        <w:rPr>
          <w:rFonts w:hint="eastAsia" w:ascii="宋体" w:hAnsi="宋体" w:cs="宋体"/>
        </w:rPr>
      </w:pPr>
      <w:r>
        <w:rPr>
          <w:rFonts w:hint="eastAsia" w:ascii="宋体" w:hAnsi="宋体" w:cs="宋体"/>
        </w:rPr>
        <w:t>基坑降水引起的地面沉降计算理论较多，但目前在工程上常用的仍是分层总和法，该方法概念清晰、公式简明，易于工程人员掌握和使用，分层总和法中最为关键的参数是沉降计算经验系数。本文件针对武汉地区的典型地层结构，对不同类型、不同厚度的土层固结度与固结时间的关系进行了计算，如表9.3.7-1所示，据此确定降水时间影响系数M</w:t>
      </w:r>
      <w:r>
        <w:rPr>
          <w:rFonts w:hint="eastAsia" w:ascii="宋体" w:hAnsi="宋体" w:cs="宋体"/>
          <w:vertAlign w:val="subscript"/>
        </w:rPr>
        <w:t>t</w:t>
      </w:r>
      <w:r>
        <w:rPr>
          <w:rFonts w:hint="eastAsia" w:ascii="宋体" w:hAnsi="宋体" w:cs="宋体"/>
        </w:rPr>
        <w:t>；压缩模量修正系数φ</w:t>
      </w:r>
      <w:r>
        <w:rPr>
          <w:rFonts w:hint="eastAsia" w:ascii="宋体" w:hAnsi="宋体" w:cs="宋体"/>
          <w:vertAlign w:val="subscript"/>
        </w:rPr>
        <w:t>e</w:t>
      </w:r>
      <w:r>
        <w:rPr>
          <w:rFonts w:hint="eastAsia" w:ascii="宋体" w:hAnsi="宋体" w:cs="宋体"/>
        </w:rPr>
        <w:t>参考</w:t>
      </w:r>
      <w:r>
        <w:rPr>
          <w:rFonts w:hint="eastAsia" w:ascii="宋体" w:hAnsi="宋体" w:cs="宋体"/>
          <w:bCs/>
        </w:rPr>
        <w:t>GB 50007</w:t>
      </w:r>
      <w:r>
        <w:rPr>
          <w:rFonts w:hint="eastAsia" w:ascii="宋体" w:hAnsi="宋体" w:cs="宋体"/>
        </w:rPr>
        <w:t>选用。</w:t>
      </w:r>
    </w:p>
    <w:p w14:paraId="6703FE78">
      <w:pPr>
        <w:spacing w:before="156" w:beforeLines="50" w:after="156" w:afterLines="50" w:line="240" w:lineRule="auto"/>
        <w:jc w:val="center"/>
        <w:rPr>
          <w:rFonts w:hint="eastAsia" w:ascii="黑体" w:hAnsi="黑体" w:eastAsia="黑体" w:cs="宋体"/>
        </w:rPr>
      </w:pPr>
      <w:r>
        <w:rPr>
          <w:rFonts w:hint="eastAsia" w:ascii="黑体" w:hAnsi="黑体" w:eastAsia="黑体" w:cs="宋体"/>
        </w:rPr>
        <w:t>表</w:t>
      </w:r>
      <w:r>
        <w:rPr>
          <w:rFonts w:ascii="黑体" w:hAnsi="黑体" w:eastAsia="黑体" w:cs="宋体"/>
        </w:rPr>
        <w:t>9.</w:t>
      </w:r>
      <w:r>
        <w:rPr>
          <w:rFonts w:hint="eastAsia" w:ascii="黑体" w:hAnsi="黑体" w:eastAsia="黑体" w:cs="宋体"/>
        </w:rPr>
        <w:t>3</w:t>
      </w:r>
      <w:r>
        <w:rPr>
          <w:rFonts w:ascii="黑体" w:hAnsi="黑体" w:eastAsia="黑体" w:cs="宋体"/>
        </w:rPr>
        <w:t>.</w:t>
      </w:r>
      <w:r>
        <w:rPr>
          <w:rFonts w:hint="eastAsia" w:ascii="黑体" w:hAnsi="黑体" w:eastAsia="黑体" w:cs="宋体"/>
        </w:rPr>
        <w:t>7</w:t>
      </w:r>
      <w:r>
        <w:rPr>
          <w:rFonts w:ascii="黑体" w:hAnsi="黑体" w:eastAsia="黑体" w:cs="宋体"/>
        </w:rPr>
        <w:t>-1</w:t>
      </w:r>
      <w:r>
        <w:rPr>
          <w:rFonts w:hint="eastAsia" w:ascii="黑体" w:hAnsi="黑体" w:eastAsia="黑体" w:cs="宋体"/>
        </w:rPr>
        <w:t xml:space="preserve"> </w:t>
      </w:r>
      <w:r>
        <w:rPr>
          <w:rFonts w:ascii="黑体" w:hAnsi="黑体" w:eastAsia="黑体" w:cs="宋体"/>
        </w:rPr>
        <w:t xml:space="preserve"> </w:t>
      </w:r>
      <w:r>
        <w:rPr>
          <w:rFonts w:hint="eastAsia" w:ascii="黑体" w:hAnsi="黑体" w:eastAsia="黑体" w:cs="宋体"/>
        </w:rPr>
        <w:t>武汉地区</w:t>
      </w:r>
      <w:r>
        <w:rPr>
          <w:rFonts w:ascii="黑体" w:hAnsi="黑体" w:eastAsia="黑体" w:cs="宋体"/>
        </w:rPr>
        <w:t>典型土层</w:t>
      </w:r>
      <w:r>
        <w:rPr>
          <w:rFonts w:hint="eastAsia" w:ascii="黑体" w:hAnsi="黑体" w:eastAsia="黑体" w:cs="宋体"/>
        </w:rPr>
        <w:t>不同时间</w:t>
      </w:r>
      <w:r>
        <w:rPr>
          <w:rFonts w:ascii="黑体" w:hAnsi="黑体" w:eastAsia="黑体" w:cs="宋体"/>
        </w:rPr>
        <w:t>完成的</w:t>
      </w:r>
      <w:r>
        <w:rPr>
          <w:rFonts w:hint="eastAsia" w:ascii="黑体" w:hAnsi="黑体" w:eastAsia="黑体" w:cs="宋体"/>
        </w:rPr>
        <w:t>固结度</w:t>
      </w:r>
    </w:p>
    <w:tbl>
      <w:tblPr>
        <w:tblStyle w:val="33"/>
        <w:tblW w:w="81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180"/>
        <w:gridCol w:w="1181"/>
        <w:gridCol w:w="1181"/>
        <w:gridCol w:w="1180"/>
        <w:gridCol w:w="1181"/>
        <w:gridCol w:w="1181"/>
      </w:tblGrid>
      <w:tr w14:paraId="6BD2C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1096" w:type="dxa"/>
            <w:vMerge w:val="restart"/>
            <w:tcBorders>
              <w:top w:val="single" w:color="auto" w:sz="12" w:space="0"/>
              <w:bottom w:val="single" w:color="auto" w:sz="6" w:space="0"/>
              <w:right w:val="single" w:color="auto" w:sz="6" w:space="0"/>
            </w:tcBorders>
            <w:vAlign w:val="center"/>
          </w:tcPr>
          <w:p w14:paraId="4C7CC594">
            <w:pPr>
              <w:spacing w:line="240" w:lineRule="auto"/>
              <w:jc w:val="right"/>
              <w:rPr>
                <w:sz w:val="18"/>
                <w:szCs w:val="18"/>
              </w:rPr>
            </w:pPr>
            <w:r>
              <w:rPr>
                <w:bCs/>
                <w:sz w:val="18"/>
                <w:szCs w:val="18"/>
              </w:rPr>
              <w:t>固结时间</w:t>
            </w:r>
          </w:p>
        </w:tc>
        <w:tc>
          <w:tcPr>
            <w:tcW w:w="7084" w:type="dxa"/>
            <w:gridSpan w:val="6"/>
            <w:tcBorders>
              <w:top w:val="single" w:color="auto" w:sz="12" w:space="0"/>
              <w:left w:val="single" w:color="auto" w:sz="6" w:space="0"/>
              <w:bottom w:val="single" w:color="auto" w:sz="6" w:space="0"/>
            </w:tcBorders>
            <w:vAlign w:val="center"/>
          </w:tcPr>
          <w:p w14:paraId="39129460">
            <w:pPr>
              <w:spacing w:line="240" w:lineRule="auto"/>
              <w:jc w:val="center"/>
              <w:rPr>
                <w:sz w:val="18"/>
                <w:szCs w:val="18"/>
              </w:rPr>
            </w:pPr>
            <w:r>
              <w:rPr>
                <w:rFonts w:hint="eastAsia"/>
                <w:sz w:val="18"/>
                <w:szCs w:val="18"/>
              </w:rPr>
              <w:t>土体类型</w:t>
            </w:r>
          </w:p>
        </w:tc>
      </w:tr>
      <w:tr w14:paraId="1F237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Borders>
              <w:top w:val="single" w:color="auto" w:sz="6" w:space="0"/>
              <w:bottom w:val="single" w:color="auto" w:sz="12" w:space="0"/>
              <w:right w:val="single" w:color="auto" w:sz="6" w:space="0"/>
            </w:tcBorders>
            <w:vAlign w:val="center"/>
          </w:tcPr>
          <w:p w14:paraId="11DDA481">
            <w:pPr>
              <w:spacing w:line="240" w:lineRule="auto"/>
              <w:jc w:val="right"/>
              <w:rPr>
                <w:sz w:val="18"/>
                <w:szCs w:val="18"/>
              </w:rPr>
            </w:pPr>
          </w:p>
        </w:tc>
        <w:tc>
          <w:tcPr>
            <w:tcW w:w="1180" w:type="dxa"/>
            <w:tcBorders>
              <w:top w:val="single" w:color="auto" w:sz="6" w:space="0"/>
              <w:left w:val="single" w:color="auto" w:sz="6" w:space="0"/>
              <w:bottom w:val="single" w:color="auto" w:sz="12" w:space="0"/>
              <w:right w:val="single" w:color="auto" w:sz="6" w:space="0"/>
            </w:tcBorders>
            <w:vAlign w:val="center"/>
          </w:tcPr>
          <w:p w14:paraId="289ABDD8">
            <w:pPr>
              <w:spacing w:line="240" w:lineRule="auto"/>
              <w:jc w:val="center"/>
              <w:rPr>
                <w:sz w:val="18"/>
                <w:szCs w:val="18"/>
              </w:rPr>
            </w:pPr>
            <w:r>
              <w:rPr>
                <w:sz w:val="18"/>
                <w:szCs w:val="18"/>
              </w:rPr>
              <w:t>排水长度</w:t>
            </w:r>
            <w:r>
              <w:rPr>
                <w:i/>
                <w:iCs/>
                <w:sz w:val="18"/>
                <w:szCs w:val="18"/>
              </w:rPr>
              <w:t>H</w:t>
            </w:r>
          </w:p>
          <w:p w14:paraId="217658FF">
            <w:pPr>
              <w:spacing w:line="240" w:lineRule="auto"/>
              <w:jc w:val="center"/>
              <w:rPr>
                <w:sz w:val="18"/>
                <w:szCs w:val="18"/>
              </w:rPr>
            </w:pPr>
            <w:r>
              <w:rPr>
                <w:sz w:val="18"/>
                <w:szCs w:val="18"/>
              </w:rPr>
              <w:t>即土层厚度</w:t>
            </w:r>
          </w:p>
        </w:tc>
        <w:tc>
          <w:tcPr>
            <w:tcW w:w="1181" w:type="dxa"/>
            <w:tcBorders>
              <w:top w:val="single" w:color="auto" w:sz="6" w:space="0"/>
              <w:left w:val="single" w:color="auto" w:sz="6" w:space="0"/>
              <w:bottom w:val="single" w:color="auto" w:sz="12" w:space="0"/>
              <w:right w:val="single" w:color="auto" w:sz="6" w:space="0"/>
            </w:tcBorders>
            <w:vAlign w:val="center"/>
          </w:tcPr>
          <w:p w14:paraId="46028ABB">
            <w:pPr>
              <w:spacing w:line="240" w:lineRule="auto"/>
              <w:jc w:val="center"/>
              <w:rPr>
                <w:sz w:val="18"/>
                <w:szCs w:val="18"/>
              </w:rPr>
            </w:pPr>
            <w:r>
              <w:rPr>
                <w:sz w:val="18"/>
                <w:szCs w:val="18"/>
              </w:rPr>
              <w:t>淤泥、淤泥质土</w:t>
            </w:r>
          </w:p>
        </w:tc>
        <w:tc>
          <w:tcPr>
            <w:tcW w:w="1181" w:type="dxa"/>
            <w:tcBorders>
              <w:top w:val="single" w:color="auto" w:sz="6" w:space="0"/>
              <w:left w:val="single" w:color="auto" w:sz="6" w:space="0"/>
              <w:bottom w:val="single" w:color="auto" w:sz="12" w:space="0"/>
              <w:right w:val="single" w:color="auto" w:sz="6" w:space="0"/>
            </w:tcBorders>
            <w:vAlign w:val="center"/>
          </w:tcPr>
          <w:p w14:paraId="27A909EB">
            <w:pPr>
              <w:spacing w:line="240" w:lineRule="auto"/>
              <w:jc w:val="center"/>
              <w:rPr>
                <w:sz w:val="18"/>
                <w:szCs w:val="18"/>
              </w:rPr>
            </w:pPr>
            <w:r>
              <w:rPr>
                <w:sz w:val="18"/>
                <w:szCs w:val="18"/>
              </w:rPr>
              <w:t>黏性土</w:t>
            </w:r>
          </w:p>
        </w:tc>
        <w:tc>
          <w:tcPr>
            <w:tcW w:w="1180" w:type="dxa"/>
            <w:tcBorders>
              <w:top w:val="single" w:color="auto" w:sz="6" w:space="0"/>
              <w:left w:val="single" w:color="auto" w:sz="6" w:space="0"/>
              <w:bottom w:val="single" w:color="auto" w:sz="12" w:space="0"/>
              <w:right w:val="single" w:color="auto" w:sz="6" w:space="0"/>
            </w:tcBorders>
            <w:vAlign w:val="center"/>
          </w:tcPr>
          <w:p w14:paraId="0F14C150">
            <w:pPr>
              <w:spacing w:line="240" w:lineRule="auto"/>
              <w:jc w:val="center"/>
              <w:rPr>
                <w:sz w:val="18"/>
                <w:szCs w:val="18"/>
              </w:rPr>
            </w:pPr>
            <w:r>
              <w:rPr>
                <w:sz w:val="18"/>
                <w:szCs w:val="18"/>
              </w:rPr>
              <w:t>粉土</w:t>
            </w:r>
          </w:p>
        </w:tc>
        <w:tc>
          <w:tcPr>
            <w:tcW w:w="1181" w:type="dxa"/>
            <w:tcBorders>
              <w:top w:val="single" w:color="auto" w:sz="6" w:space="0"/>
              <w:left w:val="single" w:color="auto" w:sz="6" w:space="0"/>
              <w:bottom w:val="single" w:color="auto" w:sz="12" w:space="0"/>
              <w:right w:val="single" w:color="auto" w:sz="6" w:space="0"/>
            </w:tcBorders>
            <w:vAlign w:val="center"/>
          </w:tcPr>
          <w:p w14:paraId="140AFEF2">
            <w:pPr>
              <w:spacing w:line="240" w:lineRule="auto"/>
              <w:jc w:val="center"/>
              <w:rPr>
                <w:sz w:val="18"/>
                <w:szCs w:val="18"/>
              </w:rPr>
            </w:pPr>
            <w:r>
              <w:rPr>
                <w:sz w:val="18"/>
                <w:szCs w:val="18"/>
              </w:rPr>
              <w:t>粉砂、细砂</w:t>
            </w:r>
          </w:p>
        </w:tc>
        <w:tc>
          <w:tcPr>
            <w:tcW w:w="1181" w:type="dxa"/>
            <w:tcBorders>
              <w:top w:val="single" w:color="auto" w:sz="6" w:space="0"/>
              <w:left w:val="single" w:color="auto" w:sz="6" w:space="0"/>
              <w:bottom w:val="single" w:color="auto" w:sz="12" w:space="0"/>
            </w:tcBorders>
            <w:vAlign w:val="center"/>
          </w:tcPr>
          <w:p w14:paraId="69E541D0">
            <w:pPr>
              <w:spacing w:line="240" w:lineRule="auto"/>
              <w:jc w:val="center"/>
              <w:rPr>
                <w:sz w:val="18"/>
                <w:szCs w:val="18"/>
              </w:rPr>
            </w:pPr>
            <w:r>
              <w:rPr>
                <w:sz w:val="18"/>
                <w:szCs w:val="18"/>
              </w:rPr>
              <w:t>中砂</w:t>
            </w:r>
          </w:p>
        </w:tc>
      </w:tr>
      <w:tr w14:paraId="50C0C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tcBorders>
              <w:top w:val="single" w:color="auto" w:sz="12" w:space="0"/>
            </w:tcBorders>
            <w:vAlign w:val="center"/>
          </w:tcPr>
          <w:p w14:paraId="5FC63FE3">
            <w:pPr>
              <w:spacing w:line="240" w:lineRule="auto"/>
              <w:jc w:val="center"/>
              <w:rPr>
                <w:bCs/>
                <w:sz w:val="18"/>
                <w:szCs w:val="18"/>
              </w:rPr>
            </w:pPr>
            <w:r>
              <w:rPr>
                <w:bCs/>
                <w:sz w:val="18"/>
                <w:szCs w:val="18"/>
              </w:rPr>
              <w:t>6个月</w:t>
            </w:r>
          </w:p>
        </w:tc>
        <w:tc>
          <w:tcPr>
            <w:tcW w:w="1180" w:type="dxa"/>
            <w:tcBorders>
              <w:top w:val="single" w:color="auto" w:sz="12" w:space="0"/>
            </w:tcBorders>
            <w:vAlign w:val="center"/>
          </w:tcPr>
          <w:p w14:paraId="4A632F92">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tcBorders>
              <w:top w:val="single" w:color="auto" w:sz="12" w:space="0"/>
            </w:tcBorders>
            <w:vAlign w:val="center"/>
          </w:tcPr>
          <w:p w14:paraId="41DE1094">
            <w:pPr>
              <w:spacing w:line="240" w:lineRule="auto"/>
              <w:jc w:val="center"/>
              <w:rPr>
                <w:bCs/>
                <w:sz w:val="18"/>
                <w:szCs w:val="18"/>
              </w:rPr>
            </w:pPr>
            <w:r>
              <w:rPr>
                <w:rFonts w:hint="eastAsia"/>
                <w:bCs/>
                <w:sz w:val="18"/>
                <w:szCs w:val="18"/>
              </w:rPr>
              <w:t>0.02</w:t>
            </w:r>
          </w:p>
        </w:tc>
        <w:tc>
          <w:tcPr>
            <w:tcW w:w="1181" w:type="dxa"/>
            <w:tcBorders>
              <w:top w:val="single" w:color="auto" w:sz="12" w:space="0"/>
            </w:tcBorders>
            <w:vAlign w:val="center"/>
          </w:tcPr>
          <w:p w14:paraId="4CFAC633">
            <w:pPr>
              <w:spacing w:line="240" w:lineRule="auto"/>
              <w:jc w:val="center"/>
              <w:rPr>
                <w:bCs/>
                <w:sz w:val="18"/>
                <w:szCs w:val="18"/>
              </w:rPr>
            </w:pPr>
            <w:r>
              <w:rPr>
                <w:rFonts w:hint="eastAsia"/>
                <w:bCs/>
                <w:sz w:val="18"/>
                <w:szCs w:val="18"/>
              </w:rPr>
              <w:t>0.13</w:t>
            </w:r>
          </w:p>
        </w:tc>
        <w:tc>
          <w:tcPr>
            <w:tcW w:w="1180" w:type="dxa"/>
            <w:tcBorders>
              <w:top w:val="single" w:color="auto" w:sz="12" w:space="0"/>
            </w:tcBorders>
            <w:vAlign w:val="center"/>
          </w:tcPr>
          <w:p w14:paraId="1850D7D2">
            <w:pPr>
              <w:spacing w:line="240" w:lineRule="auto"/>
              <w:jc w:val="center"/>
              <w:rPr>
                <w:bCs/>
                <w:sz w:val="18"/>
                <w:szCs w:val="18"/>
              </w:rPr>
            </w:pPr>
            <w:r>
              <w:rPr>
                <w:rFonts w:hint="eastAsia"/>
                <w:bCs/>
                <w:sz w:val="18"/>
                <w:szCs w:val="18"/>
              </w:rPr>
              <w:t>0.65</w:t>
            </w:r>
          </w:p>
        </w:tc>
        <w:tc>
          <w:tcPr>
            <w:tcW w:w="1181" w:type="dxa"/>
            <w:tcBorders>
              <w:top w:val="single" w:color="auto" w:sz="12" w:space="0"/>
            </w:tcBorders>
            <w:vAlign w:val="center"/>
          </w:tcPr>
          <w:p w14:paraId="66F11770">
            <w:pPr>
              <w:spacing w:line="240" w:lineRule="auto"/>
              <w:jc w:val="center"/>
              <w:rPr>
                <w:bCs/>
                <w:sz w:val="18"/>
                <w:szCs w:val="18"/>
              </w:rPr>
            </w:pPr>
            <w:r>
              <w:rPr>
                <w:rFonts w:hint="eastAsia"/>
                <w:bCs/>
                <w:sz w:val="18"/>
                <w:szCs w:val="18"/>
              </w:rPr>
              <w:t>1</w:t>
            </w:r>
          </w:p>
        </w:tc>
        <w:tc>
          <w:tcPr>
            <w:tcW w:w="1181" w:type="dxa"/>
            <w:tcBorders>
              <w:top w:val="single" w:color="auto" w:sz="12" w:space="0"/>
            </w:tcBorders>
            <w:vAlign w:val="center"/>
          </w:tcPr>
          <w:p w14:paraId="4FB9EE25">
            <w:pPr>
              <w:spacing w:line="240" w:lineRule="auto"/>
              <w:jc w:val="center"/>
              <w:rPr>
                <w:bCs/>
                <w:sz w:val="18"/>
                <w:szCs w:val="18"/>
              </w:rPr>
            </w:pPr>
            <w:r>
              <w:rPr>
                <w:rFonts w:hint="eastAsia"/>
                <w:bCs/>
                <w:sz w:val="18"/>
                <w:szCs w:val="18"/>
              </w:rPr>
              <w:t>1</w:t>
            </w:r>
          </w:p>
        </w:tc>
      </w:tr>
      <w:tr w14:paraId="187AA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2EBF6CB5">
            <w:pPr>
              <w:spacing w:line="240" w:lineRule="auto"/>
              <w:jc w:val="center"/>
              <w:rPr>
                <w:bCs/>
                <w:sz w:val="18"/>
                <w:szCs w:val="18"/>
              </w:rPr>
            </w:pPr>
          </w:p>
        </w:tc>
        <w:tc>
          <w:tcPr>
            <w:tcW w:w="1180" w:type="dxa"/>
            <w:vAlign w:val="center"/>
          </w:tcPr>
          <w:p w14:paraId="4422CDAE">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788FE69C">
            <w:pPr>
              <w:spacing w:line="240" w:lineRule="auto"/>
              <w:jc w:val="center"/>
              <w:rPr>
                <w:bCs/>
                <w:sz w:val="18"/>
                <w:szCs w:val="18"/>
              </w:rPr>
            </w:pPr>
            <w:r>
              <w:rPr>
                <w:rFonts w:hint="eastAsia"/>
                <w:bCs/>
                <w:sz w:val="18"/>
                <w:szCs w:val="18"/>
              </w:rPr>
              <w:t>0.01</w:t>
            </w:r>
            <w:r>
              <w:rPr>
                <w:bCs/>
                <w:sz w:val="18"/>
                <w:szCs w:val="18"/>
              </w:rPr>
              <w:t>1</w:t>
            </w:r>
          </w:p>
        </w:tc>
        <w:tc>
          <w:tcPr>
            <w:tcW w:w="1181" w:type="dxa"/>
            <w:vAlign w:val="center"/>
          </w:tcPr>
          <w:p w14:paraId="46A69B1E">
            <w:pPr>
              <w:spacing w:line="240" w:lineRule="auto"/>
              <w:jc w:val="center"/>
              <w:rPr>
                <w:bCs/>
                <w:sz w:val="18"/>
                <w:szCs w:val="18"/>
              </w:rPr>
            </w:pPr>
            <w:r>
              <w:rPr>
                <w:bCs/>
                <w:sz w:val="18"/>
                <w:szCs w:val="18"/>
              </w:rPr>
              <w:t>0.063</w:t>
            </w:r>
          </w:p>
        </w:tc>
        <w:tc>
          <w:tcPr>
            <w:tcW w:w="1180" w:type="dxa"/>
            <w:vAlign w:val="center"/>
          </w:tcPr>
          <w:p w14:paraId="1EB1DE03">
            <w:pPr>
              <w:spacing w:line="240" w:lineRule="auto"/>
              <w:jc w:val="center"/>
              <w:rPr>
                <w:bCs/>
                <w:sz w:val="18"/>
                <w:szCs w:val="18"/>
              </w:rPr>
            </w:pPr>
            <w:r>
              <w:rPr>
                <w:rFonts w:hint="eastAsia"/>
                <w:bCs/>
                <w:sz w:val="18"/>
                <w:szCs w:val="18"/>
              </w:rPr>
              <w:t>0.577</w:t>
            </w:r>
          </w:p>
        </w:tc>
        <w:tc>
          <w:tcPr>
            <w:tcW w:w="1181" w:type="dxa"/>
            <w:vAlign w:val="center"/>
          </w:tcPr>
          <w:p w14:paraId="4F037E4C">
            <w:pPr>
              <w:spacing w:line="240" w:lineRule="auto"/>
              <w:jc w:val="center"/>
              <w:rPr>
                <w:bCs/>
                <w:sz w:val="18"/>
                <w:szCs w:val="18"/>
              </w:rPr>
            </w:pPr>
            <w:r>
              <w:rPr>
                <w:rFonts w:hint="eastAsia"/>
                <w:bCs/>
                <w:sz w:val="18"/>
                <w:szCs w:val="18"/>
              </w:rPr>
              <w:t>0.999</w:t>
            </w:r>
          </w:p>
        </w:tc>
        <w:tc>
          <w:tcPr>
            <w:tcW w:w="1181" w:type="dxa"/>
            <w:vAlign w:val="center"/>
          </w:tcPr>
          <w:p w14:paraId="4F31F62D">
            <w:pPr>
              <w:spacing w:line="240" w:lineRule="auto"/>
              <w:jc w:val="center"/>
              <w:rPr>
                <w:bCs/>
                <w:sz w:val="18"/>
                <w:szCs w:val="18"/>
              </w:rPr>
            </w:pPr>
            <w:r>
              <w:rPr>
                <w:rFonts w:hint="eastAsia"/>
                <w:bCs/>
                <w:sz w:val="18"/>
                <w:szCs w:val="18"/>
              </w:rPr>
              <w:t>1</w:t>
            </w:r>
          </w:p>
        </w:tc>
      </w:tr>
      <w:tr w14:paraId="3DC49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43FA8787">
            <w:pPr>
              <w:spacing w:line="240" w:lineRule="auto"/>
              <w:jc w:val="center"/>
              <w:rPr>
                <w:bCs/>
                <w:sz w:val="18"/>
                <w:szCs w:val="18"/>
              </w:rPr>
            </w:pPr>
          </w:p>
        </w:tc>
        <w:tc>
          <w:tcPr>
            <w:tcW w:w="1180" w:type="dxa"/>
            <w:vAlign w:val="center"/>
          </w:tcPr>
          <w:p w14:paraId="52DB4955">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7A967226">
            <w:pPr>
              <w:spacing w:line="240" w:lineRule="auto"/>
              <w:jc w:val="center"/>
              <w:rPr>
                <w:bCs/>
                <w:sz w:val="18"/>
                <w:szCs w:val="18"/>
              </w:rPr>
            </w:pPr>
            <w:r>
              <w:rPr>
                <w:rFonts w:hint="eastAsia"/>
                <w:bCs/>
                <w:sz w:val="18"/>
                <w:szCs w:val="18"/>
              </w:rPr>
              <w:t>0.007</w:t>
            </w:r>
          </w:p>
        </w:tc>
        <w:tc>
          <w:tcPr>
            <w:tcW w:w="1181" w:type="dxa"/>
            <w:vAlign w:val="center"/>
          </w:tcPr>
          <w:p w14:paraId="1A908B21">
            <w:pPr>
              <w:spacing w:line="240" w:lineRule="auto"/>
              <w:jc w:val="center"/>
              <w:rPr>
                <w:bCs/>
                <w:sz w:val="18"/>
                <w:szCs w:val="18"/>
              </w:rPr>
            </w:pPr>
            <w:r>
              <w:rPr>
                <w:rFonts w:hint="eastAsia"/>
                <w:bCs/>
                <w:sz w:val="18"/>
                <w:szCs w:val="18"/>
              </w:rPr>
              <w:t>0.042</w:t>
            </w:r>
          </w:p>
        </w:tc>
        <w:tc>
          <w:tcPr>
            <w:tcW w:w="1180" w:type="dxa"/>
            <w:vAlign w:val="center"/>
          </w:tcPr>
          <w:p w14:paraId="3991C9C4">
            <w:pPr>
              <w:spacing w:line="240" w:lineRule="auto"/>
              <w:jc w:val="center"/>
              <w:rPr>
                <w:bCs/>
                <w:sz w:val="18"/>
                <w:szCs w:val="18"/>
              </w:rPr>
            </w:pPr>
            <w:r>
              <w:rPr>
                <w:rFonts w:hint="eastAsia"/>
                <w:bCs/>
                <w:sz w:val="18"/>
                <w:szCs w:val="18"/>
              </w:rPr>
              <w:t>0.547</w:t>
            </w:r>
          </w:p>
        </w:tc>
        <w:tc>
          <w:tcPr>
            <w:tcW w:w="1181" w:type="dxa"/>
            <w:vAlign w:val="center"/>
          </w:tcPr>
          <w:p w14:paraId="4144A88D">
            <w:pPr>
              <w:spacing w:line="240" w:lineRule="auto"/>
              <w:jc w:val="center"/>
              <w:rPr>
                <w:bCs/>
                <w:sz w:val="18"/>
                <w:szCs w:val="18"/>
              </w:rPr>
            </w:pPr>
            <w:r>
              <w:rPr>
                <w:rFonts w:hint="eastAsia"/>
                <w:bCs/>
                <w:sz w:val="18"/>
                <w:szCs w:val="18"/>
              </w:rPr>
              <w:t>0.977</w:t>
            </w:r>
          </w:p>
        </w:tc>
        <w:tc>
          <w:tcPr>
            <w:tcW w:w="1181" w:type="dxa"/>
            <w:vAlign w:val="center"/>
          </w:tcPr>
          <w:p w14:paraId="7F608D0F">
            <w:pPr>
              <w:spacing w:line="240" w:lineRule="auto"/>
              <w:jc w:val="center"/>
              <w:rPr>
                <w:bCs/>
                <w:sz w:val="18"/>
                <w:szCs w:val="18"/>
              </w:rPr>
            </w:pPr>
            <w:r>
              <w:rPr>
                <w:rFonts w:hint="eastAsia"/>
                <w:bCs/>
                <w:sz w:val="18"/>
                <w:szCs w:val="18"/>
              </w:rPr>
              <w:t>1</w:t>
            </w:r>
          </w:p>
        </w:tc>
      </w:tr>
      <w:tr w14:paraId="7A88E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1F924BBC">
            <w:pPr>
              <w:spacing w:line="240" w:lineRule="auto"/>
              <w:jc w:val="center"/>
              <w:rPr>
                <w:bCs/>
                <w:sz w:val="18"/>
                <w:szCs w:val="18"/>
              </w:rPr>
            </w:pPr>
          </w:p>
        </w:tc>
        <w:tc>
          <w:tcPr>
            <w:tcW w:w="1180" w:type="dxa"/>
            <w:vAlign w:val="center"/>
          </w:tcPr>
          <w:p w14:paraId="67ECC0F3">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09D89882">
            <w:pPr>
              <w:spacing w:line="240" w:lineRule="auto"/>
              <w:jc w:val="center"/>
              <w:rPr>
                <w:bCs/>
                <w:sz w:val="18"/>
                <w:szCs w:val="18"/>
              </w:rPr>
            </w:pPr>
            <w:r>
              <w:rPr>
                <w:rFonts w:hint="eastAsia"/>
                <w:bCs/>
                <w:sz w:val="18"/>
                <w:szCs w:val="18"/>
              </w:rPr>
              <w:t>0.005</w:t>
            </w:r>
          </w:p>
        </w:tc>
        <w:tc>
          <w:tcPr>
            <w:tcW w:w="1181" w:type="dxa"/>
            <w:vAlign w:val="center"/>
          </w:tcPr>
          <w:p w14:paraId="6182FD5E">
            <w:pPr>
              <w:spacing w:line="240" w:lineRule="auto"/>
              <w:jc w:val="center"/>
              <w:rPr>
                <w:bCs/>
                <w:sz w:val="18"/>
                <w:szCs w:val="18"/>
              </w:rPr>
            </w:pPr>
            <w:r>
              <w:rPr>
                <w:rFonts w:hint="eastAsia"/>
                <w:bCs/>
                <w:sz w:val="18"/>
                <w:szCs w:val="18"/>
              </w:rPr>
              <w:t>0.031</w:t>
            </w:r>
          </w:p>
        </w:tc>
        <w:tc>
          <w:tcPr>
            <w:tcW w:w="1180" w:type="dxa"/>
            <w:vAlign w:val="center"/>
          </w:tcPr>
          <w:p w14:paraId="2C65E229">
            <w:pPr>
              <w:spacing w:line="240" w:lineRule="auto"/>
              <w:jc w:val="center"/>
              <w:rPr>
                <w:bCs/>
                <w:sz w:val="18"/>
                <w:szCs w:val="18"/>
              </w:rPr>
            </w:pPr>
            <w:r>
              <w:rPr>
                <w:rFonts w:hint="eastAsia"/>
                <w:bCs/>
                <w:sz w:val="18"/>
                <w:szCs w:val="18"/>
              </w:rPr>
              <w:t>0.505</w:t>
            </w:r>
          </w:p>
        </w:tc>
        <w:tc>
          <w:tcPr>
            <w:tcW w:w="1181" w:type="dxa"/>
            <w:vAlign w:val="center"/>
          </w:tcPr>
          <w:p w14:paraId="19045A2E">
            <w:pPr>
              <w:spacing w:line="240" w:lineRule="auto"/>
              <w:jc w:val="center"/>
              <w:rPr>
                <w:bCs/>
                <w:sz w:val="18"/>
                <w:szCs w:val="18"/>
              </w:rPr>
            </w:pPr>
            <w:r>
              <w:rPr>
                <w:rFonts w:hint="eastAsia"/>
                <w:bCs/>
                <w:sz w:val="18"/>
                <w:szCs w:val="18"/>
              </w:rPr>
              <w:t>0.919</w:t>
            </w:r>
          </w:p>
        </w:tc>
        <w:tc>
          <w:tcPr>
            <w:tcW w:w="1181" w:type="dxa"/>
            <w:vAlign w:val="center"/>
          </w:tcPr>
          <w:p w14:paraId="7CD40AB9">
            <w:pPr>
              <w:spacing w:line="240" w:lineRule="auto"/>
              <w:jc w:val="center"/>
              <w:rPr>
                <w:bCs/>
                <w:sz w:val="18"/>
                <w:szCs w:val="18"/>
              </w:rPr>
            </w:pPr>
            <w:r>
              <w:rPr>
                <w:rFonts w:hint="eastAsia"/>
                <w:bCs/>
                <w:sz w:val="18"/>
                <w:szCs w:val="18"/>
              </w:rPr>
              <w:t>1</w:t>
            </w:r>
          </w:p>
        </w:tc>
      </w:tr>
      <w:tr w14:paraId="5C797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96" w:type="dxa"/>
            <w:vMerge w:val="restart"/>
            <w:vAlign w:val="center"/>
          </w:tcPr>
          <w:p w14:paraId="0AB98C70">
            <w:pPr>
              <w:spacing w:line="240" w:lineRule="auto"/>
              <w:jc w:val="center"/>
              <w:rPr>
                <w:bCs/>
                <w:sz w:val="18"/>
                <w:szCs w:val="18"/>
              </w:rPr>
            </w:pPr>
            <w:r>
              <w:rPr>
                <w:bCs/>
                <w:sz w:val="18"/>
                <w:szCs w:val="18"/>
              </w:rPr>
              <w:t>1年</w:t>
            </w:r>
          </w:p>
        </w:tc>
        <w:tc>
          <w:tcPr>
            <w:tcW w:w="1180" w:type="dxa"/>
            <w:vAlign w:val="center"/>
          </w:tcPr>
          <w:p w14:paraId="793F6D0A">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42033653">
            <w:pPr>
              <w:spacing w:line="240" w:lineRule="auto"/>
              <w:jc w:val="center"/>
              <w:rPr>
                <w:bCs/>
                <w:sz w:val="18"/>
                <w:szCs w:val="18"/>
              </w:rPr>
            </w:pPr>
            <w:r>
              <w:rPr>
                <w:rFonts w:hint="eastAsia"/>
                <w:bCs/>
                <w:sz w:val="18"/>
                <w:szCs w:val="18"/>
              </w:rPr>
              <w:t>0.03</w:t>
            </w:r>
          </w:p>
        </w:tc>
        <w:tc>
          <w:tcPr>
            <w:tcW w:w="1181" w:type="dxa"/>
            <w:vAlign w:val="center"/>
          </w:tcPr>
          <w:p w14:paraId="50FBC1E7">
            <w:pPr>
              <w:spacing w:line="240" w:lineRule="auto"/>
              <w:jc w:val="center"/>
              <w:rPr>
                <w:bCs/>
                <w:sz w:val="18"/>
                <w:szCs w:val="18"/>
              </w:rPr>
            </w:pPr>
            <w:r>
              <w:rPr>
                <w:rFonts w:hint="eastAsia"/>
                <w:bCs/>
                <w:sz w:val="18"/>
                <w:szCs w:val="18"/>
              </w:rPr>
              <w:t>0.18</w:t>
            </w:r>
          </w:p>
        </w:tc>
        <w:tc>
          <w:tcPr>
            <w:tcW w:w="1180" w:type="dxa"/>
            <w:vAlign w:val="center"/>
          </w:tcPr>
          <w:p w14:paraId="1C886AF4">
            <w:pPr>
              <w:spacing w:line="240" w:lineRule="auto"/>
              <w:jc w:val="center"/>
              <w:rPr>
                <w:bCs/>
                <w:sz w:val="18"/>
                <w:szCs w:val="18"/>
              </w:rPr>
            </w:pPr>
            <w:r>
              <w:rPr>
                <w:rFonts w:hint="eastAsia"/>
                <w:bCs/>
                <w:sz w:val="18"/>
                <w:szCs w:val="18"/>
              </w:rPr>
              <w:t>0.72</w:t>
            </w:r>
          </w:p>
        </w:tc>
        <w:tc>
          <w:tcPr>
            <w:tcW w:w="1181" w:type="dxa"/>
            <w:vAlign w:val="center"/>
          </w:tcPr>
          <w:p w14:paraId="47EB6A08">
            <w:pPr>
              <w:spacing w:line="240" w:lineRule="auto"/>
              <w:jc w:val="center"/>
              <w:rPr>
                <w:bCs/>
                <w:sz w:val="18"/>
                <w:szCs w:val="18"/>
              </w:rPr>
            </w:pPr>
            <w:r>
              <w:rPr>
                <w:rFonts w:hint="eastAsia"/>
                <w:bCs/>
                <w:sz w:val="18"/>
                <w:szCs w:val="18"/>
              </w:rPr>
              <w:t>1</w:t>
            </w:r>
          </w:p>
        </w:tc>
        <w:tc>
          <w:tcPr>
            <w:tcW w:w="1181" w:type="dxa"/>
            <w:vAlign w:val="center"/>
          </w:tcPr>
          <w:p w14:paraId="79D81B81">
            <w:pPr>
              <w:spacing w:line="240" w:lineRule="auto"/>
              <w:jc w:val="center"/>
              <w:rPr>
                <w:bCs/>
                <w:sz w:val="18"/>
                <w:szCs w:val="18"/>
              </w:rPr>
            </w:pPr>
            <w:r>
              <w:rPr>
                <w:rFonts w:hint="eastAsia"/>
                <w:bCs/>
                <w:sz w:val="18"/>
                <w:szCs w:val="18"/>
              </w:rPr>
              <w:t>1</w:t>
            </w:r>
          </w:p>
        </w:tc>
      </w:tr>
      <w:tr w14:paraId="004A4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411FCD33">
            <w:pPr>
              <w:spacing w:line="240" w:lineRule="auto"/>
              <w:jc w:val="center"/>
              <w:rPr>
                <w:bCs/>
                <w:sz w:val="18"/>
                <w:szCs w:val="18"/>
              </w:rPr>
            </w:pPr>
          </w:p>
        </w:tc>
        <w:tc>
          <w:tcPr>
            <w:tcW w:w="1180" w:type="dxa"/>
            <w:vAlign w:val="center"/>
          </w:tcPr>
          <w:p w14:paraId="386E76CB">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264906A4">
            <w:pPr>
              <w:spacing w:line="240" w:lineRule="auto"/>
              <w:jc w:val="center"/>
              <w:rPr>
                <w:bCs/>
                <w:sz w:val="18"/>
                <w:szCs w:val="18"/>
              </w:rPr>
            </w:pPr>
            <w:r>
              <w:rPr>
                <w:rFonts w:hint="eastAsia"/>
                <w:bCs/>
                <w:sz w:val="18"/>
                <w:szCs w:val="18"/>
              </w:rPr>
              <w:t>0.015</w:t>
            </w:r>
          </w:p>
        </w:tc>
        <w:tc>
          <w:tcPr>
            <w:tcW w:w="1181" w:type="dxa"/>
            <w:vAlign w:val="center"/>
          </w:tcPr>
          <w:p w14:paraId="33A2D22D">
            <w:pPr>
              <w:spacing w:line="240" w:lineRule="auto"/>
              <w:jc w:val="center"/>
              <w:rPr>
                <w:bCs/>
                <w:sz w:val="18"/>
                <w:szCs w:val="18"/>
              </w:rPr>
            </w:pPr>
            <w:r>
              <w:rPr>
                <w:rFonts w:hint="eastAsia"/>
                <w:bCs/>
                <w:sz w:val="18"/>
                <w:szCs w:val="18"/>
              </w:rPr>
              <w:t>0.109</w:t>
            </w:r>
          </w:p>
        </w:tc>
        <w:tc>
          <w:tcPr>
            <w:tcW w:w="1180" w:type="dxa"/>
            <w:vAlign w:val="center"/>
          </w:tcPr>
          <w:p w14:paraId="609D84EB">
            <w:pPr>
              <w:spacing w:line="240" w:lineRule="auto"/>
              <w:jc w:val="center"/>
              <w:rPr>
                <w:bCs/>
                <w:sz w:val="18"/>
                <w:szCs w:val="18"/>
              </w:rPr>
            </w:pPr>
            <w:r>
              <w:rPr>
                <w:rFonts w:hint="eastAsia"/>
                <w:bCs/>
                <w:sz w:val="18"/>
                <w:szCs w:val="18"/>
              </w:rPr>
              <w:t>0.6</w:t>
            </w:r>
            <w:r>
              <w:rPr>
                <w:bCs/>
                <w:sz w:val="18"/>
                <w:szCs w:val="18"/>
              </w:rPr>
              <w:t>09</w:t>
            </w:r>
          </w:p>
        </w:tc>
        <w:tc>
          <w:tcPr>
            <w:tcW w:w="1181" w:type="dxa"/>
            <w:vAlign w:val="center"/>
          </w:tcPr>
          <w:p w14:paraId="7D18DEFA">
            <w:pPr>
              <w:spacing w:line="240" w:lineRule="auto"/>
              <w:jc w:val="center"/>
              <w:rPr>
                <w:bCs/>
                <w:sz w:val="18"/>
                <w:szCs w:val="18"/>
              </w:rPr>
            </w:pPr>
            <w:r>
              <w:rPr>
                <w:rFonts w:hint="eastAsia"/>
                <w:bCs/>
                <w:sz w:val="18"/>
                <w:szCs w:val="18"/>
              </w:rPr>
              <w:t>1</w:t>
            </w:r>
          </w:p>
        </w:tc>
        <w:tc>
          <w:tcPr>
            <w:tcW w:w="1181" w:type="dxa"/>
            <w:vAlign w:val="center"/>
          </w:tcPr>
          <w:p w14:paraId="71692737">
            <w:pPr>
              <w:spacing w:line="240" w:lineRule="auto"/>
              <w:jc w:val="center"/>
              <w:rPr>
                <w:bCs/>
                <w:sz w:val="18"/>
                <w:szCs w:val="18"/>
              </w:rPr>
            </w:pPr>
            <w:r>
              <w:rPr>
                <w:rFonts w:hint="eastAsia"/>
                <w:bCs/>
                <w:sz w:val="18"/>
                <w:szCs w:val="18"/>
              </w:rPr>
              <w:t>1</w:t>
            </w:r>
          </w:p>
        </w:tc>
      </w:tr>
      <w:tr w14:paraId="08F08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0C77BAC9">
            <w:pPr>
              <w:spacing w:line="240" w:lineRule="auto"/>
              <w:jc w:val="center"/>
              <w:rPr>
                <w:bCs/>
                <w:sz w:val="18"/>
                <w:szCs w:val="18"/>
              </w:rPr>
            </w:pPr>
          </w:p>
        </w:tc>
        <w:tc>
          <w:tcPr>
            <w:tcW w:w="1180" w:type="dxa"/>
            <w:vAlign w:val="center"/>
          </w:tcPr>
          <w:p w14:paraId="4B168F35">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183F63B6">
            <w:pPr>
              <w:spacing w:line="240" w:lineRule="auto"/>
              <w:jc w:val="center"/>
              <w:rPr>
                <w:bCs/>
                <w:sz w:val="18"/>
                <w:szCs w:val="18"/>
              </w:rPr>
            </w:pPr>
            <w:r>
              <w:rPr>
                <w:rFonts w:hint="eastAsia"/>
                <w:bCs/>
                <w:sz w:val="18"/>
                <w:szCs w:val="18"/>
              </w:rPr>
              <w:t>0.01</w:t>
            </w:r>
          </w:p>
        </w:tc>
        <w:tc>
          <w:tcPr>
            <w:tcW w:w="1181" w:type="dxa"/>
            <w:vAlign w:val="center"/>
          </w:tcPr>
          <w:p w14:paraId="4F09D9A4">
            <w:pPr>
              <w:spacing w:line="240" w:lineRule="auto"/>
              <w:jc w:val="center"/>
              <w:rPr>
                <w:bCs/>
                <w:sz w:val="18"/>
                <w:szCs w:val="18"/>
              </w:rPr>
            </w:pPr>
            <w:r>
              <w:rPr>
                <w:rFonts w:hint="eastAsia"/>
                <w:bCs/>
                <w:sz w:val="18"/>
                <w:szCs w:val="18"/>
              </w:rPr>
              <w:t>0.059</w:t>
            </w:r>
          </w:p>
        </w:tc>
        <w:tc>
          <w:tcPr>
            <w:tcW w:w="1180" w:type="dxa"/>
            <w:vAlign w:val="center"/>
          </w:tcPr>
          <w:p w14:paraId="3F94BAF4">
            <w:pPr>
              <w:spacing w:line="240" w:lineRule="auto"/>
              <w:jc w:val="center"/>
              <w:rPr>
                <w:bCs/>
                <w:sz w:val="18"/>
                <w:szCs w:val="18"/>
              </w:rPr>
            </w:pPr>
            <w:r>
              <w:rPr>
                <w:rFonts w:hint="eastAsia"/>
                <w:bCs/>
                <w:sz w:val="18"/>
                <w:szCs w:val="18"/>
              </w:rPr>
              <w:t>0.573</w:t>
            </w:r>
          </w:p>
        </w:tc>
        <w:tc>
          <w:tcPr>
            <w:tcW w:w="1181" w:type="dxa"/>
            <w:vAlign w:val="center"/>
          </w:tcPr>
          <w:p w14:paraId="2A098E28">
            <w:pPr>
              <w:spacing w:line="240" w:lineRule="auto"/>
              <w:jc w:val="center"/>
              <w:rPr>
                <w:bCs/>
                <w:sz w:val="18"/>
                <w:szCs w:val="18"/>
              </w:rPr>
            </w:pPr>
            <w:r>
              <w:rPr>
                <w:rFonts w:hint="eastAsia"/>
                <w:bCs/>
                <w:sz w:val="18"/>
                <w:szCs w:val="18"/>
              </w:rPr>
              <w:t>0.999</w:t>
            </w:r>
          </w:p>
        </w:tc>
        <w:tc>
          <w:tcPr>
            <w:tcW w:w="1181" w:type="dxa"/>
            <w:vAlign w:val="center"/>
          </w:tcPr>
          <w:p w14:paraId="14092C04">
            <w:pPr>
              <w:spacing w:line="240" w:lineRule="auto"/>
              <w:jc w:val="center"/>
              <w:rPr>
                <w:bCs/>
                <w:sz w:val="18"/>
                <w:szCs w:val="18"/>
              </w:rPr>
            </w:pPr>
            <w:r>
              <w:rPr>
                <w:rFonts w:hint="eastAsia"/>
                <w:bCs/>
                <w:sz w:val="18"/>
                <w:szCs w:val="18"/>
              </w:rPr>
              <w:t>1</w:t>
            </w:r>
          </w:p>
        </w:tc>
      </w:tr>
      <w:tr w14:paraId="2CB18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96" w:type="dxa"/>
            <w:vMerge w:val="continue"/>
            <w:vAlign w:val="center"/>
          </w:tcPr>
          <w:p w14:paraId="6DEB916B">
            <w:pPr>
              <w:spacing w:line="240" w:lineRule="auto"/>
              <w:jc w:val="center"/>
              <w:rPr>
                <w:bCs/>
                <w:sz w:val="18"/>
                <w:szCs w:val="18"/>
              </w:rPr>
            </w:pPr>
          </w:p>
        </w:tc>
        <w:tc>
          <w:tcPr>
            <w:tcW w:w="1180" w:type="dxa"/>
            <w:vAlign w:val="center"/>
          </w:tcPr>
          <w:p w14:paraId="2D3BAEC2">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68387105">
            <w:pPr>
              <w:spacing w:line="240" w:lineRule="auto"/>
              <w:jc w:val="center"/>
              <w:rPr>
                <w:bCs/>
                <w:sz w:val="18"/>
                <w:szCs w:val="18"/>
              </w:rPr>
            </w:pPr>
            <w:r>
              <w:rPr>
                <w:rFonts w:hint="eastAsia"/>
                <w:bCs/>
                <w:sz w:val="18"/>
                <w:szCs w:val="18"/>
              </w:rPr>
              <w:t>0.008</w:t>
            </w:r>
          </w:p>
        </w:tc>
        <w:tc>
          <w:tcPr>
            <w:tcW w:w="1181" w:type="dxa"/>
            <w:vAlign w:val="center"/>
          </w:tcPr>
          <w:p w14:paraId="3620C492">
            <w:pPr>
              <w:spacing w:line="240" w:lineRule="auto"/>
              <w:jc w:val="center"/>
              <w:rPr>
                <w:bCs/>
                <w:sz w:val="18"/>
                <w:szCs w:val="18"/>
              </w:rPr>
            </w:pPr>
            <w:r>
              <w:rPr>
                <w:rFonts w:hint="eastAsia"/>
                <w:bCs/>
                <w:sz w:val="18"/>
                <w:szCs w:val="18"/>
              </w:rPr>
              <w:t>0.044</w:t>
            </w:r>
          </w:p>
        </w:tc>
        <w:tc>
          <w:tcPr>
            <w:tcW w:w="1180" w:type="dxa"/>
            <w:vAlign w:val="center"/>
          </w:tcPr>
          <w:p w14:paraId="08997264">
            <w:pPr>
              <w:spacing w:line="240" w:lineRule="auto"/>
              <w:jc w:val="center"/>
              <w:rPr>
                <w:bCs/>
                <w:sz w:val="18"/>
                <w:szCs w:val="18"/>
              </w:rPr>
            </w:pPr>
            <w:r>
              <w:rPr>
                <w:rFonts w:hint="eastAsia"/>
                <w:bCs/>
                <w:sz w:val="18"/>
                <w:szCs w:val="18"/>
              </w:rPr>
              <w:t>0.552</w:t>
            </w:r>
          </w:p>
        </w:tc>
        <w:tc>
          <w:tcPr>
            <w:tcW w:w="1181" w:type="dxa"/>
            <w:vAlign w:val="center"/>
          </w:tcPr>
          <w:p w14:paraId="6D7F8AC5">
            <w:pPr>
              <w:spacing w:line="240" w:lineRule="auto"/>
              <w:jc w:val="center"/>
              <w:rPr>
                <w:bCs/>
                <w:sz w:val="18"/>
                <w:szCs w:val="18"/>
              </w:rPr>
            </w:pPr>
            <w:r>
              <w:rPr>
                <w:rFonts w:hint="eastAsia"/>
                <w:bCs/>
                <w:sz w:val="18"/>
                <w:szCs w:val="18"/>
              </w:rPr>
              <w:t>0.984</w:t>
            </w:r>
          </w:p>
        </w:tc>
        <w:tc>
          <w:tcPr>
            <w:tcW w:w="1181" w:type="dxa"/>
            <w:vAlign w:val="center"/>
          </w:tcPr>
          <w:p w14:paraId="48F68937">
            <w:pPr>
              <w:spacing w:line="240" w:lineRule="auto"/>
              <w:jc w:val="center"/>
              <w:rPr>
                <w:bCs/>
                <w:sz w:val="18"/>
                <w:szCs w:val="18"/>
              </w:rPr>
            </w:pPr>
            <w:r>
              <w:rPr>
                <w:rFonts w:hint="eastAsia"/>
                <w:bCs/>
                <w:sz w:val="18"/>
                <w:szCs w:val="18"/>
              </w:rPr>
              <w:t>1</w:t>
            </w:r>
          </w:p>
        </w:tc>
      </w:tr>
      <w:tr w14:paraId="091C8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67D5309E">
            <w:pPr>
              <w:spacing w:line="240" w:lineRule="auto"/>
              <w:jc w:val="center"/>
              <w:rPr>
                <w:bCs/>
                <w:sz w:val="18"/>
                <w:szCs w:val="18"/>
              </w:rPr>
            </w:pPr>
            <w:r>
              <w:rPr>
                <w:bCs/>
                <w:sz w:val="18"/>
                <w:szCs w:val="18"/>
              </w:rPr>
              <w:t>1年半</w:t>
            </w:r>
          </w:p>
        </w:tc>
        <w:tc>
          <w:tcPr>
            <w:tcW w:w="1180" w:type="dxa"/>
            <w:vAlign w:val="center"/>
          </w:tcPr>
          <w:p w14:paraId="18CA4965">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596ACA1E">
            <w:pPr>
              <w:spacing w:line="240" w:lineRule="auto"/>
              <w:jc w:val="center"/>
              <w:rPr>
                <w:bCs/>
                <w:sz w:val="18"/>
                <w:szCs w:val="18"/>
              </w:rPr>
            </w:pPr>
            <w:r>
              <w:rPr>
                <w:rFonts w:hint="eastAsia"/>
                <w:bCs/>
                <w:sz w:val="18"/>
                <w:szCs w:val="18"/>
              </w:rPr>
              <w:t>0.04</w:t>
            </w:r>
          </w:p>
        </w:tc>
        <w:tc>
          <w:tcPr>
            <w:tcW w:w="1181" w:type="dxa"/>
            <w:vAlign w:val="center"/>
          </w:tcPr>
          <w:p w14:paraId="5FF8262C">
            <w:pPr>
              <w:spacing w:line="240" w:lineRule="auto"/>
              <w:jc w:val="center"/>
              <w:rPr>
                <w:bCs/>
                <w:sz w:val="18"/>
                <w:szCs w:val="18"/>
              </w:rPr>
            </w:pPr>
            <w:r>
              <w:rPr>
                <w:rFonts w:hint="eastAsia"/>
                <w:bCs/>
                <w:sz w:val="18"/>
                <w:szCs w:val="18"/>
              </w:rPr>
              <w:t>0.22</w:t>
            </w:r>
          </w:p>
        </w:tc>
        <w:tc>
          <w:tcPr>
            <w:tcW w:w="1180" w:type="dxa"/>
            <w:vAlign w:val="center"/>
          </w:tcPr>
          <w:p w14:paraId="2FF8D70F">
            <w:pPr>
              <w:spacing w:line="240" w:lineRule="auto"/>
              <w:jc w:val="center"/>
              <w:rPr>
                <w:bCs/>
                <w:sz w:val="18"/>
                <w:szCs w:val="18"/>
              </w:rPr>
            </w:pPr>
            <w:r>
              <w:rPr>
                <w:rFonts w:hint="eastAsia"/>
                <w:bCs/>
                <w:sz w:val="18"/>
                <w:szCs w:val="18"/>
              </w:rPr>
              <w:t>0.77</w:t>
            </w:r>
          </w:p>
        </w:tc>
        <w:tc>
          <w:tcPr>
            <w:tcW w:w="1181" w:type="dxa"/>
            <w:vAlign w:val="center"/>
          </w:tcPr>
          <w:p w14:paraId="272281A7">
            <w:pPr>
              <w:spacing w:line="240" w:lineRule="auto"/>
              <w:jc w:val="center"/>
              <w:rPr>
                <w:bCs/>
                <w:sz w:val="18"/>
                <w:szCs w:val="18"/>
              </w:rPr>
            </w:pPr>
            <w:r>
              <w:rPr>
                <w:rFonts w:hint="eastAsia"/>
                <w:bCs/>
                <w:sz w:val="18"/>
                <w:szCs w:val="18"/>
              </w:rPr>
              <w:t>1</w:t>
            </w:r>
          </w:p>
        </w:tc>
        <w:tc>
          <w:tcPr>
            <w:tcW w:w="1181" w:type="dxa"/>
            <w:vAlign w:val="center"/>
          </w:tcPr>
          <w:p w14:paraId="7000EB69">
            <w:pPr>
              <w:spacing w:line="240" w:lineRule="auto"/>
              <w:jc w:val="center"/>
              <w:rPr>
                <w:bCs/>
                <w:sz w:val="18"/>
                <w:szCs w:val="18"/>
              </w:rPr>
            </w:pPr>
            <w:r>
              <w:rPr>
                <w:rFonts w:hint="eastAsia"/>
                <w:bCs/>
                <w:sz w:val="18"/>
                <w:szCs w:val="18"/>
              </w:rPr>
              <w:t>1</w:t>
            </w:r>
          </w:p>
        </w:tc>
      </w:tr>
      <w:tr w14:paraId="052BB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14C2072F">
            <w:pPr>
              <w:spacing w:line="240" w:lineRule="auto"/>
              <w:jc w:val="center"/>
              <w:rPr>
                <w:bCs/>
                <w:sz w:val="18"/>
                <w:szCs w:val="18"/>
              </w:rPr>
            </w:pPr>
          </w:p>
        </w:tc>
        <w:tc>
          <w:tcPr>
            <w:tcW w:w="1180" w:type="dxa"/>
            <w:vAlign w:val="center"/>
          </w:tcPr>
          <w:p w14:paraId="47EA6EB8">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76AB877A">
            <w:pPr>
              <w:spacing w:line="240" w:lineRule="auto"/>
              <w:jc w:val="center"/>
              <w:rPr>
                <w:bCs/>
                <w:sz w:val="18"/>
                <w:szCs w:val="18"/>
              </w:rPr>
            </w:pPr>
            <w:r>
              <w:rPr>
                <w:rFonts w:hint="eastAsia"/>
                <w:bCs/>
                <w:sz w:val="18"/>
                <w:szCs w:val="18"/>
              </w:rPr>
              <w:t>0.019</w:t>
            </w:r>
          </w:p>
        </w:tc>
        <w:tc>
          <w:tcPr>
            <w:tcW w:w="1181" w:type="dxa"/>
            <w:vAlign w:val="center"/>
          </w:tcPr>
          <w:p w14:paraId="3F838D95">
            <w:pPr>
              <w:spacing w:line="240" w:lineRule="auto"/>
              <w:jc w:val="center"/>
              <w:rPr>
                <w:bCs/>
                <w:sz w:val="18"/>
                <w:szCs w:val="18"/>
              </w:rPr>
            </w:pPr>
            <w:r>
              <w:rPr>
                <w:rFonts w:hint="eastAsia"/>
                <w:bCs/>
                <w:sz w:val="18"/>
                <w:szCs w:val="18"/>
              </w:rPr>
              <w:t>0.109</w:t>
            </w:r>
          </w:p>
        </w:tc>
        <w:tc>
          <w:tcPr>
            <w:tcW w:w="1180" w:type="dxa"/>
            <w:vAlign w:val="center"/>
          </w:tcPr>
          <w:p w14:paraId="7ADE2F42">
            <w:pPr>
              <w:spacing w:line="240" w:lineRule="auto"/>
              <w:jc w:val="center"/>
              <w:rPr>
                <w:bCs/>
                <w:sz w:val="18"/>
                <w:szCs w:val="18"/>
              </w:rPr>
            </w:pPr>
            <w:r>
              <w:rPr>
                <w:rFonts w:hint="eastAsia"/>
                <w:bCs/>
                <w:sz w:val="18"/>
                <w:szCs w:val="18"/>
              </w:rPr>
              <w:t>0.633</w:t>
            </w:r>
          </w:p>
        </w:tc>
        <w:tc>
          <w:tcPr>
            <w:tcW w:w="1181" w:type="dxa"/>
            <w:vAlign w:val="center"/>
          </w:tcPr>
          <w:p w14:paraId="2147AFC1">
            <w:pPr>
              <w:spacing w:line="240" w:lineRule="auto"/>
              <w:jc w:val="center"/>
              <w:rPr>
                <w:bCs/>
                <w:sz w:val="18"/>
                <w:szCs w:val="18"/>
              </w:rPr>
            </w:pPr>
            <w:r>
              <w:rPr>
                <w:rFonts w:hint="eastAsia"/>
                <w:bCs/>
                <w:sz w:val="18"/>
                <w:szCs w:val="18"/>
              </w:rPr>
              <w:t>1</w:t>
            </w:r>
          </w:p>
        </w:tc>
        <w:tc>
          <w:tcPr>
            <w:tcW w:w="1181" w:type="dxa"/>
            <w:vAlign w:val="center"/>
          </w:tcPr>
          <w:p w14:paraId="5020C00C">
            <w:pPr>
              <w:spacing w:line="240" w:lineRule="auto"/>
              <w:jc w:val="center"/>
              <w:rPr>
                <w:bCs/>
                <w:sz w:val="18"/>
                <w:szCs w:val="18"/>
              </w:rPr>
            </w:pPr>
            <w:r>
              <w:rPr>
                <w:rFonts w:hint="eastAsia"/>
                <w:bCs/>
                <w:sz w:val="18"/>
                <w:szCs w:val="18"/>
              </w:rPr>
              <w:t>1</w:t>
            </w:r>
          </w:p>
        </w:tc>
      </w:tr>
      <w:tr w14:paraId="5EFA5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63A08BDD">
            <w:pPr>
              <w:spacing w:line="240" w:lineRule="auto"/>
              <w:jc w:val="center"/>
              <w:rPr>
                <w:bCs/>
                <w:sz w:val="18"/>
                <w:szCs w:val="18"/>
              </w:rPr>
            </w:pPr>
          </w:p>
        </w:tc>
        <w:tc>
          <w:tcPr>
            <w:tcW w:w="1180" w:type="dxa"/>
            <w:vAlign w:val="center"/>
          </w:tcPr>
          <w:p w14:paraId="3E982D5D">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21ABF014">
            <w:pPr>
              <w:spacing w:line="240" w:lineRule="auto"/>
              <w:jc w:val="center"/>
              <w:rPr>
                <w:bCs/>
                <w:sz w:val="18"/>
                <w:szCs w:val="18"/>
              </w:rPr>
            </w:pPr>
            <w:r>
              <w:rPr>
                <w:rFonts w:hint="eastAsia"/>
                <w:bCs/>
                <w:sz w:val="18"/>
                <w:szCs w:val="18"/>
              </w:rPr>
              <w:t>0.013</w:t>
            </w:r>
          </w:p>
        </w:tc>
        <w:tc>
          <w:tcPr>
            <w:tcW w:w="1181" w:type="dxa"/>
            <w:vAlign w:val="center"/>
          </w:tcPr>
          <w:p w14:paraId="2B748D94">
            <w:pPr>
              <w:spacing w:line="240" w:lineRule="auto"/>
              <w:jc w:val="center"/>
              <w:rPr>
                <w:bCs/>
                <w:sz w:val="18"/>
                <w:szCs w:val="18"/>
              </w:rPr>
            </w:pPr>
            <w:r>
              <w:rPr>
                <w:rFonts w:hint="eastAsia"/>
                <w:bCs/>
                <w:sz w:val="18"/>
                <w:szCs w:val="18"/>
              </w:rPr>
              <w:t>0.072</w:t>
            </w:r>
          </w:p>
        </w:tc>
        <w:tc>
          <w:tcPr>
            <w:tcW w:w="1180" w:type="dxa"/>
            <w:vAlign w:val="center"/>
          </w:tcPr>
          <w:p w14:paraId="21DFA2CD">
            <w:pPr>
              <w:spacing w:line="240" w:lineRule="auto"/>
              <w:jc w:val="center"/>
              <w:rPr>
                <w:bCs/>
                <w:sz w:val="18"/>
                <w:szCs w:val="18"/>
              </w:rPr>
            </w:pPr>
            <w:r>
              <w:rPr>
                <w:rFonts w:hint="eastAsia"/>
                <w:bCs/>
                <w:sz w:val="18"/>
                <w:szCs w:val="18"/>
              </w:rPr>
              <w:t>0.589</w:t>
            </w:r>
          </w:p>
        </w:tc>
        <w:tc>
          <w:tcPr>
            <w:tcW w:w="1181" w:type="dxa"/>
            <w:vAlign w:val="center"/>
          </w:tcPr>
          <w:p w14:paraId="0E891591">
            <w:pPr>
              <w:spacing w:line="240" w:lineRule="auto"/>
              <w:jc w:val="center"/>
              <w:rPr>
                <w:bCs/>
                <w:sz w:val="18"/>
                <w:szCs w:val="18"/>
              </w:rPr>
            </w:pPr>
            <w:r>
              <w:rPr>
                <w:rFonts w:hint="eastAsia"/>
                <w:bCs/>
                <w:sz w:val="18"/>
                <w:szCs w:val="18"/>
              </w:rPr>
              <w:t>1</w:t>
            </w:r>
          </w:p>
        </w:tc>
        <w:tc>
          <w:tcPr>
            <w:tcW w:w="1181" w:type="dxa"/>
            <w:vAlign w:val="center"/>
          </w:tcPr>
          <w:p w14:paraId="230364D7">
            <w:pPr>
              <w:spacing w:line="240" w:lineRule="auto"/>
              <w:jc w:val="center"/>
              <w:rPr>
                <w:bCs/>
                <w:sz w:val="18"/>
                <w:szCs w:val="18"/>
              </w:rPr>
            </w:pPr>
            <w:r>
              <w:rPr>
                <w:rFonts w:hint="eastAsia"/>
                <w:bCs/>
                <w:sz w:val="18"/>
                <w:szCs w:val="18"/>
              </w:rPr>
              <w:t>1</w:t>
            </w:r>
          </w:p>
        </w:tc>
      </w:tr>
      <w:tr w14:paraId="7E766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4B7964E4">
            <w:pPr>
              <w:spacing w:line="240" w:lineRule="auto"/>
              <w:jc w:val="center"/>
              <w:rPr>
                <w:bCs/>
                <w:sz w:val="18"/>
                <w:szCs w:val="18"/>
              </w:rPr>
            </w:pPr>
          </w:p>
        </w:tc>
        <w:tc>
          <w:tcPr>
            <w:tcW w:w="1180" w:type="dxa"/>
            <w:vAlign w:val="center"/>
          </w:tcPr>
          <w:p w14:paraId="600CFE6F">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144D2CA1">
            <w:pPr>
              <w:spacing w:line="240" w:lineRule="auto"/>
              <w:jc w:val="center"/>
              <w:rPr>
                <w:bCs/>
                <w:sz w:val="18"/>
                <w:szCs w:val="18"/>
              </w:rPr>
            </w:pPr>
            <w:r>
              <w:rPr>
                <w:rFonts w:hint="eastAsia"/>
                <w:bCs/>
                <w:sz w:val="18"/>
                <w:szCs w:val="18"/>
              </w:rPr>
              <w:t>0.009</w:t>
            </w:r>
          </w:p>
        </w:tc>
        <w:tc>
          <w:tcPr>
            <w:tcW w:w="1181" w:type="dxa"/>
            <w:vAlign w:val="center"/>
          </w:tcPr>
          <w:p w14:paraId="335F087C">
            <w:pPr>
              <w:spacing w:line="240" w:lineRule="auto"/>
              <w:jc w:val="center"/>
              <w:rPr>
                <w:bCs/>
                <w:sz w:val="18"/>
                <w:szCs w:val="18"/>
              </w:rPr>
            </w:pPr>
            <w:r>
              <w:rPr>
                <w:rFonts w:hint="eastAsia"/>
                <w:bCs/>
                <w:sz w:val="18"/>
                <w:szCs w:val="18"/>
              </w:rPr>
              <w:t>0.054</w:t>
            </w:r>
          </w:p>
        </w:tc>
        <w:tc>
          <w:tcPr>
            <w:tcW w:w="1180" w:type="dxa"/>
            <w:vAlign w:val="center"/>
          </w:tcPr>
          <w:p w14:paraId="29566A8B">
            <w:pPr>
              <w:spacing w:line="240" w:lineRule="auto"/>
              <w:jc w:val="center"/>
              <w:rPr>
                <w:bCs/>
                <w:sz w:val="18"/>
                <w:szCs w:val="18"/>
              </w:rPr>
            </w:pPr>
            <w:r>
              <w:rPr>
                <w:rFonts w:hint="eastAsia"/>
                <w:bCs/>
                <w:sz w:val="18"/>
                <w:szCs w:val="18"/>
              </w:rPr>
              <w:t>0.567</w:t>
            </w:r>
          </w:p>
        </w:tc>
        <w:tc>
          <w:tcPr>
            <w:tcW w:w="1181" w:type="dxa"/>
            <w:vAlign w:val="center"/>
          </w:tcPr>
          <w:p w14:paraId="03E626F6">
            <w:pPr>
              <w:spacing w:line="240" w:lineRule="auto"/>
              <w:jc w:val="center"/>
              <w:rPr>
                <w:bCs/>
                <w:sz w:val="18"/>
                <w:szCs w:val="18"/>
              </w:rPr>
            </w:pPr>
            <w:r>
              <w:rPr>
                <w:rFonts w:hint="eastAsia"/>
                <w:bCs/>
                <w:sz w:val="18"/>
                <w:szCs w:val="18"/>
              </w:rPr>
              <w:t>0.997</w:t>
            </w:r>
          </w:p>
        </w:tc>
        <w:tc>
          <w:tcPr>
            <w:tcW w:w="1181" w:type="dxa"/>
            <w:vAlign w:val="center"/>
          </w:tcPr>
          <w:p w14:paraId="35CE8159">
            <w:pPr>
              <w:spacing w:line="240" w:lineRule="auto"/>
              <w:jc w:val="center"/>
              <w:rPr>
                <w:bCs/>
                <w:sz w:val="18"/>
                <w:szCs w:val="18"/>
              </w:rPr>
            </w:pPr>
            <w:r>
              <w:rPr>
                <w:rFonts w:hint="eastAsia"/>
                <w:bCs/>
                <w:sz w:val="18"/>
                <w:szCs w:val="18"/>
              </w:rPr>
              <w:t>1</w:t>
            </w:r>
          </w:p>
        </w:tc>
      </w:tr>
      <w:tr w14:paraId="3AEBD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4750F60B">
            <w:pPr>
              <w:spacing w:line="240" w:lineRule="auto"/>
              <w:jc w:val="center"/>
              <w:rPr>
                <w:bCs/>
                <w:sz w:val="18"/>
                <w:szCs w:val="18"/>
              </w:rPr>
            </w:pPr>
            <w:r>
              <w:rPr>
                <w:bCs/>
                <w:sz w:val="18"/>
                <w:szCs w:val="18"/>
              </w:rPr>
              <w:t>2年</w:t>
            </w:r>
          </w:p>
        </w:tc>
        <w:tc>
          <w:tcPr>
            <w:tcW w:w="1180" w:type="dxa"/>
            <w:vAlign w:val="center"/>
          </w:tcPr>
          <w:p w14:paraId="7D9840EA">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7628C4DA">
            <w:pPr>
              <w:spacing w:line="240" w:lineRule="auto"/>
              <w:jc w:val="center"/>
              <w:rPr>
                <w:bCs/>
                <w:sz w:val="18"/>
                <w:szCs w:val="18"/>
              </w:rPr>
            </w:pPr>
            <w:r>
              <w:rPr>
                <w:rFonts w:hint="eastAsia"/>
                <w:bCs/>
                <w:sz w:val="18"/>
                <w:szCs w:val="18"/>
              </w:rPr>
              <w:t>0.04</w:t>
            </w:r>
          </w:p>
        </w:tc>
        <w:tc>
          <w:tcPr>
            <w:tcW w:w="1181" w:type="dxa"/>
            <w:vAlign w:val="center"/>
          </w:tcPr>
          <w:p w14:paraId="4482FCAA">
            <w:pPr>
              <w:spacing w:line="240" w:lineRule="auto"/>
              <w:jc w:val="center"/>
              <w:rPr>
                <w:bCs/>
                <w:sz w:val="18"/>
                <w:szCs w:val="18"/>
              </w:rPr>
            </w:pPr>
            <w:r>
              <w:rPr>
                <w:rFonts w:hint="eastAsia"/>
                <w:bCs/>
                <w:sz w:val="18"/>
                <w:szCs w:val="18"/>
              </w:rPr>
              <w:t>0.25</w:t>
            </w:r>
          </w:p>
        </w:tc>
        <w:tc>
          <w:tcPr>
            <w:tcW w:w="1180" w:type="dxa"/>
            <w:vAlign w:val="center"/>
          </w:tcPr>
          <w:p w14:paraId="410CA42B">
            <w:pPr>
              <w:spacing w:line="240" w:lineRule="auto"/>
              <w:jc w:val="center"/>
              <w:rPr>
                <w:bCs/>
                <w:sz w:val="18"/>
                <w:szCs w:val="18"/>
              </w:rPr>
            </w:pPr>
            <w:r>
              <w:rPr>
                <w:rFonts w:hint="eastAsia"/>
                <w:bCs/>
                <w:sz w:val="18"/>
                <w:szCs w:val="18"/>
              </w:rPr>
              <w:t>0.81</w:t>
            </w:r>
          </w:p>
        </w:tc>
        <w:tc>
          <w:tcPr>
            <w:tcW w:w="1181" w:type="dxa"/>
            <w:vAlign w:val="center"/>
          </w:tcPr>
          <w:p w14:paraId="5EE9BC9E">
            <w:pPr>
              <w:spacing w:line="240" w:lineRule="auto"/>
              <w:jc w:val="center"/>
              <w:rPr>
                <w:bCs/>
                <w:sz w:val="18"/>
                <w:szCs w:val="18"/>
              </w:rPr>
            </w:pPr>
            <w:r>
              <w:rPr>
                <w:rFonts w:hint="eastAsia"/>
                <w:bCs/>
                <w:sz w:val="18"/>
                <w:szCs w:val="18"/>
              </w:rPr>
              <w:t>1</w:t>
            </w:r>
          </w:p>
        </w:tc>
        <w:tc>
          <w:tcPr>
            <w:tcW w:w="1181" w:type="dxa"/>
            <w:vAlign w:val="center"/>
          </w:tcPr>
          <w:p w14:paraId="3156DC13">
            <w:pPr>
              <w:spacing w:line="240" w:lineRule="auto"/>
              <w:jc w:val="center"/>
              <w:rPr>
                <w:bCs/>
                <w:sz w:val="18"/>
                <w:szCs w:val="18"/>
              </w:rPr>
            </w:pPr>
            <w:r>
              <w:rPr>
                <w:rFonts w:hint="eastAsia"/>
                <w:bCs/>
                <w:sz w:val="18"/>
                <w:szCs w:val="18"/>
              </w:rPr>
              <w:t>1</w:t>
            </w:r>
          </w:p>
        </w:tc>
      </w:tr>
      <w:tr w14:paraId="74161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3166ADBF">
            <w:pPr>
              <w:spacing w:line="240" w:lineRule="auto"/>
              <w:jc w:val="center"/>
              <w:rPr>
                <w:bCs/>
                <w:sz w:val="18"/>
                <w:szCs w:val="18"/>
              </w:rPr>
            </w:pPr>
          </w:p>
        </w:tc>
        <w:tc>
          <w:tcPr>
            <w:tcW w:w="1180" w:type="dxa"/>
            <w:vAlign w:val="center"/>
          </w:tcPr>
          <w:p w14:paraId="3AB13E4E">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30B0B416">
            <w:pPr>
              <w:spacing w:line="240" w:lineRule="auto"/>
              <w:jc w:val="center"/>
              <w:rPr>
                <w:bCs/>
                <w:sz w:val="18"/>
                <w:szCs w:val="18"/>
              </w:rPr>
            </w:pPr>
            <w:r>
              <w:rPr>
                <w:rFonts w:hint="eastAsia"/>
                <w:bCs/>
                <w:sz w:val="18"/>
                <w:szCs w:val="18"/>
              </w:rPr>
              <w:t>0.022</w:t>
            </w:r>
          </w:p>
        </w:tc>
        <w:tc>
          <w:tcPr>
            <w:tcW w:w="1181" w:type="dxa"/>
            <w:vAlign w:val="center"/>
          </w:tcPr>
          <w:p w14:paraId="7B5D1F96">
            <w:pPr>
              <w:spacing w:line="240" w:lineRule="auto"/>
              <w:jc w:val="center"/>
              <w:rPr>
                <w:bCs/>
                <w:sz w:val="18"/>
                <w:szCs w:val="18"/>
              </w:rPr>
            </w:pPr>
            <w:r>
              <w:rPr>
                <w:rFonts w:hint="eastAsia"/>
                <w:bCs/>
                <w:sz w:val="18"/>
                <w:szCs w:val="18"/>
              </w:rPr>
              <w:t>0.125</w:t>
            </w:r>
          </w:p>
        </w:tc>
        <w:tc>
          <w:tcPr>
            <w:tcW w:w="1180" w:type="dxa"/>
            <w:vAlign w:val="center"/>
          </w:tcPr>
          <w:p w14:paraId="45182128">
            <w:pPr>
              <w:spacing w:line="240" w:lineRule="auto"/>
              <w:jc w:val="center"/>
              <w:rPr>
                <w:bCs/>
                <w:sz w:val="18"/>
                <w:szCs w:val="18"/>
              </w:rPr>
            </w:pPr>
            <w:r>
              <w:rPr>
                <w:rFonts w:hint="eastAsia"/>
                <w:bCs/>
                <w:sz w:val="18"/>
                <w:szCs w:val="18"/>
              </w:rPr>
              <w:t>0.654</w:t>
            </w:r>
          </w:p>
        </w:tc>
        <w:tc>
          <w:tcPr>
            <w:tcW w:w="1181" w:type="dxa"/>
            <w:vAlign w:val="center"/>
          </w:tcPr>
          <w:p w14:paraId="55A654A7">
            <w:pPr>
              <w:spacing w:line="240" w:lineRule="auto"/>
              <w:jc w:val="center"/>
              <w:rPr>
                <w:bCs/>
                <w:sz w:val="18"/>
                <w:szCs w:val="18"/>
              </w:rPr>
            </w:pPr>
            <w:r>
              <w:rPr>
                <w:rFonts w:hint="eastAsia"/>
                <w:bCs/>
                <w:sz w:val="18"/>
                <w:szCs w:val="18"/>
              </w:rPr>
              <w:t>1</w:t>
            </w:r>
          </w:p>
        </w:tc>
        <w:tc>
          <w:tcPr>
            <w:tcW w:w="1181" w:type="dxa"/>
            <w:vAlign w:val="center"/>
          </w:tcPr>
          <w:p w14:paraId="5B12F29A">
            <w:pPr>
              <w:spacing w:line="240" w:lineRule="auto"/>
              <w:jc w:val="center"/>
              <w:rPr>
                <w:bCs/>
                <w:sz w:val="18"/>
                <w:szCs w:val="18"/>
              </w:rPr>
            </w:pPr>
            <w:r>
              <w:rPr>
                <w:rFonts w:hint="eastAsia"/>
                <w:bCs/>
                <w:sz w:val="18"/>
                <w:szCs w:val="18"/>
              </w:rPr>
              <w:t>1</w:t>
            </w:r>
          </w:p>
        </w:tc>
      </w:tr>
      <w:tr w14:paraId="305E1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38D82895">
            <w:pPr>
              <w:spacing w:line="240" w:lineRule="auto"/>
              <w:jc w:val="center"/>
              <w:rPr>
                <w:bCs/>
                <w:sz w:val="18"/>
                <w:szCs w:val="18"/>
              </w:rPr>
            </w:pPr>
          </w:p>
        </w:tc>
        <w:tc>
          <w:tcPr>
            <w:tcW w:w="1180" w:type="dxa"/>
            <w:vAlign w:val="center"/>
          </w:tcPr>
          <w:p w14:paraId="14591BAA">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05A8DF9E">
            <w:pPr>
              <w:spacing w:line="240" w:lineRule="auto"/>
              <w:jc w:val="center"/>
              <w:rPr>
                <w:bCs/>
                <w:sz w:val="18"/>
                <w:szCs w:val="18"/>
              </w:rPr>
            </w:pPr>
            <w:r>
              <w:rPr>
                <w:rFonts w:hint="eastAsia"/>
                <w:bCs/>
                <w:sz w:val="18"/>
                <w:szCs w:val="18"/>
              </w:rPr>
              <w:t>0.014</w:t>
            </w:r>
          </w:p>
        </w:tc>
        <w:tc>
          <w:tcPr>
            <w:tcW w:w="1181" w:type="dxa"/>
            <w:vAlign w:val="center"/>
          </w:tcPr>
          <w:p w14:paraId="6B5887DD">
            <w:pPr>
              <w:spacing w:line="240" w:lineRule="auto"/>
              <w:jc w:val="center"/>
              <w:rPr>
                <w:bCs/>
                <w:sz w:val="18"/>
                <w:szCs w:val="18"/>
              </w:rPr>
            </w:pPr>
            <w:r>
              <w:rPr>
                <w:rFonts w:hint="eastAsia"/>
                <w:bCs/>
                <w:sz w:val="18"/>
                <w:szCs w:val="18"/>
              </w:rPr>
              <w:t>0.084</w:t>
            </w:r>
          </w:p>
        </w:tc>
        <w:tc>
          <w:tcPr>
            <w:tcW w:w="1180" w:type="dxa"/>
            <w:vAlign w:val="center"/>
          </w:tcPr>
          <w:p w14:paraId="3373EEFC">
            <w:pPr>
              <w:spacing w:line="240" w:lineRule="auto"/>
              <w:jc w:val="center"/>
              <w:rPr>
                <w:bCs/>
                <w:sz w:val="18"/>
                <w:szCs w:val="18"/>
              </w:rPr>
            </w:pPr>
            <w:r>
              <w:rPr>
                <w:rFonts w:hint="eastAsia"/>
                <w:bCs/>
                <w:sz w:val="18"/>
                <w:szCs w:val="18"/>
              </w:rPr>
              <w:t>0.603</w:t>
            </w:r>
          </w:p>
        </w:tc>
        <w:tc>
          <w:tcPr>
            <w:tcW w:w="1181" w:type="dxa"/>
            <w:vAlign w:val="center"/>
          </w:tcPr>
          <w:p w14:paraId="681EEF83">
            <w:pPr>
              <w:spacing w:line="240" w:lineRule="auto"/>
              <w:jc w:val="center"/>
              <w:rPr>
                <w:bCs/>
                <w:sz w:val="18"/>
                <w:szCs w:val="18"/>
              </w:rPr>
            </w:pPr>
            <w:r>
              <w:rPr>
                <w:rFonts w:hint="eastAsia"/>
                <w:bCs/>
                <w:sz w:val="18"/>
                <w:szCs w:val="18"/>
              </w:rPr>
              <w:t>1</w:t>
            </w:r>
          </w:p>
        </w:tc>
        <w:tc>
          <w:tcPr>
            <w:tcW w:w="1181" w:type="dxa"/>
            <w:vAlign w:val="center"/>
          </w:tcPr>
          <w:p w14:paraId="73768AD9">
            <w:pPr>
              <w:spacing w:line="240" w:lineRule="auto"/>
              <w:jc w:val="center"/>
              <w:rPr>
                <w:bCs/>
                <w:sz w:val="18"/>
                <w:szCs w:val="18"/>
              </w:rPr>
            </w:pPr>
            <w:r>
              <w:rPr>
                <w:rFonts w:hint="eastAsia"/>
                <w:bCs/>
                <w:sz w:val="18"/>
                <w:szCs w:val="18"/>
              </w:rPr>
              <w:t>1</w:t>
            </w:r>
          </w:p>
        </w:tc>
      </w:tr>
      <w:tr w14:paraId="473E1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0BC63997">
            <w:pPr>
              <w:spacing w:line="240" w:lineRule="auto"/>
              <w:jc w:val="center"/>
              <w:rPr>
                <w:bCs/>
                <w:sz w:val="18"/>
                <w:szCs w:val="18"/>
              </w:rPr>
            </w:pPr>
          </w:p>
        </w:tc>
        <w:tc>
          <w:tcPr>
            <w:tcW w:w="1180" w:type="dxa"/>
            <w:vAlign w:val="center"/>
          </w:tcPr>
          <w:p w14:paraId="79DF2208">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54FD03D6">
            <w:pPr>
              <w:spacing w:line="240" w:lineRule="auto"/>
              <w:jc w:val="center"/>
              <w:rPr>
                <w:bCs/>
                <w:sz w:val="18"/>
                <w:szCs w:val="18"/>
              </w:rPr>
            </w:pPr>
            <w:r>
              <w:rPr>
                <w:rFonts w:hint="eastAsia"/>
                <w:bCs/>
                <w:sz w:val="18"/>
                <w:szCs w:val="18"/>
              </w:rPr>
              <w:t>0</w:t>
            </w:r>
            <w:r>
              <w:rPr>
                <w:bCs/>
                <w:sz w:val="18"/>
                <w:szCs w:val="18"/>
              </w:rPr>
              <w:t>.011</w:t>
            </w:r>
          </w:p>
        </w:tc>
        <w:tc>
          <w:tcPr>
            <w:tcW w:w="1181" w:type="dxa"/>
            <w:vAlign w:val="center"/>
          </w:tcPr>
          <w:p w14:paraId="72A6C3A0">
            <w:pPr>
              <w:spacing w:line="240" w:lineRule="auto"/>
              <w:jc w:val="center"/>
              <w:rPr>
                <w:bCs/>
                <w:sz w:val="18"/>
                <w:szCs w:val="18"/>
              </w:rPr>
            </w:pPr>
            <w:r>
              <w:rPr>
                <w:rFonts w:hint="eastAsia"/>
                <w:bCs/>
                <w:sz w:val="18"/>
                <w:szCs w:val="18"/>
              </w:rPr>
              <w:t>0.063</w:t>
            </w:r>
          </w:p>
        </w:tc>
        <w:tc>
          <w:tcPr>
            <w:tcW w:w="1180" w:type="dxa"/>
            <w:vAlign w:val="center"/>
          </w:tcPr>
          <w:p w14:paraId="25ED03F3">
            <w:pPr>
              <w:spacing w:line="240" w:lineRule="auto"/>
              <w:jc w:val="center"/>
              <w:rPr>
                <w:bCs/>
                <w:sz w:val="18"/>
                <w:szCs w:val="18"/>
              </w:rPr>
            </w:pPr>
            <w:r>
              <w:rPr>
                <w:rFonts w:hint="eastAsia"/>
                <w:bCs/>
                <w:sz w:val="18"/>
                <w:szCs w:val="18"/>
              </w:rPr>
              <w:t>0.577</w:t>
            </w:r>
          </w:p>
        </w:tc>
        <w:tc>
          <w:tcPr>
            <w:tcW w:w="1181" w:type="dxa"/>
            <w:vAlign w:val="center"/>
          </w:tcPr>
          <w:p w14:paraId="3488BFC7">
            <w:pPr>
              <w:spacing w:line="240" w:lineRule="auto"/>
              <w:jc w:val="center"/>
              <w:rPr>
                <w:bCs/>
                <w:sz w:val="18"/>
                <w:szCs w:val="18"/>
              </w:rPr>
            </w:pPr>
            <w:r>
              <w:rPr>
                <w:rFonts w:hint="eastAsia"/>
                <w:bCs/>
                <w:sz w:val="18"/>
                <w:szCs w:val="18"/>
              </w:rPr>
              <w:t>0.999</w:t>
            </w:r>
          </w:p>
        </w:tc>
        <w:tc>
          <w:tcPr>
            <w:tcW w:w="1181" w:type="dxa"/>
            <w:vAlign w:val="center"/>
          </w:tcPr>
          <w:p w14:paraId="01D02EE7">
            <w:pPr>
              <w:spacing w:line="240" w:lineRule="auto"/>
              <w:jc w:val="center"/>
              <w:rPr>
                <w:bCs/>
                <w:sz w:val="18"/>
                <w:szCs w:val="18"/>
              </w:rPr>
            </w:pPr>
            <w:r>
              <w:rPr>
                <w:rFonts w:hint="eastAsia"/>
                <w:bCs/>
                <w:sz w:val="18"/>
                <w:szCs w:val="18"/>
              </w:rPr>
              <w:t>1</w:t>
            </w:r>
          </w:p>
        </w:tc>
      </w:tr>
      <w:tr w14:paraId="5AAC3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39E3D1E9">
            <w:pPr>
              <w:spacing w:line="240" w:lineRule="auto"/>
              <w:jc w:val="center"/>
              <w:rPr>
                <w:bCs/>
                <w:sz w:val="18"/>
                <w:szCs w:val="18"/>
              </w:rPr>
            </w:pPr>
            <w:r>
              <w:rPr>
                <w:bCs/>
                <w:sz w:val="18"/>
                <w:szCs w:val="18"/>
              </w:rPr>
              <w:t>2年半</w:t>
            </w:r>
          </w:p>
        </w:tc>
        <w:tc>
          <w:tcPr>
            <w:tcW w:w="1180" w:type="dxa"/>
            <w:vAlign w:val="center"/>
          </w:tcPr>
          <w:p w14:paraId="39DDDCCE">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5B26FDE7">
            <w:pPr>
              <w:spacing w:line="240" w:lineRule="auto"/>
              <w:jc w:val="center"/>
              <w:rPr>
                <w:bCs/>
                <w:sz w:val="18"/>
                <w:szCs w:val="18"/>
              </w:rPr>
            </w:pPr>
            <w:r>
              <w:rPr>
                <w:rFonts w:hint="eastAsia"/>
                <w:bCs/>
                <w:sz w:val="18"/>
                <w:szCs w:val="18"/>
              </w:rPr>
              <w:t>0.05</w:t>
            </w:r>
          </w:p>
        </w:tc>
        <w:tc>
          <w:tcPr>
            <w:tcW w:w="1181" w:type="dxa"/>
            <w:vAlign w:val="center"/>
          </w:tcPr>
          <w:p w14:paraId="35F1C3D4">
            <w:pPr>
              <w:spacing w:line="240" w:lineRule="auto"/>
              <w:jc w:val="center"/>
              <w:rPr>
                <w:bCs/>
                <w:sz w:val="18"/>
                <w:szCs w:val="18"/>
              </w:rPr>
            </w:pPr>
            <w:r>
              <w:rPr>
                <w:rFonts w:hint="eastAsia"/>
                <w:bCs/>
                <w:sz w:val="18"/>
                <w:szCs w:val="18"/>
              </w:rPr>
              <w:t>0.28</w:t>
            </w:r>
          </w:p>
        </w:tc>
        <w:tc>
          <w:tcPr>
            <w:tcW w:w="1180" w:type="dxa"/>
            <w:vAlign w:val="center"/>
          </w:tcPr>
          <w:p w14:paraId="6956B006">
            <w:pPr>
              <w:spacing w:line="240" w:lineRule="auto"/>
              <w:jc w:val="center"/>
              <w:rPr>
                <w:bCs/>
                <w:sz w:val="18"/>
                <w:szCs w:val="18"/>
              </w:rPr>
            </w:pPr>
            <w:r>
              <w:rPr>
                <w:rFonts w:hint="eastAsia"/>
                <w:bCs/>
                <w:sz w:val="18"/>
                <w:szCs w:val="18"/>
              </w:rPr>
              <w:t>0.84</w:t>
            </w:r>
          </w:p>
        </w:tc>
        <w:tc>
          <w:tcPr>
            <w:tcW w:w="1181" w:type="dxa"/>
            <w:vAlign w:val="center"/>
          </w:tcPr>
          <w:p w14:paraId="2199A169">
            <w:pPr>
              <w:spacing w:line="240" w:lineRule="auto"/>
              <w:jc w:val="center"/>
              <w:rPr>
                <w:bCs/>
                <w:sz w:val="18"/>
                <w:szCs w:val="18"/>
              </w:rPr>
            </w:pPr>
            <w:r>
              <w:rPr>
                <w:rFonts w:hint="eastAsia"/>
                <w:bCs/>
                <w:sz w:val="18"/>
                <w:szCs w:val="18"/>
              </w:rPr>
              <w:t>1</w:t>
            </w:r>
          </w:p>
        </w:tc>
        <w:tc>
          <w:tcPr>
            <w:tcW w:w="1181" w:type="dxa"/>
            <w:vAlign w:val="center"/>
          </w:tcPr>
          <w:p w14:paraId="0602228E">
            <w:pPr>
              <w:spacing w:line="240" w:lineRule="auto"/>
              <w:jc w:val="center"/>
              <w:rPr>
                <w:bCs/>
                <w:sz w:val="18"/>
                <w:szCs w:val="18"/>
              </w:rPr>
            </w:pPr>
            <w:r>
              <w:rPr>
                <w:rFonts w:hint="eastAsia"/>
                <w:bCs/>
                <w:sz w:val="18"/>
                <w:szCs w:val="18"/>
              </w:rPr>
              <w:t>1</w:t>
            </w:r>
          </w:p>
        </w:tc>
      </w:tr>
      <w:tr w14:paraId="5DDEF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49DF122E">
            <w:pPr>
              <w:spacing w:line="240" w:lineRule="auto"/>
              <w:jc w:val="center"/>
              <w:rPr>
                <w:bCs/>
                <w:sz w:val="18"/>
                <w:szCs w:val="18"/>
              </w:rPr>
            </w:pPr>
          </w:p>
        </w:tc>
        <w:tc>
          <w:tcPr>
            <w:tcW w:w="1180" w:type="dxa"/>
            <w:vAlign w:val="center"/>
          </w:tcPr>
          <w:p w14:paraId="2CD43DA1">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07D89F42">
            <w:pPr>
              <w:spacing w:line="240" w:lineRule="auto"/>
              <w:jc w:val="center"/>
              <w:rPr>
                <w:bCs/>
                <w:sz w:val="18"/>
                <w:szCs w:val="18"/>
              </w:rPr>
            </w:pPr>
            <w:r>
              <w:rPr>
                <w:rFonts w:hint="eastAsia"/>
                <w:bCs/>
                <w:sz w:val="18"/>
                <w:szCs w:val="18"/>
              </w:rPr>
              <w:t>0.024</w:t>
            </w:r>
          </w:p>
        </w:tc>
        <w:tc>
          <w:tcPr>
            <w:tcW w:w="1181" w:type="dxa"/>
            <w:vAlign w:val="center"/>
          </w:tcPr>
          <w:p w14:paraId="379EBC30">
            <w:pPr>
              <w:spacing w:line="240" w:lineRule="auto"/>
              <w:jc w:val="center"/>
              <w:rPr>
                <w:bCs/>
                <w:sz w:val="18"/>
                <w:szCs w:val="18"/>
              </w:rPr>
            </w:pPr>
            <w:r>
              <w:rPr>
                <w:rFonts w:hint="eastAsia"/>
                <w:bCs/>
                <w:sz w:val="18"/>
                <w:szCs w:val="18"/>
              </w:rPr>
              <w:t>0.14</w:t>
            </w:r>
          </w:p>
        </w:tc>
        <w:tc>
          <w:tcPr>
            <w:tcW w:w="1180" w:type="dxa"/>
            <w:vAlign w:val="center"/>
          </w:tcPr>
          <w:p w14:paraId="0270DBD3">
            <w:pPr>
              <w:spacing w:line="240" w:lineRule="auto"/>
              <w:jc w:val="center"/>
              <w:rPr>
                <w:bCs/>
                <w:sz w:val="18"/>
                <w:szCs w:val="18"/>
              </w:rPr>
            </w:pPr>
            <w:r>
              <w:rPr>
                <w:rFonts w:hint="eastAsia"/>
                <w:bCs/>
                <w:sz w:val="18"/>
                <w:szCs w:val="18"/>
              </w:rPr>
              <w:t>0.672</w:t>
            </w:r>
          </w:p>
        </w:tc>
        <w:tc>
          <w:tcPr>
            <w:tcW w:w="1181" w:type="dxa"/>
            <w:vAlign w:val="center"/>
          </w:tcPr>
          <w:p w14:paraId="46A1EAF2">
            <w:pPr>
              <w:spacing w:line="240" w:lineRule="auto"/>
              <w:jc w:val="center"/>
              <w:rPr>
                <w:bCs/>
                <w:sz w:val="18"/>
                <w:szCs w:val="18"/>
              </w:rPr>
            </w:pPr>
            <w:r>
              <w:rPr>
                <w:rFonts w:hint="eastAsia"/>
                <w:bCs/>
                <w:sz w:val="18"/>
                <w:szCs w:val="18"/>
              </w:rPr>
              <w:t>1</w:t>
            </w:r>
          </w:p>
        </w:tc>
        <w:tc>
          <w:tcPr>
            <w:tcW w:w="1181" w:type="dxa"/>
            <w:vAlign w:val="center"/>
          </w:tcPr>
          <w:p w14:paraId="10EE202B">
            <w:pPr>
              <w:spacing w:line="240" w:lineRule="auto"/>
              <w:jc w:val="center"/>
              <w:rPr>
                <w:bCs/>
                <w:sz w:val="18"/>
                <w:szCs w:val="18"/>
              </w:rPr>
            </w:pPr>
            <w:r>
              <w:rPr>
                <w:rFonts w:hint="eastAsia"/>
                <w:bCs/>
                <w:sz w:val="18"/>
                <w:szCs w:val="18"/>
              </w:rPr>
              <w:t>1</w:t>
            </w:r>
          </w:p>
        </w:tc>
      </w:tr>
      <w:tr w14:paraId="45D96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54E459B0">
            <w:pPr>
              <w:spacing w:line="240" w:lineRule="auto"/>
              <w:jc w:val="center"/>
              <w:rPr>
                <w:bCs/>
                <w:sz w:val="18"/>
                <w:szCs w:val="18"/>
              </w:rPr>
            </w:pPr>
          </w:p>
        </w:tc>
        <w:tc>
          <w:tcPr>
            <w:tcW w:w="1180" w:type="dxa"/>
            <w:vAlign w:val="center"/>
          </w:tcPr>
          <w:p w14:paraId="6E78DE65">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736533F0">
            <w:pPr>
              <w:spacing w:line="240" w:lineRule="auto"/>
              <w:jc w:val="center"/>
              <w:rPr>
                <w:bCs/>
                <w:sz w:val="18"/>
                <w:szCs w:val="18"/>
              </w:rPr>
            </w:pPr>
            <w:r>
              <w:rPr>
                <w:rFonts w:hint="eastAsia"/>
                <w:bCs/>
                <w:sz w:val="18"/>
                <w:szCs w:val="18"/>
              </w:rPr>
              <w:t>0.016</w:t>
            </w:r>
          </w:p>
        </w:tc>
        <w:tc>
          <w:tcPr>
            <w:tcW w:w="1181" w:type="dxa"/>
            <w:vAlign w:val="center"/>
          </w:tcPr>
          <w:p w14:paraId="0CAEB8D1">
            <w:pPr>
              <w:spacing w:line="240" w:lineRule="auto"/>
              <w:jc w:val="center"/>
              <w:rPr>
                <w:bCs/>
                <w:sz w:val="18"/>
                <w:szCs w:val="18"/>
              </w:rPr>
            </w:pPr>
            <w:r>
              <w:rPr>
                <w:rFonts w:hint="eastAsia"/>
                <w:bCs/>
                <w:sz w:val="18"/>
                <w:szCs w:val="18"/>
              </w:rPr>
              <w:t>0.094</w:t>
            </w:r>
          </w:p>
        </w:tc>
        <w:tc>
          <w:tcPr>
            <w:tcW w:w="1180" w:type="dxa"/>
            <w:vAlign w:val="center"/>
          </w:tcPr>
          <w:p w14:paraId="03E64A1D">
            <w:pPr>
              <w:spacing w:line="240" w:lineRule="auto"/>
              <w:jc w:val="center"/>
              <w:rPr>
                <w:bCs/>
                <w:sz w:val="18"/>
                <w:szCs w:val="18"/>
              </w:rPr>
            </w:pPr>
            <w:r>
              <w:rPr>
                <w:rFonts w:hint="eastAsia"/>
                <w:bCs/>
                <w:sz w:val="18"/>
                <w:szCs w:val="18"/>
              </w:rPr>
              <w:t>0.615</w:t>
            </w:r>
          </w:p>
        </w:tc>
        <w:tc>
          <w:tcPr>
            <w:tcW w:w="1181" w:type="dxa"/>
            <w:vAlign w:val="center"/>
          </w:tcPr>
          <w:p w14:paraId="716547F3">
            <w:pPr>
              <w:spacing w:line="240" w:lineRule="auto"/>
              <w:jc w:val="center"/>
              <w:rPr>
                <w:bCs/>
                <w:sz w:val="18"/>
                <w:szCs w:val="18"/>
              </w:rPr>
            </w:pPr>
            <w:r>
              <w:rPr>
                <w:rFonts w:hint="eastAsia"/>
                <w:bCs/>
                <w:sz w:val="18"/>
                <w:szCs w:val="18"/>
              </w:rPr>
              <w:t>1</w:t>
            </w:r>
          </w:p>
        </w:tc>
        <w:tc>
          <w:tcPr>
            <w:tcW w:w="1181" w:type="dxa"/>
            <w:vAlign w:val="center"/>
          </w:tcPr>
          <w:p w14:paraId="45F59B29">
            <w:pPr>
              <w:spacing w:line="240" w:lineRule="auto"/>
              <w:jc w:val="center"/>
              <w:rPr>
                <w:bCs/>
                <w:sz w:val="18"/>
                <w:szCs w:val="18"/>
              </w:rPr>
            </w:pPr>
            <w:r>
              <w:rPr>
                <w:rFonts w:hint="eastAsia"/>
                <w:bCs/>
                <w:sz w:val="18"/>
                <w:szCs w:val="18"/>
              </w:rPr>
              <w:t>1</w:t>
            </w:r>
          </w:p>
        </w:tc>
      </w:tr>
      <w:tr w14:paraId="6C910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vAlign w:val="center"/>
          </w:tcPr>
          <w:p w14:paraId="606AC436">
            <w:pPr>
              <w:spacing w:line="240" w:lineRule="auto"/>
              <w:jc w:val="center"/>
              <w:rPr>
                <w:bCs/>
                <w:sz w:val="18"/>
                <w:szCs w:val="18"/>
              </w:rPr>
            </w:pPr>
          </w:p>
        </w:tc>
        <w:tc>
          <w:tcPr>
            <w:tcW w:w="1180" w:type="dxa"/>
            <w:vAlign w:val="center"/>
          </w:tcPr>
          <w:p w14:paraId="327A40C7">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62095932">
            <w:pPr>
              <w:spacing w:line="240" w:lineRule="auto"/>
              <w:jc w:val="center"/>
              <w:rPr>
                <w:bCs/>
                <w:sz w:val="18"/>
                <w:szCs w:val="18"/>
              </w:rPr>
            </w:pPr>
            <w:r>
              <w:rPr>
                <w:rFonts w:hint="eastAsia"/>
                <w:bCs/>
                <w:sz w:val="18"/>
                <w:szCs w:val="18"/>
              </w:rPr>
              <w:t>0.012</w:t>
            </w:r>
          </w:p>
        </w:tc>
        <w:tc>
          <w:tcPr>
            <w:tcW w:w="1181" w:type="dxa"/>
            <w:vAlign w:val="center"/>
          </w:tcPr>
          <w:p w14:paraId="1913FC6F">
            <w:pPr>
              <w:spacing w:line="240" w:lineRule="auto"/>
              <w:jc w:val="center"/>
              <w:rPr>
                <w:bCs/>
                <w:sz w:val="18"/>
                <w:szCs w:val="18"/>
              </w:rPr>
            </w:pPr>
            <w:r>
              <w:rPr>
                <w:rFonts w:hint="eastAsia"/>
                <w:bCs/>
                <w:sz w:val="18"/>
                <w:szCs w:val="18"/>
              </w:rPr>
              <w:t>0.07</w:t>
            </w:r>
          </w:p>
        </w:tc>
        <w:tc>
          <w:tcPr>
            <w:tcW w:w="1180" w:type="dxa"/>
            <w:vAlign w:val="center"/>
          </w:tcPr>
          <w:p w14:paraId="31BD317F">
            <w:pPr>
              <w:spacing w:line="240" w:lineRule="auto"/>
              <w:jc w:val="center"/>
              <w:rPr>
                <w:bCs/>
                <w:sz w:val="18"/>
                <w:szCs w:val="18"/>
              </w:rPr>
            </w:pPr>
            <w:r>
              <w:rPr>
                <w:rFonts w:hint="eastAsia"/>
                <w:bCs/>
                <w:sz w:val="18"/>
                <w:szCs w:val="18"/>
              </w:rPr>
              <w:t>0.586</w:t>
            </w:r>
          </w:p>
        </w:tc>
        <w:tc>
          <w:tcPr>
            <w:tcW w:w="1181" w:type="dxa"/>
            <w:vAlign w:val="center"/>
          </w:tcPr>
          <w:p w14:paraId="1AE8D264">
            <w:pPr>
              <w:spacing w:line="240" w:lineRule="auto"/>
              <w:jc w:val="center"/>
              <w:rPr>
                <w:bCs/>
                <w:sz w:val="18"/>
                <w:szCs w:val="18"/>
              </w:rPr>
            </w:pPr>
            <w:r>
              <w:rPr>
                <w:rFonts w:hint="eastAsia"/>
                <w:bCs/>
                <w:sz w:val="18"/>
                <w:szCs w:val="18"/>
              </w:rPr>
              <w:t>1</w:t>
            </w:r>
          </w:p>
        </w:tc>
        <w:tc>
          <w:tcPr>
            <w:tcW w:w="1181" w:type="dxa"/>
            <w:vAlign w:val="center"/>
          </w:tcPr>
          <w:p w14:paraId="3A7F032F">
            <w:pPr>
              <w:spacing w:line="240" w:lineRule="auto"/>
              <w:jc w:val="center"/>
              <w:rPr>
                <w:bCs/>
                <w:sz w:val="18"/>
                <w:szCs w:val="18"/>
              </w:rPr>
            </w:pPr>
            <w:r>
              <w:rPr>
                <w:rFonts w:hint="eastAsia"/>
                <w:bCs/>
                <w:sz w:val="18"/>
                <w:szCs w:val="18"/>
              </w:rPr>
              <w:t>1</w:t>
            </w:r>
          </w:p>
        </w:tc>
      </w:tr>
      <w:tr w14:paraId="0668D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242C6D5E">
            <w:pPr>
              <w:spacing w:line="240" w:lineRule="auto"/>
              <w:jc w:val="center"/>
              <w:rPr>
                <w:bCs/>
                <w:sz w:val="18"/>
                <w:szCs w:val="18"/>
              </w:rPr>
            </w:pPr>
            <w:r>
              <w:rPr>
                <w:bCs/>
                <w:sz w:val="18"/>
                <w:szCs w:val="18"/>
              </w:rPr>
              <w:t>3年</w:t>
            </w:r>
          </w:p>
        </w:tc>
        <w:tc>
          <w:tcPr>
            <w:tcW w:w="1180" w:type="dxa"/>
            <w:vAlign w:val="center"/>
          </w:tcPr>
          <w:p w14:paraId="7A132CDE">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7208A708">
            <w:pPr>
              <w:spacing w:line="240" w:lineRule="auto"/>
              <w:jc w:val="center"/>
              <w:rPr>
                <w:bCs/>
                <w:sz w:val="18"/>
                <w:szCs w:val="18"/>
              </w:rPr>
            </w:pPr>
            <w:r>
              <w:rPr>
                <w:rFonts w:hint="eastAsia"/>
                <w:bCs/>
                <w:sz w:val="18"/>
                <w:szCs w:val="18"/>
              </w:rPr>
              <w:t>0.05</w:t>
            </w:r>
          </w:p>
        </w:tc>
        <w:tc>
          <w:tcPr>
            <w:tcW w:w="1181" w:type="dxa"/>
            <w:vAlign w:val="center"/>
          </w:tcPr>
          <w:p w14:paraId="33D426F9">
            <w:pPr>
              <w:spacing w:line="240" w:lineRule="auto"/>
              <w:jc w:val="center"/>
              <w:rPr>
                <w:bCs/>
                <w:sz w:val="18"/>
                <w:szCs w:val="18"/>
              </w:rPr>
            </w:pPr>
            <w:r>
              <w:rPr>
                <w:rFonts w:hint="eastAsia"/>
                <w:bCs/>
                <w:sz w:val="18"/>
                <w:szCs w:val="18"/>
              </w:rPr>
              <w:t>0.31</w:t>
            </w:r>
          </w:p>
        </w:tc>
        <w:tc>
          <w:tcPr>
            <w:tcW w:w="1180" w:type="dxa"/>
            <w:vAlign w:val="center"/>
          </w:tcPr>
          <w:p w14:paraId="2A019F1A">
            <w:pPr>
              <w:spacing w:line="240" w:lineRule="auto"/>
              <w:jc w:val="center"/>
              <w:rPr>
                <w:bCs/>
                <w:sz w:val="18"/>
                <w:szCs w:val="18"/>
              </w:rPr>
            </w:pPr>
            <w:r>
              <w:rPr>
                <w:rFonts w:hint="eastAsia"/>
                <w:bCs/>
                <w:sz w:val="18"/>
                <w:szCs w:val="18"/>
              </w:rPr>
              <w:t>0.87</w:t>
            </w:r>
          </w:p>
        </w:tc>
        <w:tc>
          <w:tcPr>
            <w:tcW w:w="1181" w:type="dxa"/>
            <w:vAlign w:val="center"/>
          </w:tcPr>
          <w:p w14:paraId="1AAD0604">
            <w:pPr>
              <w:spacing w:line="240" w:lineRule="auto"/>
              <w:jc w:val="center"/>
              <w:rPr>
                <w:bCs/>
                <w:sz w:val="18"/>
                <w:szCs w:val="18"/>
              </w:rPr>
            </w:pPr>
            <w:r>
              <w:rPr>
                <w:rFonts w:hint="eastAsia"/>
                <w:bCs/>
                <w:sz w:val="18"/>
                <w:szCs w:val="18"/>
              </w:rPr>
              <w:t>1</w:t>
            </w:r>
          </w:p>
        </w:tc>
        <w:tc>
          <w:tcPr>
            <w:tcW w:w="1181" w:type="dxa"/>
            <w:vAlign w:val="center"/>
          </w:tcPr>
          <w:p w14:paraId="10DA997F">
            <w:pPr>
              <w:spacing w:line="240" w:lineRule="auto"/>
              <w:jc w:val="center"/>
              <w:rPr>
                <w:bCs/>
                <w:sz w:val="18"/>
                <w:szCs w:val="18"/>
              </w:rPr>
            </w:pPr>
            <w:r>
              <w:rPr>
                <w:rFonts w:hint="eastAsia"/>
                <w:bCs/>
                <w:sz w:val="18"/>
                <w:szCs w:val="18"/>
              </w:rPr>
              <w:t>1</w:t>
            </w:r>
          </w:p>
        </w:tc>
      </w:tr>
      <w:tr w14:paraId="28F19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18D00EC2">
            <w:pPr>
              <w:spacing w:line="240" w:lineRule="auto"/>
              <w:jc w:val="center"/>
              <w:rPr>
                <w:bCs/>
                <w:sz w:val="18"/>
                <w:szCs w:val="18"/>
              </w:rPr>
            </w:pPr>
          </w:p>
        </w:tc>
        <w:tc>
          <w:tcPr>
            <w:tcW w:w="1180" w:type="dxa"/>
            <w:vAlign w:val="center"/>
          </w:tcPr>
          <w:p w14:paraId="0EBE0D08">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2BD2B633">
            <w:pPr>
              <w:spacing w:line="240" w:lineRule="auto"/>
              <w:jc w:val="center"/>
              <w:rPr>
                <w:bCs/>
                <w:sz w:val="18"/>
                <w:szCs w:val="18"/>
              </w:rPr>
            </w:pPr>
            <w:r>
              <w:rPr>
                <w:rFonts w:hint="eastAsia"/>
                <w:bCs/>
                <w:sz w:val="18"/>
                <w:szCs w:val="18"/>
              </w:rPr>
              <w:t>0.027</w:t>
            </w:r>
          </w:p>
        </w:tc>
        <w:tc>
          <w:tcPr>
            <w:tcW w:w="1181" w:type="dxa"/>
            <w:vAlign w:val="center"/>
          </w:tcPr>
          <w:p w14:paraId="48E9254E">
            <w:pPr>
              <w:spacing w:line="240" w:lineRule="auto"/>
              <w:jc w:val="center"/>
              <w:rPr>
                <w:bCs/>
                <w:sz w:val="18"/>
                <w:szCs w:val="18"/>
              </w:rPr>
            </w:pPr>
            <w:r>
              <w:rPr>
                <w:rFonts w:hint="eastAsia"/>
                <w:bCs/>
                <w:sz w:val="18"/>
                <w:szCs w:val="18"/>
              </w:rPr>
              <w:t>0.154</w:t>
            </w:r>
          </w:p>
        </w:tc>
        <w:tc>
          <w:tcPr>
            <w:tcW w:w="1180" w:type="dxa"/>
            <w:vAlign w:val="center"/>
          </w:tcPr>
          <w:p w14:paraId="251FC1C7">
            <w:pPr>
              <w:spacing w:line="240" w:lineRule="auto"/>
              <w:jc w:val="center"/>
              <w:rPr>
                <w:bCs/>
                <w:sz w:val="18"/>
                <w:szCs w:val="18"/>
              </w:rPr>
            </w:pPr>
            <w:r>
              <w:rPr>
                <w:rFonts w:hint="eastAsia"/>
                <w:bCs/>
                <w:sz w:val="18"/>
                <w:szCs w:val="18"/>
              </w:rPr>
              <w:t>0.689</w:t>
            </w:r>
          </w:p>
        </w:tc>
        <w:tc>
          <w:tcPr>
            <w:tcW w:w="1181" w:type="dxa"/>
            <w:vAlign w:val="center"/>
          </w:tcPr>
          <w:p w14:paraId="0C333620">
            <w:pPr>
              <w:spacing w:line="240" w:lineRule="auto"/>
              <w:jc w:val="center"/>
              <w:rPr>
                <w:bCs/>
                <w:sz w:val="18"/>
                <w:szCs w:val="18"/>
              </w:rPr>
            </w:pPr>
            <w:r>
              <w:rPr>
                <w:rFonts w:hint="eastAsia"/>
                <w:bCs/>
                <w:sz w:val="18"/>
                <w:szCs w:val="18"/>
              </w:rPr>
              <w:t>1</w:t>
            </w:r>
          </w:p>
        </w:tc>
        <w:tc>
          <w:tcPr>
            <w:tcW w:w="1181" w:type="dxa"/>
            <w:vAlign w:val="center"/>
          </w:tcPr>
          <w:p w14:paraId="710FC0FD">
            <w:pPr>
              <w:spacing w:line="240" w:lineRule="auto"/>
              <w:jc w:val="center"/>
              <w:rPr>
                <w:bCs/>
                <w:sz w:val="18"/>
                <w:szCs w:val="18"/>
              </w:rPr>
            </w:pPr>
            <w:r>
              <w:rPr>
                <w:rFonts w:hint="eastAsia"/>
                <w:bCs/>
                <w:sz w:val="18"/>
                <w:szCs w:val="18"/>
              </w:rPr>
              <w:t>1</w:t>
            </w:r>
          </w:p>
        </w:tc>
      </w:tr>
      <w:tr w14:paraId="48E5F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3C8AF9BF">
            <w:pPr>
              <w:spacing w:line="240" w:lineRule="auto"/>
              <w:jc w:val="center"/>
              <w:rPr>
                <w:bCs/>
                <w:sz w:val="18"/>
                <w:szCs w:val="18"/>
              </w:rPr>
            </w:pPr>
          </w:p>
        </w:tc>
        <w:tc>
          <w:tcPr>
            <w:tcW w:w="1180" w:type="dxa"/>
            <w:vAlign w:val="center"/>
          </w:tcPr>
          <w:p w14:paraId="083B7730">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739C2717">
            <w:pPr>
              <w:spacing w:line="240" w:lineRule="auto"/>
              <w:jc w:val="center"/>
              <w:rPr>
                <w:bCs/>
                <w:sz w:val="18"/>
                <w:szCs w:val="18"/>
              </w:rPr>
            </w:pPr>
            <w:r>
              <w:rPr>
                <w:rFonts w:hint="eastAsia"/>
                <w:bCs/>
                <w:sz w:val="18"/>
                <w:szCs w:val="18"/>
              </w:rPr>
              <w:t>0.018</w:t>
            </w:r>
          </w:p>
        </w:tc>
        <w:tc>
          <w:tcPr>
            <w:tcW w:w="1181" w:type="dxa"/>
            <w:vAlign w:val="center"/>
          </w:tcPr>
          <w:p w14:paraId="1680E303">
            <w:pPr>
              <w:spacing w:line="240" w:lineRule="auto"/>
              <w:jc w:val="center"/>
              <w:rPr>
                <w:bCs/>
                <w:sz w:val="18"/>
                <w:szCs w:val="18"/>
              </w:rPr>
            </w:pPr>
            <w:r>
              <w:rPr>
                <w:rFonts w:hint="eastAsia"/>
                <w:bCs/>
                <w:sz w:val="18"/>
                <w:szCs w:val="18"/>
              </w:rPr>
              <w:t>0.102</w:t>
            </w:r>
          </w:p>
        </w:tc>
        <w:tc>
          <w:tcPr>
            <w:tcW w:w="1180" w:type="dxa"/>
            <w:vAlign w:val="center"/>
          </w:tcPr>
          <w:p w14:paraId="0F334432">
            <w:pPr>
              <w:spacing w:line="240" w:lineRule="auto"/>
              <w:jc w:val="center"/>
              <w:rPr>
                <w:bCs/>
                <w:sz w:val="18"/>
                <w:szCs w:val="18"/>
              </w:rPr>
            </w:pPr>
            <w:r>
              <w:rPr>
                <w:rFonts w:hint="eastAsia"/>
                <w:bCs/>
                <w:sz w:val="18"/>
                <w:szCs w:val="18"/>
              </w:rPr>
              <w:t>0.626</w:t>
            </w:r>
          </w:p>
        </w:tc>
        <w:tc>
          <w:tcPr>
            <w:tcW w:w="1181" w:type="dxa"/>
            <w:vAlign w:val="center"/>
          </w:tcPr>
          <w:p w14:paraId="0EC435E3">
            <w:pPr>
              <w:spacing w:line="240" w:lineRule="auto"/>
              <w:jc w:val="center"/>
              <w:rPr>
                <w:bCs/>
                <w:sz w:val="18"/>
                <w:szCs w:val="18"/>
              </w:rPr>
            </w:pPr>
            <w:r>
              <w:rPr>
                <w:rFonts w:hint="eastAsia"/>
                <w:bCs/>
                <w:sz w:val="18"/>
                <w:szCs w:val="18"/>
              </w:rPr>
              <w:t>1</w:t>
            </w:r>
          </w:p>
        </w:tc>
        <w:tc>
          <w:tcPr>
            <w:tcW w:w="1181" w:type="dxa"/>
            <w:vAlign w:val="center"/>
          </w:tcPr>
          <w:p w14:paraId="66B7B25A">
            <w:pPr>
              <w:spacing w:line="240" w:lineRule="auto"/>
              <w:jc w:val="center"/>
              <w:rPr>
                <w:bCs/>
                <w:sz w:val="18"/>
                <w:szCs w:val="18"/>
              </w:rPr>
            </w:pPr>
            <w:r>
              <w:rPr>
                <w:rFonts w:hint="eastAsia"/>
                <w:bCs/>
                <w:sz w:val="18"/>
                <w:szCs w:val="18"/>
              </w:rPr>
              <w:t>1</w:t>
            </w:r>
          </w:p>
        </w:tc>
      </w:tr>
      <w:tr w14:paraId="7C372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7CE236F1">
            <w:pPr>
              <w:spacing w:line="240" w:lineRule="auto"/>
              <w:jc w:val="center"/>
              <w:rPr>
                <w:bCs/>
                <w:sz w:val="18"/>
                <w:szCs w:val="18"/>
              </w:rPr>
            </w:pPr>
          </w:p>
        </w:tc>
        <w:tc>
          <w:tcPr>
            <w:tcW w:w="1180" w:type="dxa"/>
            <w:vAlign w:val="center"/>
          </w:tcPr>
          <w:p w14:paraId="743FECED">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21437B7E">
            <w:pPr>
              <w:spacing w:line="240" w:lineRule="auto"/>
              <w:jc w:val="center"/>
              <w:rPr>
                <w:bCs/>
                <w:sz w:val="18"/>
                <w:szCs w:val="18"/>
              </w:rPr>
            </w:pPr>
            <w:r>
              <w:rPr>
                <w:rFonts w:hint="eastAsia"/>
                <w:bCs/>
                <w:sz w:val="18"/>
                <w:szCs w:val="18"/>
              </w:rPr>
              <w:t>0.013</w:t>
            </w:r>
          </w:p>
        </w:tc>
        <w:tc>
          <w:tcPr>
            <w:tcW w:w="1181" w:type="dxa"/>
            <w:vAlign w:val="center"/>
          </w:tcPr>
          <w:p w14:paraId="3C76290C">
            <w:pPr>
              <w:spacing w:line="240" w:lineRule="auto"/>
              <w:jc w:val="center"/>
              <w:rPr>
                <w:bCs/>
                <w:sz w:val="18"/>
                <w:szCs w:val="18"/>
              </w:rPr>
            </w:pPr>
            <w:r>
              <w:rPr>
                <w:rFonts w:hint="eastAsia"/>
                <w:bCs/>
                <w:sz w:val="18"/>
                <w:szCs w:val="18"/>
              </w:rPr>
              <w:t>0.077</w:t>
            </w:r>
          </w:p>
        </w:tc>
        <w:tc>
          <w:tcPr>
            <w:tcW w:w="1180" w:type="dxa"/>
            <w:vAlign w:val="center"/>
          </w:tcPr>
          <w:p w14:paraId="65F705F5">
            <w:pPr>
              <w:spacing w:line="240" w:lineRule="auto"/>
              <w:jc w:val="center"/>
              <w:rPr>
                <w:bCs/>
                <w:sz w:val="18"/>
                <w:szCs w:val="18"/>
              </w:rPr>
            </w:pPr>
            <w:r>
              <w:rPr>
                <w:rFonts w:hint="eastAsia"/>
                <w:bCs/>
                <w:sz w:val="18"/>
                <w:szCs w:val="18"/>
              </w:rPr>
              <w:t>0.594</w:t>
            </w:r>
          </w:p>
        </w:tc>
        <w:tc>
          <w:tcPr>
            <w:tcW w:w="1181" w:type="dxa"/>
            <w:vAlign w:val="center"/>
          </w:tcPr>
          <w:p w14:paraId="126A1EEB">
            <w:pPr>
              <w:spacing w:line="240" w:lineRule="auto"/>
              <w:jc w:val="center"/>
              <w:rPr>
                <w:bCs/>
                <w:sz w:val="18"/>
                <w:szCs w:val="18"/>
              </w:rPr>
            </w:pPr>
            <w:r>
              <w:rPr>
                <w:rFonts w:hint="eastAsia"/>
                <w:bCs/>
                <w:sz w:val="18"/>
                <w:szCs w:val="18"/>
              </w:rPr>
              <w:t>1</w:t>
            </w:r>
          </w:p>
        </w:tc>
        <w:tc>
          <w:tcPr>
            <w:tcW w:w="1181" w:type="dxa"/>
            <w:vAlign w:val="center"/>
          </w:tcPr>
          <w:p w14:paraId="0F13E417">
            <w:pPr>
              <w:spacing w:line="240" w:lineRule="auto"/>
              <w:jc w:val="center"/>
              <w:rPr>
                <w:bCs/>
                <w:sz w:val="18"/>
                <w:szCs w:val="18"/>
              </w:rPr>
            </w:pPr>
            <w:r>
              <w:rPr>
                <w:rFonts w:hint="eastAsia"/>
                <w:bCs/>
                <w:sz w:val="18"/>
                <w:szCs w:val="18"/>
              </w:rPr>
              <w:t>1</w:t>
            </w:r>
          </w:p>
        </w:tc>
      </w:tr>
      <w:tr w14:paraId="162BD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6903EB45">
            <w:pPr>
              <w:spacing w:line="240" w:lineRule="auto"/>
              <w:jc w:val="center"/>
              <w:rPr>
                <w:bCs/>
                <w:sz w:val="18"/>
                <w:szCs w:val="18"/>
              </w:rPr>
            </w:pPr>
            <w:r>
              <w:rPr>
                <w:bCs/>
                <w:sz w:val="18"/>
                <w:szCs w:val="18"/>
              </w:rPr>
              <w:t>5年</w:t>
            </w:r>
          </w:p>
        </w:tc>
        <w:tc>
          <w:tcPr>
            <w:tcW w:w="1180" w:type="dxa"/>
            <w:vAlign w:val="center"/>
          </w:tcPr>
          <w:p w14:paraId="78740CDB">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7016E150">
            <w:pPr>
              <w:spacing w:line="240" w:lineRule="auto"/>
              <w:jc w:val="center"/>
              <w:rPr>
                <w:bCs/>
                <w:sz w:val="18"/>
                <w:szCs w:val="18"/>
              </w:rPr>
            </w:pPr>
            <w:r>
              <w:rPr>
                <w:rFonts w:hint="eastAsia"/>
                <w:bCs/>
                <w:sz w:val="18"/>
                <w:szCs w:val="18"/>
              </w:rPr>
              <w:t>0.07</w:t>
            </w:r>
          </w:p>
        </w:tc>
        <w:tc>
          <w:tcPr>
            <w:tcW w:w="1181" w:type="dxa"/>
            <w:vAlign w:val="center"/>
          </w:tcPr>
          <w:p w14:paraId="32D5388E">
            <w:pPr>
              <w:spacing w:line="240" w:lineRule="auto"/>
              <w:jc w:val="center"/>
              <w:rPr>
                <w:bCs/>
                <w:sz w:val="18"/>
                <w:szCs w:val="18"/>
              </w:rPr>
            </w:pPr>
            <w:r>
              <w:rPr>
                <w:rFonts w:hint="eastAsia"/>
                <w:bCs/>
                <w:sz w:val="18"/>
                <w:szCs w:val="18"/>
              </w:rPr>
              <w:t>0.39</w:t>
            </w:r>
          </w:p>
        </w:tc>
        <w:tc>
          <w:tcPr>
            <w:tcW w:w="1180" w:type="dxa"/>
            <w:vAlign w:val="center"/>
          </w:tcPr>
          <w:p w14:paraId="077D79EC">
            <w:pPr>
              <w:spacing w:line="240" w:lineRule="auto"/>
              <w:jc w:val="center"/>
              <w:rPr>
                <w:bCs/>
                <w:sz w:val="18"/>
                <w:szCs w:val="18"/>
              </w:rPr>
            </w:pPr>
            <w:r>
              <w:rPr>
                <w:rFonts w:hint="eastAsia"/>
                <w:bCs/>
                <w:sz w:val="18"/>
                <w:szCs w:val="18"/>
              </w:rPr>
              <w:t>0.94</w:t>
            </w:r>
          </w:p>
        </w:tc>
        <w:tc>
          <w:tcPr>
            <w:tcW w:w="1181" w:type="dxa"/>
            <w:vAlign w:val="center"/>
          </w:tcPr>
          <w:p w14:paraId="50F25107">
            <w:pPr>
              <w:spacing w:line="240" w:lineRule="auto"/>
              <w:jc w:val="center"/>
              <w:rPr>
                <w:bCs/>
                <w:sz w:val="18"/>
                <w:szCs w:val="18"/>
              </w:rPr>
            </w:pPr>
            <w:r>
              <w:rPr>
                <w:rFonts w:hint="eastAsia"/>
                <w:bCs/>
                <w:sz w:val="18"/>
                <w:szCs w:val="18"/>
              </w:rPr>
              <w:t>1</w:t>
            </w:r>
          </w:p>
        </w:tc>
        <w:tc>
          <w:tcPr>
            <w:tcW w:w="1181" w:type="dxa"/>
            <w:vAlign w:val="center"/>
          </w:tcPr>
          <w:p w14:paraId="645F4A21">
            <w:pPr>
              <w:spacing w:line="240" w:lineRule="auto"/>
              <w:jc w:val="center"/>
              <w:rPr>
                <w:bCs/>
                <w:sz w:val="18"/>
                <w:szCs w:val="18"/>
              </w:rPr>
            </w:pPr>
            <w:r>
              <w:rPr>
                <w:rFonts w:hint="eastAsia"/>
                <w:bCs/>
                <w:sz w:val="18"/>
                <w:szCs w:val="18"/>
              </w:rPr>
              <w:t>1</w:t>
            </w:r>
          </w:p>
        </w:tc>
      </w:tr>
      <w:tr w14:paraId="3AECA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4FE973CF">
            <w:pPr>
              <w:spacing w:line="240" w:lineRule="auto"/>
              <w:jc w:val="center"/>
              <w:rPr>
                <w:bCs/>
                <w:sz w:val="18"/>
                <w:szCs w:val="18"/>
              </w:rPr>
            </w:pPr>
          </w:p>
        </w:tc>
        <w:tc>
          <w:tcPr>
            <w:tcW w:w="1180" w:type="dxa"/>
            <w:vAlign w:val="center"/>
          </w:tcPr>
          <w:p w14:paraId="5969C540">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071CFCD2">
            <w:pPr>
              <w:spacing w:line="240" w:lineRule="auto"/>
              <w:jc w:val="center"/>
              <w:rPr>
                <w:bCs/>
                <w:sz w:val="18"/>
                <w:szCs w:val="18"/>
              </w:rPr>
            </w:pPr>
            <w:r>
              <w:rPr>
                <w:rFonts w:hint="eastAsia"/>
                <w:bCs/>
                <w:sz w:val="18"/>
                <w:szCs w:val="18"/>
              </w:rPr>
              <w:t>0.034</w:t>
            </w:r>
          </w:p>
        </w:tc>
        <w:tc>
          <w:tcPr>
            <w:tcW w:w="1181" w:type="dxa"/>
            <w:vAlign w:val="center"/>
          </w:tcPr>
          <w:p w14:paraId="74FA7E4F">
            <w:pPr>
              <w:spacing w:line="240" w:lineRule="auto"/>
              <w:jc w:val="center"/>
              <w:rPr>
                <w:bCs/>
                <w:sz w:val="18"/>
                <w:szCs w:val="18"/>
              </w:rPr>
            </w:pPr>
            <w:r>
              <w:rPr>
                <w:rFonts w:hint="eastAsia"/>
                <w:bCs/>
                <w:sz w:val="18"/>
                <w:szCs w:val="18"/>
              </w:rPr>
              <w:t>0.198</w:t>
            </w:r>
          </w:p>
        </w:tc>
        <w:tc>
          <w:tcPr>
            <w:tcW w:w="1180" w:type="dxa"/>
            <w:vAlign w:val="center"/>
          </w:tcPr>
          <w:p w14:paraId="516E7E5E">
            <w:pPr>
              <w:spacing w:line="240" w:lineRule="auto"/>
              <w:jc w:val="center"/>
              <w:rPr>
                <w:bCs/>
                <w:sz w:val="18"/>
                <w:szCs w:val="18"/>
              </w:rPr>
            </w:pPr>
            <w:r>
              <w:rPr>
                <w:rFonts w:hint="eastAsia"/>
                <w:bCs/>
                <w:sz w:val="18"/>
                <w:szCs w:val="18"/>
              </w:rPr>
              <w:t>0.744</w:t>
            </w:r>
          </w:p>
        </w:tc>
        <w:tc>
          <w:tcPr>
            <w:tcW w:w="1181" w:type="dxa"/>
            <w:vAlign w:val="center"/>
          </w:tcPr>
          <w:p w14:paraId="78658581">
            <w:pPr>
              <w:spacing w:line="240" w:lineRule="auto"/>
              <w:jc w:val="center"/>
              <w:rPr>
                <w:bCs/>
                <w:sz w:val="18"/>
                <w:szCs w:val="18"/>
              </w:rPr>
            </w:pPr>
            <w:r>
              <w:rPr>
                <w:rFonts w:hint="eastAsia"/>
                <w:bCs/>
                <w:sz w:val="18"/>
                <w:szCs w:val="18"/>
              </w:rPr>
              <w:t>1</w:t>
            </w:r>
          </w:p>
        </w:tc>
        <w:tc>
          <w:tcPr>
            <w:tcW w:w="1181" w:type="dxa"/>
            <w:vAlign w:val="center"/>
          </w:tcPr>
          <w:p w14:paraId="0113F14D">
            <w:pPr>
              <w:spacing w:line="240" w:lineRule="auto"/>
              <w:jc w:val="center"/>
              <w:rPr>
                <w:bCs/>
                <w:sz w:val="18"/>
                <w:szCs w:val="18"/>
              </w:rPr>
            </w:pPr>
            <w:r>
              <w:rPr>
                <w:rFonts w:hint="eastAsia"/>
                <w:bCs/>
                <w:sz w:val="18"/>
                <w:szCs w:val="18"/>
              </w:rPr>
              <w:t>1</w:t>
            </w:r>
          </w:p>
        </w:tc>
      </w:tr>
      <w:tr w14:paraId="62A6C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475F5764">
            <w:pPr>
              <w:spacing w:line="240" w:lineRule="auto"/>
              <w:jc w:val="center"/>
              <w:rPr>
                <w:bCs/>
                <w:sz w:val="18"/>
                <w:szCs w:val="18"/>
              </w:rPr>
            </w:pPr>
          </w:p>
        </w:tc>
        <w:tc>
          <w:tcPr>
            <w:tcW w:w="1180" w:type="dxa"/>
            <w:vAlign w:val="center"/>
          </w:tcPr>
          <w:p w14:paraId="4F345EE8">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64F03982">
            <w:pPr>
              <w:spacing w:line="240" w:lineRule="auto"/>
              <w:jc w:val="center"/>
              <w:rPr>
                <w:bCs/>
                <w:sz w:val="18"/>
                <w:szCs w:val="18"/>
              </w:rPr>
            </w:pPr>
            <w:r>
              <w:rPr>
                <w:rFonts w:hint="eastAsia"/>
                <w:bCs/>
                <w:sz w:val="18"/>
                <w:szCs w:val="18"/>
              </w:rPr>
              <w:t>0.023</w:t>
            </w:r>
          </w:p>
        </w:tc>
        <w:tc>
          <w:tcPr>
            <w:tcW w:w="1181" w:type="dxa"/>
            <w:vAlign w:val="center"/>
          </w:tcPr>
          <w:p w14:paraId="0D014F51">
            <w:pPr>
              <w:spacing w:line="240" w:lineRule="auto"/>
              <w:jc w:val="center"/>
              <w:rPr>
                <w:bCs/>
                <w:sz w:val="18"/>
                <w:szCs w:val="18"/>
              </w:rPr>
            </w:pPr>
            <w:r>
              <w:rPr>
                <w:rFonts w:hint="eastAsia"/>
                <w:bCs/>
                <w:sz w:val="18"/>
                <w:szCs w:val="18"/>
              </w:rPr>
              <w:t>0.132</w:t>
            </w:r>
          </w:p>
        </w:tc>
        <w:tc>
          <w:tcPr>
            <w:tcW w:w="1180" w:type="dxa"/>
            <w:vAlign w:val="center"/>
          </w:tcPr>
          <w:p w14:paraId="378956F0">
            <w:pPr>
              <w:spacing w:line="240" w:lineRule="auto"/>
              <w:jc w:val="center"/>
              <w:rPr>
                <w:bCs/>
                <w:sz w:val="18"/>
                <w:szCs w:val="18"/>
              </w:rPr>
            </w:pPr>
            <w:r>
              <w:rPr>
                <w:rFonts w:hint="eastAsia"/>
                <w:bCs/>
                <w:sz w:val="18"/>
                <w:szCs w:val="18"/>
              </w:rPr>
              <w:t>0.662</w:t>
            </w:r>
          </w:p>
        </w:tc>
        <w:tc>
          <w:tcPr>
            <w:tcW w:w="1181" w:type="dxa"/>
            <w:vAlign w:val="center"/>
          </w:tcPr>
          <w:p w14:paraId="5DADBDAF">
            <w:pPr>
              <w:spacing w:line="240" w:lineRule="auto"/>
              <w:jc w:val="center"/>
              <w:rPr>
                <w:bCs/>
                <w:sz w:val="18"/>
                <w:szCs w:val="18"/>
              </w:rPr>
            </w:pPr>
            <w:r>
              <w:rPr>
                <w:rFonts w:hint="eastAsia"/>
                <w:bCs/>
                <w:sz w:val="18"/>
                <w:szCs w:val="18"/>
              </w:rPr>
              <w:t>1</w:t>
            </w:r>
          </w:p>
        </w:tc>
        <w:tc>
          <w:tcPr>
            <w:tcW w:w="1181" w:type="dxa"/>
            <w:vAlign w:val="center"/>
          </w:tcPr>
          <w:p w14:paraId="3E1E1732">
            <w:pPr>
              <w:spacing w:line="240" w:lineRule="auto"/>
              <w:jc w:val="center"/>
              <w:rPr>
                <w:bCs/>
                <w:sz w:val="18"/>
                <w:szCs w:val="18"/>
              </w:rPr>
            </w:pPr>
            <w:r>
              <w:rPr>
                <w:rFonts w:hint="eastAsia"/>
                <w:bCs/>
                <w:sz w:val="18"/>
                <w:szCs w:val="18"/>
              </w:rPr>
              <w:t>1</w:t>
            </w:r>
          </w:p>
        </w:tc>
      </w:tr>
      <w:tr w14:paraId="64B7E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480733C4">
            <w:pPr>
              <w:spacing w:line="240" w:lineRule="auto"/>
              <w:jc w:val="center"/>
              <w:rPr>
                <w:bCs/>
                <w:sz w:val="18"/>
                <w:szCs w:val="18"/>
              </w:rPr>
            </w:pPr>
          </w:p>
        </w:tc>
        <w:tc>
          <w:tcPr>
            <w:tcW w:w="1180" w:type="dxa"/>
            <w:vAlign w:val="center"/>
          </w:tcPr>
          <w:p w14:paraId="1D436FD6">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0A2DAB83">
            <w:pPr>
              <w:spacing w:line="240" w:lineRule="auto"/>
              <w:jc w:val="center"/>
              <w:rPr>
                <w:bCs/>
                <w:sz w:val="18"/>
                <w:szCs w:val="18"/>
              </w:rPr>
            </w:pPr>
            <w:r>
              <w:rPr>
                <w:rFonts w:hint="eastAsia"/>
                <w:bCs/>
                <w:sz w:val="18"/>
                <w:szCs w:val="18"/>
              </w:rPr>
              <w:t>0</w:t>
            </w:r>
            <w:r>
              <w:rPr>
                <w:bCs/>
                <w:sz w:val="18"/>
                <w:szCs w:val="18"/>
              </w:rPr>
              <w:t>.017</w:t>
            </w:r>
          </w:p>
        </w:tc>
        <w:tc>
          <w:tcPr>
            <w:tcW w:w="1181" w:type="dxa"/>
            <w:vAlign w:val="center"/>
          </w:tcPr>
          <w:p w14:paraId="7B04709E">
            <w:pPr>
              <w:spacing w:line="240" w:lineRule="auto"/>
              <w:jc w:val="center"/>
              <w:rPr>
                <w:bCs/>
                <w:sz w:val="18"/>
                <w:szCs w:val="18"/>
              </w:rPr>
            </w:pPr>
            <w:r>
              <w:rPr>
                <w:rFonts w:hint="eastAsia"/>
                <w:bCs/>
                <w:sz w:val="18"/>
                <w:szCs w:val="18"/>
              </w:rPr>
              <w:t>0.099</w:t>
            </w:r>
          </w:p>
        </w:tc>
        <w:tc>
          <w:tcPr>
            <w:tcW w:w="1180" w:type="dxa"/>
            <w:vAlign w:val="center"/>
          </w:tcPr>
          <w:p w14:paraId="1AD04DF3">
            <w:pPr>
              <w:spacing w:line="240" w:lineRule="auto"/>
              <w:jc w:val="center"/>
              <w:rPr>
                <w:bCs/>
                <w:sz w:val="18"/>
                <w:szCs w:val="18"/>
              </w:rPr>
            </w:pPr>
            <w:r>
              <w:rPr>
                <w:rFonts w:hint="eastAsia"/>
                <w:bCs/>
                <w:sz w:val="18"/>
                <w:szCs w:val="18"/>
              </w:rPr>
              <w:t>0.622</w:t>
            </w:r>
          </w:p>
        </w:tc>
        <w:tc>
          <w:tcPr>
            <w:tcW w:w="1181" w:type="dxa"/>
            <w:vAlign w:val="center"/>
          </w:tcPr>
          <w:p w14:paraId="60B9F1D8">
            <w:pPr>
              <w:spacing w:line="240" w:lineRule="auto"/>
              <w:jc w:val="center"/>
              <w:rPr>
                <w:bCs/>
                <w:sz w:val="18"/>
                <w:szCs w:val="18"/>
              </w:rPr>
            </w:pPr>
            <w:r>
              <w:rPr>
                <w:rFonts w:hint="eastAsia"/>
                <w:bCs/>
                <w:sz w:val="18"/>
                <w:szCs w:val="18"/>
              </w:rPr>
              <w:t>1</w:t>
            </w:r>
          </w:p>
        </w:tc>
        <w:tc>
          <w:tcPr>
            <w:tcW w:w="1181" w:type="dxa"/>
            <w:vAlign w:val="center"/>
          </w:tcPr>
          <w:p w14:paraId="01D2ABC8">
            <w:pPr>
              <w:spacing w:line="240" w:lineRule="auto"/>
              <w:jc w:val="center"/>
              <w:rPr>
                <w:bCs/>
                <w:sz w:val="18"/>
                <w:szCs w:val="18"/>
              </w:rPr>
            </w:pPr>
            <w:r>
              <w:rPr>
                <w:rFonts w:hint="eastAsia"/>
                <w:bCs/>
                <w:sz w:val="18"/>
                <w:szCs w:val="18"/>
              </w:rPr>
              <w:t>1</w:t>
            </w:r>
          </w:p>
        </w:tc>
      </w:tr>
      <w:tr w14:paraId="224D9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restart"/>
            <w:vAlign w:val="center"/>
          </w:tcPr>
          <w:p w14:paraId="43E73CD4">
            <w:pPr>
              <w:spacing w:line="240" w:lineRule="auto"/>
              <w:jc w:val="center"/>
              <w:rPr>
                <w:bCs/>
                <w:sz w:val="18"/>
                <w:szCs w:val="18"/>
              </w:rPr>
            </w:pPr>
            <w:r>
              <w:rPr>
                <w:bCs/>
                <w:sz w:val="18"/>
                <w:szCs w:val="18"/>
              </w:rPr>
              <w:t>10年</w:t>
            </w:r>
          </w:p>
        </w:tc>
        <w:tc>
          <w:tcPr>
            <w:tcW w:w="1180" w:type="dxa"/>
            <w:vAlign w:val="center"/>
          </w:tcPr>
          <w:p w14:paraId="6D1B4163">
            <w:pPr>
              <w:spacing w:line="240" w:lineRule="auto"/>
              <w:jc w:val="center"/>
              <w:rPr>
                <w:sz w:val="18"/>
                <w:szCs w:val="18"/>
              </w:rPr>
            </w:pPr>
            <w:r>
              <w:rPr>
                <w:sz w:val="18"/>
                <w:szCs w:val="18"/>
              </w:rPr>
              <w:t>5</w:t>
            </w:r>
            <w:r>
              <w:rPr>
                <w:rFonts w:hint="eastAsia"/>
                <w:sz w:val="18"/>
                <w:szCs w:val="18"/>
              </w:rPr>
              <w:t> </w:t>
            </w:r>
            <w:r>
              <w:rPr>
                <w:sz w:val="18"/>
                <w:szCs w:val="18"/>
              </w:rPr>
              <w:t>m</w:t>
            </w:r>
          </w:p>
        </w:tc>
        <w:tc>
          <w:tcPr>
            <w:tcW w:w="1181" w:type="dxa"/>
            <w:vAlign w:val="center"/>
          </w:tcPr>
          <w:p w14:paraId="1096EA1C">
            <w:pPr>
              <w:spacing w:line="240" w:lineRule="auto"/>
              <w:jc w:val="center"/>
              <w:rPr>
                <w:bCs/>
                <w:sz w:val="18"/>
                <w:szCs w:val="18"/>
              </w:rPr>
            </w:pPr>
            <w:r>
              <w:rPr>
                <w:rFonts w:hint="eastAsia"/>
                <w:bCs/>
                <w:sz w:val="18"/>
                <w:szCs w:val="18"/>
              </w:rPr>
              <w:t>0.1</w:t>
            </w:r>
          </w:p>
        </w:tc>
        <w:tc>
          <w:tcPr>
            <w:tcW w:w="1181" w:type="dxa"/>
            <w:vAlign w:val="center"/>
          </w:tcPr>
          <w:p w14:paraId="31ED72FA">
            <w:pPr>
              <w:spacing w:line="240" w:lineRule="auto"/>
              <w:jc w:val="center"/>
              <w:rPr>
                <w:bCs/>
                <w:sz w:val="18"/>
                <w:szCs w:val="18"/>
              </w:rPr>
            </w:pPr>
            <w:r>
              <w:rPr>
                <w:rFonts w:hint="eastAsia"/>
                <w:bCs/>
                <w:sz w:val="18"/>
                <w:szCs w:val="18"/>
              </w:rPr>
              <w:t>0.5</w:t>
            </w:r>
          </w:p>
        </w:tc>
        <w:tc>
          <w:tcPr>
            <w:tcW w:w="1180" w:type="dxa"/>
            <w:vAlign w:val="center"/>
          </w:tcPr>
          <w:p w14:paraId="3BFA6DEE">
            <w:pPr>
              <w:spacing w:line="240" w:lineRule="auto"/>
              <w:jc w:val="center"/>
              <w:rPr>
                <w:bCs/>
                <w:sz w:val="18"/>
                <w:szCs w:val="18"/>
              </w:rPr>
            </w:pPr>
            <w:r>
              <w:rPr>
                <w:rFonts w:hint="eastAsia"/>
                <w:bCs/>
                <w:sz w:val="18"/>
                <w:szCs w:val="18"/>
              </w:rPr>
              <w:t>0.99</w:t>
            </w:r>
          </w:p>
        </w:tc>
        <w:tc>
          <w:tcPr>
            <w:tcW w:w="1181" w:type="dxa"/>
            <w:vAlign w:val="center"/>
          </w:tcPr>
          <w:p w14:paraId="31381DBE">
            <w:pPr>
              <w:spacing w:line="240" w:lineRule="auto"/>
              <w:jc w:val="center"/>
              <w:rPr>
                <w:bCs/>
                <w:sz w:val="18"/>
                <w:szCs w:val="18"/>
              </w:rPr>
            </w:pPr>
            <w:r>
              <w:rPr>
                <w:rFonts w:hint="eastAsia"/>
                <w:bCs/>
                <w:sz w:val="18"/>
                <w:szCs w:val="18"/>
              </w:rPr>
              <w:t>1</w:t>
            </w:r>
          </w:p>
        </w:tc>
        <w:tc>
          <w:tcPr>
            <w:tcW w:w="1181" w:type="dxa"/>
            <w:vAlign w:val="center"/>
          </w:tcPr>
          <w:p w14:paraId="1D777C23">
            <w:pPr>
              <w:spacing w:line="240" w:lineRule="auto"/>
              <w:jc w:val="center"/>
              <w:rPr>
                <w:bCs/>
                <w:sz w:val="18"/>
                <w:szCs w:val="18"/>
              </w:rPr>
            </w:pPr>
            <w:r>
              <w:rPr>
                <w:rFonts w:hint="eastAsia"/>
                <w:bCs/>
                <w:sz w:val="18"/>
                <w:szCs w:val="18"/>
              </w:rPr>
              <w:t>1</w:t>
            </w:r>
          </w:p>
        </w:tc>
      </w:tr>
      <w:tr w14:paraId="2C1C5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1661CFD5">
            <w:pPr>
              <w:spacing w:line="240" w:lineRule="auto"/>
              <w:jc w:val="center"/>
              <w:rPr>
                <w:bCs/>
                <w:sz w:val="18"/>
                <w:szCs w:val="18"/>
              </w:rPr>
            </w:pPr>
          </w:p>
        </w:tc>
        <w:tc>
          <w:tcPr>
            <w:tcW w:w="1180" w:type="dxa"/>
            <w:vAlign w:val="center"/>
          </w:tcPr>
          <w:p w14:paraId="41814224">
            <w:pPr>
              <w:spacing w:line="240" w:lineRule="auto"/>
              <w:jc w:val="center"/>
              <w:rPr>
                <w:sz w:val="18"/>
                <w:szCs w:val="18"/>
              </w:rPr>
            </w:pPr>
            <w:r>
              <w:rPr>
                <w:sz w:val="18"/>
                <w:szCs w:val="18"/>
              </w:rPr>
              <w:t>10</w:t>
            </w:r>
            <w:r>
              <w:rPr>
                <w:rFonts w:hint="eastAsia"/>
                <w:sz w:val="18"/>
                <w:szCs w:val="18"/>
              </w:rPr>
              <w:t> </w:t>
            </w:r>
            <w:r>
              <w:rPr>
                <w:sz w:val="18"/>
                <w:szCs w:val="18"/>
              </w:rPr>
              <w:t>m</w:t>
            </w:r>
          </w:p>
        </w:tc>
        <w:tc>
          <w:tcPr>
            <w:tcW w:w="1181" w:type="dxa"/>
            <w:vAlign w:val="center"/>
          </w:tcPr>
          <w:p w14:paraId="406F148D">
            <w:pPr>
              <w:spacing w:line="240" w:lineRule="auto"/>
              <w:jc w:val="center"/>
              <w:rPr>
                <w:bCs/>
                <w:sz w:val="18"/>
                <w:szCs w:val="18"/>
              </w:rPr>
            </w:pPr>
            <w:r>
              <w:rPr>
                <w:rFonts w:hint="eastAsia"/>
                <w:bCs/>
                <w:sz w:val="18"/>
                <w:szCs w:val="18"/>
              </w:rPr>
              <w:t>0.049</w:t>
            </w:r>
          </w:p>
        </w:tc>
        <w:tc>
          <w:tcPr>
            <w:tcW w:w="1181" w:type="dxa"/>
            <w:vAlign w:val="center"/>
          </w:tcPr>
          <w:p w14:paraId="20966D43">
            <w:pPr>
              <w:spacing w:line="240" w:lineRule="auto"/>
              <w:jc w:val="center"/>
              <w:rPr>
                <w:bCs/>
                <w:sz w:val="18"/>
                <w:szCs w:val="18"/>
              </w:rPr>
            </w:pPr>
            <w:r>
              <w:rPr>
                <w:rFonts w:hint="eastAsia"/>
                <w:bCs/>
                <w:sz w:val="18"/>
                <w:szCs w:val="18"/>
              </w:rPr>
              <w:t>0.281</w:t>
            </w:r>
          </w:p>
        </w:tc>
        <w:tc>
          <w:tcPr>
            <w:tcW w:w="1180" w:type="dxa"/>
            <w:vAlign w:val="center"/>
          </w:tcPr>
          <w:p w14:paraId="6A9D388C">
            <w:pPr>
              <w:spacing w:line="240" w:lineRule="auto"/>
              <w:jc w:val="center"/>
              <w:rPr>
                <w:bCs/>
                <w:sz w:val="18"/>
                <w:szCs w:val="18"/>
              </w:rPr>
            </w:pPr>
            <w:r>
              <w:rPr>
                <w:rFonts w:hint="eastAsia"/>
                <w:bCs/>
                <w:sz w:val="18"/>
                <w:szCs w:val="18"/>
              </w:rPr>
              <w:t>0.839</w:t>
            </w:r>
          </w:p>
        </w:tc>
        <w:tc>
          <w:tcPr>
            <w:tcW w:w="1181" w:type="dxa"/>
            <w:vAlign w:val="center"/>
          </w:tcPr>
          <w:p w14:paraId="72FD0C9B">
            <w:pPr>
              <w:spacing w:line="240" w:lineRule="auto"/>
              <w:jc w:val="center"/>
              <w:rPr>
                <w:bCs/>
                <w:sz w:val="18"/>
                <w:szCs w:val="18"/>
              </w:rPr>
            </w:pPr>
            <w:r>
              <w:rPr>
                <w:rFonts w:hint="eastAsia"/>
                <w:bCs/>
                <w:sz w:val="18"/>
                <w:szCs w:val="18"/>
              </w:rPr>
              <w:t>1</w:t>
            </w:r>
          </w:p>
        </w:tc>
        <w:tc>
          <w:tcPr>
            <w:tcW w:w="1181" w:type="dxa"/>
            <w:vAlign w:val="center"/>
          </w:tcPr>
          <w:p w14:paraId="2E00EB00">
            <w:pPr>
              <w:spacing w:line="240" w:lineRule="auto"/>
              <w:jc w:val="center"/>
              <w:rPr>
                <w:bCs/>
                <w:sz w:val="18"/>
                <w:szCs w:val="18"/>
              </w:rPr>
            </w:pPr>
            <w:r>
              <w:rPr>
                <w:rFonts w:hint="eastAsia"/>
                <w:bCs/>
                <w:sz w:val="18"/>
                <w:szCs w:val="18"/>
              </w:rPr>
              <w:t>1</w:t>
            </w:r>
          </w:p>
        </w:tc>
      </w:tr>
      <w:tr w14:paraId="37D8C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7BF2247F">
            <w:pPr>
              <w:spacing w:line="240" w:lineRule="auto"/>
              <w:jc w:val="center"/>
              <w:rPr>
                <w:bCs/>
                <w:sz w:val="18"/>
                <w:szCs w:val="18"/>
              </w:rPr>
            </w:pPr>
          </w:p>
        </w:tc>
        <w:tc>
          <w:tcPr>
            <w:tcW w:w="1180" w:type="dxa"/>
            <w:vAlign w:val="center"/>
          </w:tcPr>
          <w:p w14:paraId="5AD0A4E2">
            <w:pPr>
              <w:spacing w:line="240" w:lineRule="auto"/>
              <w:jc w:val="center"/>
              <w:rPr>
                <w:sz w:val="18"/>
                <w:szCs w:val="18"/>
              </w:rPr>
            </w:pPr>
            <w:r>
              <w:rPr>
                <w:sz w:val="18"/>
                <w:szCs w:val="18"/>
              </w:rPr>
              <w:t>15</w:t>
            </w:r>
            <w:r>
              <w:rPr>
                <w:rFonts w:hint="eastAsia"/>
                <w:sz w:val="18"/>
                <w:szCs w:val="18"/>
              </w:rPr>
              <w:t> </w:t>
            </w:r>
            <w:r>
              <w:rPr>
                <w:sz w:val="18"/>
                <w:szCs w:val="18"/>
              </w:rPr>
              <w:t>m</w:t>
            </w:r>
          </w:p>
        </w:tc>
        <w:tc>
          <w:tcPr>
            <w:tcW w:w="1181" w:type="dxa"/>
            <w:vAlign w:val="center"/>
          </w:tcPr>
          <w:p w14:paraId="219971D2">
            <w:pPr>
              <w:spacing w:line="240" w:lineRule="auto"/>
              <w:jc w:val="center"/>
              <w:rPr>
                <w:bCs/>
                <w:sz w:val="18"/>
                <w:szCs w:val="18"/>
              </w:rPr>
            </w:pPr>
            <w:r>
              <w:rPr>
                <w:rFonts w:hint="eastAsia"/>
                <w:bCs/>
                <w:sz w:val="18"/>
                <w:szCs w:val="18"/>
              </w:rPr>
              <w:t>0.032</w:t>
            </w:r>
          </w:p>
        </w:tc>
        <w:tc>
          <w:tcPr>
            <w:tcW w:w="1181" w:type="dxa"/>
            <w:vAlign w:val="center"/>
          </w:tcPr>
          <w:p w14:paraId="738EAA0F">
            <w:pPr>
              <w:spacing w:line="240" w:lineRule="auto"/>
              <w:jc w:val="center"/>
              <w:rPr>
                <w:bCs/>
                <w:sz w:val="18"/>
                <w:szCs w:val="18"/>
              </w:rPr>
            </w:pPr>
            <w:r>
              <w:rPr>
                <w:rFonts w:hint="eastAsia"/>
                <w:bCs/>
                <w:sz w:val="18"/>
                <w:szCs w:val="18"/>
              </w:rPr>
              <w:t>0.187</w:t>
            </w:r>
          </w:p>
        </w:tc>
        <w:tc>
          <w:tcPr>
            <w:tcW w:w="1180" w:type="dxa"/>
            <w:vAlign w:val="center"/>
          </w:tcPr>
          <w:p w14:paraId="022FAC41">
            <w:pPr>
              <w:spacing w:line="240" w:lineRule="auto"/>
              <w:jc w:val="center"/>
              <w:rPr>
                <w:bCs/>
                <w:sz w:val="18"/>
                <w:szCs w:val="18"/>
              </w:rPr>
            </w:pPr>
            <w:r>
              <w:rPr>
                <w:rFonts w:hint="eastAsia"/>
                <w:bCs/>
                <w:sz w:val="18"/>
                <w:szCs w:val="18"/>
              </w:rPr>
              <w:t>0.73</w:t>
            </w:r>
          </w:p>
        </w:tc>
        <w:tc>
          <w:tcPr>
            <w:tcW w:w="1181" w:type="dxa"/>
            <w:vAlign w:val="center"/>
          </w:tcPr>
          <w:p w14:paraId="62DAAF76">
            <w:pPr>
              <w:spacing w:line="240" w:lineRule="auto"/>
              <w:jc w:val="center"/>
              <w:rPr>
                <w:bCs/>
                <w:sz w:val="18"/>
                <w:szCs w:val="18"/>
              </w:rPr>
            </w:pPr>
            <w:r>
              <w:rPr>
                <w:rFonts w:hint="eastAsia"/>
                <w:bCs/>
                <w:sz w:val="18"/>
                <w:szCs w:val="18"/>
              </w:rPr>
              <w:t>1</w:t>
            </w:r>
          </w:p>
        </w:tc>
        <w:tc>
          <w:tcPr>
            <w:tcW w:w="1181" w:type="dxa"/>
            <w:vAlign w:val="center"/>
          </w:tcPr>
          <w:p w14:paraId="402F7CD1">
            <w:pPr>
              <w:spacing w:line="240" w:lineRule="auto"/>
              <w:jc w:val="center"/>
              <w:rPr>
                <w:bCs/>
                <w:sz w:val="18"/>
                <w:szCs w:val="18"/>
              </w:rPr>
            </w:pPr>
            <w:r>
              <w:rPr>
                <w:rFonts w:hint="eastAsia"/>
                <w:bCs/>
                <w:sz w:val="18"/>
                <w:szCs w:val="18"/>
              </w:rPr>
              <w:t>1</w:t>
            </w:r>
          </w:p>
        </w:tc>
      </w:tr>
      <w:tr w14:paraId="05841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96" w:type="dxa"/>
            <w:vMerge w:val="continue"/>
          </w:tcPr>
          <w:p w14:paraId="733DEFE1">
            <w:pPr>
              <w:spacing w:line="240" w:lineRule="auto"/>
              <w:jc w:val="center"/>
              <w:rPr>
                <w:bCs/>
                <w:sz w:val="18"/>
                <w:szCs w:val="18"/>
              </w:rPr>
            </w:pPr>
          </w:p>
        </w:tc>
        <w:tc>
          <w:tcPr>
            <w:tcW w:w="1180" w:type="dxa"/>
            <w:vAlign w:val="center"/>
          </w:tcPr>
          <w:p w14:paraId="35EFCBD3">
            <w:pPr>
              <w:spacing w:line="240" w:lineRule="auto"/>
              <w:jc w:val="center"/>
              <w:rPr>
                <w:sz w:val="18"/>
                <w:szCs w:val="18"/>
              </w:rPr>
            </w:pPr>
            <w:r>
              <w:rPr>
                <w:sz w:val="18"/>
                <w:szCs w:val="18"/>
              </w:rPr>
              <w:t>20</w:t>
            </w:r>
            <w:r>
              <w:rPr>
                <w:rFonts w:hint="eastAsia"/>
                <w:sz w:val="18"/>
                <w:szCs w:val="18"/>
              </w:rPr>
              <w:t> </w:t>
            </w:r>
            <w:r>
              <w:rPr>
                <w:sz w:val="18"/>
                <w:szCs w:val="18"/>
              </w:rPr>
              <w:t>m</w:t>
            </w:r>
          </w:p>
        </w:tc>
        <w:tc>
          <w:tcPr>
            <w:tcW w:w="1181" w:type="dxa"/>
            <w:vAlign w:val="center"/>
          </w:tcPr>
          <w:p w14:paraId="06B0BFD7">
            <w:pPr>
              <w:spacing w:line="240" w:lineRule="auto"/>
              <w:jc w:val="center"/>
              <w:rPr>
                <w:bCs/>
                <w:sz w:val="18"/>
                <w:szCs w:val="18"/>
              </w:rPr>
            </w:pPr>
            <w:r>
              <w:rPr>
                <w:rFonts w:hint="eastAsia"/>
                <w:bCs/>
                <w:sz w:val="18"/>
                <w:szCs w:val="18"/>
              </w:rPr>
              <w:t>0.024</w:t>
            </w:r>
          </w:p>
        </w:tc>
        <w:tc>
          <w:tcPr>
            <w:tcW w:w="1181" w:type="dxa"/>
            <w:vAlign w:val="center"/>
          </w:tcPr>
          <w:p w14:paraId="69093A7D">
            <w:pPr>
              <w:spacing w:line="240" w:lineRule="auto"/>
              <w:jc w:val="center"/>
              <w:rPr>
                <w:bCs/>
                <w:sz w:val="18"/>
                <w:szCs w:val="18"/>
              </w:rPr>
            </w:pPr>
            <w:r>
              <w:rPr>
                <w:rFonts w:hint="eastAsia"/>
                <w:bCs/>
                <w:sz w:val="18"/>
                <w:szCs w:val="18"/>
              </w:rPr>
              <w:t>0.14</w:t>
            </w:r>
          </w:p>
        </w:tc>
        <w:tc>
          <w:tcPr>
            <w:tcW w:w="1180" w:type="dxa"/>
            <w:vAlign w:val="center"/>
          </w:tcPr>
          <w:p w14:paraId="1EFCC741">
            <w:pPr>
              <w:spacing w:line="240" w:lineRule="auto"/>
              <w:jc w:val="center"/>
              <w:rPr>
                <w:bCs/>
                <w:sz w:val="18"/>
                <w:szCs w:val="18"/>
              </w:rPr>
            </w:pPr>
            <w:r>
              <w:rPr>
                <w:rFonts w:hint="eastAsia"/>
                <w:bCs/>
                <w:sz w:val="18"/>
                <w:szCs w:val="18"/>
              </w:rPr>
              <w:t>0.672</w:t>
            </w:r>
          </w:p>
        </w:tc>
        <w:tc>
          <w:tcPr>
            <w:tcW w:w="1181" w:type="dxa"/>
            <w:vAlign w:val="center"/>
          </w:tcPr>
          <w:p w14:paraId="6FAF0337">
            <w:pPr>
              <w:spacing w:line="240" w:lineRule="auto"/>
              <w:jc w:val="center"/>
              <w:rPr>
                <w:bCs/>
                <w:sz w:val="18"/>
                <w:szCs w:val="18"/>
              </w:rPr>
            </w:pPr>
            <w:r>
              <w:rPr>
                <w:rFonts w:hint="eastAsia"/>
                <w:bCs/>
                <w:sz w:val="18"/>
                <w:szCs w:val="18"/>
              </w:rPr>
              <w:t>1</w:t>
            </w:r>
          </w:p>
        </w:tc>
        <w:tc>
          <w:tcPr>
            <w:tcW w:w="1181" w:type="dxa"/>
            <w:vAlign w:val="center"/>
          </w:tcPr>
          <w:p w14:paraId="4BA67327">
            <w:pPr>
              <w:spacing w:line="240" w:lineRule="auto"/>
              <w:jc w:val="center"/>
              <w:rPr>
                <w:bCs/>
                <w:sz w:val="18"/>
                <w:szCs w:val="18"/>
              </w:rPr>
            </w:pPr>
            <w:r>
              <w:rPr>
                <w:rFonts w:hint="eastAsia"/>
                <w:bCs/>
                <w:sz w:val="18"/>
                <w:szCs w:val="18"/>
              </w:rPr>
              <w:t>1</w:t>
            </w:r>
          </w:p>
        </w:tc>
      </w:tr>
    </w:tbl>
    <w:p w14:paraId="6BD0C532">
      <w:pPr>
        <w:spacing w:before="156" w:beforeLines="50" w:after="156" w:afterLines="50" w:line="240" w:lineRule="auto"/>
        <w:jc w:val="center"/>
        <w:rPr>
          <w:rFonts w:hint="eastAsia" w:ascii="黑体" w:hAnsi="黑体" w:eastAsia="黑体" w:cs="宋体"/>
        </w:rPr>
      </w:pPr>
      <w:r>
        <w:rPr>
          <w:rFonts w:hint="eastAsia" w:ascii="黑体" w:hAnsi="黑体" w:eastAsia="黑体" w:cs="宋体"/>
        </w:rPr>
        <w:t>表</w:t>
      </w:r>
      <w:r>
        <w:rPr>
          <w:rFonts w:ascii="黑体" w:hAnsi="黑体" w:eastAsia="黑体" w:cs="宋体"/>
        </w:rPr>
        <w:t>9.</w:t>
      </w:r>
      <w:r>
        <w:rPr>
          <w:rFonts w:hint="eastAsia" w:ascii="黑体" w:hAnsi="黑体" w:eastAsia="黑体" w:cs="宋体"/>
        </w:rPr>
        <w:t>3</w:t>
      </w:r>
      <w:r>
        <w:rPr>
          <w:rFonts w:ascii="黑体" w:hAnsi="黑体" w:eastAsia="黑体" w:cs="宋体"/>
        </w:rPr>
        <w:t>.</w:t>
      </w:r>
      <w:r>
        <w:rPr>
          <w:rFonts w:hint="eastAsia" w:ascii="黑体" w:hAnsi="黑体" w:eastAsia="黑体" w:cs="宋体"/>
        </w:rPr>
        <w:t>7</w:t>
      </w:r>
      <w:r>
        <w:rPr>
          <w:rFonts w:ascii="黑体" w:hAnsi="黑体" w:eastAsia="黑体" w:cs="宋体"/>
        </w:rPr>
        <w:t>-2</w:t>
      </w:r>
      <w:r>
        <w:rPr>
          <w:rFonts w:hint="eastAsia" w:ascii="黑体" w:hAnsi="黑体" w:eastAsia="黑体" w:cs="宋体"/>
        </w:rPr>
        <w:t xml:space="preserve"> </w:t>
      </w:r>
      <w:r>
        <w:rPr>
          <w:rFonts w:ascii="黑体" w:hAnsi="黑体" w:eastAsia="黑体" w:cs="宋体"/>
        </w:rPr>
        <w:t xml:space="preserve"> </w:t>
      </w:r>
      <w:r>
        <w:rPr>
          <w:rFonts w:hint="eastAsia" w:ascii="黑体" w:hAnsi="黑体" w:eastAsia="黑体" w:cs="宋体"/>
        </w:rPr>
        <w:t>武汉地区</w:t>
      </w:r>
      <w:r>
        <w:rPr>
          <w:rFonts w:ascii="黑体" w:hAnsi="黑体" w:eastAsia="黑体" w:cs="宋体"/>
        </w:rPr>
        <w:t>典型土层</w:t>
      </w:r>
      <w:r>
        <w:rPr>
          <w:rFonts w:hint="eastAsia" w:ascii="黑体" w:hAnsi="黑体" w:eastAsia="黑体" w:cs="宋体"/>
        </w:rPr>
        <w:t>计算参数表</w:t>
      </w:r>
    </w:p>
    <w:tbl>
      <w:tblPr>
        <w:tblStyle w:val="33"/>
        <w:tblW w:w="79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1064"/>
        <w:gridCol w:w="1066"/>
        <w:gridCol w:w="1065"/>
        <w:gridCol w:w="1066"/>
        <w:gridCol w:w="1065"/>
        <w:gridCol w:w="1069"/>
      </w:tblGrid>
      <w:tr w14:paraId="01D65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vMerge w:val="restart"/>
            <w:tcBorders>
              <w:top w:val="single" w:color="auto" w:sz="12" w:space="0"/>
              <w:bottom w:val="single" w:color="auto" w:sz="12" w:space="0"/>
            </w:tcBorders>
            <w:noWrap/>
            <w:vAlign w:val="center"/>
          </w:tcPr>
          <w:p w14:paraId="18CF7157">
            <w:pPr>
              <w:widowControl/>
              <w:spacing w:line="240" w:lineRule="auto"/>
              <w:jc w:val="center"/>
              <w:rPr>
                <w:kern w:val="0"/>
                <w:sz w:val="18"/>
                <w:szCs w:val="18"/>
              </w:rPr>
            </w:pPr>
            <w:r>
              <w:rPr>
                <w:kern w:val="0"/>
                <w:sz w:val="18"/>
                <w:szCs w:val="18"/>
              </w:rPr>
              <w:t>土的类型</w:t>
            </w:r>
          </w:p>
        </w:tc>
        <w:tc>
          <w:tcPr>
            <w:tcW w:w="2131" w:type="dxa"/>
            <w:gridSpan w:val="2"/>
            <w:tcBorders>
              <w:bottom w:val="single" w:color="auto" w:sz="6" w:space="0"/>
            </w:tcBorders>
            <w:noWrap/>
            <w:vAlign w:val="center"/>
          </w:tcPr>
          <w:p w14:paraId="4D5E2F1D">
            <w:pPr>
              <w:widowControl/>
              <w:spacing w:line="240" w:lineRule="auto"/>
              <w:jc w:val="center"/>
              <w:rPr>
                <w:kern w:val="0"/>
                <w:sz w:val="18"/>
                <w:szCs w:val="18"/>
              </w:rPr>
            </w:pPr>
            <w:r>
              <w:rPr>
                <w:i/>
                <w:iCs/>
                <w:kern w:val="0"/>
                <w:sz w:val="18"/>
                <w:szCs w:val="18"/>
              </w:rPr>
              <w:t>k</w:t>
            </w:r>
            <w:r>
              <w:rPr>
                <w:kern w:val="0"/>
                <w:sz w:val="18"/>
                <w:szCs w:val="18"/>
              </w:rPr>
              <w:t>(cm/s)</w:t>
            </w:r>
          </w:p>
        </w:tc>
        <w:tc>
          <w:tcPr>
            <w:tcW w:w="2131" w:type="dxa"/>
            <w:gridSpan w:val="2"/>
            <w:tcBorders>
              <w:bottom w:val="single" w:color="auto" w:sz="6" w:space="0"/>
            </w:tcBorders>
            <w:noWrap/>
            <w:vAlign w:val="center"/>
          </w:tcPr>
          <w:p w14:paraId="08B1B414">
            <w:pPr>
              <w:widowControl/>
              <w:spacing w:line="240" w:lineRule="auto"/>
              <w:jc w:val="center"/>
              <w:rPr>
                <w:kern w:val="0"/>
                <w:sz w:val="18"/>
                <w:szCs w:val="18"/>
              </w:rPr>
            </w:pPr>
            <w:r>
              <w:rPr>
                <w:i/>
                <w:iCs/>
                <w:kern w:val="0"/>
                <w:sz w:val="18"/>
                <w:szCs w:val="18"/>
              </w:rPr>
              <w:t>e</w:t>
            </w:r>
            <w:r>
              <w:rPr>
                <w:kern w:val="0"/>
                <w:sz w:val="18"/>
                <w:szCs w:val="18"/>
              </w:rPr>
              <w:t>1</w:t>
            </w:r>
          </w:p>
        </w:tc>
        <w:tc>
          <w:tcPr>
            <w:tcW w:w="2132" w:type="dxa"/>
            <w:gridSpan w:val="2"/>
            <w:tcBorders>
              <w:bottom w:val="single" w:color="auto" w:sz="6" w:space="0"/>
            </w:tcBorders>
            <w:noWrap/>
            <w:vAlign w:val="center"/>
          </w:tcPr>
          <w:p w14:paraId="218F19E7">
            <w:pPr>
              <w:widowControl/>
              <w:spacing w:line="240" w:lineRule="auto"/>
              <w:jc w:val="center"/>
              <w:rPr>
                <w:kern w:val="0"/>
                <w:sz w:val="18"/>
                <w:szCs w:val="18"/>
              </w:rPr>
            </w:pPr>
            <w:r>
              <w:rPr>
                <w:i/>
                <w:iCs/>
                <w:kern w:val="0"/>
                <w:sz w:val="18"/>
                <w:szCs w:val="18"/>
              </w:rPr>
              <w:t>Es</w:t>
            </w:r>
            <w:r>
              <w:rPr>
                <w:kern w:val="0"/>
                <w:sz w:val="18"/>
                <w:szCs w:val="18"/>
              </w:rPr>
              <w:t>(kPa)</w:t>
            </w:r>
          </w:p>
        </w:tc>
      </w:tr>
      <w:tr w14:paraId="72A77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vMerge w:val="continue"/>
            <w:tcBorders>
              <w:top w:val="single" w:color="auto" w:sz="6" w:space="0"/>
              <w:bottom w:val="single" w:color="auto" w:sz="12" w:space="0"/>
            </w:tcBorders>
            <w:noWrap/>
            <w:vAlign w:val="center"/>
          </w:tcPr>
          <w:p w14:paraId="2787D469">
            <w:pPr>
              <w:widowControl/>
              <w:spacing w:line="240" w:lineRule="auto"/>
              <w:jc w:val="center"/>
              <w:rPr>
                <w:kern w:val="0"/>
                <w:sz w:val="18"/>
                <w:szCs w:val="18"/>
              </w:rPr>
            </w:pPr>
          </w:p>
        </w:tc>
        <w:tc>
          <w:tcPr>
            <w:tcW w:w="1065" w:type="dxa"/>
            <w:tcBorders>
              <w:top w:val="single" w:color="auto" w:sz="6" w:space="0"/>
              <w:bottom w:val="single" w:color="auto" w:sz="12" w:space="0"/>
            </w:tcBorders>
            <w:noWrap/>
            <w:vAlign w:val="center"/>
          </w:tcPr>
          <w:p w14:paraId="18511E10">
            <w:pPr>
              <w:widowControl/>
              <w:spacing w:line="240" w:lineRule="auto"/>
              <w:jc w:val="center"/>
              <w:rPr>
                <w:kern w:val="0"/>
                <w:sz w:val="18"/>
                <w:szCs w:val="18"/>
              </w:rPr>
            </w:pPr>
            <w:r>
              <w:rPr>
                <w:i/>
                <w:iCs/>
                <w:kern w:val="0"/>
                <w:sz w:val="18"/>
                <w:szCs w:val="18"/>
              </w:rPr>
              <w:t>k</w:t>
            </w:r>
            <w:r>
              <w:rPr>
                <w:kern w:val="0"/>
                <w:sz w:val="18"/>
                <w:szCs w:val="18"/>
                <w:vertAlign w:val="subscript"/>
              </w:rPr>
              <w:t>min</w:t>
            </w:r>
          </w:p>
        </w:tc>
        <w:tc>
          <w:tcPr>
            <w:tcW w:w="1065" w:type="dxa"/>
            <w:tcBorders>
              <w:top w:val="single" w:color="auto" w:sz="6" w:space="0"/>
              <w:bottom w:val="single" w:color="auto" w:sz="12" w:space="0"/>
            </w:tcBorders>
            <w:noWrap/>
            <w:vAlign w:val="center"/>
          </w:tcPr>
          <w:p w14:paraId="4FACCEDC">
            <w:pPr>
              <w:widowControl/>
              <w:spacing w:line="240" w:lineRule="auto"/>
              <w:jc w:val="center"/>
              <w:rPr>
                <w:kern w:val="0"/>
                <w:sz w:val="18"/>
                <w:szCs w:val="18"/>
              </w:rPr>
            </w:pPr>
            <w:r>
              <w:rPr>
                <w:i/>
                <w:iCs/>
                <w:kern w:val="0"/>
                <w:sz w:val="18"/>
                <w:szCs w:val="18"/>
              </w:rPr>
              <w:t>k</w:t>
            </w:r>
            <w:r>
              <w:rPr>
                <w:kern w:val="0"/>
                <w:sz w:val="18"/>
                <w:szCs w:val="18"/>
                <w:vertAlign w:val="subscript"/>
              </w:rPr>
              <w:t>max</w:t>
            </w:r>
          </w:p>
        </w:tc>
        <w:tc>
          <w:tcPr>
            <w:tcW w:w="1065" w:type="dxa"/>
            <w:tcBorders>
              <w:top w:val="single" w:color="auto" w:sz="6" w:space="0"/>
              <w:bottom w:val="single" w:color="auto" w:sz="12" w:space="0"/>
            </w:tcBorders>
            <w:noWrap/>
            <w:vAlign w:val="center"/>
          </w:tcPr>
          <w:p w14:paraId="31C9C6AE">
            <w:pPr>
              <w:widowControl/>
              <w:spacing w:line="240" w:lineRule="auto"/>
              <w:jc w:val="center"/>
              <w:rPr>
                <w:kern w:val="0"/>
                <w:sz w:val="18"/>
                <w:szCs w:val="18"/>
              </w:rPr>
            </w:pPr>
            <w:r>
              <w:rPr>
                <w:i/>
                <w:iCs/>
                <w:kern w:val="0"/>
                <w:sz w:val="18"/>
                <w:szCs w:val="18"/>
              </w:rPr>
              <w:t>e</w:t>
            </w:r>
            <w:r>
              <w:rPr>
                <w:kern w:val="0"/>
                <w:sz w:val="18"/>
                <w:szCs w:val="18"/>
              </w:rPr>
              <w:t>1</w:t>
            </w:r>
            <w:r>
              <w:rPr>
                <w:kern w:val="0"/>
                <w:sz w:val="18"/>
                <w:szCs w:val="18"/>
                <w:vertAlign w:val="subscript"/>
              </w:rPr>
              <w:t>min</w:t>
            </w:r>
          </w:p>
        </w:tc>
        <w:tc>
          <w:tcPr>
            <w:tcW w:w="1065" w:type="dxa"/>
            <w:tcBorders>
              <w:top w:val="single" w:color="auto" w:sz="6" w:space="0"/>
              <w:bottom w:val="single" w:color="auto" w:sz="12" w:space="0"/>
            </w:tcBorders>
            <w:noWrap/>
            <w:vAlign w:val="center"/>
          </w:tcPr>
          <w:p w14:paraId="3DE20D4A">
            <w:pPr>
              <w:widowControl/>
              <w:spacing w:line="240" w:lineRule="auto"/>
              <w:jc w:val="center"/>
              <w:rPr>
                <w:kern w:val="0"/>
                <w:sz w:val="18"/>
                <w:szCs w:val="18"/>
              </w:rPr>
            </w:pPr>
            <w:r>
              <w:rPr>
                <w:i/>
                <w:iCs/>
                <w:kern w:val="0"/>
                <w:sz w:val="18"/>
                <w:szCs w:val="18"/>
              </w:rPr>
              <w:t>e</w:t>
            </w:r>
            <w:r>
              <w:rPr>
                <w:kern w:val="0"/>
                <w:sz w:val="18"/>
                <w:szCs w:val="18"/>
              </w:rPr>
              <w:t>1</w:t>
            </w:r>
            <w:r>
              <w:rPr>
                <w:kern w:val="0"/>
                <w:sz w:val="18"/>
                <w:szCs w:val="18"/>
                <w:vertAlign w:val="subscript"/>
              </w:rPr>
              <w:t>max</w:t>
            </w:r>
          </w:p>
        </w:tc>
        <w:tc>
          <w:tcPr>
            <w:tcW w:w="1065" w:type="dxa"/>
            <w:tcBorders>
              <w:top w:val="single" w:color="auto" w:sz="6" w:space="0"/>
              <w:bottom w:val="single" w:color="auto" w:sz="12" w:space="0"/>
            </w:tcBorders>
            <w:noWrap/>
            <w:vAlign w:val="center"/>
          </w:tcPr>
          <w:p w14:paraId="0D2FAE5F">
            <w:pPr>
              <w:widowControl/>
              <w:spacing w:line="240" w:lineRule="auto"/>
              <w:jc w:val="center"/>
              <w:rPr>
                <w:kern w:val="0"/>
                <w:sz w:val="18"/>
                <w:szCs w:val="18"/>
              </w:rPr>
            </w:pPr>
            <w:r>
              <w:rPr>
                <w:i/>
                <w:iCs/>
                <w:kern w:val="0"/>
                <w:sz w:val="18"/>
                <w:szCs w:val="18"/>
              </w:rPr>
              <w:t>Es</w:t>
            </w:r>
            <w:r>
              <w:rPr>
                <w:kern w:val="0"/>
                <w:sz w:val="18"/>
                <w:szCs w:val="18"/>
                <w:vertAlign w:val="subscript"/>
              </w:rPr>
              <w:t>max</w:t>
            </w:r>
          </w:p>
        </w:tc>
        <w:tc>
          <w:tcPr>
            <w:tcW w:w="1069" w:type="dxa"/>
            <w:tcBorders>
              <w:top w:val="single" w:color="auto" w:sz="6" w:space="0"/>
              <w:bottom w:val="single" w:color="auto" w:sz="12" w:space="0"/>
            </w:tcBorders>
            <w:noWrap/>
            <w:vAlign w:val="center"/>
          </w:tcPr>
          <w:p w14:paraId="03BB3BAE">
            <w:pPr>
              <w:widowControl/>
              <w:spacing w:line="240" w:lineRule="auto"/>
              <w:jc w:val="center"/>
              <w:rPr>
                <w:kern w:val="0"/>
                <w:sz w:val="18"/>
                <w:szCs w:val="18"/>
              </w:rPr>
            </w:pPr>
            <w:r>
              <w:rPr>
                <w:i/>
                <w:iCs/>
                <w:kern w:val="0"/>
                <w:sz w:val="18"/>
                <w:szCs w:val="18"/>
              </w:rPr>
              <w:t>Es</w:t>
            </w:r>
            <w:r>
              <w:rPr>
                <w:kern w:val="0"/>
                <w:sz w:val="18"/>
                <w:szCs w:val="18"/>
                <w:vertAlign w:val="subscript"/>
              </w:rPr>
              <w:t>min</w:t>
            </w:r>
          </w:p>
        </w:tc>
      </w:tr>
      <w:tr w14:paraId="3E563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tcBorders>
              <w:top w:val="single" w:color="auto" w:sz="12" w:space="0"/>
            </w:tcBorders>
            <w:noWrap/>
            <w:vAlign w:val="center"/>
          </w:tcPr>
          <w:p w14:paraId="153E347A">
            <w:pPr>
              <w:widowControl/>
              <w:spacing w:line="240" w:lineRule="auto"/>
              <w:jc w:val="center"/>
              <w:rPr>
                <w:kern w:val="0"/>
                <w:sz w:val="18"/>
                <w:szCs w:val="18"/>
              </w:rPr>
            </w:pPr>
            <w:r>
              <w:rPr>
                <w:kern w:val="0"/>
                <w:sz w:val="18"/>
                <w:szCs w:val="18"/>
              </w:rPr>
              <w:t>中砂</w:t>
            </w:r>
          </w:p>
        </w:tc>
        <w:tc>
          <w:tcPr>
            <w:tcW w:w="1065" w:type="dxa"/>
            <w:tcBorders>
              <w:top w:val="single" w:color="auto" w:sz="12" w:space="0"/>
            </w:tcBorders>
            <w:noWrap/>
            <w:vAlign w:val="center"/>
          </w:tcPr>
          <w:p w14:paraId="4D6CD956">
            <w:pPr>
              <w:widowControl/>
              <w:spacing w:line="240" w:lineRule="auto"/>
              <w:jc w:val="center"/>
              <w:rPr>
                <w:kern w:val="0"/>
                <w:sz w:val="18"/>
                <w:szCs w:val="18"/>
              </w:rPr>
            </w:pPr>
            <w:r>
              <w:rPr>
                <w:kern w:val="0"/>
                <w:sz w:val="18"/>
                <w:szCs w:val="18"/>
              </w:rPr>
              <w:t>1.70E-02</w:t>
            </w:r>
          </w:p>
        </w:tc>
        <w:tc>
          <w:tcPr>
            <w:tcW w:w="1065" w:type="dxa"/>
            <w:tcBorders>
              <w:top w:val="single" w:color="auto" w:sz="12" w:space="0"/>
            </w:tcBorders>
            <w:noWrap/>
            <w:vAlign w:val="center"/>
          </w:tcPr>
          <w:p w14:paraId="61E613F3">
            <w:pPr>
              <w:widowControl/>
              <w:spacing w:line="240" w:lineRule="auto"/>
              <w:jc w:val="center"/>
              <w:rPr>
                <w:kern w:val="0"/>
                <w:sz w:val="18"/>
                <w:szCs w:val="18"/>
              </w:rPr>
            </w:pPr>
            <w:r>
              <w:rPr>
                <w:kern w:val="0"/>
                <w:sz w:val="18"/>
                <w:szCs w:val="18"/>
              </w:rPr>
              <w:t>2.30E-02</w:t>
            </w:r>
          </w:p>
        </w:tc>
        <w:tc>
          <w:tcPr>
            <w:tcW w:w="1065" w:type="dxa"/>
            <w:tcBorders>
              <w:top w:val="single" w:color="auto" w:sz="12" w:space="0"/>
            </w:tcBorders>
            <w:noWrap/>
            <w:vAlign w:val="center"/>
          </w:tcPr>
          <w:p w14:paraId="62F323A7">
            <w:pPr>
              <w:widowControl/>
              <w:spacing w:line="240" w:lineRule="auto"/>
              <w:jc w:val="center"/>
              <w:rPr>
                <w:kern w:val="0"/>
                <w:sz w:val="18"/>
                <w:szCs w:val="18"/>
              </w:rPr>
            </w:pPr>
            <w:r>
              <w:rPr>
                <w:kern w:val="0"/>
                <w:sz w:val="18"/>
                <w:szCs w:val="18"/>
              </w:rPr>
              <w:t>0.4</w:t>
            </w:r>
          </w:p>
        </w:tc>
        <w:tc>
          <w:tcPr>
            <w:tcW w:w="1065" w:type="dxa"/>
            <w:tcBorders>
              <w:top w:val="single" w:color="auto" w:sz="12" w:space="0"/>
            </w:tcBorders>
            <w:noWrap/>
            <w:vAlign w:val="center"/>
          </w:tcPr>
          <w:p w14:paraId="65FDC246">
            <w:pPr>
              <w:widowControl/>
              <w:spacing w:line="240" w:lineRule="auto"/>
              <w:jc w:val="center"/>
              <w:rPr>
                <w:kern w:val="0"/>
                <w:sz w:val="18"/>
                <w:szCs w:val="18"/>
              </w:rPr>
            </w:pPr>
            <w:r>
              <w:rPr>
                <w:kern w:val="0"/>
                <w:sz w:val="18"/>
                <w:szCs w:val="18"/>
              </w:rPr>
              <w:t>0.7</w:t>
            </w:r>
          </w:p>
        </w:tc>
        <w:tc>
          <w:tcPr>
            <w:tcW w:w="1065" w:type="dxa"/>
            <w:tcBorders>
              <w:top w:val="single" w:color="auto" w:sz="12" w:space="0"/>
            </w:tcBorders>
            <w:noWrap/>
            <w:vAlign w:val="center"/>
          </w:tcPr>
          <w:p w14:paraId="7A5F1957">
            <w:pPr>
              <w:widowControl/>
              <w:spacing w:line="240" w:lineRule="auto"/>
              <w:jc w:val="center"/>
              <w:rPr>
                <w:kern w:val="0"/>
                <w:sz w:val="18"/>
                <w:szCs w:val="18"/>
              </w:rPr>
            </w:pPr>
            <w:r>
              <w:rPr>
                <w:kern w:val="0"/>
                <w:sz w:val="18"/>
                <w:szCs w:val="18"/>
              </w:rPr>
              <w:t>23000</w:t>
            </w:r>
          </w:p>
        </w:tc>
        <w:tc>
          <w:tcPr>
            <w:tcW w:w="1069" w:type="dxa"/>
            <w:tcBorders>
              <w:top w:val="single" w:color="auto" w:sz="12" w:space="0"/>
            </w:tcBorders>
            <w:noWrap/>
            <w:vAlign w:val="center"/>
          </w:tcPr>
          <w:p w14:paraId="4BAEF97C">
            <w:pPr>
              <w:widowControl/>
              <w:spacing w:line="240" w:lineRule="auto"/>
              <w:jc w:val="center"/>
              <w:rPr>
                <w:kern w:val="0"/>
                <w:sz w:val="18"/>
                <w:szCs w:val="18"/>
              </w:rPr>
            </w:pPr>
            <w:r>
              <w:rPr>
                <w:kern w:val="0"/>
                <w:sz w:val="18"/>
                <w:szCs w:val="18"/>
              </w:rPr>
              <w:t>18000</w:t>
            </w:r>
          </w:p>
        </w:tc>
      </w:tr>
      <w:tr w14:paraId="036D5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noWrap/>
            <w:vAlign w:val="center"/>
          </w:tcPr>
          <w:p w14:paraId="02B3F09A">
            <w:pPr>
              <w:widowControl/>
              <w:spacing w:line="240" w:lineRule="auto"/>
              <w:jc w:val="center"/>
              <w:rPr>
                <w:kern w:val="0"/>
                <w:sz w:val="18"/>
                <w:szCs w:val="18"/>
              </w:rPr>
            </w:pPr>
            <w:r>
              <w:rPr>
                <w:kern w:val="0"/>
                <w:sz w:val="18"/>
                <w:szCs w:val="18"/>
              </w:rPr>
              <w:t>细砂、粉砂</w:t>
            </w:r>
          </w:p>
        </w:tc>
        <w:tc>
          <w:tcPr>
            <w:tcW w:w="1065" w:type="dxa"/>
            <w:noWrap/>
            <w:vAlign w:val="center"/>
          </w:tcPr>
          <w:p w14:paraId="5FE759CB">
            <w:pPr>
              <w:widowControl/>
              <w:spacing w:line="240" w:lineRule="auto"/>
              <w:jc w:val="center"/>
              <w:rPr>
                <w:kern w:val="0"/>
                <w:sz w:val="18"/>
                <w:szCs w:val="18"/>
              </w:rPr>
            </w:pPr>
            <w:r>
              <w:rPr>
                <w:kern w:val="0"/>
                <w:sz w:val="18"/>
                <w:szCs w:val="18"/>
              </w:rPr>
              <w:t>6.00E-03</w:t>
            </w:r>
          </w:p>
        </w:tc>
        <w:tc>
          <w:tcPr>
            <w:tcW w:w="1065" w:type="dxa"/>
            <w:noWrap/>
            <w:vAlign w:val="center"/>
          </w:tcPr>
          <w:p w14:paraId="3CAD950F">
            <w:pPr>
              <w:widowControl/>
              <w:spacing w:line="240" w:lineRule="auto"/>
              <w:jc w:val="center"/>
              <w:rPr>
                <w:kern w:val="0"/>
                <w:sz w:val="18"/>
                <w:szCs w:val="18"/>
              </w:rPr>
            </w:pPr>
            <w:r>
              <w:rPr>
                <w:kern w:val="0"/>
                <w:sz w:val="18"/>
                <w:szCs w:val="18"/>
              </w:rPr>
              <w:t>1.70E-02</w:t>
            </w:r>
          </w:p>
        </w:tc>
        <w:tc>
          <w:tcPr>
            <w:tcW w:w="1065" w:type="dxa"/>
            <w:noWrap/>
            <w:vAlign w:val="center"/>
          </w:tcPr>
          <w:p w14:paraId="3D43C0C6">
            <w:pPr>
              <w:widowControl/>
              <w:spacing w:line="240" w:lineRule="auto"/>
              <w:jc w:val="center"/>
              <w:rPr>
                <w:kern w:val="0"/>
                <w:sz w:val="18"/>
                <w:szCs w:val="18"/>
              </w:rPr>
            </w:pPr>
            <w:r>
              <w:rPr>
                <w:kern w:val="0"/>
                <w:sz w:val="18"/>
                <w:szCs w:val="18"/>
              </w:rPr>
              <w:t>0.4</w:t>
            </w:r>
          </w:p>
        </w:tc>
        <w:tc>
          <w:tcPr>
            <w:tcW w:w="1065" w:type="dxa"/>
            <w:noWrap/>
            <w:vAlign w:val="center"/>
          </w:tcPr>
          <w:p w14:paraId="37089B94">
            <w:pPr>
              <w:widowControl/>
              <w:spacing w:line="240" w:lineRule="auto"/>
              <w:jc w:val="center"/>
              <w:rPr>
                <w:kern w:val="0"/>
                <w:sz w:val="18"/>
                <w:szCs w:val="18"/>
              </w:rPr>
            </w:pPr>
            <w:r>
              <w:rPr>
                <w:kern w:val="0"/>
                <w:sz w:val="18"/>
                <w:szCs w:val="18"/>
              </w:rPr>
              <w:t>0.8</w:t>
            </w:r>
          </w:p>
        </w:tc>
        <w:tc>
          <w:tcPr>
            <w:tcW w:w="1065" w:type="dxa"/>
            <w:noWrap/>
            <w:vAlign w:val="center"/>
          </w:tcPr>
          <w:p w14:paraId="627AFC44">
            <w:pPr>
              <w:widowControl/>
              <w:spacing w:line="240" w:lineRule="auto"/>
              <w:jc w:val="center"/>
              <w:rPr>
                <w:kern w:val="0"/>
                <w:sz w:val="18"/>
                <w:szCs w:val="18"/>
              </w:rPr>
            </w:pPr>
            <w:r>
              <w:rPr>
                <w:kern w:val="0"/>
                <w:sz w:val="18"/>
                <w:szCs w:val="18"/>
              </w:rPr>
              <w:t>18000</w:t>
            </w:r>
          </w:p>
        </w:tc>
        <w:tc>
          <w:tcPr>
            <w:tcW w:w="1069" w:type="dxa"/>
            <w:noWrap/>
            <w:vAlign w:val="center"/>
          </w:tcPr>
          <w:p w14:paraId="3CFC9D15">
            <w:pPr>
              <w:widowControl/>
              <w:spacing w:line="240" w:lineRule="auto"/>
              <w:jc w:val="center"/>
              <w:rPr>
                <w:kern w:val="0"/>
                <w:sz w:val="18"/>
                <w:szCs w:val="18"/>
              </w:rPr>
            </w:pPr>
            <w:r>
              <w:rPr>
                <w:kern w:val="0"/>
                <w:sz w:val="18"/>
                <w:szCs w:val="18"/>
              </w:rPr>
              <w:t>9000</w:t>
            </w:r>
          </w:p>
        </w:tc>
      </w:tr>
      <w:tr w14:paraId="29EF6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noWrap/>
            <w:vAlign w:val="center"/>
          </w:tcPr>
          <w:p w14:paraId="527527DC">
            <w:pPr>
              <w:widowControl/>
              <w:spacing w:line="240" w:lineRule="auto"/>
              <w:jc w:val="center"/>
              <w:rPr>
                <w:kern w:val="0"/>
                <w:sz w:val="18"/>
                <w:szCs w:val="18"/>
              </w:rPr>
            </w:pPr>
            <w:r>
              <w:rPr>
                <w:kern w:val="0"/>
                <w:sz w:val="18"/>
                <w:szCs w:val="18"/>
              </w:rPr>
              <w:t>互层土</w:t>
            </w:r>
          </w:p>
        </w:tc>
        <w:tc>
          <w:tcPr>
            <w:tcW w:w="1065" w:type="dxa"/>
            <w:noWrap/>
            <w:vAlign w:val="center"/>
          </w:tcPr>
          <w:p w14:paraId="5810BFA2">
            <w:pPr>
              <w:widowControl/>
              <w:spacing w:line="240" w:lineRule="auto"/>
              <w:jc w:val="center"/>
              <w:rPr>
                <w:kern w:val="0"/>
                <w:sz w:val="18"/>
                <w:szCs w:val="18"/>
              </w:rPr>
            </w:pPr>
            <w:r>
              <w:rPr>
                <w:kern w:val="0"/>
                <w:sz w:val="18"/>
                <w:szCs w:val="18"/>
              </w:rPr>
              <w:t>6.00E-05</w:t>
            </w:r>
          </w:p>
        </w:tc>
        <w:tc>
          <w:tcPr>
            <w:tcW w:w="1065" w:type="dxa"/>
            <w:noWrap/>
            <w:vAlign w:val="center"/>
          </w:tcPr>
          <w:p w14:paraId="0C259287">
            <w:pPr>
              <w:widowControl/>
              <w:spacing w:line="240" w:lineRule="auto"/>
              <w:jc w:val="center"/>
              <w:rPr>
                <w:kern w:val="0"/>
                <w:sz w:val="18"/>
                <w:szCs w:val="18"/>
              </w:rPr>
            </w:pPr>
            <w:r>
              <w:rPr>
                <w:kern w:val="0"/>
                <w:sz w:val="18"/>
                <w:szCs w:val="18"/>
              </w:rPr>
              <w:t>6.00E-03</w:t>
            </w:r>
          </w:p>
        </w:tc>
        <w:tc>
          <w:tcPr>
            <w:tcW w:w="1065" w:type="dxa"/>
            <w:noWrap/>
            <w:vAlign w:val="center"/>
          </w:tcPr>
          <w:p w14:paraId="5F16132C">
            <w:pPr>
              <w:widowControl/>
              <w:spacing w:line="240" w:lineRule="auto"/>
              <w:jc w:val="center"/>
              <w:rPr>
                <w:kern w:val="0"/>
                <w:sz w:val="18"/>
                <w:szCs w:val="18"/>
              </w:rPr>
            </w:pPr>
            <w:r>
              <w:rPr>
                <w:kern w:val="0"/>
                <w:sz w:val="18"/>
                <w:szCs w:val="18"/>
              </w:rPr>
              <w:t>0.75</w:t>
            </w:r>
          </w:p>
        </w:tc>
        <w:tc>
          <w:tcPr>
            <w:tcW w:w="1065" w:type="dxa"/>
            <w:noWrap/>
            <w:vAlign w:val="center"/>
          </w:tcPr>
          <w:p w14:paraId="62244044">
            <w:pPr>
              <w:widowControl/>
              <w:spacing w:line="240" w:lineRule="auto"/>
              <w:jc w:val="center"/>
              <w:rPr>
                <w:kern w:val="0"/>
                <w:sz w:val="18"/>
                <w:szCs w:val="18"/>
              </w:rPr>
            </w:pPr>
            <w:r>
              <w:rPr>
                <w:kern w:val="0"/>
                <w:sz w:val="18"/>
                <w:szCs w:val="18"/>
              </w:rPr>
              <w:t>1.1</w:t>
            </w:r>
          </w:p>
        </w:tc>
        <w:tc>
          <w:tcPr>
            <w:tcW w:w="1065" w:type="dxa"/>
            <w:noWrap/>
            <w:vAlign w:val="center"/>
          </w:tcPr>
          <w:p w14:paraId="105C9416">
            <w:pPr>
              <w:widowControl/>
              <w:spacing w:line="240" w:lineRule="auto"/>
              <w:jc w:val="center"/>
              <w:rPr>
                <w:kern w:val="0"/>
                <w:sz w:val="18"/>
                <w:szCs w:val="18"/>
              </w:rPr>
            </w:pPr>
            <w:r>
              <w:rPr>
                <w:kern w:val="0"/>
                <w:sz w:val="18"/>
                <w:szCs w:val="18"/>
              </w:rPr>
              <w:t>9000</w:t>
            </w:r>
          </w:p>
        </w:tc>
        <w:tc>
          <w:tcPr>
            <w:tcW w:w="1069" w:type="dxa"/>
            <w:noWrap/>
            <w:vAlign w:val="center"/>
          </w:tcPr>
          <w:p w14:paraId="55399BAE">
            <w:pPr>
              <w:widowControl/>
              <w:spacing w:line="240" w:lineRule="auto"/>
              <w:jc w:val="center"/>
              <w:rPr>
                <w:kern w:val="0"/>
                <w:sz w:val="18"/>
                <w:szCs w:val="18"/>
              </w:rPr>
            </w:pPr>
            <w:r>
              <w:rPr>
                <w:kern w:val="0"/>
                <w:sz w:val="18"/>
                <w:szCs w:val="18"/>
              </w:rPr>
              <w:t>6000</w:t>
            </w:r>
          </w:p>
        </w:tc>
      </w:tr>
      <w:tr w14:paraId="55BC8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noWrap/>
            <w:vAlign w:val="center"/>
          </w:tcPr>
          <w:p w14:paraId="5EBE6F77">
            <w:pPr>
              <w:widowControl/>
              <w:spacing w:line="240" w:lineRule="auto"/>
              <w:jc w:val="center"/>
              <w:rPr>
                <w:kern w:val="0"/>
                <w:sz w:val="18"/>
                <w:szCs w:val="18"/>
              </w:rPr>
            </w:pPr>
            <w:r>
              <w:rPr>
                <w:sz w:val="18"/>
                <w:szCs w:val="18"/>
              </w:rPr>
              <w:t>一般黏性土</w:t>
            </w:r>
          </w:p>
        </w:tc>
        <w:tc>
          <w:tcPr>
            <w:tcW w:w="1065" w:type="dxa"/>
            <w:noWrap/>
            <w:vAlign w:val="center"/>
          </w:tcPr>
          <w:p w14:paraId="344DEBD2">
            <w:pPr>
              <w:widowControl/>
              <w:spacing w:line="240" w:lineRule="auto"/>
              <w:jc w:val="center"/>
              <w:rPr>
                <w:kern w:val="0"/>
                <w:sz w:val="18"/>
                <w:szCs w:val="18"/>
              </w:rPr>
            </w:pPr>
            <w:r>
              <w:rPr>
                <w:kern w:val="0"/>
                <w:sz w:val="18"/>
                <w:szCs w:val="18"/>
              </w:rPr>
              <w:t>8.00E-07</w:t>
            </w:r>
          </w:p>
        </w:tc>
        <w:tc>
          <w:tcPr>
            <w:tcW w:w="1065" w:type="dxa"/>
            <w:noWrap/>
            <w:vAlign w:val="center"/>
          </w:tcPr>
          <w:p w14:paraId="623E775A">
            <w:pPr>
              <w:widowControl/>
              <w:spacing w:line="240" w:lineRule="auto"/>
              <w:jc w:val="center"/>
              <w:rPr>
                <w:kern w:val="0"/>
                <w:sz w:val="18"/>
                <w:szCs w:val="18"/>
              </w:rPr>
            </w:pPr>
            <w:r>
              <w:rPr>
                <w:kern w:val="0"/>
                <w:sz w:val="18"/>
                <w:szCs w:val="18"/>
              </w:rPr>
              <w:t>2.00E-05</w:t>
            </w:r>
          </w:p>
        </w:tc>
        <w:tc>
          <w:tcPr>
            <w:tcW w:w="1065" w:type="dxa"/>
            <w:noWrap/>
            <w:vAlign w:val="center"/>
          </w:tcPr>
          <w:p w14:paraId="791B3B9C">
            <w:pPr>
              <w:widowControl/>
              <w:spacing w:line="240" w:lineRule="auto"/>
              <w:jc w:val="center"/>
              <w:rPr>
                <w:kern w:val="0"/>
                <w:sz w:val="18"/>
                <w:szCs w:val="18"/>
              </w:rPr>
            </w:pPr>
            <w:r>
              <w:rPr>
                <w:kern w:val="0"/>
                <w:sz w:val="18"/>
                <w:szCs w:val="18"/>
              </w:rPr>
              <w:t>0.5</w:t>
            </w:r>
          </w:p>
        </w:tc>
        <w:tc>
          <w:tcPr>
            <w:tcW w:w="1065" w:type="dxa"/>
            <w:noWrap/>
            <w:vAlign w:val="center"/>
          </w:tcPr>
          <w:p w14:paraId="2735E3D6">
            <w:pPr>
              <w:widowControl/>
              <w:spacing w:line="240" w:lineRule="auto"/>
              <w:jc w:val="center"/>
              <w:rPr>
                <w:kern w:val="0"/>
                <w:sz w:val="18"/>
                <w:szCs w:val="18"/>
              </w:rPr>
            </w:pPr>
            <w:r>
              <w:rPr>
                <w:kern w:val="0"/>
                <w:sz w:val="18"/>
                <w:szCs w:val="18"/>
              </w:rPr>
              <w:t>1</w:t>
            </w:r>
          </w:p>
        </w:tc>
        <w:tc>
          <w:tcPr>
            <w:tcW w:w="1065" w:type="dxa"/>
            <w:noWrap/>
            <w:vAlign w:val="center"/>
          </w:tcPr>
          <w:p w14:paraId="3100847D">
            <w:pPr>
              <w:widowControl/>
              <w:spacing w:line="240" w:lineRule="auto"/>
              <w:jc w:val="center"/>
              <w:rPr>
                <w:kern w:val="0"/>
                <w:sz w:val="18"/>
                <w:szCs w:val="18"/>
              </w:rPr>
            </w:pPr>
            <w:r>
              <w:rPr>
                <w:kern w:val="0"/>
                <w:sz w:val="18"/>
                <w:szCs w:val="18"/>
              </w:rPr>
              <w:t>6000</w:t>
            </w:r>
          </w:p>
        </w:tc>
        <w:tc>
          <w:tcPr>
            <w:tcW w:w="1069" w:type="dxa"/>
            <w:noWrap/>
            <w:vAlign w:val="center"/>
          </w:tcPr>
          <w:p w14:paraId="79D83372">
            <w:pPr>
              <w:widowControl/>
              <w:spacing w:line="240" w:lineRule="auto"/>
              <w:jc w:val="center"/>
              <w:rPr>
                <w:kern w:val="0"/>
                <w:sz w:val="18"/>
                <w:szCs w:val="18"/>
              </w:rPr>
            </w:pPr>
            <w:r>
              <w:rPr>
                <w:kern w:val="0"/>
                <w:sz w:val="18"/>
                <w:szCs w:val="18"/>
              </w:rPr>
              <w:t>3500</w:t>
            </w:r>
          </w:p>
        </w:tc>
      </w:tr>
      <w:tr w14:paraId="4FDCB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585" w:type="dxa"/>
            <w:noWrap/>
            <w:vAlign w:val="center"/>
          </w:tcPr>
          <w:p w14:paraId="4BAEFD2C">
            <w:pPr>
              <w:widowControl/>
              <w:spacing w:line="240" w:lineRule="auto"/>
              <w:jc w:val="center"/>
              <w:rPr>
                <w:kern w:val="0"/>
                <w:sz w:val="18"/>
                <w:szCs w:val="18"/>
              </w:rPr>
            </w:pPr>
            <w:r>
              <w:rPr>
                <w:kern w:val="0"/>
                <w:sz w:val="18"/>
                <w:szCs w:val="18"/>
              </w:rPr>
              <w:t>淤泥质土</w:t>
            </w:r>
          </w:p>
        </w:tc>
        <w:tc>
          <w:tcPr>
            <w:tcW w:w="1065" w:type="dxa"/>
            <w:noWrap/>
            <w:vAlign w:val="center"/>
          </w:tcPr>
          <w:p w14:paraId="33AE2936">
            <w:pPr>
              <w:widowControl/>
              <w:spacing w:line="240" w:lineRule="auto"/>
              <w:jc w:val="center"/>
              <w:rPr>
                <w:kern w:val="0"/>
                <w:sz w:val="18"/>
                <w:szCs w:val="18"/>
              </w:rPr>
            </w:pPr>
            <w:r>
              <w:rPr>
                <w:kern w:val="0"/>
                <w:sz w:val="18"/>
                <w:szCs w:val="18"/>
              </w:rPr>
              <w:t>1.00E-07</w:t>
            </w:r>
          </w:p>
        </w:tc>
        <w:tc>
          <w:tcPr>
            <w:tcW w:w="1065" w:type="dxa"/>
            <w:noWrap/>
            <w:vAlign w:val="center"/>
          </w:tcPr>
          <w:p w14:paraId="663C4184">
            <w:pPr>
              <w:widowControl/>
              <w:spacing w:line="240" w:lineRule="auto"/>
              <w:jc w:val="center"/>
              <w:rPr>
                <w:kern w:val="0"/>
                <w:sz w:val="18"/>
                <w:szCs w:val="18"/>
              </w:rPr>
            </w:pPr>
            <w:r>
              <w:rPr>
                <w:kern w:val="0"/>
                <w:sz w:val="18"/>
                <w:szCs w:val="18"/>
              </w:rPr>
              <w:t>1.00E-06</w:t>
            </w:r>
          </w:p>
        </w:tc>
        <w:tc>
          <w:tcPr>
            <w:tcW w:w="1065" w:type="dxa"/>
            <w:noWrap/>
            <w:vAlign w:val="center"/>
          </w:tcPr>
          <w:p w14:paraId="2236734F">
            <w:pPr>
              <w:widowControl/>
              <w:spacing w:line="240" w:lineRule="auto"/>
              <w:jc w:val="center"/>
              <w:rPr>
                <w:kern w:val="0"/>
                <w:sz w:val="18"/>
                <w:szCs w:val="18"/>
              </w:rPr>
            </w:pPr>
            <w:r>
              <w:rPr>
                <w:kern w:val="0"/>
                <w:sz w:val="18"/>
                <w:szCs w:val="18"/>
              </w:rPr>
              <w:t>1</w:t>
            </w:r>
          </w:p>
        </w:tc>
        <w:tc>
          <w:tcPr>
            <w:tcW w:w="1065" w:type="dxa"/>
            <w:noWrap/>
            <w:vAlign w:val="center"/>
          </w:tcPr>
          <w:p w14:paraId="25736EAA">
            <w:pPr>
              <w:widowControl/>
              <w:spacing w:line="240" w:lineRule="auto"/>
              <w:jc w:val="center"/>
              <w:rPr>
                <w:kern w:val="0"/>
                <w:sz w:val="18"/>
                <w:szCs w:val="18"/>
              </w:rPr>
            </w:pPr>
            <w:r>
              <w:rPr>
                <w:kern w:val="0"/>
                <w:sz w:val="18"/>
                <w:szCs w:val="18"/>
              </w:rPr>
              <w:t>1.5</w:t>
            </w:r>
          </w:p>
        </w:tc>
        <w:tc>
          <w:tcPr>
            <w:tcW w:w="1065" w:type="dxa"/>
            <w:noWrap/>
            <w:vAlign w:val="center"/>
          </w:tcPr>
          <w:p w14:paraId="6DD2B9FD">
            <w:pPr>
              <w:widowControl/>
              <w:spacing w:line="240" w:lineRule="auto"/>
              <w:jc w:val="center"/>
              <w:rPr>
                <w:kern w:val="0"/>
                <w:sz w:val="18"/>
                <w:szCs w:val="18"/>
              </w:rPr>
            </w:pPr>
            <w:r>
              <w:rPr>
                <w:kern w:val="0"/>
                <w:sz w:val="18"/>
                <w:szCs w:val="18"/>
              </w:rPr>
              <w:t>3500</w:t>
            </w:r>
          </w:p>
        </w:tc>
        <w:tc>
          <w:tcPr>
            <w:tcW w:w="1069" w:type="dxa"/>
            <w:noWrap/>
            <w:vAlign w:val="center"/>
          </w:tcPr>
          <w:p w14:paraId="1009C669">
            <w:pPr>
              <w:widowControl/>
              <w:spacing w:line="240" w:lineRule="auto"/>
              <w:jc w:val="center"/>
              <w:rPr>
                <w:kern w:val="0"/>
                <w:sz w:val="18"/>
                <w:szCs w:val="18"/>
              </w:rPr>
            </w:pPr>
            <w:r>
              <w:rPr>
                <w:kern w:val="0"/>
                <w:sz w:val="18"/>
                <w:szCs w:val="18"/>
              </w:rPr>
              <w:t>1500</w:t>
            </w:r>
          </w:p>
        </w:tc>
      </w:tr>
    </w:tbl>
    <w:p w14:paraId="213FB048">
      <w:pPr>
        <w:keepNext/>
        <w:spacing w:before="156" w:beforeLines="50" w:after="156" w:afterLines="50" w:line="240" w:lineRule="auto"/>
        <w:outlineLvl w:val="1"/>
        <w:rPr>
          <w:rFonts w:hint="eastAsia" w:ascii="黑体" w:hAnsi="黑体" w:eastAsia="黑体"/>
          <w:bCs/>
          <w:szCs w:val="32"/>
        </w:rPr>
      </w:pPr>
      <w:r>
        <w:rPr>
          <w:rFonts w:hint="eastAsia" w:ascii="黑体" w:hAnsi="黑体" w:eastAsia="黑体"/>
          <w:bCs/>
          <w:szCs w:val="32"/>
        </w:rPr>
        <w:t>9.4  真空管井</w:t>
      </w:r>
    </w:p>
    <w:p w14:paraId="6AB24D5A">
      <w:pPr>
        <w:spacing w:line="240" w:lineRule="auto"/>
        <w:rPr>
          <w:rFonts w:hint="eastAsia" w:ascii="宋体" w:hAnsi="宋体"/>
        </w:rPr>
      </w:pPr>
      <w:r>
        <w:rPr>
          <w:rFonts w:ascii="黑体" w:hAnsi="黑体" w:eastAsia="黑体"/>
          <w:bCs/>
        </w:rPr>
        <w:t>9.</w:t>
      </w:r>
      <w:r>
        <w:rPr>
          <w:rFonts w:hint="eastAsia" w:ascii="黑体" w:hAnsi="黑体" w:eastAsia="黑体"/>
          <w:bCs/>
        </w:rPr>
        <w:t>4</w:t>
      </w:r>
      <w:r>
        <w:rPr>
          <w:rFonts w:ascii="黑体" w:hAnsi="黑体" w:eastAsia="黑体"/>
          <w:bCs/>
        </w:rPr>
        <w:t>.</w:t>
      </w:r>
      <w:r>
        <w:rPr>
          <w:rFonts w:hint="eastAsia" w:ascii="黑体" w:hAnsi="黑体" w:eastAsia="黑体"/>
          <w:bCs/>
        </w:rPr>
        <w:t>1</w:t>
      </w:r>
      <w:r>
        <w:rPr>
          <w:rFonts w:hint="eastAsia" w:ascii="黑体" w:hAnsi="黑体" w:eastAsia="黑体"/>
        </w:rPr>
        <w:t> </w:t>
      </w:r>
      <w:r>
        <w:rPr>
          <w:rFonts w:hint="eastAsia" w:ascii="宋体" w:hAnsi="宋体" w:eastAsia="黑体" w:cs="宋体"/>
        </w:rPr>
        <w:t> </w:t>
      </w:r>
      <w:r>
        <w:rPr>
          <w:rFonts w:hint="eastAsia" w:ascii="宋体" w:hAnsi="宋体"/>
        </w:rPr>
        <w:t>在武汉地区，真空管井降水多用于厚度较大的互层土。</w:t>
      </w:r>
    </w:p>
    <w:p w14:paraId="49BA1525">
      <w:pPr>
        <w:spacing w:line="240" w:lineRule="auto"/>
        <w:rPr>
          <w:rFonts w:hint="eastAsia" w:ascii="宋体" w:hAnsi="宋体"/>
        </w:rPr>
      </w:pPr>
      <w:r>
        <w:rPr>
          <w:rFonts w:ascii="黑体" w:hAnsi="黑体" w:eastAsia="黑体"/>
          <w:bCs/>
        </w:rPr>
        <w:t>9.</w:t>
      </w:r>
      <w:r>
        <w:rPr>
          <w:rFonts w:hint="eastAsia" w:ascii="黑体" w:hAnsi="黑体" w:eastAsia="黑体"/>
          <w:bCs/>
        </w:rPr>
        <w:t>4</w:t>
      </w:r>
      <w:r>
        <w:rPr>
          <w:rFonts w:ascii="黑体" w:hAnsi="黑体" w:eastAsia="黑体"/>
          <w:bCs/>
        </w:rPr>
        <w:t>.</w:t>
      </w:r>
      <w:r>
        <w:rPr>
          <w:rFonts w:hint="eastAsia" w:ascii="黑体" w:hAnsi="黑体" w:eastAsia="黑体"/>
          <w:bCs/>
        </w:rPr>
        <w:t>2</w:t>
      </w:r>
      <w:r>
        <w:rPr>
          <w:rFonts w:hint="eastAsia" w:ascii="黑体" w:hAnsi="黑体" w:eastAsia="黑体"/>
        </w:rPr>
        <w:t> </w:t>
      </w:r>
      <w:r>
        <w:rPr>
          <w:rFonts w:hint="eastAsia" w:ascii="宋体" w:hAnsi="宋体" w:eastAsia="黑体" w:cs="宋体"/>
        </w:rPr>
        <w:t> </w:t>
      </w:r>
      <w:r>
        <w:rPr>
          <w:rFonts w:hint="eastAsia" w:ascii="宋体" w:hAnsi="宋体"/>
        </w:rPr>
        <w:t>真空管井降水通过真空法，在井点周围形成部分真空，增加流向井点的水力梯度并改善周围土的排水性和稳定性。</w:t>
      </w:r>
    </w:p>
    <w:p w14:paraId="09744BA6">
      <w:pPr>
        <w:keepNext/>
        <w:spacing w:before="156" w:beforeLines="50" w:after="156" w:afterLines="50" w:line="240" w:lineRule="auto"/>
        <w:outlineLvl w:val="1"/>
        <w:rPr>
          <w:rFonts w:hint="eastAsia" w:ascii="宋体" w:hAnsi="宋体" w:eastAsia="黑体"/>
        </w:rPr>
      </w:pPr>
      <w:r>
        <w:rPr>
          <w:rFonts w:hint="eastAsia" w:ascii="黑体" w:hAnsi="黑体" w:eastAsia="黑体"/>
          <w:bCs/>
          <w:szCs w:val="32"/>
        </w:rPr>
        <w:t>9.5  轻型井点</w:t>
      </w:r>
    </w:p>
    <w:p w14:paraId="0668C46A">
      <w:pPr>
        <w:spacing w:line="240" w:lineRule="auto"/>
        <w:rPr>
          <w:rFonts w:hint="eastAsia" w:ascii="宋体" w:hAnsi="宋体" w:eastAsia="黑体" w:cs="宋体"/>
        </w:rPr>
      </w:pPr>
      <w:r>
        <w:rPr>
          <w:rFonts w:ascii="黑体" w:hAnsi="黑体" w:eastAsia="黑体"/>
          <w:bCs/>
        </w:rPr>
        <w:t>9.</w:t>
      </w:r>
      <w:r>
        <w:rPr>
          <w:rFonts w:hint="eastAsia" w:ascii="黑体" w:hAnsi="黑体" w:eastAsia="黑体"/>
          <w:bCs/>
        </w:rPr>
        <w:t>5</w:t>
      </w:r>
      <w:r>
        <w:rPr>
          <w:rFonts w:ascii="黑体" w:hAnsi="黑体" w:eastAsia="黑体"/>
          <w:bCs/>
        </w:rPr>
        <w:t>.</w:t>
      </w:r>
      <w:r>
        <w:rPr>
          <w:rFonts w:hint="eastAsia" w:ascii="黑体" w:hAnsi="黑体" w:eastAsia="黑体"/>
          <w:bCs/>
        </w:rPr>
        <w:t>1</w:t>
      </w:r>
      <w:r>
        <w:rPr>
          <w:rFonts w:hint="eastAsia" w:ascii="黑体" w:hAnsi="黑体" w:eastAsia="黑体"/>
        </w:rPr>
        <w:t> </w:t>
      </w:r>
      <w:r>
        <w:rPr>
          <w:rFonts w:hint="eastAsia" w:ascii="宋体" w:hAnsi="宋体" w:eastAsia="黑体" w:cs="宋体"/>
        </w:rPr>
        <w:t> </w:t>
      </w:r>
      <w:r>
        <w:rPr>
          <w:rFonts w:hint="eastAsia" w:ascii="宋体" w:hAnsi="宋体"/>
        </w:rPr>
        <w:t>轻型井点降水由于排水量很小，当含水层的渗透系数较大时，难以达到降水效果。但在富水性不强且补给不充沛时，也可以采用；在武汉地区，轻型井点降水在粉土层采用较为适宜；当目标含水层为互层土且采用的降水措施不与强含水层连通时，互层土的综合渗透系数大于2也可采用。</w:t>
      </w:r>
    </w:p>
    <w:p w14:paraId="5C0C1E23">
      <w:pPr>
        <w:spacing w:line="240" w:lineRule="auto"/>
        <w:rPr>
          <w:rFonts w:hint="eastAsia" w:ascii="宋体" w:hAnsi="宋体"/>
        </w:rPr>
      </w:pPr>
      <w:r>
        <w:rPr>
          <w:rFonts w:ascii="黑体" w:hAnsi="黑体" w:eastAsia="黑体"/>
          <w:bCs/>
        </w:rPr>
        <w:t>9.</w:t>
      </w:r>
      <w:r>
        <w:rPr>
          <w:rFonts w:hint="eastAsia" w:ascii="黑体" w:hAnsi="黑体" w:eastAsia="黑体"/>
          <w:bCs/>
        </w:rPr>
        <w:t>5</w:t>
      </w:r>
      <w:r>
        <w:rPr>
          <w:rFonts w:ascii="黑体" w:hAnsi="黑体" w:eastAsia="黑体"/>
          <w:bCs/>
        </w:rPr>
        <w:t>.</w:t>
      </w:r>
      <w:r>
        <w:rPr>
          <w:rFonts w:hint="eastAsia" w:ascii="黑体" w:hAnsi="黑体" w:eastAsia="黑体"/>
          <w:bCs/>
        </w:rPr>
        <w:t>2</w:t>
      </w:r>
      <w:r>
        <w:rPr>
          <w:rFonts w:hint="eastAsia" w:ascii="黑体" w:hAnsi="黑体" w:eastAsia="黑体"/>
        </w:rPr>
        <w:t> </w:t>
      </w:r>
      <w:r>
        <w:rPr>
          <w:rFonts w:hint="eastAsia" w:ascii="宋体" w:hAnsi="宋体" w:eastAsia="黑体" w:cs="宋体"/>
        </w:rPr>
        <w:t> </w:t>
      </w:r>
      <w:r>
        <w:rPr>
          <w:rFonts w:hint="eastAsia" w:ascii="宋体" w:hAnsi="宋体"/>
        </w:rPr>
        <w:t>轻型井点主要由井点管（包括过滤器）、集水总管、抽水泵、真空泵等组成；井点管沿基坑周围埋设，在地面铺设有一定坡度的集水总管，井点管与总管用软管或钢管连接，在总管中段适当位置安装抽水水泵或抽水装置，通过真空吸水泵将集水管内水抽出，达到降低</w:t>
      </w:r>
      <w:r>
        <w:fldChar w:fldCharType="begin"/>
      </w:r>
      <w:r>
        <w:instrText xml:space="preserve"> HYPERLINK "https://baike.so.com/doc/3395229-3573948.html" \t "https://baike.so.com/doc/_blank" </w:instrText>
      </w:r>
      <w:r>
        <w:fldChar w:fldCharType="separate"/>
      </w:r>
      <w:r>
        <w:rPr>
          <w:rFonts w:hint="eastAsia" w:ascii="宋体" w:hAnsi="宋体"/>
        </w:rPr>
        <w:t>基坑</w:t>
      </w:r>
      <w:r>
        <w:rPr>
          <w:rFonts w:hint="eastAsia" w:ascii="宋体" w:hAnsi="宋体"/>
        </w:rPr>
        <w:fldChar w:fldCharType="end"/>
      </w:r>
      <w:r>
        <w:rPr>
          <w:rFonts w:hint="eastAsia" w:ascii="宋体" w:hAnsi="宋体"/>
        </w:rPr>
        <w:t>四周</w:t>
      </w:r>
      <w:r>
        <w:fldChar w:fldCharType="begin"/>
      </w:r>
      <w:r>
        <w:instrText xml:space="preserve"> HYPERLINK "https://baike.so.com/doc/372804-394857.html" \t "https://baike.so.com/doc/_blank" </w:instrText>
      </w:r>
      <w:r>
        <w:fldChar w:fldCharType="separate"/>
      </w:r>
      <w:r>
        <w:rPr>
          <w:rFonts w:hint="eastAsia" w:ascii="宋体" w:hAnsi="宋体"/>
        </w:rPr>
        <w:t>地下水位</w:t>
      </w:r>
      <w:r>
        <w:rPr>
          <w:rFonts w:hint="eastAsia" w:ascii="宋体" w:hAnsi="宋体"/>
        </w:rPr>
        <w:fldChar w:fldCharType="end"/>
      </w:r>
      <w:r>
        <w:rPr>
          <w:rFonts w:hint="eastAsia" w:ascii="宋体" w:hAnsi="宋体"/>
        </w:rPr>
        <w:t>的效果。</w:t>
      </w:r>
    </w:p>
    <w:p w14:paraId="6B2A8D5B">
      <w:pPr>
        <w:keepNext/>
        <w:spacing w:before="156" w:beforeLines="50" w:after="156" w:afterLines="50" w:line="240" w:lineRule="auto"/>
        <w:outlineLvl w:val="1"/>
        <w:rPr>
          <w:rFonts w:hint="eastAsia" w:ascii="黑体" w:hAnsi="黑体" w:eastAsia="黑体"/>
          <w:bCs/>
          <w:szCs w:val="32"/>
        </w:rPr>
      </w:pPr>
      <w:bookmarkStart w:id="584" w:name="_Toc142730232"/>
      <w:r>
        <w:rPr>
          <w:rFonts w:hint="eastAsia" w:ascii="黑体" w:hAnsi="黑体" w:eastAsia="黑体"/>
          <w:bCs/>
          <w:szCs w:val="32"/>
        </w:rPr>
        <w:t>9.8  施工</w:t>
      </w:r>
      <w:bookmarkEnd w:id="584"/>
    </w:p>
    <w:p w14:paraId="6C050744">
      <w:pPr>
        <w:spacing w:line="240" w:lineRule="auto"/>
      </w:pPr>
      <w:r>
        <w:rPr>
          <w:rFonts w:ascii="黑体" w:hAnsi="黑体" w:eastAsia="黑体"/>
        </w:rPr>
        <w:t>9.</w:t>
      </w:r>
      <w:r>
        <w:rPr>
          <w:rFonts w:hint="eastAsia" w:ascii="黑体" w:hAnsi="黑体" w:eastAsia="黑体"/>
        </w:rPr>
        <w:t>8</w:t>
      </w:r>
      <w:r>
        <w:rPr>
          <w:rFonts w:ascii="黑体" w:hAnsi="黑体" w:eastAsia="黑体"/>
        </w:rPr>
        <w:t>.</w:t>
      </w:r>
      <w:r>
        <w:rPr>
          <w:rFonts w:hint="eastAsia" w:ascii="黑体" w:hAnsi="黑体" w:eastAsia="黑体"/>
        </w:rPr>
        <w:t>3  </w:t>
      </w:r>
      <w:r>
        <w:t>真空管井是在常规管井降水的基础上，增设真空泵抽气集水系统的一种复合降水方式，</w:t>
      </w:r>
      <w:r>
        <w:rPr>
          <w:bCs/>
        </w:rPr>
        <w:t>主要由真空泵、钢质井盖、钢质井壁管、钢质滤水管、深井潜水泵组成</w:t>
      </w:r>
      <w:r>
        <w:rPr>
          <w:rFonts w:hint="eastAsia"/>
          <w:bCs/>
        </w:rPr>
        <w:t>。</w:t>
      </w:r>
    </w:p>
    <w:p w14:paraId="3B5FE0DF">
      <w:pPr>
        <w:spacing w:before="156" w:beforeLines="50" w:after="156" w:afterLines="50" w:line="240" w:lineRule="auto"/>
        <w:outlineLvl w:val="1"/>
        <w:rPr>
          <w:rFonts w:hint="eastAsia" w:ascii="黑体" w:hAnsi="黑体" w:eastAsia="黑体"/>
          <w:bCs/>
          <w:szCs w:val="32"/>
        </w:rPr>
      </w:pPr>
      <w:bookmarkStart w:id="585" w:name="_Toc142730234"/>
      <w:r>
        <w:rPr>
          <w:rFonts w:hint="eastAsia" w:ascii="黑体" w:hAnsi="黑体" w:eastAsia="黑体"/>
          <w:bCs/>
          <w:szCs w:val="32"/>
        </w:rPr>
        <w:t>9.9  运行与维护</w:t>
      </w:r>
      <w:bookmarkEnd w:id="585"/>
    </w:p>
    <w:p w14:paraId="00A76C71">
      <w:pPr>
        <w:spacing w:line="240" w:lineRule="auto"/>
        <w:jc w:val="left"/>
        <w:rPr>
          <w:bCs/>
        </w:rPr>
      </w:pPr>
      <w:r>
        <w:rPr>
          <w:rFonts w:hint="eastAsia" w:ascii="黑体" w:hAnsi="黑体" w:eastAsia="黑体"/>
        </w:rPr>
        <w:t>9.9.1、9.9.2 </w:t>
      </w:r>
      <w:r>
        <w:rPr>
          <w:rFonts w:hint="eastAsia" w:ascii="宋体" w:hAnsi="宋体" w:eastAsia="黑体" w:cs="宋体"/>
        </w:rPr>
        <w:t> </w:t>
      </w:r>
      <w:r>
        <w:rPr>
          <w:bCs/>
        </w:rPr>
        <w:t>基坑开挖是由浅入深的，不必在降水初期就将地下水水位降低到基坑设计的最大目标水位。基坑降水应根据水位监测情况</w:t>
      </w:r>
      <w:r>
        <w:rPr>
          <w:rFonts w:hint="eastAsia"/>
          <w:bCs/>
        </w:rPr>
        <w:t>和</w:t>
      </w:r>
      <w:r>
        <w:rPr>
          <w:bCs/>
        </w:rPr>
        <w:t>施工开挖工况等</w:t>
      </w:r>
      <w:r>
        <w:rPr>
          <w:rFonts w:hint="eastAsia"/>
          <w:bCs/>
        </w:rPr>
        <w:t>按需进行</w:t>
      </w:r>
      <w:r>
        <w:rPr>
          <w:bCs/>
        </w:rPr>
        <w:t>。基坑周边市政排水管（涵）布置情况和排水能力直接影响基坑工程的排水效率。基坑降水的设计和施工应结合周边市政排水管（涵）布置情况和排水能力，按照最大流量要求进行设计</w:t>
      </w:r>
      <w:r>
        <w:rPr>
          <w:rFonts w:hint="eastAsia"/>
          <w:bCs/>
        </w:rPr>
        <w:t>。</w:t>
      </w:r>
    </w:p>
    <w:p w14:paraId="2A63A1D9">
      <w:pPr>
        <w:spacing w:line="240" w:lineRule="auto"/>
        <w:ind w:firstLine="420" w:firstLineChars="200"/>
        <w:rPr>
          <w:bCs/>
        </w:rPr>
      </w:pPr>
      <w:r>
        <w:rPr>
          <w:bCs/>
        </w:rPr>
        <w:t>排水系统及配电系统设计应安全、可靠、便捷。对于</w:t>
      </w:r>
      <w:r>
        <w:rPr>
          <w:rFonts w:hint="eastAsia"/>
          <w:bCs/>
        </w:rPr>
        <w:t>有</w:t>
      </w:r>
      <w:r>
        <w:rPr>
          <w:bCs/>
        </w:rPr>
        <w:t>内支</w:t>
      </w:r>
      <w:r>
        <w:rPr>
          <w:rFonts w:hint="eastAsia"/>
          <w:bCs/>
        </w:rPr>
        <w:t>撑</w:t>
      </w:r>
      <w:r>
        <w:rPr>
          <w:bCs/>
        </w:rPr>
        <w:t>的</w:t>
      </w:r>
      <w:r>
        <w:rPr>
          <w:rFonts w:hint="eastAsia"/>
          <w:bCs/>
        </w:rPr>
        <w:t>基坑</w:t>
      </w:r>
      <w:r>
        <w:rPr>
          <w:bCs/>
        </w:rPr>
        <w:t>工程</w:t>
      </w:r>
      <w:r>
        <w:rPr>
          <w:rFonts w:hint="eastAsia"/>
          <w:bCs/>
        </w:rPr>
        <w:t>，</w:t>
      </w:r>
      <w:r>
        <w:rPr>
          <w:bCs/>
        </w:rPr>
        <w:t>排水管网可以固定在内支撑上；对于敞开式开挖的基坑工程，井间距较大时可采用灯笼架或钢立柱架设排水管网，该方式在武汉中心大厦、武汉凯德广场、武商摩尔城等项目得到成功运用。主排水管的布置和管径的选择应结合基坑周边排水口的位置、数量、排水管井、坑内抽排量、大气降水等因素综合确定。</w:t>
      </w:r>
    </w:p>
    <w:p w14:paraId="6A61795F">
      <w:pPr>
        <w:spacing w:line="240" w:lineRule="auto"/>
        <w:ind w:firstLine="420" w:firstLineChars="200"/>
      </w:pPr>
      <w:r>
        <w:rPr>
          <w:bCs/>
        </w:rPr>
        <w:t>降水运行期间必须保证不间断的电力供应。为了防止大面积停电的突然发生以及现场电路系统故障，降水运行的整个过程中都必须有双回路电源作保证措施</w:t>
      </w:r>
      <w:r>
        <w:rPr>
          <w:rFonts w:hint="eastAsia"/>
          <w:bCs/>
        </w:rPr>
        <w:t>。</w:t>
      </w:r>
      <w:r>
        <w:rPr>
          <w:bCs/>
        </w:rPr>
        <w:t>备用发电机应考虑降水运行的最大用电功率。</w:t>
      </w:r>
    </w:p>
    <w:p w14:paraId="5BFBF023">
      <w:pPr>
        <w:spacing w:line="240" w:lineRule="auto"/>
        <w:jc w:val="left"/>
      </w:pPr>
      <w:r>
        <w:rPr>
          <w:rFonts w:hint="eastAsia" w:ascii="黑体" w:hAnsi="黑体" w:eastAsia="黑体"/>
        </w:rPr>
        <w:t>9.9.6</w:t>
      </w:r>
      <w:r>
        <w:rPr>
          <w:rFonts w:hint="eastAsia" w:ascii="宋体" w:hAnsi="宋体" w:eastAsia="黑体" w:cs="宋体"/>
        </w:rPr>
        <w:t> </w:t>
      </w:r>
      <w:r>
        <w:rPr>
          <w:rFonts w:hint="eastAsia"/>
          <w:bCs/>
        </w:rPr>
        <w:t>降水管井内的深井泵不同于普通污水泵，坑内的明水和污水直接影响深井泵叶轮、电动机正常工作，严重时引发烧泵，影响</w:t>
      </w:r>
      <w:r>
        <w:rPr>
          <w:bCs/>
        </w:rPr>
        <w:t>降水效果</w:t>
      </w:r>
      <w:r>
        <w:rPr>
          <w:rFonts w:hint="eastAsia"/>
          <w:bCs/>
        </w:rPr>
        <w:t>。</w:t>
      </w:r>
    </w:p>
    <w:p w14:paraId="284E5FEB">
      <w:pPr>
        <w:spacing w:before="156" w:beforeLines="50" w:after="156" w:afterLines="50" w:line="240" w:lineRule="auto"/>
        <w:outlineLvl w:val="1"/>
        <w:rPr>
          <w:rFonts w:hint="eastAsia" w:ascii="黑体" w:hAnsi="黑体" w:eastAsia="黑体"/>
          <w:bCs/>
          <w:szCs w:val="32"/>
        </w:rPr>
      </w:pPr>
      <w:bookmarkStart w:id="586" w:name="_Toc142730235"/>
      <w:r>
        <w:rPr>
          <w:rFonts w:hint="eastAsia" w:ascii="黑体" w:hAnsi="黑体" w:eastAsia="黑体"/>
          <w:bCs/>
          <w:szCs w:val="32"/>
        </w:rPr>
        <w:t>9.10  工程环境影响风险控制</w:t>
      </w:r>
      <w:bookmarkEnd w:id="586"/>
    </w:p>
    <w:p w14:paraId="3BEEAF02">
      <w:pPr>
        <w:spacing w:line="240" w:lineRule="auto"/>
      </w:pPr>
      <w:r>
        <w:rPr>
          <w:rFonts w:ascii="黑体" w:hAnsi="黑体" w:eastAsia="黑体"/>
        </w:rPr>
        <w:t>9.</w:t>
      </w:r>
      <w:r>
        <w:rPr>
          <w:rFonts w:hint="eastAsia" w:ascii="黑体" w:hAnsi="黑体" w:eastAsia="黑体"/>
        </w:rPr>
        <w:t>10</w:t>
      </w:r>
      <w:r>
        <w:rPr>
          <w:rFonts w:ascii="黑体" w:hAnsi="黑体" w:eastAsia="黑体"/>
        </w:rPr>
        <w:t>.1</w:t>
      </w:r>
      <w:r>
        <w:rPr>
          <w:rFonts w:hint="eastAsia" w:ascii="黑体" w:hAnsi="黑体" w:eastAsia="黑体"/>
        </w:rPr>
        <w:t> </w:t>
      </w:r>
      <w:r>
        <w:rPr>
          <w:rFonts w:hint="eastAsia" w:ascii="宋体" w:hAnsi="宋体" w:eastAsia="黑体" w:cs="宋体"/>
        </w:rPr>
        <w:t> </w:t>
      </w:r>
      <w:r>
        <w:rPr>
          <w:bCs/>
        </w:rPr>
        <w:t>在进行降水设计时，</w:t>
      </w:r>
      <w:r>
        <w:rPr>
          <w:rFonts w:hint="eastAsia"/>
          <w:bCs/>
        </w:rPr>
        <w:t>还</w:t>
      </w:r>
      <w:r>
        <w:rPr>
          <w:bCs/>
        </w:rPr>
        <w:t>应对周边环境进行风险源辨识</w:t>
      </w:r>
      <w:r>
        <w:rPr>
          <w:rFonts w:hint="eastAsia"/>
          <w:bCs/>
        </w:rPr>
        <w:t>与风险等级划分</w:t>
      </w:r>
      <w:r>
        <w:rPr>
          <w:bCs/>
        </w:rPr>
        <w:t>，对邻近既有建（构）筑物、地下管线、道路、桥梁、铁路、</w:t>
      </w:r>
      <w:r>
        <w:rPr>
          <w:rFonts w:hint="eastAsia"/>
          <w:bCs/>
        </w:rPr>
        <w:t>轨道交通</w:t>
      </w:r>
      <w:r>
        <w:rPr>
          <w:bCs/>
        </w:rPr>
        <w:t>、堤防应进行</w:t>
      </w:r>
      <w:r>
        <w:rPr>
          <w:rFonts w:hint="eastAsia"/>
          <w:bCs/>
        </w:rPr>
        <w:t>安全</w:t>
      </w:r>
      <w:r>
        <w:rPr>
          <w:bCs/>
        </w:rPr>
        <w:t>影响评估，并采用必要的保护措施。对涉及铁路、</w:t>
      </w:r>
      <w:r>
        <w:rPr>
          <w:rFonts w:hint="eastAsia"/>
          <w:bCs/>
        </w:rPr>
        <w:t>轨道交通</w:t>
      </w:r>
      <w:r>
        <w:rPr>
          <w:bCs/>
        </w:rPr>
        <w:t>、桥梁、堤防</w:t>
      </w:r>
      <w:r>
        <w:rPr>
          <w:rFonts w:hint="eastAsia"/>
          <w:bCs/>
        </w:rPr>
        <w:t>等</w:t>
      </w:r>
      <w:r>
        <w:rPr>
          <w:bCs/>
        </w:rPr>
        <w:t>需要做专题影响评估报告</w:t>
      </w:r>
      <w:r>
        <w:rPr>
          <w:rFonts w:hint="eastAsia"/>
          <w:bCs/>
        </w:rPr>
        <w:t>的</w:t>
      </w:r>
      <w:r>
        <w:rPr>
          <w:bCs/>
        </w:rPr>
        <w:t>，</w:t>
      </w:r>
      <w:r>
        <w:rPr>
          <w:rFonts w:hint="eastAsia"/>
          <w:bCs/>
        </w:rPr>
        <w:t>应</w:t>
      </w:r>
      <w:r>
        <w:rPr>
          <w:bCs/>
        </w:rPr>
        <w:t>报相关部门进行批准，取得书面意见</w:t>
      </w:r>
      <w:r>
        <w:rPr>
          <w:rFonts w:hint="eastAsia"/>
          <w:bCs/>
        </w:rPr>
        <w:t>。</w:t>
      </w:r>
    </w:p>
    <w:p w14:paraId="71E0DDA1">
      <w:pPr>
        <w:spacing w:line="240" w:lineRule="auto"/>
      </w:pPr>
      <w:r>
        <w:rPr>
          <w:rFonts w:ascii="黑体" w:hAnsi="黑体" w:eastAsia="黑体"/>
        </w:rPr>
        <w:t>9.</w:t>
      </w:r>
      <w:r>
        <w:rPr>
          <w:rFonts w:hint="eastAsia" w:ascii="黑体" w:hAnsi="黑体" w:eastAsia="黑体"/>
        </w:rPr>
        <w:t>10</w:t>
      </w:r>
      <w:r>
        <w:rPr>
          <w:rFonts w:ascii="黑体" w:hAnsi="黑体" w:eastAsia="黑体"/>
        </w:rPr>
        <w:t>.2</w:t>
      </w:r>
      <w:r>
        <w:rPr>
          <w:rFonts w:hint="eastAsia" w:ascii="黑体" w:hAnsi="黑体" w:eastAsia="黑体"/>
        </w:rPr>
        <w:t> </w:t>
      </w:r>
      <w:r>
        <w:rPr>
          <w:rFonts w:hint="eastAsia" w:ascii="宋体" w:hAnsi="宋体" w:eastAsia="黑体" w:cs="宋体"/>
        </w:rPr>
        <w:t> </w:t>
      </w:r>
      <w:r>
        <w:rPr>
          <w:bCs/>
        </w:rPr>
        <w:t>当基坑降水对周边环境影响超过环境承受能力时，应对受影响的建（构）筑物采取</w:t>
      </w:r>
      <w:r>
        <w:rPr>
          <w:rFonts w:hint="eastAsia"/>
          <w:bCs/>
        </w:rPr>
        <w:t>保护</w:t>
      </w:r>
      <w:r>
        <w:rPr>
          <w:bCs/>
        </w:rPr>
        <w:t>措施，或</w:t>
      </w:r>
      <w:r>
        <w:rPr>
          <w:rFonts w:hint="eastAsia"/>
          <w:bCs/>
        </w:rPr>
        <w:t>采取</w:t>
      </w:r>
      <w:r>
        <w:rPr>
          <w:bCs/>
        </w:rPr>
        <w:t>隔</w:t>
      </w:r>
      <w:r>
        <w:rPr>
          <w:rFonts w:hint="eastAsia"/>
          <w:bCs/>
        </w:rPr>
        <w:t>渗</w:t>
      </w:r>
      <w:r>
        <w:rPr>
          <w:bCs/>
        </w:rPr>
        <w:t>措施</w:t>
      </w:r>
      <w:r>
        <w:rPr>
          <w:rFonts w:hint="eastAsia"/>
          <w:bCs/>
        </w:rPr>
        <w:t>阻隔</w:t>
      </w:r>
      <w:r>
        <w:rPr>
          <w:bCs/>
        </w:rPr>
        <w:t>降水对周边环境的影响。</w:t>
      </w:r>
    </w:p>
    <w:p w14:paraId="4C15266B">
      <w:pPr>
        <w:pStyle w:val="2"/>
        <w:keepLines w:val="0"/>
        <w:spacing w:before="312" w:beforeLines="100" w:after="312" w:afterLines="100" w:line="240" w:lineRule="auto"/>
        <w:rPr>
          <w:rFonts w:hint="eastAsia" w:ascii="黑体" w:hAnsi="黑体" w:eastAsia="黑体"/>
          <w:b w:val="0"/>
          <w:bCs w:val="0"/>
          <w:sz w:val="21"/>
          <w:szCs w:val="21"/>
        </w:rPr>
      </w:pPr>
      <w:bookmarkStart w:id="587" w:name="_Toc7046"/>
      <w:bookmarkStart w:id="588" w:name="_Toc142730236"/>
      <w:bookmarkStart w:id="589" w:name="_Toc1637"/>
      <w:r>
        <w:rPr>
          <w:rFonts w:hint="eastAsia" w:ascii="黑体" w:hAnsi="黑体" w:eastAsia="黑体"/>
          <w:b w:val="0"/>
          <w:bCs w:val="0"/>
          <w:sz w:val="21"/>
          <w:szCs w:val="21"/>
        </w:rPr>
        <w:t>10  回灌</w:t>
      </w:r>
      <w:bookmarkEnd w:id="587"/>
      <w:bookmarkEnd w:id="588"/>
      <w:bookmarkEnd w:id="589"/>
    </w:p>
    <w:p w14:paraId="728AE7A8">
      <w:pPr>
        <w:spacing w:before="156" w:beforeLines="50" w:after="156" w:afterLines="50" w:line="240" w:lineRule="auto"/>
        <w:outlineLvl w:val="1"/>
        <w:rPr>
          <w:rFonts w:hint="eastAsia" w:ascii="黑体" w:hAnsi="黑体" w:eastAsia="黑体"/>
          <w:bCs/>
          <w:szCs w:val="32"/>
        </w:rPr>
      </w:pPr>
      <w:bookmarkStart w:id="590" w:name="_Toc142730237"/>
      <w:r>
        <w:rPr>
          <w:rFonts w:hint="eastAsia" w:ascii="黑体" w:hAnsi="黑体" w:eastAsia="黑体"/>
          <w:bCs/>
          <w:szCs w:val="32"/>
        </w:rPr>
        <w:t>10.1  一般规定</w:t>
      </w:r>
      <w:bookmarkEnd w:id="590"/>
    </w:p>
    <w:p w14:paraId="34A1DA64">
      <w:pPr>
        <w:spacing w:line="240" w:lineRule="auto"/>
        <w:rPr>
          <w:rFonts w:hint="eastAsia" w:ascii="宋体" w:hAnsi="宋体" w:cs="宋体"/>
        </w:rPr>
      </w:pPr>
      <w:r>
        <w:rPr>
          <w:rFonts w:ascii="黑体" w:hAnsi="黑体" w:eastAsia="黑体"/>
        </w:rPr>
        <w:t>10.</w:t>
      </w:r>
      <w:r>
        <w:rPr>
          <w:rFonts w:hint="eastAsia" w:ascii="黑体" w:hAnsi="黑体" w:eastAsia="黑体"/>
        </w:rPr>
        <w:t>1</w:t>
      </w:r>
      <w:r>
        <w:rPr>
          <w:rFonts w:ascii="黑体" w:hAnsi="黑体" w:eastAsia="黑体"/>
        </w:rPr>
        <w:t>.1</w:t>
      </w:r>
      <w:r>
        <w:rPr>
          <w:rFonts w:hint="eastAsia" w:ascii="黑体" w:hAnsi="黑体" w:eastAsia="黑体"/>
        </w:rPr>
        <w:t> </w:t>
      </w:r>
      <w:r>
        <w:rPr>
          <w:rFonts w:hint="eastAsia" w:ascii="宋体" w:hAnsi="宋体" w:eastAsia="黑体" w:cs="宋体"/>
        </w:rPr>
        <w:t> </w:t>
      </w:r>
      <w:r>
        <w:rPr>
          <w:rFonts w:hint="eastAsia" w:ascii="宋体" w:hAnsi="宋体"/>
        </w:rPr>
        <w:t>在基坑开挖深度大，需长时间、大幅度抽水时，其引起的沉降变形超出周边建（构）物变形允许范围值的，可采取回灌措施。</w:t>
      </w:r>
    </w:p>
    <w:p w14:paraId="0B27714B">
      <w:pPr>
        <w:spacing w:line="240" w:lineRule="auto"/>
        <w:rPr>
          <w:rFonts w:hint="eastAsia" w:ascii="宋体" w:hAnsi="宋体" w:cs="宋体"/>
        </w:rPr>
      </w:pPr>
      <w:r>
        <w:rPr>
          <w:rFonts w:hint="eastAsia" w:ascii="黑体" w:hAnsi="黑体" w:eastAsia="黑体"/>
        </w:rPr>
        <w:t>10.1.2 </w:t>
      </w:r>
      <w:r>
        <w:rPr>
          <w:rFonts w:hint="eastAsia" w:ascii="宋体" w:hAnsi="宋体" w:eastAsia="黑体" w:cs="宋体"/>
        </w:rPr>
        <w:t> </w:t>
      </w:r>
      <w:r>
        <w:rPr>
          <w:rFonts w:hint="eastAsia" w:ascii="宋体" w:hAnsi="宋体" w:cs="宋体"/>
        </w:rPr>
        <w:t>回灌水位标高应根据实际地下水位的变化及时调节，既要防止水头过高又要防止水头过低，水头过高可能导致原地下水位以上土层湿陷或者软化、已有邻近地下室漏水或本工程隔渗帷幕被击穿等不良现象。水头过低影响回灌效果，因此要求在工程场地附近设置一定数量的观测井，定时进行观测和分析。</w:t>
      </w:r>
    </w:p>
    <w:p w14:paraId="61C540BC">
      <w:pPr>
        <w:spacing w:line="240" w:lineRule="auto"/>
      </w:pPr>
      <w:r>
        <w:rPr>
          <w:rFonts w:hint="eastAsia" w:ascii="黑体" w:hAnsi="黑体" w:eastAsia="黑体"/>
        </w:rPr>
        <w:t>10.1.3 </w:t>
      </w:r>
      <w:r>
        <w:rPr>
          <w:rFonts w:hint="eastAsia"/>
        </w:rPr>
        <w:t>回灌水悬浮物浓度应控制在</w:t>
      </w:r>
      <w:r>
        <w:rPr>
          <w:rFonts w:ascii="Times New Roman"/>
        </w:rPr>
        <w:t> </w:t>
      </w:r>
      <w:r>
        <w:rPr>
          <w:rFonts w:hint="eastAsia"/>
        </w:rPr>
        <w:t>20</w:t>
      </w:r>
      <w:r>
        <w:rPr>
          <w:rFonts w:ascii="Times New Roman"/>
        </w:rPr>
        <w:t> </w:t>
      </w:r>
      <w:r>
        <w:rPr>
          <w:rFonts w:hint="eastAsia"/>
        </w:rPr>
        <w:t>mg/L</w:t>
      </w:r>
      <w:r>
        <w:rPr>
          <w:rFonts w:ascii="Times New Roman"/>
        </w:rPr>
        <w:t> </w:t>
      </w:r>
      <w:r>
        <w:rPr>
          <w:rFonts w:hint="eastAsia" w:hAnsi="宋体" w:cs="宋体"/>
        </w:rPr>
        <w:t>以下</w:t>
      </w:r>
      <w:r>
        <w:rPr>
          <w:rFonts w:hint="eastAsia"/>
        </w:rPr>
        <w:t>。</w:t>
      </w:r>
    </w:p>
    <w:p w14:paraId="6DBEB31A">
      <w:pPr>
        <w:spacing w:line="240" w:lineRule="auto"/>
      </w:pPr>
      <w:r>
        <w:rPr>
          <w:rFonts w:hint="eastAsia" w:ascii="黑体" w:hAnsi="黑体" w:eastAsia="黑体"/>
        </w:rPr>
        <w:t>10.1.5 </w:t>
      </w:r>
      <w:r>
        <w:rPr>
          <w:rFonts w:hint="eastAsia" w:ascii="宋体" w:hAnsi="宋体" w:eastAsia="黑体" w:cs="宋体"/>
        </w:rPr>
        <w:t> </w:t>
      </w:r>
      <w:r>
        <w:rPr>
          <w:rFonts w:hint="eastAsia" w:ascii="宋体" w:hAnsi="宋体" w:cs="宋体"/>
        </w:rPr>
        <w:t>回灌管井的控制范围应大于周边已有建（构）筑物或地下管线与基坑相邻侧的边长。回灌管井应优先布设在地层沉降敏感区、降水管井群的最大影响区和重点控制区。</w:t>
      </w:r>
    </w:p>
    <w:p w14:paraId="2CDF8F11">
      <w:pPr>
        <w:spacing w:before="156" w:beforeLines="50" w:after="156" w:afterLines="50" w:line="240" w:lineRule="auto"/>
        <w:outlineLvl w:val="1"/>
        <w:rPr>
          <w:rFonts w:hint="eastAsia" w:ascii="黑体" w:hAnsi="黑体" w:eastAsia="黑体"/>
          <w:bCs/>
          <w:szCs w:val="32"/>
        </w:rPr>
      </w:pPr>
      <w:bookmarkStart w:id="591" w:name="_Toc142730238"/>
      <w:r>
        <w:rPr>
          <w:rFonts w:hint="eastAsia" w:ascii="黑体" w:hAnsi="黑体" w:eastAsia="黑体"/>
          <w:bCs/>
          <w:szCs w:val="32"/>
        </w:rPr>
        <w:t>10.2  设计</w:t>
      </w:r>
      <w:bookmarkEnd w:id="591"/>
    </w:p>
    <w:p w14:paraId="21B299B8">
      <w:pPr>
        <w:spacing w:line="240" w:lineRule="auto"/>
        <w:rPr>
          <w:rFonts w:hint="eastAsia" w:ascii="宋体" w:hAnsi="宋体"/>
        </w:rPr>
      </w:pPr>
      <w:r>
        <w:rPr>
          <w:rFonts w:ascii="黑体" w:hAnsi="黑体" w:eastAsia="黑体"/>
        </w:rPr>
        <w:t>10</w:t>
      </w:r>
      <w:r>
        <w:rPr>
          <w:rFonts w:hint="eastAsia" w:ascii="黑体" w:hAnsi="黑体" w:eastAsia="黑体"/>
        </w:rPr>
        <w:t>.2.3 </w:t>
      </w:r>
      <w:r>
        <w:rPr>
          <w:rFonts w:hint="eastAsia" w:ascii="宋体" w:hAnsi="宋体" w:eastAsia="黑体" w:cs="宋体"/>
        </w:rPr>
        <w:t> </w:t>
      </w:r>
      <w:r>
        <w:rPr>
          <w:rFonts w:hint="eastAsia" w:ascii="宋体" w:hAnsi="宋体"/>
        </w:rPr>
        <w:t>回灌设计目标是要实现对周边环境的变形控制要求，技术手段是结合地质条件通过选择合理的回灌方法实现地下水位的抬升抑制周边环境的沉降。选择加压回灌</w:t>
      </w:r>
      <w:r>
        <w:rPr>
          <w:rFonts w:ascii="宋体" w:hAnsi="宋体"/>
        </w:rPr>
        <w:t>时，</w:t>
      </w:r>
      <w:r>
        <w:rPr>
          <w:rFonts w:hint="eastAsia" w:ascii="宋体" w:hAnsi="宋体"/>
        </w:rPr>
        <w:t>应做好压力值的合理化确定、井壁封堵措施的设计及施工质量控制，防止井壁在水压力作用下的劈裂破坏，同时</w:t>
      </w:r>
      <w:r>
        <w:rPr>
          <w:rFonts w:ascii="宋体" w:hAnsi="宋体"/>
        </w:rPr>
        <w:t>还要考虑</w:t>
      </w:r>
      <w:r>
        <w:rPr>
          <w:rFonts w:hint="eastAsia" w:ascii="宋体" w:hAnsi="宋体"/>
        </w:rPr>
        <w:t>加压</w:t>
      </w:r>
      <w:r>
        <w:rPr>
          <w:rFonts w:ascii="宋体" w:hAnsi="宋体"/>
        </w:rPr>
        <w:t>过程中对周边环境的影响。</w:t>
      </w:r>
    </w:p>
    <w:p w14:paraId="3E90D6F4">
      <w:pPr>
        <w:pStyle w:val="236"/>
        <w:rPr>
          <w:rFonts w:hint="eastAsia" w:hAnsi="宋体"/>
          <w:color w:val="auto"/>
          <w:sz w:val="21"/>
        </w:rPr>
      </w:pPr>
      <w:r>
        <w:rPr>
          <w:rFonts w:ascii="黑体" w:hAnsi="黑体" w:eastAsia="黑体" w:cs="Times New Roman"/>
          <w:color w:val="auto"/>
          <w:sz w:val="21"/>
        </w:rPr>
        <w:t>10</w:t>
      </w:r>
      <w:r>
        <w:rPr>
          <w:rFonts w:hint="eastAsia" w:ascii="黑体" w:hAnsi="黑体" w:eastAsia="黑体" w:cs="Times New Roman"/>
          <w:color w:val="auto"/>
          <w:sz w:val="21"/>
        </w:rPr>
        <w:t>.2.4</w:t>
      </w:r>
      <w:r>
        <w:rPr>
          <w:rFonts w:hint="eastAsia" w:ascii="黑体" w:hAnsi="黑体" w:eastAsia="黑体" w:cs="Times New Roman"/>
          <w:color w:val="auto"/>
        </w:rPr>
        <w:t> </w:t>
      </w:r>
      <w:r>
        <w:rPr>
          <w:rFonts w:hint="eastAsia" w:hAnsi="宋体" w:eastAsia="黑体"/>
          <w:color w:val="auto"/>
        </w:rPr>
        <w:t> </w:t>
      </w:r>
      <w:r>
        <w:rPr>
          <w:rFonts w:hint="eastAsia" w:hAnsi="宋体"/>
          <w:color w:val="auto"/>
          <w:sz w:val="21"/>
        </w:rPr>
        <w:t>加压回灌时，压力增大，回灌量上升，水位抬升越明显，但回灌压力受井壁隔水封闭层厚度及地层条件的制约，过大的回灌压力会使地下水沿井管外渗出并导致加压回灌失效。本条文规定了允许回灌压力的计算方法，目的是限制回灌管井的允许最大回灌压力。</w:t>
      </w:r>
    </w:p>
    <w:p w14:paraId="711DD145">
      <w:pPr>
        <w:spacing w:line="240" w:lineRule="auto"/>
        <w:ind w:firstLine="420"/>
        <w:rPr>
          <w:rFonts w:hint="eastAsia" w:ascii="宋体" w:hAnsi="宋体" w:cs="宋体"/>
        </w:rPr>
      </w:pPr>
      <w:r>
        <w:rPr>
          <w:rFonts w:hint="eastAsia" w:ascii="宋体" w:hAnsi="宋体" w:cs="宋体"/>
        </w:rPr>
        <w:t>在加压回灌过程中，结合工程实践案例，极少出现回灌水头压力使井壁原状土地层发生变形破坏导致冒水的现象，往往出现回灌井井壁冒水的情况，其主要原因为</w:t>
      </w:r>
      <w:r>
        <w:rPr>
          <w:rFonts w:ascii="宋体" w:hAnsi="宋体" w:cs="宋体"/>
        </w:rPr>
        <w:t>:</w:t>
      </w:r>
      <w:r>
        <w:rPr>
          <w:rFonts w:hint="eastAsia" w:ascii="宋体" w:hAnsi="宋体" w:cs="宋体"/>
        </w:rPr>
        <w:t>首先，</w:t>
      </w:r>
      <w:r>
        <w:rPr>
          <w:rFonts w:ascii="宋体" w:hAnsi="宋体" w:cs="宋体"/>
        </w:rPr>
        <w:t>井壁</w:t>
      </w:r>
      <w:r>
        <w:rPr>
          <w:rFonts w:hint="eastAsia" w:ascii="宋体" w:hAnsi="宋体" w:cs="宋体"/>
        </w:rPr>
        <w:t>隔水封闭层</w:t>
      </w:r>
      <w:r>
        <w:rPr>
          <w:rFonts w:ascii="宋体" w:hAnsi="宋体" w:cs="宋体"/>
        </w:rPr>
        <w:t>回填不密实，含水层至地面</w:t>
      </w:r>
      <w:r>
        <w:rPr>
          <w:rFonts w:hint="eastAsia" w:ascii="宋体" w:hAnsi="宋体" w:cs="宋体"/>
        </w:rPr>
        <w:t>间</w:t>
      </w:r>
      <w:r>
        <w:rPr>
          <w:rFonts w:ascii="宋体" w:hAnsi="宋体" w:cs="宋体"/>
        </w:rPr>
        <w:t>有</w:t>
      </w:r>
      <w:r>
        <w:rPr>
          <w:rFonts w:hint="eastAsia" w:ascii="宋体" w:hAnsi="宋体" w:cs="宋体"/>
        </w:rPr>
        <w:t>渗流通道</w:t>
      </w:r>
      <w:r>
        <w:rPr>
          <w:rFonts w:ascii="宋体" w:hAnsi="宋体" w:cs="宋体"/>
        </w:rPr>
        <w:t>存在，该种情况下，回灌水头超过地面即</w:t>
      </w:r>
      <w:r>
        <w:rPr>
          <w:rFonts w:hint="eastAsia" w:ascii="宋体" w:hAnsi="宋体" w:cs="宋体"/>
        </w:rPr>
        <w:t>可能产生</w:t>
      </w:r>
      <w:r>
        <w:rPr>
          <w:rFonts w:ascii="宋体" w:hAnsi="宋体" w:cs="宋体"/>
        </w:rPr>
        <w:t>冒水</w:t>
      </w:r>
      <w:r>
        <w:rPr>
          <w:rFonts w:hint="eastAsia" w:ascii="宋体" w:hAnsi="宋体" w:cs="宋体"/>
        </w:rPr>
        <w:t>，</w:t>
      </w:r>
      <w:r>
        <w:rPr>
          <w:rFonts w:ascii="宋体" w:hAnsi="宋体" w:cs="宋体"/>
        </w:rPr>
        <w:t>属于施工不达标。</w:t>
      </w:r>
      <w:r>
        <w:rPr>
          <w:rFonts w:hint="eastAsia" w:ascii="宋体" w:hAnsi="宋体" w:cs="宋体"/>
        </w:rPr>
        <w:t>其次，隔水封闭层施工质量较好的条件下，黏</w:t>
      </w:r>
      <w:r>
        <w:rPr>
          <w:rFonts w:ascii="宋体" w:hAnsi="宋体" w:cs="宋体"/>
        </w:rPr>
        <w:t>土球底部因回灌</w:t>
      </w:r>
      <w:r>
        <w:rPr>
          <w:rFonts w:hint="eastAsia" w:ascii="宋体" w:hAnsi="宋体" w:cs="宋体"/>
        </w:rPr>
        <w:t>压力</w:t>
      </w:r>
      <w:r>
        <w:rPr>
          <w:rFonts w:ascii="宋体" w:hAnsi="宋体" w:cs="宋体"/>
        </w:rPr>
        <w:t>的增加发生</w:t>
      </w:r>
      <w:r>
        <w:rPr>
          <w:rFonts w:hint="eastAsia" w:ascii="宋体" w:hAnsi="宋体" w:cs="宋体"/>
        </w:rPr>
        <w:t>劈裂</w:t>
      </w:r>
      <w:r>
        <w:rPr>
          <w:rFonts w:ascii="宋体" w:hAnsi="宋体" w:cs="宋体"/>
        </w:rPr>
        <w:t>拉伸破坏，逐渐形成垂向裂隙，最终发展至地面冒水</w:t>
      </w:r>
      <w:r>
        <w:rPr>
          <w:rFonts w:hint="eastAsia" w:ascii="宋体" w:hAnsi="宋体" w:cs="宋体"/>
        </w:rPr>
        <w:t>。</w:t>
      </w:r>
    </w:p>
    <w:p w14:paraId="5BD88F1B">
      <w:pPr>
        <w:spacing w:line="240" w:lineRule="auto"/>
        <w:ind w:firstLine="420"/>
        <w:rPr>
          <w:rFonts w:hint="eastAsia" w:ascii="宋体" w:hAnsi="宋体" w:cs="宋体"/>
        </w:rPr>
      </w:pPr>
      <w:r>
        <w:rPr>
          <w:rFonts w:hint="eastAsia" w:ascii="宋体" w:hAnsi="宋体" w:cs="宋体"/>
        </w:rPr>
        <w:t>隔水封闭层</w:t>
      </w:r>
      <w:r>
        <w:rPr>
          <w:rFonts w:ascii="宋体" w:hAnsi="宋体" w:cs="宋体"/>
        </w:rPr>
        <w:t>底部发生</w:t>
      </w:r>
      <w:r>
        <w:rPr>
          <w:rFonts w:hint="eastAsia" w:ascii="宋体" w:hAnsi="宋体" w:cs="宋体"/>
        </w:rPr>
        <w:t>劈裂</w:t>
      </w:r>
      <w:r>
        <w:rPr>
          <w:rFonts w:ascii="宋体" w:hAnsi="宋体" w:cs="宋体"/>
        </w:rPr>
        <w:t>拉伸破坏是</w:t>
      </w:r>
      <w:r>
        <w:rPr>
          <w:rFonts w:hint="eastAsia" w:ascii="宋体" w:hAnsi="宋体" w:cs="宋体"/>
        </w:rPr>
        <w:t>确定允许</w:t>
      </w:r>
      <w:r>
        <w:rPr>
          <w:rFonts w:ascii="宋体" w:hAnsi="宋体" w:cs="宋体"/>
        </w:rPr>
        <w:t>回灌</w:t>
      </w:r>
      <w:r>
        <w:rPr>
          <w:rFonts w:hint="eastAsia" w:ascii="宋体" w:hAnsi="宋体" w:cs="宋体"/>
        </w:rPr>
        <w:t>压力</w:t>
      </w:r>
      <w:r>
        <w:rPr>
          <w:rFonts w:ascii="宋体" w:hAnsi="宋体" w:cs="宋体"/>
        </w:rPr>
        <w:t>的主控因素</w:t>
      </w:r>
      <w:r>
        <w:rPr>
          <w:rFonts w:hint="eastAsia" w:ascii="宋体" w:hAnsi="宋体" w:cs="宋体"/>
        </w:rPr>
        <w:t>，但考虑到隔水封闭层及侧壁原状土的界面抗劈裂性能与施工质量及原状土性能等存在直接关系，其取值难度较大。本规范推荐的允许回灌压力计算公式是采用土体突涌稳定性验算逻辑，并结合回灌试验实测数据对安全系数取值范围进行了相关规定</w:t>
      </w:r>
      <w:r>
        <w:rPr>
          <w:rFonts w:ascii="宋体" w:hAnsi="宋体" w:cs="宋体"/>
        </w:rPr>
        <w:t>。</w:t>
      </w:r>
    </w:p>
    <w:p w14:paraId="60395281">
      <w:pPr>
        <w:spacing w:line="240" w:lineRule="auto"/>
        <w:ind w:firstLine="420"/>
        <w:rPr>
          <w:b/>
          <w:bCs/>
          <w:position w:val="-30"/>
          <w:sz w:val="28"/>
          <w:szCs w:val="28"/>
        </w:rPr>
      </w:pPr>
      <w:r>
        <w:rPr>
          <w:rFonts w:hint="eastAsia" w:ascii="宋体" w:hAnsi="宋体" w:cs="宋体"/>
        </w:rPr>
        <w:t xml:space="preserve"> </w:t>
      </w:r>
      <w:r>
        <w:rPr>
          <w:rFonts w:hint="eastAsia"/>
          <w:b/>
          <w:bCs/>
          <w:position w:val="-30"/>
          <w:sz w:val="28"/>
          <w:szCs w:val="28"/>
        </w:rPr>
        <w:t xml:space="preserve">  </w:t>
      </w:r>
    </w:p>
    <w:p w14:paraId="53970869">
      <w:pPr>
        <w:pStyle w:val="236"/>
        <w:jc w:val="center"/>
        <w:rPr>
          <w:color w:val="4472C4" w:themeColor="accent1"/>
          <w14:textFill>
            <w14:solidFill>
              <w14:schemeClr w14:val="accent1"/>
            </w14:solidFill>
          </w14:textFill>
        </w:rPr>
      </w:pPr>
      <w:r>
        <w:drawing>
          <wp:inline distT="0" distB="0" distL="0" distR="0">
            <wp:extent cx="1814195" cy="2879725"/>
            <wp:effectExtent l="0" t="0" r="1905" b="31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r="10853"/>
                    <a:stretch>
                      <a:fillRect/>
                    </a:stretch>
                  </pic:blipFill>
                  <pic:spPr>
                    <a:xfrm>
                      <a:off x="0" y="0"/>
                      <a:ext cx="1814195" cy="2879725"/>
                    </a:xfrm>
                    <a:prstGeom prst="rect">
                      <a:avLst/>
                    </a:prstGeom>
                    <a:noFill/>
                    <a:ln>
                      <a:noFill/>
                    </a:ln>
                  </pic:spPr>
                </pic:pic>
              </a:graphicData>
            </a:graphic>
          </wp:inline>
        </w:drawing>
      </w:r>
    </w:p>
    <w:p w14:paraId="3BD39C44">
      <w:pPr>
        <w:pStyle w:val="173"/>
        <w:numPr>
          <w:ilvl w:val="3"/>
          <w:numId w:val="0"/>
        </w:num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ascii="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回灌井计算模型示意图</w:t>
      </w:r>
    </w:p>
    <w:p w14:paraId="15A8C65D">
      <w:pPr>
        <w:widowControl/>
        <w:spacing w:line="240" w:lineRule="auto"/>
        <w:ind w:firstLine="420" w:firstLineChars="200"/>
        <w:jc w:val="left"/>
        <w:rPr>
          <w:rFonts w:ascii="Times New Roman" w:hAnsi="Times New Roman"/>
          <w:kern w:val="0"/>
          <w:szCs w:val="24"/>
        </w:rPr>
      </w:pPr>
      <w:r>
        <w:rPr>
          <w:rFonts w:ascii="Times New Roman" w:hAnsi="Times New Roman"/>
          <w:kern w:val="0"/>
          <w:szCs w:val="24"/>
        </w:rPr>
        <w:t>案例</w:t>
      </w:r>
      <w:r>
        <w:rPr>
          <w:rFonts w:hint="eastAsia" w:ascii="Times New Roman" w:hAnsi="Times New Roman"/>
          <w:kern w:val="0"/>
          <w:szCs w:val="24"/>
        </w:rPr>
        <w:t>1：武汉保利</w:t>
      </w:r>
      <w:r>
        <w:rPr>
          <w:rFonts w:ascii="Times New Roman" w:hAnsi="Times New Roman"/>
          <w:kern w:val="0"/>
          <w:szCs w:val="24"/>
        </w:rPr>
        <w:t>K1地块深基坑降水及回灌工程中，</w:t>
      </w:r>
      <w:r>
        <w:rPr>
          <w:rFonts w:hint="eastAsia" w:ascii="Times New Roman" w:hAnsi="Times New Roman"/>
          <w:kern w:val="0"/>
          <w:szCs w:val="24"/>
        </w:rPr>
        <w:t>隔水封闭层采用</w:t>
      </w:r>
      <w:r>
        <w:rPr>
          <w:rFonts w:ascii="Times New Roman" w:hAnsi="Times New Roman"/>
          <w:kern w:val="0"/>
          <w:szCs w:val="24"/>
        </w:rPr>
        <w:t>18.0m</w:t>
      </w:r>
      <w:r>
        <w:rPr>
          <w:rFonts w:hint="eastAsia" w:ascii="Times New Roman" w:hAnsi="Times New Roman"/>
          <w:kern w:val="0"/>
          <w:szCs w:val="24"/>
        </w:rPr>
        <w:t>的</w:t>
      </w:r>
      <w:r>
        <w:rPr>
          <w:rFonts w:ascii="Times New Roman" w:hAnsi="Times New Roman"/>
          <w:kern w:val="0"/>
          <w:szCs w:val="24"/>
        </w:rPr>
        <w:t>黏土球</w:t>
      </w:r>
      <w:r>
        <w:rPr>
          <w:rFonts w:hint="eastAsia" w:ascii="Times New Roman" w:hAnsi="Times New Roman"/>
          <w:kern w:val="0"/>
          <w:szCs w:val="24"/>
        </w:rPr>
        <w:t>，</w:t>
      </w:r>
      <w:r>
        <w:rPr>
          <w:rFonts w:ascii="Times New Roman" w:hAnsi="Times New Roman"/>
          <w:kern w:val="0"/>
          <w:szCs w:val="24"/>
        </w:rPr>
        <w:t>未采取严格回填密封措施</w:t>
      </w:r>
      <w:r>
        <w:rPr>
          <w:rFonts w:hint="eastAsia" w:ascii="Times New Roman" w:hAnsi="Times New Roman"/>
          <w:kern w:val="0"/>
          <w:szCs w:val="24"/>
        </w:rPr>
        <w:t>，</w:t>
      </w:r>
      <w:r>
        <w:rPr>
          <w:rFonts w:ascii="Times New Roman" w:hAnsi="Times New Roman"/>
          <w:kern w:val="0"/>
          <w:szCs w:val="24"/>
        </w:rPr>
        <w:t>回灌井单井压力达到0.02M</w:t>
      </w:r>
      <w:r>
        <w:rPr>
          <w:rFonts w:hint="eastAsia" w:ascii="Times New Roman" w:hAnsi="Times New Roman"/>
          <w:kern w:val="0"/>
          <w:szCs w:val="24"/>
        </w:rPr>
        <w:t>P</w:t>
      </w:r>
      <w:r>
        <w:rPr>
          <w:rFonts w:ascii="Times New Roman" w:hAnsi="Times New Roman"/>
          <w:kern w:val="0"/>
          <w:szCs w:val="24"/>
        </w:rPr>
        <w:t>a时，井周边出现冒水冒砂</w:t>
      </w:r>
      <w:r>
        <w:rPr>
          <w:rFonts w:hint="eastAsia" w:ascii="Times New Roman" w:hAnsi="Times New Roman"/>
          <w:kern w:val="0"/>
          <w:szCs w:val="24"/>
        </w:rPr>
        <w:t>，</w:t>
      </w:r>
      <w:r>
        <w:rPr>
          <w:rFonts w:ascii="Times New Roman" w:hAnsi="Times New Roman"/>
          <w:kern w:val="0"/>
          <w:szCs w:val="24"/>
        </w:rPr>
        <w:t>为避免井壁冒水，重新成井</w:t>
      </w:r>
      <w:r>
        <w:rPr>
          <w:rFonts w:hint="eastAsia" w:ascii="Times New Roman" w:hAnsi="Times New Roman"/>
          <w:kern w:val="0"/>
          <w:szCs w:val="24"/>
        </w:rPr>
        <w:t>后</w:t>
      </w:r>
      <w:r>
        <w:rPr>
          <w:rFonts w:ascii="Times New Roman" w:hAnsi="Times New Roman"/>
          <w:kern w:val="0"/>
          <w:szCs w:val="24"/>
        </w:rPr>
        <w:t>改进回灌井止水材料，先回填 5m 厚粘土球，回灌井粘土球上部井管外用压密注浆封闭</w:t>
      </w:r>
      <w:r>
        <w:rPr>
          <w:rFonts w:hint="eastAsia" w:ascii="Times New Roman" w:hAnsi="Times New Roman"/>
          <w:kern w:val="0"/>
          <w:szCs w:val="24"/>
        </w:rPr>
        <w:t>，</w:t>
      </w:r>
      <w:r>
        <w:rPr>
          <w:rFonts w:ascii="Times New Roman" w:hAnsi="Times New Roman"/>
          <w:kern w:val="0"/>
          <w:szCs w:val="24"/>
        </w:rPr>
        <w:t>确保地下水回灌过程中回灌水不上涌。在单井加压回灌试验时，当回灌压力达到 0.12MPa时，井周边</w:t>
      </w:r>
      <w:r>
        <w:rPr>
          <w:rFonts w:hint="eastAsia" w:ascii="Times New Roman" w:hAnsi="Times New Roman"/>
          <w:kern w:val="0"/>
          <w:szCs w:val="24"/>
        </w:rPr>
        <w:t>未</w:t>
      </w:r>
      <w:r>
        <w:rPr>
          <w:rFonts w:ascii="Times New Roman" w:hAnsi="Times New Roman"/>
          <w:kern w:val="0"/>
          <w:szCs w:val="24"/>
        </w:rPr>
        <w:t>出现冒水冒砂</w:t>
      </w:r>
      <w:r>
        <w:rPr>
          <w:rFonts w:hint="eastAsia" w:ascii="Times New Roman" w:hAnsi="Times New Roman"/>
          <w:kern w:val="0"/>
          <w:szCs w:val="24"/>
        </w:rPr>
        <w:t>现象</w:t>
      </w:r>
      <w:r>
        <w:rPr>
          <w:rFonts w:ascii="Times New Roman" w:hAnsi="Times New Roman"/>
          <w:kern w:val="0"/>
          <w:szCs w:val="24"/>
        </w:rPr>
        <w:t>。</w:t>
      </w:r>
    </w:p>
    <w:p w14:paraId="31D00442">
      <w:pPr>
        <w:pStyle w:val="32"/>
        <w:spacing w:after="0" w:line="240" w:lineRule="auto"/>
        <w:ind w:left="0" w:leftChars="0" w:firstLine="420"/>
        <w:rPr>
          <w:rFonts w:hint="default" w:ascii="Times New Roman" w:hAnsi="Times New Roman" w:eastAsia="宋体"/>
          <w:kern w:val="0"/>
          <w:szCs w:val="24"/>
        </w:rPr>
      </w:pPr>
      <w:r>
        <w:rPr>
          <w:rFonts w:ascii="Times New Roman" w:hAnsi="Times New Roman" w:eastAsia="宋体"/>
          <w:kern w:val="0"/>
          <w:szCs w:val="24"/>
        </w:rPr>
        <w:t>改进止水材料，采用注浆封闭后：</w:t>
      </w:r>
    </w:p>
    <w:p w14:paraId="3C94CDBD">
      <w:pPr>
        <w:pStyle w:val="32"/>
        <w:spacing w:after="0" w:line="240" w:lineRule="auto"/>
        <w:ind w:left="0" w:leftChars="0" w:firstLine="480"/>
        <w:jc w:val="center"/>
        <w:rPr>
          <w:rFonts w:hint="default" w:ascii="Times New Roman" w:hAnsi="Times New Roman" w:eastAsia="宋体"/>
          <w:kern w:val="0"/>
          <w:szCs w:val="24"/>
        </w:rPr>
      </w:pPr>
      <m:oMath>
        <m:sSub>
          <m:sSubPr>
            <m:ctrlPr>
              <w:rPr>
                <w:rFonts w:ascii="Cambria Math" w:hAnsi="Cambria Math"/>
                <w:i/>
                <w:sz w:val="24"/>
              </w:rPr>
            </m:ctrlPr>
          </m:sSubPr>
          <m:e>
            <m:r>
              <m:rPr/>
              <w:rPr>
                <w:rFonts w:hint="default" w:ascii="Cambria Math" w:hAnsi="Cambria Math"/>
                <w:sz w:val="24"/>
              </w:rPr>
              <m:t>F</m:t>
            </m:r>
            <m:ctrlPr>
              <w:rPr>
                <w:rFonts w:ascii="Cambria Math" w:hAnsi="Cambria Math"/>
                <w:i/>
                <w:sz w:val="24"/>
              </w:rPr>
            </m:ctrlPr>
          </m:e>
          <m:sub>
            <m:r>
              <m:rPr/>
              <w:rPr>
                <w:rFonts w:hint="default" w:ascii="Cambria Math" w:hAnsi="Cambria Math"/>
                <w:sz w:val="24"/>
              </w:rPr>
              <m:t>S</m:t>
            </m:r>
            <m:ctrlPr>
              <w:rPr>
                <w:rFonts w:ascii="Cambria Math" w:hAnsi="Cambria Math"/>
                <w:i/>
                <w:sz w:val="24"/>
              </w:rPr>
            </m:ctrlPr>
          </m:sub>
        </m:sSub>
        <m:r>
          <m:rP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m:rPr/>
                  <w:rPr>
                    <w:rFonts w:ascii="Cambria Math" w:hAnsi="Cambria Math"/>
                    <w:sz w:val="24"/>
                  </w:rPr>
                  <m:t>γ</m:t>
                </m:r>
                <m:ctrlPr>
                  <w:rPr>
                    <w:rFonts w:ascii="Cambria Math" w:hAnsi="Cambria Math"/>
                    <w:i/>
                    <w:iCs/>
                    <w:sz w:val="24"/>
                  </w:rPr>
                </m:ctrlPr>
              </m:e>
              <m:sub>
                <m:r>
                  <m:rPr/>
                  <w:rPr>
                    <w:rFonts w:hint="default" w:ascii="Cambria Math" w:hAnsi="Cambria Math"/>
                    <w:sz w:val="24"/>
                  </w:rPr>
                  <m:t>S</m:t>
                </m:r>
                <m:ctrlPr>
                  <w:rPr>
                    <w:rFonts w:ascii="Cambria Math" w:hAnsi="Cambria Math"/>
                    <w:i/>
                    <w:iCs/>
                    <w:sz w:val="24"/>
                  </w:rPr>
                </m:ctrlPr>
              </m:sub>
            </m:sSub>
            <m:sSub>
              <m:sSubPr>
                <m:ctrlPr>
                  <w:rPr>
                    <w:rFonts w:ascii="Cambria Math" w:hAnsi="Cambria Math"/>
                    <w:i/>
                    <w:iCs/>
                    <w:sz w:val="24"/>
                  </w:rPr>
                </m:ctrlPr>
              </m:sSubPr>
              <m:e>
                <m:r>
                  <m:rPr/>
                  <w:rPr>
                    <w:rFonts w:hint="default" w:ascii="Cambria Math" w:hAnsi="Cambria Math"/>
                    <w:sz w:val="24"/>
                  </w:rPr>
                  <m:t>h</m:t>
                </m:r>
                <m:ctrlPr>
                  <w:rPr>
                    <w:rFonts w:ascii="Cambria Math" w:hAnsi="Cambria Math"/>
                    <w:i/>
                    <w:iCs/>
                    <w:sz w:val="24"/>
                  </w:rPr>
                </m:ctrlPr>
              </m:e>
              <m:sub>
                <m:r>
                  <m:rPr/>
                  <w:rPr>
                    <w:rFonts w:hint="default" w:ascii="Cambria Math" w:hAnsi="Cambria Math"/>
                    <w:sz w:val="24"/>
                  </w:rPr>
                  <m:t>2</m:t>
                </m:r>
                <m:ctrlPr>
                  <w:rPr>
                    <w:rFonts w:ascii="Cambria Math" w:hAnsi="Cambria Math"/>
                    <w:i/>
                    <w:iCs/>
                    <w:sz w:val="24"/>
                  </w:rPr>
                </m:ctrlPr>
              </m:sub>
            </m:sSub>
            <m:ctrlPr>
              <w:rPr>
                <w:rFonts w:ascii="Cambria Math" w:hAnsi="Cambria Math"/>
                <w:i/>
                <w:iCs/>
                <w:sz w:val="24"/>
              </w:rPr>
            </m:ctrlPr>
          </m:num>
          <m:den>
            <m:sSub>
              <m:sSubPr>
                <m:ctrlPr>
                  <w:rPr>
                    <w:rFonts w:hint="default" w:ascii="Cambria Math" w:hAnsi="Cambria Math"/>
                    <w:i/>
                    <w:iCs/>
                    <w:sz w:val="24"/>
                  </w:rPr>
                </m:ctrlPr>
              </m:sSubPr>
              <m:e>
                <m:r>
                  <m:rPr/>
                  <w:rPr>
                    <w:rFonts w:ascii="Cambria Math" w:hAnsi="Cambria Math"/>
                    <w:sz w:val="24"/>
                  </w:rPr>
                  <m:t>γ</m:t>
                </m:r>
                <m:ctrlPr>
                  <w:rPr>
                    <w:rFonts w:hint="default" w:ascii="Cambria Math" w:hAnsi="Cambria Math"/>
                    <w:i/>
                    <w:iCs/>
                    <w:sz w:val="24"/>
                  </w:rPr>
                </m:ctrlPr>
              </m:e>
              <m:sub>
                <m:r>
                  <m:rPr/>
                  <w:rPr>
                    <w:rFonts w:ascii="Cambria Math" w:hAnsi="Cambria Math"/>
                    <w:sz w:val="24"/>
                  </w:rPr>
                  <m:t>ϖ</m:t>
                </m:r>
                <m:ctrlPr>
                  <w:rPr>
                    <w:rFonts w:hint="default" w:ascii="Cambria Math" w:hAnsi="Cambria Math"/>
                    <w:i/>
                    <w:iCs/>
                    <w:sz w:val="24"/>
                  </w:rPr>
                </m:ctrlPr>
              </m:sub>
            </m:sSub>
            <m:r>
              <m:rPr/>
              <w:rPr>
                <w:rFonts w:hint="default" w:ascii="Cambria Math" w:hAnsi="Cambria Math"/>
                <w:sz w:val="24"/>
              </w:rPr>
              <m:t xml:space="preserve"> </m:t>
            </m:r>
            <m:d>
              <m:dPr>
                <m:ctrlPr>
                  <w:rPr>
                    <w:rFonts w:ascii="Cambria Math" w:hAnsi="Cambria Math"/>
                    <w:i/>
                    <w:iCs/>
                    <w:sz w:val="24"/>
                  </w:rPr>
                </m:ctrlPr>
              </m:dPr>
              <m:e>
                <m:sSub>
                  <m:sSubPr>
                    <m:ctrlPr>
                      <w:rPr>
                        <w:rFonts w:ascii="Cambria Math" w:hAnsi="Cambria Math"/>
                        <w:i/>
                        <w:iCs/>
                        <w:sz w:val="24"/>
                      </w:rPr>
                    </m:ctrlPr>
                  </m:sSubPr>
                  <m:e>
                    <m:r>
                      <m:rPr/>
                      <w:rPr>
                        <w:rFonts w:hint="default" w:ascii="Cambria Math" w:hAnsi="Cambria Math"/>
                        <w:sz w:val="24"/>
                      </w:rPr>
                      <m:t>h</m:t>
                    </m:r>
                    <m:ctrlPr>
                      <w:rPr>
                        <w:rFonts w:ascii="Cambria Math" w:hAnsi="Cambria Math"/>
                        <w:i/>
                        <w:iCs/>
                        <w:sz w:val="24"/>
                      </w:rPr>
                    </m:ctrlPr>
                  </m:e>
                  <m:sub>
                    <m:r>
                      <m:rPr/>
                      <w:rPr>
                        <w:rFonts w:hint="default" w:ascii="Cambria Math" w:hAnsi="Cambria Math"/>
                        <w:sz w:val="24"/>
                      </w:rPr>
                      <m:t>p</m:t>
                    </m:r>
                    <m:ctrlPr>
                      <w:rPr>
                        <w:rFonts w:ascii="Cambria Math" w:hAnsi="Cambria Math"/>
                        <w:i/>
                        <w:iCs/>
                        <w:sz w:val="24"/>
                      </w:rPr>
                    </m:ctrlPr>
                  </m:sub>
                </m:sSub>
                <m:r>
                  <m:rPr/>
                  <w:rPr>
                    <w:rFonts w:hint="default" w:ascii="Cambria Math" w:hAnsi="Cambria Math"/>
                    <w:sz w:val="24"/>
                  </w:rPr>
                  <m:t>+</m:t>
                </m:r>
                <m:sSub>
                  <m:sSubPr>
                    <m:ctrlPr>
                      <w:rPr>
                        <w:rFonts w:hint="default" w:ascii="Cambria Math" w:hAnsi="Cambria Math"/>
                        <w:i/>
                        <w:iCs/>
                        <w:sz w:val="24"/>
                      </w:rPr>
                    </m:ctrlPr>
                  </m:sSubPr>
                  <m:e>
                    <m:r>
                      <m:rPr/>
                      <w:rPr>
                        <w:rFonts w:hint="default" w:ascii="Cambria Math" w:hAnsi="Cambria Math"/>
                        <w:sz w:val="24"/>
                      </w:rPr>
                      <m:t>h</m:t>
                    </m:r>
                    <m:ctrlPr>
                      <w:rPr>
                        <w:rFonts w:hint="default" w:ascii="Cambria Math" w:hAnsi="Cambria Math"/>
                        <w:i/>
                        <w:iCs/>
                        <w:sz w:val="24"/>
                      </w:rPr>
                    </m:ctrlPr>
                  </m:e>
                  <m:sub>
                    <m:r>
                      <m:rPr/>
                      <w:rPr>
                        <w:rFonts w:hint="default" w:ascii="Cambria Math" w:hAnsi="Cambria Math"/>
                        <w:sz w:val="24"/>
                      </w:rPr>
                      <m:t>1</m:t>
                    </m:r>
                    <m:ctrlPr>
                      <w:rPr>
                        <w:rFonts w:hint="default" w:ascii="Cambria Math" w:hAnsi="Cambria Math"/>
                        <w:i/>
                        <w:iCs/>
                        <w:sz w:val="24"/>
                      </w:rPr>
                    </m:ctrlPr>
                  </m:sub>
                </m:sSub>
                <m:ctrlPr>
                  <w:rPr>
                    <w:rFonts w:ascii="Cambria Math" w:hAnsi="Cambria Math"/>
                    <w:i/>
                    <w:iCs/>
                    <w:sz w:val="24"/>
                  </w:rPr>
                </m:ctrlPr>
              </m:e>
            </m:d>
            <m:ctrlPr>
              <w:rPr>
                <w:rFonts w:ascii="Cambria Math" w:hAnsi="Cambria Math"/>
                <w:i/>
                <w:iCs/>
                <w:sz w:val="24"/>
              </w:rPr>
            </m:ctrlPr>
          </m:den>
        </m:f>
        <m:r>
          <m:rPr/>
          <w:rPr>
            <w:rFonts w:hint="default" w:ascii="Cambria Math" w:hAnsi="Cambria Math"/>
            <w:sz w:val="24"/>
          </w:rPr>
          <m:t>=</m:t>
        </m:r>
        <m:f>
          <m:fPr>
            <m:ctrlPr>
              <w:rPr>
                <w:rFonts w:hint="default" w:ascii="Cambria Math" w:hAnsi="Cambria Math"/>
                <w:i/>
                <w:iCs/>
                <w:sz w:val="24"/>
              </w:rPr>
            </m:ctrlPr>
          </m:fPr>
          <m:num>
            <m:r>
              <m:rPr/>
              <w:rPr>
                <w:rFonts w:hint="default" w:ascii="Cambria Math" w:hAnsi="Cambria Math"/>
                <w:sz w:val="24"/>
              </w:rPr>
              <m:t>19.5</m:t>
            </m:r>
            <m:r>
              <m:rPr/>
              <w:rPr>
                <w:rFonts w:ascii="Cambria Math" w:hAnsi="Cambria Math"/>
                <w:sz w:val="24"/>
              </w:rPr>
              <m:t>×</m:t>
            </m:r>
            <m:r>
              <m:rPr/>
              <w:rPr>
                <w:rFonts w:hint="default" w:ascii="Cambria Math" w:hAnsi="Cambria Math"/>
                <w:sz w:val="24"/>
              </w:rPr>
              <m:t>18</m:t>
            </m:r>
            <m:ctrlPr>
              <w:rPr>
                <w:rFonts w:hint="default" w:ascii="Cambria Math" w:hAnsi="Cambria Math"/>
                <w:i/>
                <w:iCs/>
                <w:sz w:val="24"/>
              </w:rPr>
            </m:ctrlPr>
          </m:num>
          <m:den>
            <m:r>
              <m:rPr/>
              <w:rPr>
                <w:rFonts w:hint="default" w:ascii="Cambria Math" w:hAnsi="Cambria Math"/>
                <w:sz w:val="24"/>
              </w:rPr>
              <m:t>10</m:t>
            </m:r>
            <m:r>
              <m:rPr/>
              <w:rPr>
                <w:rFonts w:ascii="Cambria Math" w:hAnsi="Cambria Math"/>
                <w:sz w:val="24"/>
              </w:rPr>
              <m:t>×</m:t>
            </m:r>
            <m:d>
              <m:dPr>
                <m:ctrlPr>
                  <w:rPr>
                    <w:rFonts w:ascii="Cambria Math" w:hAnsi="Cambria Math"/>
                    <w:i/>
                    <w:iCs/>
                    <w:sz w:val="24"/>
                  </w:rPr>
                </m:ctrlPr>
              </m:dPr>
              <m:e>
                <m:r>
                  <m:rPr/>
                  <w:rPr>
                    <w:rFonts w:hint="default" w:ascii="Cambria Math" w:hAnsi="Cambria Math"/>
                    <w:sz w:val="24"/>
                  </w:rPr>
                  <m:t>12</m:t>
                </m:r>
                <m:r>
                  <m:rPr/>
                  <w:rPr>
                    <w:rFonts w:ascii="Cambria Math" w:hAnsi="Cambria Math"/>
                    <w:sz w:val="24"/>
                  </w:rPr>
                  <m:t>+</m:t>
                </m:r>
                <m:r>
                  <m:rPr/>
                  <w:rPr>
                    <w:rFonts w:hint="default" w:ascii="Cambria Math" w:hAnsi="Cambria Math"/>
                    <w:sz w:val="24"/>
                  </w:rPr>
                  <m:t>18</m:t>
                </m:r>
                <m:ctrlPr>
                  <w:rPr>
                    <w:rFonts w:ascii="Cambria Math" w:hAnsi="Cambria Math"/>
                    <w:i/>
                    <w:iCs/>
                    <w:sz w:val="24"/>
                  </w:rPr>
                </m:ctrlPr>
              </m:e>
            </m:d>
            <m:ctrlPr>
              <w:rPr>
                <w:rFonts w:hint="default" w:ascii="Cambria Math" w:hAnsi="Cambria Math"/>
                <w:i/>
                <w:iCs/>
                <w:sz w:val="24"/>
              </w:rPr>
            </m:ctrlPr>
          </m:den>
        </m:f>
        <m:r>
          <m:rPr/>
          <w:rPr>
            <w:rFonts w:hint="default" w:ascii="Cambria Math" w:hAnsi="Cambria Math"/>
            <w:sz w:val="24"/>
          </w:rPr>
          <m:t>=1.17</m:t>
        </m:r>
      </m:oMath>
      <w:r>
        <w:rPr>
          <w:position w:val="-22"/>
        </w:rPr>
        <w:t> </w:t>
      </w:r>
      <w:r>
        <w:rPr>
          <w:i/>
          <w:iCs/>
          <w:position w:val="-22"/>
        </w:rPr>
        <w:t>         </w:t>
      </w:r>
    </w:p>
    <w:p w14:paraId="3214B93A">
      <w:pPr>
        <w:widowControl/>
        <w:spacing w:line="240" w:lineRule="auto"/>
        <w:ind w:firstLine="420" w:firstLineChars="200"/>
        <w:jc w:val="left"/>
        <w:rPr>
          <w:rFonts w:ascii="Times New Roman" w:hAnsi="Times New Roman"/>
          <w:kern w:val="0"/>
          <w:szCs w:val="24"/>
        </w:rPr>
      </w:pPr>
      <w:r>
        <w:rPr>
          <w:rFonts w:ascii="Times New Roman" w:hAnsi="Times New Roman"/>
          <w:kern w:val="0"/>
          <w:szCs w:val="24"/>
        </w:rPr>
        <w:t>案例</w:t>
      </w:r>
      <w:r>
        <w:rPr>
          <w:rFonts w:hint="eastAsia" w:ascii="Times New Roman" w:hAnsi="Times New Roman"/>
          <w:kern w:val="0"/>
          <w:szCs w:val="24"/>
        </w:rPr>
        <w:t>2：武汉市</w:t>
      </w:r>
      <w:r>
        <w:rPr>
          <w:rFonts w:ascii="Times New Roman" w:hAnsi="Times New Roman"/>
          <w:kern w:val="0"/>
          <w:szCs w:val="24"/>
        </w:rPr>
        <w:t>浙商大厦基坑回灌示范工程中，回灌井止水材料采用18m黏土球，为了减少回填材料中的空隙以及回填层与地层之间的接触不良，回灌井周边进行压密注浆，在井的四周进行加固，确保回填层密实</w:t>
      </w:r>
      <w:r>
        <w:rPr>
          <w:rFonts w:hint="eastAsia" w:ascii="Times New Roman" w:hAnsi="Times New Roman"/>
          <w:kern w:val="0"/>
          <w:szCs w:val="24"/>
        </w:rPr>
        <w:t>。</w:t>
      </w:r>
      <w:r>
        <w:rPr>
          <w:rFonts w:ascii="Times New Roman" w:hAnsi="Times New Roman"/>
          <w:kern w:val="0"/>
          <w:szCs w:val="24"/>
        </w:rPr>
        <w:t>在回灌试验中，回灌压力为0.03</w:t>
      </w:r>
      <w:r>
        <w:rPr>
          <w:rFonts w:hint="eastAsia" w:ascii="Times New Roman" w:hAnsi="Times New Roman"/>
          <w:kern w:val="0"/>
          <w:szCs w:val="24"/>
        </w:rPr>
        <w:t>～</w:t>
      </w:r>
      <w:r>
        <w:rPr>
          <w:rFonts w:ascii="Times New Roman" w:hAnsi="Times New Roman"/>
          <w:kern w:val="0"/>
          <w:szCs w:val="24"/>
        </w:rPr>
        <w:t>0.08MPa</w:t>
      </w:r>
      <w:r>
        <w:rPr>
          <w:rFonts w:hint="eastAsia" w:ascii="Times New Roman" w:hAnsi="Times New Roman"/>
          <w:kern w:val="0"/>
          <w:szCs w:val="24"/>
        </w:rPr>
        <w:t>，</w:t>
      </w:r>
      <w:r>
        <w:rPr>
          <w:rFonts w:ascii="Times New Roman" w:hAnsi="Times New Roman"/>
          <w:kern w:val="0"/>
          <w:szCs w:val="24"/>
        </w:rPr>
        <w:t>井周边</w:t>
      </w:r>
      <w:r>
        <w:rPr>
          <w:rFonts w:hint="eastAsia" w:ascii="Times New Roman" w:hAnsi="Times New Roman"/>
          <w:kern w:val="0"/>
          <w:szCs w:val="24"/>
        </w:rPr>
        <w:t>未</w:t>
      </w:r>
      <w:r>
        <w:rPr>
          <w:rFonts w:ascii="Times New Roman" w:hAnsi="Times New Roman"/>
          <w:kern w:val="0"/>
          <w:szCs w:val="24"/>
        </w:rPr>
        <w:t>出现冒水冒砂</w:t>
      </w:r>
      <w:r>
        <w:rPr>
          <w:rFonts w:hint="eastAsia" w:ascii="Times New Roman" w:hAnsi="Times New Roman"/>
          <w:kern w:val="0"/>
          <w:szCs w:val="24"/>
        </w:rPr>
        <w:t>现象</w:t>
      </w:r>
      <w:r>
        <w:rPr>
          <w:rFonts w:ascii="Times New Roman" w:hAnsi="Times New Roman"/>
          <w:kern w:val="0"/>
          <w:szCs w:val="24"/>
        </w:rPr>
        <w:t>。</w:t>
      </w:r>
    </w:p>
    <w:p w14:paraId="2AA0E55B">
      <w:pPr>
        <w:widowControl/>
        <w:spacing w:line="240" w:lineRule="auto"/>
        <w:ind w:firstLine="480" w:firstLineChars="200"/>
        <w:jc w:val="center"/>
        <w:rPr>
          <w:rFonts w:ascii="Times New Roman" w:hAnsi="Times New Roman"/>
          <w:i/>
          <w:iCs/>
          <w:color w:val="000000"/>
          <w:kern w:val="0"/>
          <w:sz w:val="24"/>
          <w:szCs w:val="24"/>
          <w:lang w:bidi="ar"/>
        </w:rPr>
      </w:pPr>
      <m:oMath>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S</m:t>
            </m:r>
            <m:ctrlPr>
              <w:rPr>
                <w:rFonts w:ascii="Cambria Math" w:hAnsi="Cambria Math"/>
                <w:i/>
                <w:sz w:val="24"/>
              </w:rPr>
            </m:ctrlPr>
          </m:sub>
        </m:sSub>
        <m:r>
          <m:rP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m:rPr/>
                  <w:rPr>
                    <w:rFonts w:ascii="Cambria Math" w:hAnsi="Cambria Math"/>
                    <w:sz w:val="24"/>
                  </w:rPr>
                  <m:t>γ</m:t>
                </m:r>
                <m:ctrlPr>
                  <w:rPr>
                    <w:rFonts w:ascii="Cambria Math" w:hAnsi="Cambria Math"/>
                    <w:i/>
                    <w:iCs/>
                    <w:sz w:val="24"/>
                  </w:rPr>
                </m:ctrlPr>
              </m:e>
              <m:sub>
                <m:r>
                  <m:rPr/>
                  <w:rPr>
                    <w:rFonts w:ascii="Cambria Math" w:hAnsi="Cambria Math"/>
                    <w:sz w:val="24"/>
                  </w:rPr>
                  <m:t>S</m:t>
                </m:r>
                <m:ctrlPr>
                  <w:rPr>
                    <w:rFonts w:ascii="Cambria Math" w:hAnsi="Cambria Math"/>
                    <w:i/>
                    <w:iCs/>
                    <w:sz w:val="24"/>
                  </w:rPr>
                </m:ctrlPr>
              </m:sub>
            </m:sSub>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ctrlPr>
              <w:rPr>
                <w:rFonts w:ascii="Cambria Math" w:hAnsi="Cambria Math"/>
                <w:i/>
                <w:iCs/>
                <w:sz w:val="24"/>
              </w:rPr>
            </m:ctrlPr>
          </m:num>
          <m:den>
            <m:sSub>
              <m:sSubPr>
                <m:ctrlPr>
                  <w:rPr>
                    <w:rFonts w:ascii="Cambria Math" w:hAnsi="Cambria Math"/>
                    <w:i/>
                    <w:iCs/>
                    <w:sz w:val="24"/>
                  </w:rPr>
                </m:ctrlPr>
              </m:sSubPr>
              <m:e>
                <m:r>
                  <m:rPr/>
                  <w:rPr>
                    <w:rFonts w:ascii="Cambria Math" w:hAnsi="Cambria Math"/>
                    <w:sz w:val="24"/>
                  </w:rPr>
                  <m:t>γ</m:t>
                </m:r>
                <m:ctrlPr>
                  <w:rPr>
                    <w:rFonts w:ascii="Cambria Math" w:hAnsi="Cambria Math"/>
                    <w:i/>
                    <w:iCs/>
                    <w:sz w:val="24"/>
                  </w:rPr>
                </m:ctrlPr>
              </m:e>
              <m:sub>
                <m:r>
                  <m:rPr/>
                  <w:rPr>
                    <w:rFonts w:ascii="Cambria Math" w:hAnsi="Cambria Math"/>
                    <w:sz w:val="24"/>
                  </w:rPr>
                  <m:t>ϖ</m:t>
                </m:r>
                <m:ctrlPr>
                  <w:rPr>
                    <w:rFonts w:ascii="Cambria Math" w:hAnsi="Cambria Math"/>
                    <w:i/>
                    <w:iCs/>
                    <w:sz w:val="24"/>
                  </w:rPr>
                </m:ctrlPr>
              </m:sub>
            </m:sSub>
            <m:r>
              <m:rPr/>
              <w:rPr>
                <w:rFonts w:ascii="Cambria Math" w:hAnsi="Cambria Math"/>
                <w:sz w:val="24"/>
              </w:rPr>
              <m:t xml:space="preserve"> </m:t>
            </m:r>
            <m:d>
              <m:dPr>
                <m:ctrlPr>
                  <w:rPr>
                    <w:rFonts w:ascii="Cambria Math" w:hAnsi="Cambria Math"/>
                    <w:i/>
                    <w:iCs/>
                    <w:sz w:val="24"/>
                  </w:rPr>
                </m:ctrlPr>
              </m:dPr>
              <m:e>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p</m:t>
                    </m:r>
                    <m:ctrlPr>
                      <w:rPr>
                        <w:rFonts w:ascii="Cambria Math" w:hAnsi="Cambria Math"/>
                        <w:i/>
                        <w:iCs/>
                        <w:sz w:val="24"/>
                      </w:rPr>
                    </m:ctrlPr>
                  </m:sub>
                </m:sSub>
                <m:r>
                  <m:rPr/>
                  <w:rPr>
                    <w:rFonts w:ascii="Cambria Math" w:hAnsi="Cambria Math"/>
                    <w:sz w:val="24"/>
                  </w:rPr>
                  <m:t>+</m:t>
                </m:r>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ctrlPr>
                  <w:rPr>
                    <w:rFonts w:ascii="Cambria Math" w:hAnsi="Cambria Math"/>
                    <w:i/>
                    <w:iCs/>
                    <w:sz w:val="24"/>
                  </w:rPr>
                </m:ctrlPr>
              </m:e>
            </m:d>
            <m:ctrlPr>
              <w:rPr>
                <w:rFonts w:ascii="Cambria Math" w:hAnsi="Cambria Math"/>
                <w:i/>
                <w:iCs/>
                <w:sz w:val="24"/>
              </w:rPr>
            </m:ctrlPr>
          </m:den>
        </m:f>
        <m:r>
          <m:rPr/>
          <w:rPr>
            <w:rFonts w:ascii="Cambria Math" w:hAnsi="Cambria Math"/>
            <w:sz w:val="24"/>
          </w:rPr>
          <m:t>=</m:t>
        </m:r>
        <m:f>
          <m:fPr>
            <m:ctrlPr>
              <w:rPr>
                <w:rFonts w:ascii="Cambria Math" w:hAnsi="Cambria Math"/>
                <w:i/>
                <w:iCs/>
                <w:sz w:val="24"/>
              </w:rPr>
            </m:ctrlPr>
          </m:fPr>
          <m:num>
            <m:r>
              <m:rPr/>
              <w:rPr>
                <w:rFonts w:ascii="Cambria Math" w:hAnsi="Cambria Math"/>
                <w:sz w:val="24"/>
              </w:rPr>
              <m:t>18×18</m:t>
            </m:r>
            <m:ctrlPr>
              <w:rPr>
                <w:rFonts w:ascii="Cambria Math" w:hAnsi="Cambria Math"/>
                <w:i/>
                <w:iCs/>
                <w:sz w:val="24"/>
              </w:rPr>
            </m:ctrlPr>
          </m:num>
          <m:den>
            <m:r>
              <m:rPr/>
              <w:rPr>
                <w:rFonts w:ascii="Cambria Math" w:hAnsi="Cambria Math"/>
                <w:sz w:val="24"/>
              </w:rPr>
              <m:t>10×</m:t>
            </m:r>
            <m:d>
              <m:dPr>
                <m:ctrlPr>
                  <w:rPr>
                    <w:rFonts w:ascii="Cambria Math" w:hAnsi="Cambria Math"/>
                    <w:i/>
                    <w:iCs/>
                    <w:sz w:val="24"/>
                  </w:rPr>
                </m:ctrlPr>
              </m:dPr>
              <m:e>
                <m:r>
                  <m:rPr/>
                  <w:rPr>
                    <w:rFonts w:ascii="Cambria Math" w:hAnsi="Cambria Math"/>
                    <w:sz w:val="24"/>
                  </w:rPr>
                  <m:t>8+18</m:t>
                </m:r>
                <m:ctrlPr>
                  <w:rPr>
                    <w:rFonts w:ascii="Cambria Math" w:hAnsi="Cambria Math"/>
                    <w:i/>
                    <w:iCs/>
                    <w:sz w:val="24"/>
                  </w:rPr>
                </m:ctrlPr>
              </m:e>
            </m:d>
            <m:ctrlPr>
              <w:rPr>
                <w:rFonts w:ascii="Cambria Math" w:hAnsi="Cambria Math"/>
                <w:i/>
                <w:iCs/>
                <w:sz w:val="24"/>
              </w:rPr>
            </m:ctrlPr>
          </m:den>
        </m:f>
        <m:r>
          <m:rPr/>
          <w:rPr>
            <w:rFonts w:ascii="Cambria Math" w:hAnsi="Cambria Math"/>
            <w:sz w:val="24"/>
          </w:rPr>
          <m:t>=1.25</m:t>
        </m:r>
      </m:oMath>
      <w:r>
        <w:rPr>
          <w:rFonts w:hint="eastAsia"/>
          <w:position w:val="-22"/>
        </w:rPr>
        <w:t> </w:t>
      </w:r>
      <w:r>
        <w:rPr>
          <w:rFonts w:hint="eastAsia"/>
          <w:i/>
          <w:iCs/>
          <w:position w:val="-22"/>
        </w:rPr>
        <w:t>   </w:t>
      </w:r>
    </w:p>
    <w:p w14:paraId="34F445E0">
      <w:pPr>
        <w:widowControl/>
        <w:spacing w:line="240" w:lineRule="auto"/>
        <w:ind w:firstLine="420" w:firstLineChars="200"/>
        <w:jc w:val="left"/>
        <w:rPr>
          <w:rFonts w:ascii="Times New Roman" w:hAnsi="Times New Roman"/>
          <w:kern w:val="0"/>
          <w:szCs w:val="24"/>
        </w:rPr>
      </w:pPr>
      <w:r>
        <w:rPr>
          <w:rFonts w:ascii="Times New Roman" w:hAnsi="Times New Roman"/>
          <w:kern w:val="0"/>
          <w:szCs w:val="24"/>
        </w:rPr>
        <w:t>案例</w:t>
      </w:r>
      <w:r>
        <w:rPr>
          <w:rFonts w:hint="eastAsia" w:ascii="Times New Roman" w:hAnsi="Times New Roman"/>
          <w:kern w:val="0"/>
          <w:szCs w:val="24"/>
        </w:rPr>
        <w:t>3：</w:t>
      </w:r>
      <w:r>
        <w:rPr>
          <w:rFonts w:ascii="Times New Roman" w:hAnsi="Times New Roman"/>
          <w:kern w:val="0"/>
          <w:szCs w:val="24"/>
        </w:rPr>
        <w:t>上海某基坑降水回灌工程中，为避免井壁冒水，在回填滤料上方回填了</w:t>
      </w:r>
      <w:r>
        <w:rPr>
          <w:rFonts w:hint="eastAsia" w:ascii="Times New Roman" w:hAnsi="Times New Roman"/>
          <w:kern w:val="0"/>
          <w:szCs w:val="24"/>
        </w:rPr>
        <w:t>10</w:t>
      </w:r>
      <w:r>
        <w:rPr>
          <w:rFonts w:ascii="Times New Roman" w:hAnsi="Times New Roman"/>
          <w:kern w:val="0"/>
          <w:szCs w:val="24"/>
        </w:rPr>
        <w:t>m长</w:t>
      </w:r>
      <w:r>
        <w:rPr>
          <w:rFonts w:hint="eastAsia" w:ascii="Times New Roman" w:hAnsi="Times New Roman"/>
          <w:kern w:val="0"/>
          <w:szCs w:val="24"/>
        </w:rPr>
        <w:t>黏</w:t>
      </w:r>
      <w:r>
        <w:rPr>
          <w:rFonts w:ascii="Times New Roman" w:hAnsi="Times New Roman"/>
          <w:kern w:val="0"/>
          <w:szCs w:val="24"/>
        </w:rPr>
        <w:t>土球，</w:t>
      </w:r>
      <w:r>
        <w:rPr>
          <w:rFonts w:hint="eastAsia" w:ascii="Times New Roman" w:hAnsi="Times New Roman"/>
          <w:kern w:val="0"/>
          <w:szCs w:val="24"/>
        </w:rPr>
        <w:t>黏</w:t>
      </w:r>
      <w:r>
        <w:rPr>
          <w:rFonts w:ascii="Times New Roman" w:hAnsi="Times New Roman"/>
          <w:kern w:val="0"/>
          <w:szCs w:val="24"/>
        </w:rPr>
        <w:t>土球顶至地面</w:t>
      </w:r>
      <w:r>
        <w:rPr>
          <w:rFonts w:hint="eastAsia" w:ascii="Times New Roman" w:hAnsi="Times New Roman"/>
          <w:kern w:val="0"/>
          <w:szCs w:val="24"/>
        </w:rPr>
        <w:t>的</w:t>
      </w:r>
      <w:r>
        <w:rPr>
          <w:rFonts w:ascii="Times New Roman" w:hAnsi="Times New Roman"/>
          <w:kern w:val="0"/>
          <w:szCs w:val="24"/>
        </w:rPr>
        <w:t>48m</w:t>
      </w:r>
      <w:r>
        <w:rPr>
          <w:rFonts w:hint="eastAsia" w:ascii="Times New Roman" w:hAnsi="Times New Roman"/>
          <w:kern w:val="0"/>
          <w:szCs w:val="24"/>
        </w:rPr>
        <w:t>回填</w:t>
      </w:r>
      <w:r>
        <w:rPr>
          <w:rFonts w:ascii="Times New Roman" w:hAnsi="Times New Roman"/>
          <w:kern w:val="0"/>
          <w:szCs w:val="24"/>
        </w:rPr>
        <w:t>瓜子片，瓜子片密实后，通过预埋注浆管注浆封填。在回灌试验中，回灌井</w:t>
      </w:r>
      <w:r>
        <w:rPr>
          <w:rFonts w:hint="eastAsia" w:ascii="Times New Roman" w:hAnsi="Times New Roman"/>
          <w:kern w:val="0"/>
          <w:szCs w:val="24"/>
        </w:rPr>
        <w:t>内</w:t>
      </w:r>
      <w:r>
        <w:rPr>
          <w:rFonts w:ascii="Times New Roman" w:hAnsi="Times New Roman"/>
          <w:kern w:val="0"/>
          <w:szCs w:val="24"/>
        </w:rPr>
        <w:t>回灌水头</w:t>
      </w:r>
      <w:r>
        <w:rPr>
          <w:rFonts w:ascii="Times New Roman" w:hAnsi="Times New Roman"/>
          <w:i/>
          <w:iCs/>
          <w:kern w:val="0"/>
          <w:sz w:val="24"/>
          <w:szCs w:val="24"/>
          <w:lang w:bidi="ar"/>
        </w:rPr>
        <w:t>h</w:t>
      </w:r>
      <w:r>
        <w:rPr>
          <w:rFonts w:hint="eastAsia" w:ascii="Times New Roman" w:hAnsi="Times New Roman"/>
          <w:i/>
          <w:iCs/>
          <w:kern w:val="0"/>
          <w:sz w:val="16"/>
          <w:szCs w:val="16"/>
          <w:vertAlign w:val="subscript"/>
          <w:lang w:bidi="ar"/>
        </w:rPr>
        <w:t>p</w:t>
      </w:r>
      <w:r>
        <w:rPr>
          <w:rFonts w:ascii="Times New Roman" w:hAnsi="Times New Roman"/>
          <w:kern w:val="0"/>
          <w:szCs w:val="24"/>
        </w:rPr>
        <w:t>达</w:t>
      </w:r>
      <w:r>
        <w:rPr>
          <w:rFonts w:hint="eastAsia" w:ascii="Times New Roman" w:hAnsi="Times New Roman"/>
          <w:kern w:val="0"/>
          <w:szCs w:val="24"/>
        </w:rPr>
        <w:t>20</w:t>
      </w:r>
      <w:r>
        <w:rPr>
          <w:rFonts w:ascii="Times New Roman" w:hAnsi="Times New Roman"/>
          <w:kern w:val="0"/>
          <w:szCs w:val="24"/>
        </w:rPr>
        <w:t>m</w:t>
      </w:r>
      <w:r>
        <w:rPr>
          <w:rFonts w:hint="eastAsia" w:ascii="Times New Roman" w:hAnsi="Times New Roman"/>
          <w:kern w:val="0"/>
          <w:szCs w:val="24"/>
        </w:rPr>
        <w:t>时</w:t>
      </w:r>
      <w:r>
        <w:rPr>
          <w:rFonts w:ascii="Times New Roman" w:hAnsi="Times New Roman"/>
          <w:kern w:val="0"/>
          <w:szCs w:val="24"/>
        </w:rPr>
        <w:t>，井壁</w:t>
      </w:r>
      <w:r>
        <w:rPr>
          <w:rFonts w:hint="eastAsia" w:ascii="Times New Roman" w:hAnsi="Times New Roman"/>
          <w:kern w:val="0"/>
          <w:szCs w:val="24"/>
        </w:rPr>
        <w:t>未</w:t>
      </w:r>
      <w:r>
        <w:rPr>
          <w:rFonts w:ascii="Times New Roman" w:hAnsi="Times New Roman"/>
          <w:kern w:val="0"/>
          <w:szCs w:val="24"/>
        </w:rPr>
        <w:t>出现冒水</w:t>
      </w:r>
      <w:r>
        <w:rPr>
          <w:rFonts w:hint="eastAsia" w:ascii="Times New Roman" w:hAnsi="Times New Roman"/>
          <w:kern w:val="0"/>
          <w:szCs w:val="24"/>
        </w:rPr>
        <w:t>现象，</w:t>
      </w:r>
      <w:r>
        <w:rPr>
          <w:rFonts w:ascii="Times New Roman" w:hAnsi="Times New Roman"/>
          <w:kern w:val="0"/>
          <w:szCs w:val="24"/>
        </w:rPr>
        <w:t>回灌井</w:t>
      </w:r>
      <w:r>
        <w:rPr>
          <w:rFonts w:hint="eastAsia" w:ascii="Times New Roman" w:hAnsi="Times New Roman"/>
          <w:kern w:val="0"/>
          <w:szCs w:val="24"/>
        </w:rPr>
        <w:t>内</w:t>
      </w:r>
      <w:r>
        <w:rPr>
          <w:rFonts w:ascii="Times New Roman" w:hAnsi="Times New Roman"/>
          <w:kern w:val="0"/>
          <w:szCs w:val="24"/>
        </w:rPr>
        <w:t>回灌水头</w:t>
      </w:r>
      <w:r>
        <w:rPr>
          <w:rFonts w:ascii="Times New Roman" w:hAnsi="Times New Roman"/>
          <w:i/>
          <w:iCs/>
          <w:kern w:val="0"/>
          <w:sz w:val="24"/>
          <w:szCs w:val="24"/>
          <w:lang w:bidi="ar"/>
        </w:rPr>
        <w:t>h</w:t>
      </w:r>
      <w:r>
        <w:rPr>
          <w:rFonts w:hint="eastAsia" w:ascii="Times New Roman" w:hAnsi="Times New Roman"/>
          <w:i/>
          <w:iCs/>
          <w:kern w:val="0"/>
          <w:sz w:val="16"/>
          <w:szCs w:val="16"/>
          <w:vertAlign w:val="subscript"/>
          <w:lang w:bidi="ar"/>
        </w:rPr>
        <w:t>p</w:t>
      </w:r>
      <w:r>
        <w:rPr>
          <w:rFonts w:ascii="Times New Roman" w:hAnsi="Times New Roman"/>
          <w:kern w:val="0"/>
          <w:szCs w:val="24"/>
        </w:rPr>
        <w:t>达</w:t>
      </w:r>
      <w:r>
        <w:rPr>
          <w:rFonts w:hint="eastAsia" w:ascii="Times New Roman" w:hAnsi="Times New Roman"/>
          <w:kern w:val="0"/>
          <w:szCs w:val="24"/>
        </w:rPr>
        <w:t>22</w:t>
      </w:r>
      <w:r>
        <w:rPr>
          <w:rFonts w:ascii="Times New Roman" w:hAnsi="Times New Roman"/>
          <w:kern w:val="0"/>
          <w:szCs w:val="24"/>
        </w:rPr>
        <w:t>m</w:t>
      </w:r>
      <w:r>
        <w:rPr>
          <w:rFonts w:hint="eastAsia" w:ascii="Times New Roman" w:hAnsi="Times New Roman"/>
          <w:kern w:val="0"/>
          <w:szCs w:val="24"/>
        </w:rPr>
        <w:t>时</w:t>
      </w:r>
      <w:r>
        <w:rPr>
          <w:rFonts w:ascii="Times New Roman" w:hAnsi="Times New Roman"/>
          <w:kern w:val="0"/>
          <w:szCs w:val="24"/>
        </w:rPr>
        <w:t>，井壁出现大量冒水。</w:t>
      </w:r>
    </w:p>
    <w:p w14:paraId="4761CD87">
      <w:pPr>
        <w:widowControl/>
        <w:spacing w:line="240" w:lineRule="auto"/>
        <w:ind w:firstLine="480" w:firstLineChars="200"/>
        <w:jc w:val="center"/>
        <w:rPr>
          <w:rFonts w:ascii="Times New Roman" w:hAnsi="Times New Roman"/>
          <w:i/>
          <w:iCs/>
          <w:color w:val="000000"/>
          <w:kern w:val="0"/>
          <w:sz w:val="24"/>
          <w:szCs w:val="24"/>
          <w:lang w:bidi="ar"/>
        </w:rPr>
      </w:pPr>
      <m:oMath>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S</m:t>
            </m:r>
            <m:ctrlPr>
              <w:rPr>
                <w:rFonts w:ascii="Cambria Math" w:hAnsi="Cambria Math"/>
                <w:i/>
                <w:sz w:val="24"/>
              </w:rPr>
            </m:ctrlPr>
          </m:sub>
        </m:sSub>
        <m:r>
          <m:rP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m:rPr/>
                  <w:rPr>
                    <w:rFonts w:ascii="Cambria Math" w:hAnsi="Cambria Math"/>
                    <w:sz w:val="24"/>
                  </w:rPr>
                  <m:t>γ</m:t>
                </m:r>
                <m:ctrlPr>
                  <w:rPr>
                    <w:rFonts w:ascii="Cambria Math" w:hAnsi="Cambria Math"/>
                    <w:i/>
                    <w:iCs/>
                    <w:sz w:val="24"/>
                  </w:rPr>
                </m:ctrlPr>
              </m:e>
              <m:sub>
                <m:r>
                  <m:rPr/>
                  <w:rPr>
                    <w:rFonts w:ascii="Cambria Math" w:hAnsi="Cambria Math"/>
                    <w:sz w:val="24"/>
                  </w:rPr>
                  <m:t>S</m:t>
                </m:r>
                <m:ctrlPr>
                  <w:rPr>
                    <w:rFonts w:ascii="Cambria Math" w:hAnsi="Cambria Math"/>
                    <w:i/>
                    <w:iCs/>
                    <w:sz w:val="24"/>
                  </w:rPr>
                </m:ctrlPr>
              </m:sub>
            </m:sSub>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ctrlPr>
              <w:rPr>
                <w:rFonts w:ascii="Cambria Math" w:hAnsi="Cambria Math"/>
                <w:i/>
                <w:iCs/>
                <w:sz w:val="24"/>
              </w:rPr>
            </m:ctrlPr>
          </m:num>
          <m:den>
            <m:sSub>
              <m:sSubPr>
                <m:ctrlPr>
                  <w:rPr>
                    <w:rFonts w:ascii="Cambria Math" w:hAnsi="Cambria Math"/>
                    <w:i/>
                    <w:iCs/>
                    <w:sz w:val="24"/>
                  </w:rPr>
                </m:ctrlPr>
              </m:sSubPr>
              <m:e>
                <m:r>
                  <m:rPr/>
                  <w:rPr>
                    <w:rFonts w:ascii="Cambria Math" w:hAnsi="Cambria Math"/>
                    <w:sz w:val="24"/>
                  </w:rPr>
                  <m:t>γ</m:t>
                </m:r>
                <m:ctrlPr>
                  <w:rPr>
                    <w:rFonts w:ascii="Cambria Math" w:hAnsi="Cambria Math"/>
                    <w:i/>
                    <w:iCs/>
                    <w:sz w:val="24"/>
                  </w:rPr>
                </m:ctrlPr>
              </m:e>
              <m:sub>
                <m:r>
                  <m:rPr/>
                  <w:rPr>
                    <w:rFonts w:ascii="Cambria Math" w:hAnsi="Cambria Math"/>
                    <w:sz w:val="24"/>
                  </w:rPr>
                  <m:t>ϖ</m:t>
                </m:r>
                <m:ctrlPr>
                  <w:rPr>
                    <w:rFonts w:ascii="Cambria Math" w:hAnsi="Cambria Math"/>
                    <w:i/>
                    <w:iCs/>
                    <w:sz w:val="24"/>
                  </w:rPr>
                </m:ctrlPr>
              </m:sub>
            </m:sSub>
            <m:r>
              <m:rPr/>
              <w:rPr>
                <w:rFonts w:ascii="Cambria Math" w:hAnsi="Cambria Math"/>
                <w:sz w:val="24"/>
              </w:rPr>
              <m:t xml:space="preserve"> </m:t>
            </m:r>
            <m:d>
              <m:dPr>
                <m:ctrlPr>
                  <w:rPr>
                    <w:rFonts w:ascii="Cambria Math" w:hAnsi="Cambria Math"/>
                    <w:i/>
                    <w:iCs/>
                    <w:sz w:val="24"/>
                  </w:rPr>
                </m:ctrlPr>
              </m:dPr>
              <m:e>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p</m:t>
                    </m:r>
                    <m:ctrlPr>
                      <w:rPr>
                        <w:rFonts w:ascii="Cambria Math" w:hAnsi="Cambria Math"/>
                        <w:i/>
                        <w:iCs/>
                        <w:sz w:val="24"/>
                      </w:rPr>
                    </m:ctrlPr>
                  </m:sub>
                </m:sSub>
                <m:r>
                  <m:rPr/>
                  <w:rPr>
                    <w:rFonts w:ascii="Cambria Math" w:hAnsi="Cambria Math"/>
                    <w:sz w:val="24"/>
                  </w:rPr>
                  <m:t>+</m:t>
                </m:r>
                <m:sSub>
                  <m:sSubPr>
                    <m:ctrlPr>
                      <w:rPr>
                        <w:rFonts w:ascii="Cambria Math" w:hAnsi="Cambria Math"/>
                        <w:i/>
                        <w:iCs/>
                        <w:sz w:val="24"/>
                      </w:rPr>
                    </m:ctrlPr>
                  </m:sSubPr>
                  <m:e>
                    <m:r>
                      <m:rPr/>
                      <w:rPr>
                        <w:rFonts w:ascii="Cambria Math" w:hAnsi="Cambria Math"/>
                        <w:sz w:val="24"/>
                      </w:rPr>
                      <m:t>h</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ctrlPr>
                  <w:rPr>
                    <w:rFonts w:ascii="Cambria Math" w:hAnsi="Cambria Math"/>
                    <w:i/>
                    <w:iCs/>
                    <w:sz w:val="24"/>
                  </w:rPr>
                </m:ctrlPr>
              </m:e>
            </m:d>
            <m:ctrlPr>
              <w:rPr>
                <w:rFonts w:ascii="Cambria Math" w:hAnsi="Cambria Math"/>
                <w:i/>
                <w:iCs/>
                <w:sz w:val="24"/>
              </w:rPr>
            </m:ctrlPr>
          </m:den>
        </m:f>
        <m:r>
          <m:rPr/>
          <w:rPr>
            <w:rFonts w:ascii="Cambria Math" w:hAnsi="Cambria Math"/>
            <w:sz w:val="24"/>
          </w:rPr>
          <m:t>=</m:t>
        </m:r>
        <m:f>
          <m:fPr>
            <m:ctrlPr>
              <w:rPr>
                <w:rFonts w:ascii="Cambria Math" w:hAnsi="Cambria Math"/>
                <w:i/>
                <w:iCs/>
                <w:sz w:val="24"/>
              </w:rPr>
            </m:ctrlPr>
          </m:fPr>
          <m:num>
            <m:r>
              <m:rPr/>
              <w:rPr>
                <w:rFonts w:ascii="Cambria Math" w:hAnsi="Cambria Math"/>
                <w:sz w:val="24"/>
              </w:rPr>
              <m:t>19.5×58</m:t>
            </m:r>
            <m:ctrlPr>
              <w:rPr>
                <w:rFonts w:ascii="Cambria Math" w:hAnsi="Cambria Math"/>
                <w:i/>
                <w:iCs/>
                <w:sz w:val="24"/>
              </w:rPr>
            </m:ctrlPr>
          </m:num>
          <m:den>
            <m:r>
              <m:rPr/>
              <w:rPr>
                <w:rFonts w:ascii="Cambria Math" w:hAnsi="Cambria Math"/>
                <w:sz w:val="24"/>
              </w:rPr>
              <m:t>10×</m:t>
            </m:r>
            <m:d>
              <m:dPr>
                <m:ctrlPr>
                  <w:rPr>
                    <w:rFonts w:ascii="Cambria Math" w:hAnsi="Cambria Math"/>
                    <w:i/>
                    <w:iCs/>
                    <w:sz w:val="24"/>
                  </w:rPr>
                </m:ctrlPr>
              </m:dPr>
              <m:e>
                <m:r>
                  <m:rPr/>
                  <w:rPr>
                    <w:rFonts w:ascii="Cambria Math" w:hAnsi="Cambria Math"/>
                    <w:sz w:val="24"/>
                  </w:rPr>
                  <m:t>20+58</m:t>
                </m:r>
                <m:ctrlPr>
                  <w:rPr>
                    <w:rFonts w:ascii="Cambria Math" w:hAnsi="Cambria Math"/>
                    <w:i/>
                    <w:iCs/>
                    <w:sz w:val="24"/>
                  </w:rPr>
                </m:ctrlPr>
              </m:e>
            </m:d>
            <m:ctrlPr>
              <w:rPr>
                <w:rFonts w:ascii="Cambria Math" w:hAnsi="Cambria Math"/>
                <w:i/>
                <w:iCs/>
                <w:sz w:val="24"/>
              </w:rPr>
            </m:ctrlPr>
          </m:den>
        </m:f>
        <m:r>
          <m:rPr/>
          <w:rPr>
            <w:rFonts w:ascii="Cambria Math" w:hAnsi="Cambria Math"/>
            <w:sz w:val="24"/>
          </w:rPr>
          <m:t>=1.45</m:t>
        </m:r>
      </m:oMath>
      <w:r>
        <w:rPr>
          <w:rFonts w:hint="eastAsia"/>
          <w:position w:val="-22"/>
        </w:rPr>
        <w:t> </w:t>
      </w:r>
      <w:r>
        <w:rPr>
          <w:rFonts w:hint="eastAsia"/>
          <w:i/>
          <w:iCs/>
          <w:position w:val="-22"/>
        </w:rPr>
        <w:t>   </w:t>
      </w:r>
    </w:p>
    <w:p w14:paraId="052D39BE">
      <w:pPr>
        <w:widowControl/>
        <w:spacing w:line="240" w:lineRule="auto"/>
        <w:ind w:firstLine="480" w:firstLineChars="200"/>
        <w:jc w:val="left"/>
        <w:rPr>
          <w:rFonts w:ascii="Times New Roman" w:hAnsi="Times New Roman"/>
          <w:color w:val="FF0000"/>
        </w:rPr>
      </w:pPr>
      <w:r>
        <w:rPr>
          <w:rFonts w:ascii="Times New Roman" w:hAnsi="Times New Roman"/>
          <w:i/>
          <w:iCs/>
          <w:color w:val="000000"/>
          <w:kern w:val="0"/>
          <w:sz w:val="24"/>
          <w:szCs w:val="24"/>
          <w:lang w:bidi="ar"/>
        </w:rPr>
        <w:t>F</w:t>
      </w:r>
      <w:r>
        <w:rPr>
          <w:rFonts w:ascii="Times New Roman" w:hAnsi="Times New Roman"/>
          <w:i/>
          <w:iCs/>
          <w:vertAlign w:val="subscript"/>
        </w:rPr>
        <w:t>s</w:t>
      </w:r>
      <w:r>
        <w:rPr>
          <w:rFonts w:hint="eastAsia" w:ascii="Times New Roman" w:hAnsi="Times New Roman"/>
          <w:kern w:val="0"/>
          <w:szCs w:val="24"/>
        </w:rPr>
        <w:t>的取值过大会限制回灌压力使回灌量偏小，取值过小会造成计算回灌压力过大导致井壁破坏产生冒水现象。结合上述案例，取井壁抗劈裂安全系数</w:t>
      </w:r>
      <w:r>
        <w:rPr>
          <w:rFonts w:ascii="Times New Roman" w:hAnsi="Times New Roman"/>
          <w:i/>
          <w:iCs/>
          <w:color w:val="000000"/>
          <w:kern w:val="0"/>
          <w:sz w:val="24"/>
          <w:szCs w:val="24"/>
          <w:lang w:bidi="ar"/>
        </w:rPr>
        <w:t>F</w:t>
      </w:r>
      <w:r>
        <w:rPr>
          <w:rFonts w:ascii="Times New Roman" w:hAnsi="Times New Roman"/>
          <w:i/>
          <w:iCs/>
          <w:vertAlign w:val="subscript"/>
        </w:rPr>
        <w:t>s</w:t>
      </w:r>
      <w:r>
        <w:rPr>
          <w:rFonts w:hint="eastAsia" w:ascii="Times New Roman" w:hAnsi="Times New Roman"/>
          <w:kern w:val="0"/>
          <w:szCs w:val="24"/>
        </w:rPr>
        <w:t>为1.2～1.5，当隔水封闭层采用黏土球封闭时宜取高值，采用注浆封闭时宜取低值。由于目前湖北省内加压回灌的</w:t>
      </w:r>
      <w:r>
        <w:rPr>
          <w:rFonts w:ascii="Times New Roman" w:hAnsi="Times New Roman"/>
          <w:kern w:val="0"/>
          <w:szCs w:val="24"/>
        </w:rPr>
        <w:t>工程实测</w:t>
      </w:r>
      <w:r>
        <w:rPr>
          <w:rFonts w:hint="eastAsia" w:ascii="Times New Roman" w:hAnsi="Times New Roman"/>
          <w:kern w:val="0"/>
          <w:szCs w:val="24"/>
        </w:rPr>
        <w:t>数据样本相对</w:t>
      </w:r>
      <w:r>
        <w:rPr>
          <w:rFonts w:ascii="Times New Roman" w:hAnsi="Times New Roman"/>
          <w:kern w:val="0"/>
          <w:szCs w:val="24"/>
        </w:rPr>
        <w:t>较少</w:t>
      </w:r>
      <w:r>
        <w:rPr>
          <w:rFonts w:hint="eastAsia" w:ascii="Times New Roman" w:hAnsi="Times New Roman"/>
          <w:kern w:val="0"/>
          <w:szCs w:val="24"/>
        </w:rPr>
        <w:t>，实际加压回灌的压力选择可根据本计算结果并结合现场回灌试验最终确定。</w:t>
      </w:r>
    </w:p>
    <w:p w14:paraId="226484B3">
      <w:pPr>
        <w:pStyle w:val="32"/>
        <w:spacing w:after="0" w:line="240" w:lineRule="auto"/>
        <w:ind w:left="0" w:leftChars="0" w:firstLine="0" w:firstLineChars="0"/>
      </w:pPr>
      <w:r>
        <w:rPr>
          <w:rFonts w:ascii="黑体" w:hAnsi="黑体" w:eastAsia="黑体"/>
        </w:rPr>
        <w:t>10.2.7 </w:t>
      </w:r>
      <w:r>
        <w:rPr>
          <w:rFonts w:ascii="宋体" w:hAnsi="宋体" w:eastAsia="宋体" w:cs="宋体"/>
        </w:rPr>
        <w:t> 通过回灌试验可获得各级回灌压力下所对应的不同单井回灌量Q</w:t>
      </w:r>
      <w:r>
        <w:rPr>
          <w:rFonts w:ascii="宋体" w:hAnsi="宋体" w:eastAsia="宋体" w:cs="宋体"/>
          <w:vertAlign w:val="superscript"/>
        </w:rPr>
        <w:t>*</w:t>
      </w:r>
      <w:r>
        <w:rPr>
          <w:rFonts w:ascii="宋体" w:hAnsi="宋体" w:eastAsia="宋体" w:cs="宋体"/>
        </w:rPr>
        <w:t>,计算公式（15）建立了任意点单井回灌量Q</w:t>
      </w:r>
      <w:r>
        <w:rPr>
          <w:rFonts w:ascii="宋体" w:hAnsi="宋体" w:eastAsia="宋体" w:cs="宋体"/>
          <w:vertAlign w:val="superscript"/>
        </w:rPr>
        <w:t>*</w:t>
      </w:r>
      <w:r>
        <w:rPr>
          <w:rFonts w:ascii="宋体" w:hAnsi="宋体" w:eastAsia="宋体" w:cs="宋体"/>
        </w:rPr>
        <w:t>与的理论水位抬升值S</w:t>
      </w:r>
      <w:r>
        <w:rPr>
          <w:rFonts w:ascii="宋体" w:hAnsi="宋体" w:eastAsia="宋体" w:cs="宋体"/>
          <w:vertAlign w:val="superscript"/>
        </w:rPr>
        <w:t>*</w:t>
      </w:r>
      <w:r>
        <w:rPr>
          <w:rFonts w:ascii="宋体" w:hAnsi="宋体" w:eastAsia="宋体" w:cs="宋体"/>
        </w:rPr>
        <w:t>之间的关系。在设计过程中，可以根据回灌控制水位计算各井所需的单井回灌量Q</w:t>
      </w:r>
      <w:r>
        <w:rPr>
          <w:rFonts w:ascii="宋体" w:hAnsi="宋体" w:eastAsia="宋体" w:cs="宋体"/>
          <w:vertAlign w:val="superscript"/>
        </w:rPr>
        <w:t>*</w:t>
      </w:r>
      <w:r>
        <w:rPr>
          <w:rFonts w:ascii="宋体" w:hAnsi="宋体" w:eastAsia="宋体" w:cs="宋体"/>
        </w:rPr>
        <w:t>，进而确定各井的回灌压力控制指标。</w:t>
      </w:r>
    </w:p>
    <w:p w14:paraId="1797B6C0">
      <w:pPr>
        <w:pStyle w:val="32"/>
        <w:spacing w:after="0" w:line="240" w:lineRule="auto"/>
        <w:ind w:left="0" w:leftChars="0" w:firstLine="420"/>
        <w:rPr>
          <w:rFonts w:ascii="宋体" w:hAnsi="宋体" w:eastAsia="宋体" w:cstheme="minorEastAsia"/>
        </w:rPr>
      </w:pPr>
      <w:r>
        <w:rPr>
          <w:rFonts w:ascii="宋体" w:hAnsi="宋体" w:eastAsia="宋体" w:cs="宋体"/>
        </w:rPr>
        <w:t>本文件</w:t>
      </w:r>
      <w:r>
        <w:rPr>
          <w:rFonts w:ascii="宋体" w:hAnsi="宋体" w:eastAsia="宋体" w:cstheme="minorEastAsia"/>
        </w:rPr>
        <w:t>编制组查阅了大量文献及抽、灌对比试验，在工程实践中采用降水理论进行回灌管井的影响半径、回灌渗透系数、水位抬升等计算已基本</w:t>
      </w:r>
      <w:r>
        <w:rPr>
          <w:rFonts w:hint="default" w:ascii="宋体" w:hAnsi="宋体" w:eastAsia="宋体" w:cstheme="minorEastAsia"/>
        </w:rPr>
        <w:t>形成</w:t>
      </w:r>
      <w:r>
        <w:rPr>
          <w:rFonts w:ascii="宋体" w:hAnsi="宋体" w:eastAsia="宋体" w:cstheme="minorEastAsia"/>
        </w:rPr>
        <w:t>共识。式（</w:t>
      </w:r>
      <w:r>
        <w:rPr>
          <w:rFonts w:hint="default" w:ascii="宋体" w:hAnsi="宋体" w:eastAsia="宋体" w:cstheme="minorEastAsia"/>
        </w:rPr>
        <w:t>1</w:t>
      </w:r>
      <w:r>
        <w:rPr>
          <w:rFonts w:ascii="宋体" w:hAnsi="宋体" w:eastAsia="宋体" w:cstheme="minorEastAsia"/>
        </w:rPr>
        <w:t>5）是计算完整井单井承压水水位抬升的基本公式。</w:t>
      </w:r>
    </w:p>
    <w:p w14:paraId="096EA140">
      <w:pPr>
        <w:pStyle w:val="32"/>
        <w:spacing w:after="0" w:line="240" w:lineRule="auto"/>
        <w:ind w:left="0" w:leftChars="0" w:firstLine="420"/>
        <w:rPr>
          <w:rFonts w:ascii="宋体" w:hAnsi="宋体" w:eastAsia="宋体" w:cstheme="minorEastAsia"/>
        </w:rPr>
      </w:pPr>
      <w:r>
        <w:rPr>
          <w:rFonts w:ascii="宋体" w:hAnsi="宋体" w:eastAsia="宋体" w:cstheme="minorEastAsia"/>
        </w:rPr>
        <w:t>目前，对于非完整井回灌的水位回升计算还没有成熟的经验公式可参考。在厚大含水层中，有采用扎马林的“有效带”，即将完整井计算公式中的含水层厚度M换成“有效带”的厚度，从而可继续利用完整井的公式进行计算的观点。但是此方法可能导致预测的水位抬升值偏大，用于设计偏不安全。故本次规程非完整井回灌依然采用含水层厚度M进行计算，实际操作时由回灌试验求算回灌渗透系数K</w:t>
      </w:r>
      <w:r>
        <w:rPr>
          <w:rFonts w:hint="default" w:ascii="宋体" w:hAnsi="宋体" w:eastAsia="宋体" w:cstheme="minorEastAsia"/>
          <w:vertAlign w:val="superscript"/>
        </w:rPr>
        <w:t>*</w:t>
      </w:r>
      <w:r>
        <w:rPr>
          <w:rFonts w:ascii="宋体" w:hAnsi="宋体" w:eastAsia="宋体" w:cstheme="minorEastAsia"/>
        </w:rPr>
        <w:t>及影响半径概化值R</w:t>
      </w:r>
      <w:r>
        <w:rPr>
          <w:rFonts w:hint="default" w:ascii="宋体" w:hAnsi="宋体" w:eastAsia="宋体" w:cstheme="minorEastAsia"/>
          <w:vertAlign w:val="superscript"/>
        </w:rPr>
        <w:t>*</w:t>
      </w:r>
      <w:r>
        <w:rPr>
          <w:rFonts w:ascii="宋体" w:hAnsi="宋体" w:eastAsia="宋体" w:cstheme="minorEastAsia"/>
        </w:rPr>
        <w:t>，再用于回灌设计计算。在试验回灌管井与设计回灌管井结构相同的条件下，统一采用基本公式进行计算是可行的。</w:t>
      </w:r>
    </w:p>
    <w:p w14:paraId="18D71587">
      <w:pPr>
        <w:pStyle w:val="32"/>
        <w:spacing w:after="0" w:line="240" w:lineRule="auto"/>
        <w:ind w:left="0" w:leftChars="0" w:firstLine="0" w:firstLineChars="0"/>
      </w:pPr>
      <w:r>
        <w:rPr>
          <w:rFonts w:ascii="黑体" w:hAnsi="黑体" w:eastAsia="黑体"/>
        </w:rPr>
        <w:t>10.2.8 </w:t>
      </w:r>
      <w:r>
        <w:rPr>
          <w:rFonts w:ascii="宋体" w:hAnsi="宋体" w:eastAsia="宋体" w:cs="宋体"/>
        </w:rPr>
        <w:t> 群井回灌水位抬升计算可采用各单井回灌水位抬升公式计算后进行叠加，但应考虑群井回灌效应的影响。</w:t>
      </w:r>
    </w:p>
    <w:p w14:paraId="7FFD139A">
      <w:pPr>
        <w:spacing w:line="240" w:lineRule="auto"/>
        <w:rPr>
          <w:rFonts w:hint="eastAsia" w:ascii="宋体" w:hAnsi="宋体"/>
        </w:rPr>
      </w:pPr>
      <w:r>
        <w:rPr>
          <w:rFonts w:ascii="黑体" w:hAnsi="黑体" w:eastAsia="黑体"/>
        </w:rPr>
        <w:t>10</w:t>
      </w:r>
      <w:r>
        <w:rPr>
          <w:rFonts w:hint="eastAsia" w:ascii="黑体" w:hAnsi="黑体" w:eastAsia="黑体"/>
        </w:rPr>
        <w:t>.2.9 </w:t>
      </w:r>
      <w:r>
        <w:rPr>
          <w:rFonts w:hint="eastAsia" w:ascii="宋体" w:hAnsi="宋体" w:eastAsia="黑体" w:cs="宋体"/>
        </w:rPr>
        <w:t> </w:t>
      </w:r>
      <w:r>
        <w:rPr>
          <w:rFonts w:hint="eastAsia" w:ascii="宋体" w:hAnsi="宋体"/>
        </w:rPr>
        <w:t>基坑回灌时，在土体中产生的水压力随与回灌管井的距离增大而逐渐衰减，在回灌管井周围产生的水压力一般较大，会对邻近的隔渗帷幕或建（构）筑物基础产生较大的影响；回灌管井距离建（构）筑物距离过近，回灌管井成孔施工或洗井也会对其变形产生较大影响；因此，回灌管井井位的确定应结合受保护建（构）筑物的具体情况分析确定，如建（构）筑物基础形式、结构抗变形能力、现阶段病害等特点合理确定。</w:t>
      </w:r>
    </w:p>
    <w:p w14:paraId="431E3929">
      <w:pPr>
        <w:spacing w:line="240" w:lineRule="auto"/>
        <w:ind w:firstLine="420"/>
      </w:pPr>
      <w:r>
        <w:rPr>
          <w:rFonts w:hint="eastAsia" w:ascii="宋体" w:hAnsi="宋体" w:cs="宋体"/>
        </w:rPr>
        <w:t>降水管井与</w:t>
      </w:r>
      <w:r>
        <w:rPr>
          <w:rFonts w:hint="eastAsia" w:ascii="宋体" w:hAnsi="宋体"/>
        </w:rPr>
        <w:t>回灌管井</w:t>
      </w:r>
      <w:r>
        <w:rPr>
          <w:rFonts w:hint="eastAsia" w:ascii="宋体" w:hAnsi="宋体" w:cs="宋体"/>
        </w:rPr>
        <w:t>之间应保持一定的距离，当距离过小时，水流彼此干扰，透水通道易贯通，无法使水位恢复到天然水位附近，对于渗透性较强粗砂、砾砂和碎石层，回灌管井与降水管井的距离应适当增加。</w:t>
      </w:r>
    </w:p>
    <w:p w14:paraId="7DEF0257">
      <w:pPr>
        <w:spacing w:line="240" w:lineRule="auto"/>
        <w:jc w:val="left"/>
        <w:rPr>
          <w:rFonts w:hint="eastAsia" w:ascii="宋体" w:hAnsi="宋体"/>
        </w:rPr>
      </w:pPr>
      <w:r>
        <w:rPr>
          <w:rFonts w:ascii="黑体" w:hAnsi="黑体" w:eastAsia="黑体"/>
        </w:rPr>
        <w:t>10</w:t>
      </w:r>
      <w:r>
        <w:rPr>
          <w:rFonts w:hint="eastAsia" w:ascii="黑体" w:hAnsi="黑体" w:eastAsia="黑体"/>
        </w:rPr>
        <w:t>.2.10 </w:t>
      </w:r>
      <w:r>
        <w:rPr>
          <w:rFonts w:hint="eastAsia" w:ascii="宋体" w:hAnsi="宋体" w:eastAsia="黑体" w:cs="宋体"/>
        </w:rPr>
        <w:t> </w:t>
      </w:r>
      <w:r>
        <w:rPr>
          <w:rFonts w:hint="eastAsia" w:ascii="宋体" w:hAnsi="宋体"/>
        </w:rPr>
        <w:t>成对布置回灌管井是指回灌管井成组、紧邻布置在被保护建（构）筑物旁，成对布置可以在主回灌管井进行回扬抽水之前预先开启辅助回灌管井，当主回灌管井周围出现水位下降时，由于辅助回灌管井此时正在进行回灌，辅助回灌管井周围仍有水位上升锥，能有效防止被保护建（构）筑物处出现较大水位降深，从而减小或防止被保护对象的沉降。</w:t>
      </w:r>
    </w:p>
    <w:p w14:paraId="0251715D">
      <w:pPr>
        <w:spacing w:before="156" w:beforeLines="50" w:after="156" w:afterLines="50" w:line="240" w:lineRule="auto"/>
        <w:outlineLvl w:val="1"/>
        <w:rPr>
          <w:rFonts w:hint="eastAsia" w:ascii="黑体" w:hAnsi="黑体" w:eastAsia="黑体"/>
          <w:bCs/>
          <w:szCs w:val="32"/>
        </w:rPr>
      </w:pPr>
      <w:r>
        <w:rPr>
          <w:rFonts w:hint="eastAsia" w:ascii="黑体" w:hAnsi="黑体" w:eastAsia="黑体"/>
          <w:bCs/>
          <w:szCs w:val="32"/>
        </w:rPr>
        <w:t>10.3  施工</w:t>
      </w:r>
    </w:p>
    <w:p w14:paraId="720744C2">
      <w:pPr>
        <w:spacing w:line="240" w:lineRule="auto"/>
        <w:jc w:val="left"/>
        <w:rPr>
          <w:rFonts w:hint="eastAsia" w:ascii="宋体" w:hAnsi="宋体"/>
        </w:rPr>
      </w:pPr>
      <w:r>
        <w:rPr>
          <w:rFonts w:ascii="黑体" w:hAnsi="黑体" w:eastAsia="黑体"/>
        </w:rPr>
        <w:t>10</w:t>
      </w:r>
      <w:r>
        <w:rPr>
          <w:rFonts w:hint="eastAsia" w:ascii="黑体" w:hAnsi="黑体" w:eastAsia="黑体"/>
        </w:rPr>
        <w:t>.3.2 </w:t>
      </w:r>
      <w:r>
        <w:rPr>
          <w:rFonts w:hint="eastAsia" w:ascii="宋体" w:hAnsi="宋体" w:eastAsia="黑体" w:cs="宋体"/>
        </w:rPr>
        <w:t> </w:t>
      </w:r>
      <w:r>
        <w:rPr>
          <w:rFonts w:hint="eastAsia" w:ascii="宋体" w:hAnsi="宋体"/>
        </w:rPr>
        <w:t>隔水封闭层施工工艺及施工质量十分重要，直接影响着回灌的效能甚至成败，应结合现场环境及地质条件等因素合理确定。如上部松散填土层较薄时，可在填土层底部位置设置止水环后再浇筑混凝土或注浆封填，上部松散填土层较厚时，可通过在井口附近进行预注浆形成止浆压盖，避免回灌水压通过填土空隙流失而消散。</w:t>
      </w:r>
    </w:p>
    <w:p w14:paraId="34963D95">
      <w:pPr>
        <w:spacing w:before="156" w:beforeLines="50" w:after="156" w:afterLines="50" w:line="240" w:lineRule="auto"/>
        <w:outlineLvl w:val="1"/>
        <w:rPr>
          <w:rFonts w:hint="eastAsia" w:ascii="黑体" w:hAnsi="黑体" w:eastAsia="黑体"/>
          <w:bCs/>
          <w:szCs w:val="32"/>
        </w:rPr>
      </w:pPr>
      <w:bookmarkStart w:id="592" w:name="_Toc142730239"/>
      <w:r>
        <w:rPr>
          <w:rFonts w:hint="eastAsia" w:ascii="黑体" w:hAnsi="黑体" w:eastAsia="黑体"/>
          <w:bCs/>
          <w:szCs w:val="32"/>
        </w:rPr>
        <w:t>10.4  运行与维护</w:t>
      </w:r>
      <w:bookmarkEnd w:id="592"/>
    </w:p>
    <w:p w14:paraId="003AFB26">
      <w:pPr>
        <w:spacing w:line="240" w:lineRule="auto"/>
        <w:jc w:val="left"/>
        <w:rPr>
          <w:rFonts w:hint="eastAsia" w:ascii="宋体" w:hAnsi="宋体" w:cs="宋体"/>
        </w:rPr>
      </w:pPr>
      <w:r>
        <w:rPr>
          <w:rFonts w:ascii="黑体" w:hAnsi="黑体" w:eastAsia="黑体"/>
        </w:rPr>
        <w:t>10</w:t>
      </w:r>
      <w:r>
        <w:rPr>
          <w:rFonts w:hint="eastAsia" w:ascii="黑体" w:hAnsi="黑体" w:eastAsia="黑体"/>
        </w:rPr>
        <w:t>.4.1 </w:t>
      </w:r>
      <w:r>
        <w:rPr>
          <w:rFonts w:hint="eastAsia" w:ascii="宋体" w:hAnsi="宋体" w:eastAsia="黑体" w:cs="宋体"/>
        </w:rPr>
        <w:t> </w:t>
      </w:r>
      <w:r>
        <w:rPr>
          <w:rFonts w:hint="eastAsia" w:ascii="宋体" w:hAnsi="宋体" w:cs="宋体"/>
        </w:rPr>
        <w:t>回灌管井的运行维护过程十分重要，由于回灌工程边界条件复杂，武汉市临江区域地下水补给、径流、排泄条件随季节变化有一定波动，应密切关注回灌水位回升值及回灌量的变化，做到动态调整，使回灌水位抬升值不低于设计值。</w:t>
      </w:r>
    </w:p>
    <w:p w14:paraId="7AD269CD">
      <w:pPr>
        <w:spacing w:line="240" w:lineRule="auto"/>
      </w:pPr>
      <w:r>
        <w:rPr>
          <w:rFonts w:hint="eastAsia" w:ascii="黑体" w:hAnsi="黑体" w:eastAsia="黑体"/>
        </w:rPr>
        <w:t>10.4.2 </w:t>
      </w:r>
      <w:r>
        <w:rPr>
          <w:rFonts w:hint="eastAsia" w:ascii="宋体" w:hAnsi="宋体" w:eastAsia="黑体" w:cs="宋体"/>
        </w:rPr>
        <w:t> </w:t>
      </w:r>
      <w:r>
        <w:rPr>
          <w:rFonts w:hint="eastAsia" w:ascii="宋体" w:hAnsi="宋体" w:cs="宋体"/>
        </w:rPr>
        <w:t>为预防和处理管井堵塞，主要采用回扬的方法，回扬是在回灌管井中开泵抽排水中堵塞物。每口井的回扬次数和回扬持续时间主要由含水层颗粒大小和渗透性而定。</w:t>
      </w:r>
    </w:p>
    <w:p w14:paraId="6F43B032">
      <w:pPr>
        <w:pStyle w:val="2"/>
        <w:keepLines w:val="0"/>
        <w:spacing w:before="312" w:beforeLines="100" w:after="312" w:afterLines="100" w:line="240" w:lineRule="auto"/>
        <w:rPr>
          <w:rFonts w:hint="eastAsia" w:ascii="黑体" w:hAnsi="黑体" w:eastAsia="黑体"/>
          <w:b w:val="0"/>
          <w:bCs w:val="0"/>
          <w:sz w:val="21"/>
          <w:szCs w:val="21"/>
        </w:rPr>
      </w:pPr>
      <w:bookmarkStart w:id="593" w:name="_Toc14784"/>
      <w:bookmarkStart w:id="594" w:name="_Toc26097"/>
      <w:bookmarkStart w:id="595" w:name="_Toc142730240"/>
      <w:r>
        <w:rPr>
          <w:rFonts w:hint="eastAsia" w:ascii="黑体" w:hAnsi="黑体" w:eastAsia="黑体"/>
          <w:b w:val="0"/>
          <w:bCs w:val="0"/>
          <w:sz w:val="21"/>
          <w:szCs w:val="21"/>
        </w:rPr>
        <w:t>11  检测与监测</w:t>
      </w:r>
      <w:bookmarkEnd w:id="593"/>
      <w:bookmarkEnd w:id="594"/>
      <w:bookmarkEnd w:id="595"/>
    </w:p>
    <w:p w14:paraId="5998E868">
      <w:pPr>
        <w:keepNext/>
        <w:spacing w:before="156" w:beforeLines="50" w:after="156" w:afterLines="50" w:line="240" w:lineRule="auto"/>
        <w:outlineLvl w:val="1"/>
        <w:rPr>
          <w:rFonts w:hint="eastAsia" w:ascii="黑体" w:hAnsi="黑体" w:eastAsia="黑体"/>
          <w:bCs/>
          <w:szCs w:val="32"/>
        </w:rPr>
      </w:pPr>
      <w:bookmarkStart w:id="596" w:name="_Toc142730241"/>
      <w:r>
        <w:rPr>
          <w:rFonts w:hint="eastAsia" w:ascii="黑体" w:hAnsi="黑体" w:eastAsia="黑体"/>
          <w:bCs/>
          <w:szCs w:val="32"/>
        </w:rPr>
        <w:t>11.1  一般规定</w:t>
      </w:r>
      <w:bookmarkEnd w:id="596"/>
    </w:p>
    <w:p w14:paraId="7130788D">
      <w:pPr>
        <w:pStyle w:val="173"/>
        <w:numPr>
          <w:ilvl w:val="3"/>
          <w:numId w:val="0"/>
        </w:numPr>
        <w:rPr>
          <w:rFonts w:hint="eastAsia" w:hAnsi="宋体"/>
        </w:rPr>
      </w:pPr>
      <w:r>
        <w:rPr>
          <w:rFonts w:hint="eastAsia" w:ascii="黑体" w:hAnsi="黑体" w:eastAsia="黑体"/>
        </w:rPr>
        <w:t>11</w:t>
      </w:r>
      <w:r>
        <w:rPr>
          <w:rFonts w:ascii="黑体" w:hAnsi="黑体" w:eastAsia="黑体"/>
        </w:rPr>
        <w:t>.</w:t>
      </w:r>
      <w:r>
        <w:rPr>
          <w:rFonts w:hint="eastAsia" w:ascii="黑体" w:hAnsi="黑体" w:eastAsia="黑体"/>
        </w:rPr>
        <w:t>1</w:t>
      </w:r>
      <w:r>
        <w:rPr>
          <w:rFonts w:ascii="黑体" w:hAnsi="黑体" w:eastAsia="黑体"/>
        </w:rPr>
        <w:t>.</w:t>
      </w:r>
      <w:r>
        <w:rPr>
          <w:rFonts w:hint="eastAsia" w:ascii="黑体" w:hAnsi="黑体" w:eastAsia="黑体"/>
        </w:rPr>
        <w:t>4 </w:t>
      </w:r>
      <w:r>
        <w:rPr>
          <w:rFonts w:hint="eastAsia" w:hAnsi="宋体" w:eastAsia="黑体" w:cs="宋体"/>
        </w:rPr>
        <w:t> </w:t>
      </w:r>
      <w:r>
        <w:rPr>
          <w:rFonts w:ascii="黑体" w:hAnsi="黑体" w:eastAsia="黑体"/>
        </w:rPr>
        <w:t> </w:t>
      </w:r>
      <w:r>
        <w:rPr>
          <w:rFonts w:hAnsi="宋体"/>
        </w:rPr>
        <w:t>地下水控制过程中容易发生难以预料的突发情况，通过监测可以及时发现异常，防止或减少事故发生。</w:t>
      </w:r>
    </w:p>
    <w:p w14:paraId="252F01BD">
      <w:pPr>
        <w:spacing w:before="156" w:beforeLines="50" w:after="156" w:afterLines="50" w:line="240" w:lineRule="auto"/>
        <w:outlineLvl w:val="1"/>
        <w:rPr>
          <w:rFonts w:hint="eastAsia" w:ascii="黑体" w:hAnsi="黑体" w:eastAsia="黑体"/>
          <w:bCs/>
          <w:szCs w:val="32"/>
        </w:rPr>
      </w:pPr>
      <w:bookmarkStart w:id="597" w:name="_Toc142730233"/>
      <w:r>
        <w:rPr>
          <w:rFonts w:hint="eastAsia" w:ascii="黑体" w:hAnsi="黑体" w:eastAsia="黑体"/>
          <w:bCs/>
          <w:szCs w:val="32"/>
        </w:rPr>
        <w:t>11.2  检测</w:t>
      </w:r>
    </w:p>
    <w:bookmarkEnd w:id="597"/>
    <w:p w14:paraId="27EDA135">
      <w:pPr>
        <w:pStyle w:val="173"/>
        <w:numPr>
          <w:ilvl w:val="3"/>
          <w:numId w:val="0"/>
        </w:numPr>
      </w:pPr>
      <w:r>
        <w:rPr>
          <w:rFonts w:hint="eastAsia" w:ascii="黑体" w:hAnsi="黑体" w:eastAsia="黑体"/>
        </w:rPr>
        <w:t>11</w:t>
      </w:r>
      <w:r>
        <w:rPr>
          <w:rFonts w:ascii="黑体" w:hAnsi="黑体" w:eastAsia="黑体"/>
        </w:rPr>
        <w:t>.</w:t>
      </w:r>
      <w:r>
        <w:rPr>
          <w:rFonts w:hint="eastAsia" w:ascii="黑体" w:hAnsi="黑体" w:eastAsia="黑体"/>
        </w:rPr>
        <w:t>2</w:t>
      </w:r>
      <w:r>
        <w:rPr>
          <w:rFonts w:ascii="黑体" w:hAnsi="黑体" w:eastAsia="黑体"/>
        </w:rPr>
        <w:t>.</w:t>
      </w:r>
      <w:r>
        <w:rPr>
          <w:rFonts w:hint="eastAsia" w:ascii="黑体" w:hAnsi="黑体" w:eastAsia="黑体"/>
        </w:rPr>
        <w:t>1 </w:t>
      </w:r>
      <w:r>
        <w:rPr>
          <w:rFonts w:hint="eastAsia" w:hAnsi="宋体" w:eastAsia="黑体" w:cs="宋体"/>
        </w:rPr>
        <w:t> </w:t>
      </w:r>
      <w:r>
        <w:rPr>
          <w:rFonts w:hint="eastAsia"/>
        </w:rPr>
        <w:t>隔渗帷幕质量检验应符合《建筑基坑支护技术规程》JGJ 120、《建筑地基处理技术规范》JGJ 79、《基坑工程技术规程》DB42/T 159、《等厚度水泥土搅拌墙技术规程》DB42/T 1774、《型钢水泥土搅拌墙技术规程》JGJ/T 199、《渠式切割水泥土连续墙技术规程》JGJ/T 303、《咬合式排桩技术标准》JGJ/T 396等的有关规定。</w:t>
      </w:r>
    </w:p>
    <w:p w14:paraId="2BF727B8">
      <w:pPr>
        <w:pStyle w:val="173"/>
        <w:numPr>
          <w:ilvl w:val="3"/>
          <w:numId w:val="0"/>
        </w:numPr>
        <w:rPr>
          <w:rFonts w:hint="eastAsia" w:hAnsi="宋体"/>
        </w:rPr>
      </w:pPr>
      <w:r>
        <w:rPr>
          <w:rFonts w:ascii="黑体" w:hAnsi="黑体" w:eastAsia="黑体"/>
        </w:rPr>
        <w:t>1</w:t>
      </w:r>
      <w:r>
        <w:rPr>
          <w:rFonts w:hint="eastAsia" w:ascii="黑体" w:hAnsi="黑体" w:eastAsia="黑体"/>
        </w:rPr>
        <w:t>1</w:t>
      </w:r>
      <w:r>
        <w:rPr>
          <w:rFonts w:ascii="黑体" w:hAnsi="黑体" w:eastAsia="黑体"/>
        </w:rPr>
        <w:t>.</w:t>
      </w:r>
      <w:r>
        <w:rPr>
          <w:rFonts w:hint="eastAsia" w:ascii="黑体" w:hAnsi="黑体" w:eastAsia="黑体"/>
        </w:rPr>
        <w:t>2</w:t>
      </w:r>
      <w:r>
        <w:rPr>
          <w:rFonts w:ascii="黑体" w:hAnsi="黑体" w:eastAsia="黑体"/>
        </w:rPr>
        <w:t>.</w:t>
      </w:r>
      <w:r>
        <w:rPr>
          <w:rFonts w:hint="eastAsia" w:ascii="黑体" w:hAnsi="黑体" w:eastAsia="黑体"/>
        </w:rPr>
        <w:t>4</w:t>
      </w:r>
      <w:r>
        <w:rPr>
          <w:rFonts w:ascii="黑体" w:hAnsi="黑体" w:eastAsia="黑体"/>
        </w:rPr>
        <w:t> </w:t>
      </w:r>
      <w:r>
        <w:rPr>
          <w:rFonts w:hAnsi="宋体" w:cs="宋体"/>
        </w:rPr>
        <w:t> </w:t>
      </w:r>
      <w:r>
        <w:rPr>
          <w:rFonts w:hint="eastAsia" w:ascii="Times New Roman"/>
        </w:rPr>
        <w:t>降水管井抽水稳定后，井水的含砂量不应大于</w:t>
      </w:r>
      <w:r>
        <w:rPr>
          <w:rFonts w:hint="eastAsia"/>
        </w:rPr>
        <w:t>20</w:t>
      </w:r>
      <w:r>
        <w:rPr>
          <w:rFonts w:ascii="Times New Roman"/>
        </w:rPr>
        <w:t> </w:t>
      </w:r>
      <w:r>
        <w:rPr>
          <w:rFonts w:hint="eastAsia"/>
        </w:rPr>
        <w:t>mg/L。（20</w:t>
      </w:r>
      <w:r>
        <w:rPr>
          <w:rFonts w:ascii="Times New Roman"/>
        </w:rPr>
        <w:t> </w:t>
      </w:r>
      <w:r>
        <w:rPr>
          <w:rFonts w:hint="eastAsia"/>
        </w:rPr>
        <w:t>mg/L相当于体积比1/100000；20</w:t>
      </w:r>
      <w:r>
        <w:rPr>
          <w:rFonts w:ascii="Times New Roman"/>
        </w:rPr>
        <w:t> </w:t>
      </w:r>
      <w:r>
        <w:rPr>
          <w:rFonts w:hint="eastAsia"/>
        </w:rPr>
        <w:t>mg/L相当于质量比1/50000）</w:t>
      </w:r>
      <w:r>
        <w:rPr>
          <w:rFonts w:ascii="Times New Roman"/>
        </w:rPr>
        <w:t> </w:t>
      </w:r>
      <w:r>
        <w:rPr>
          <w:rFonts w:hint="eastAsia" w:ascii="Times New Roman"/>
        </w:rPr>
        <w:t>。</w:t>
      </w:r>
    </w:p>
    <w:p w14:paraId="4BD361E7">
      <w:pPr>
        <w:pStyle w:val="173"/>
        <w:numPr>
          <w:ilvl w:val="3"/>
          <w:numId w:val="0"/>
        </w:numPr>
        <w:ind w:firstLine="420" w:firstLineChars="200"/>
        <w:rPr>
          <w:rFonts w:hint="eastAsia" w:hAnsi="宋体"/>
        </w:rPr>
      </w:pPr>
      <w:r>
        <w:rPr>
          <w:rFonts w:hAnsi="宋体"/>
        </w:rPr>
        <w:t>降水管井出水</w:t>
      </w:r>
      <w:r>
        <w:rPr>
          <w:rFonts w:hint="eastAsia" w:hAnsi="宋体"/>
        </w:rPr>
        <w:t>含砂量</w:t>
      </w:r>
      <w:r>
        <w:rPr>
          <w:rFonts w:hAnsi="宋体"/>
        </w:rPr>
        <w:t>是衡量降水管井质量</w:t>
      </w:r>
      <w:r>
        <w:rPr>
          <w:rFonts w:hAnsi="宋体"/>
          <w:kern w:val="2"/>
          <w:szCs w:val="21"/>
        </w:rPr>
        <w:t>的一个重要指标，出水</w:t>
      </w:r>
      <w:r>
        <w:rPr>
          <w:rFonts w:hint="eastAsia" w:hAnsi="宋体"/>
          <w:kern w:val="2"/>
          <w:szCs w:val="21"/>
        </w:rPr>
        <w:t>含砂量</w:t>
      </w:r>
      <w:r>
        <w:rPr>
          <w:rFonts w:hAnsi="宋体"/>
          <w:kern w:val="2"/>
          <w:szCs w:val="21"/>
        </w:rPr>
        <w:t>大小与过滤器的选择、施工质量及井壁进水流速等因素有关。抽出水中的固</w:t>
      </w:r>
      <w:r>
        <w:rPr>
          <w:rFonts w:hAnsi="宋体"/>
        </w:rPr>
        <w:t>体颗粒来源于地层中细颗粒成分，如果出水</w:t>
      </w:r>
      <w:r>
        <w:rPr>
          <w:rFonts w:hint="eastAsia" w:hAnsi="宋体"/>
        </w:rPr>
        <w:t>含砂量</w:t>
      </w:r>
      <w:r>
        <w:rPr>
          <w:rFonts w:hAnsi="宋体"/>
        </w:rPr>
        <w:t>过大，说明地层中细颗粒成分流失量大，使井周边一定范围的地层中孔隙增大，会造成地面不均匀沉降。</w:t>
      </w:r>
    </w:p>
    <w:p w14:paraId="3B561D22">
      <w:pPr>
        <w:spacing w:before="156" w:beforeLines="50" w:after="156" w:afterLines="50" w:line="240" w:lineRule="auto"/>
        <w:outlineLvl w:val="1"/>
        <w:rPr>
          <w:rFonts w:hint="eastAsia" w:ascii="黑体" w:hAnsi="黑体" w:eastAsia="黑体"/>
          <w:bCs/>
          <w:szCs w:val="32"/>
        </w:rPr>
      </w:pPr>
      <w:bookmarkStart w:id="598" w:name="_Toc142730242"/>
      <w:r>
        <w:rPr>
          <w:rFonts w:hint="eastAsia" w:ascii="黑体" w:hAnsi="黑体" w:eastAsia="黑体"/>
          <w:bCs/>
          <w:szCs w:val="32"/>
        </w:rPr>
        <w:t>11.3  监测</w:t>
      </w:r>
      <w:bookmarkEnd w:id="598"/>
    </w:p>
    <w:p w14:paraId="790C7659">
      <w:pPr>
        <w:pStyle w:val="32"/>
        <w:spacing w:after="0" w:line="240" w:lineRule="auto"/>
        <w:ind w:left="0" w:leftChars="0" w:firstLine="0" w:firstLineChars="0"/>
        <w:rPr>
          <w:rFonts w:hint="default" w:ascii="Times New Roman" w:hAnsi="Times New Roman" w:eastAsia="宋体"/>
        </w:rPr>
      </w:pPr>
      <w:r>
        <w:rPr>
          <w:rFonts w:ascii="黑体" w:hAnsi="黑体" w:eastAsia="黑体"/>
        </w:rPr>
        <w:t>11</w:t>
      </w:r>
      <w:r>
        <w:rPr>
          <w:rFonts w:hint="default" w:ascii="黑体" w:hAnsi="黑体" w:eastAsia="黑体"/>
        </w:rPr>
        <w:t>.3.1</w:t>
      </w:r>
      <w:r>
        <w:rPr>
          <w:rFonts w:ascii="黑体" w:hAnsi="黑体" w:eastAsia="黑体"/>
        </w:rPr>
        <w:t> </w:t>
      </w:r>
      <w:r>
        <w:rPr>
          <w:rFonts w:ascii="宋体" w:hAnsi="宋体" w:eastAsia="宋体" w:cs="宋体"/>
        </w:rPr>
        <w:t> </w:t>
      </w:r>
      <w:r>
        <w:rPr>
          <w:rFonts w:ascii="宋体" w:hAnsi="宋体" w:eastAsia="宋体"/>
        </w:rPr>
        <w:t>地下水控制工程与基坑支护工程的监测周期有所不同，一般来说，基坑回填后，基坑支护工程的监测工作即可终止；</w:t>
      </w:r>
      <w:r>
        <w:rPr>
          <w:rFonts w:hint="default" w:ascii="Times New Roman" w:hAnsi="Times New Roman" w:eastAsia="宋体"/>
        </w:rPr>
        <w:t>但因结构抗浮或周边环境保护需要而继续运行</w:t>
      </w:r>
      <w:r>
        <w:rPr>
          <w:rFonts w:ascii="Times New Roman" w:hAnsi="Times New Roman" w:eastAsia="宋体"/>
        </w:rPr>
        <w:t>降水管井或回灌井</w:t>
      </w:r>
      <w:r>
        <w:rPr>
          <w:rFonts w:hint="default" w:ascii="Times New Roman" w:hAnsi="Times New Roman" w:eastAsia="宋体"/>
        </w:rPr>
        <w:t>时，</w:t>
      </w:r>
      <w:r>
        <w:rPr>
          <w:rFonts w:ascii="Times New Roman" w:hAnsi="Times New Roman" w:eastAsia="宋体"/>
        </w:rPr>
        <w:t>地下水的</w:t>
      </w:r>
      <w:r>
        <w:rPr>
          <w:rFonts w:hint="default" w:ascii="Times New Roman" w:hAnsi="Times New Roman" w:eastAsia="宋体"/>
        </w:rPr>
        <w:t>监测</w:t>
      </w:r>
      <w:r>
        <w:rPr>
          <w:rFonts w:ascii="Times New Roman" w:hAnsi="Times New Roman" w:eastAsia="宋体"/>
        </w:rPr>
        <w:t>工作</w:t>
      </w:r>
      <w:r>
        <w:rPr>
          <w:rFonts w:hint="default" w:ascii="Times New Roman" w:hAnsi="Times New Roman" w:eastAsia="宋体"/>
        </w:rPr>
        <w:t>应延续至全部</w:t>
      </w:r>
      <w:r>
        <w:rPr>
          <w:rFonts w:ascii="Times New Roman" w:hAnsi="Times New Roman" w:eastAsia="宋体"/>
        </w:rPr>
        <w:t>降水管井</w:t>
      </w:r>
      <w:r>
        <w:rPr>
          <w:rFonts w:hint="default" w:ascii="Times New Roman" w:hAnsi="Times New Roman" w:eastAsia="宋体"/>
        </w:rPr>
        <w:t>、回灌井停止工作并完成封井后</w:t>
      </w:r>
      <w:r>
        <w:rPr>
          <w:rFonts w:ascii="Times New Roman" w:hAnsi="Times New Roman" w:eastAsia="宋体"/>
        </w:rPr>
        <w:t>。</w:t>
      </w:r>
    </w:p>
    <w:p w14:paraId="45746835">
      <w:pPr>
        <w:pStyle w:val="32"/>
        <w:spacing w:after="0" w:line="240" w:lineRule="auto"/>
        <w:ind w:left="0" w:leftChars="0" w:firstLine="420"/>
        <w:rPr>
          <w:rFonts w:ascii="宋体" w:hAnsi="宋体" w:eastAsia="宋体"/>
        </w:rPr>
      </w:pPr>
      <w:r>
        <w:rPr>
          <w:rFonts w:ascii="宋体" w:hAnsi="宋体" w:eastAsia="宋体"/>
        </w:rPr>
        <w:t>监测预警值是地下水控制期间对基坑工程状态进行判断的重要依据。基坑工程周边环境的监测项目的预警值应按监测对象的主管部门要求由基坑设计方确定，当无具体控制值时，可参考《建筑基坑工程监测技术标准》GB 50497的相关建议执行。</w:t>
      </w:r>
    </w:p>
    <w:p w14:paraId="1B3A1AE7">
      <w:pPr>
        <w:pStyle w:val="32"/>
        <w:spacing w:after="0" w:line="240" w:lineRule="auto"/>
        <w:ind w:left="0" w:leftChars="0" w:firstLine="0" w:firstLineChars="0"/>
        <w:rPr>
          <w:rFonts w:ascii="宋体" w:hAnsi="宋体" w:eastAsia="宋体"/>
        </w:rPr>
      </w:pPr>
      <w:r>
        <w:rPr>
          <w:rFonts w:ascii="黑体" w:hAnsi="黑体" w:eastAsia="黑体"/>
        </w:rPr>
        <w:t>11</w:t>
      </w:r>
      <w:r>
        <w:rPr>
          <w:rFonts w:hint="default" w:ascii="黑体" w:hAnsi="黑体" w:eastAsia="黑体"/>
        </w:rPr>
        <w:t>.</w:t>
      </w:r>
      <w:r>
        <w:rPr>
          <w:rFonts w:ascii="黑体" w:hAnsi="黑体" w:eastAsia="黑体"/>
        </w:rPr>
        <w:t>3</w:t>
      </w:r>
      <w:r>
        <w:rPr>
          <w:rFonts w:hint="default" w:ascii="黑体" w:hAnsi="黑体" w:eastAsia="黑体"/>
        </w:rPr>
        <w:t>.</w:t>
      </w:r>
      <w:r>
        <w:rPr>
          <w:rFonts w:ascii="黑体" w:hAnsi="黑体" w:eastAsia="黑体"/>
        </w:rPr>
        <w:t>5 </w:t>
      </w:r>
      <w:r>
        <w:rPr>
          <w:rFonts w:ascii="宋体" w:hAnsi="宋体" w:eastAsia="宋体" w:cs="宋体"/>
        </w:rPr>
        <w:t> </w:t>
      </w:r>
      <w:r>
        <w:rPr>
          <w:rFonts w:hint="default" w:ascii="宋体" w:hAnsi="宋体" w:eastAsia="宋体"/>
        </w:rPr>
        <w:t>巡视检查应由有经验的监测人员负责，巡视检查主要以目测为主，辅以简单的工具，检查方法速度快、简便、经济、有效，可以及时弥补仪器监测的不足。巡视检查发现任何异常，均应引起足够的重视，及时预警。</w:t>
      </w:r>
    </w:p>
    <w:p w14:paraId="122D3BCE"/>
    <w:p w14:paraId="170300ED">
      <w:pPr>
        <w:pStyle w:val="64"/>
        <w:ind w:firstLine="420"/>
      </w:pPr>
    </w:p>
    <w:p w14:paraId="2AFDF01F"/>
    <w:p w14:paraId="7D9E68BF"/>
    <w:p w14:paraId="32A0A098"/>
    <w:p w14:paraId="481BCFC1"/>
    <w:p w14:paraId="3155F437"/>
    <w:p w14:paraId="5865A00D"/>
    <w:p w14:paraId="32BFC5C8"/>
    <w:p w14:paraId="48588554"/>
    <w:p w14:paraId="60398446"/>
    <w:p w14:paraId="4A1CB4E7"/>
    <w:p w14:paraId="2A1ED7A9"/>
    <w:p w14:paraId="72AA4A34"/>
    <w:p w14:paraId="77C0E574"/>
    <w:p w14:paraId="53C05611"/>
    <w:p w14:paraId="7D1165BB"/>
    <w:p w14:paraId="7AD2F6D4">
      <w:pPr>
        <w:rPr>
          <w:rFonts w:ascii="宋体" w:hAnsi="Times New Roman"/>
          <w:kern w:val="0"/>
          <w:szCs w:val="20"/>
        </w:rPr>
      </w:pPr>
    </w:p>
    <w:p w14:paraId="1CB4FA58"/>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800002BF" w:usb1="184F6CF8" w:usb2="00000012" w:usb3="00000000" w:csb0="00020001" w:csb1="00000000"/>
  </w:font>
  <w:font w:name="等线">
    <w:altName w:val="汉仪中宋简"/>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A00002EF" w:usb1="420020E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8000000" w:usb3="00000000" w:csb0="00000001" w:csb1="00000000"/>
  </w:font>
  <w:font w:name="Noto Sans">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DB66D">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3728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3473728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3787">
    <w:pPr>
      <w:pStyle w:val="2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09B4F">
                          <w:pPr>
                            <w:pStyle w:val="2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7D309B4F">
                    <w:pPr>
                      <w:pStyle w:val="2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DC12C">
    <w:pPr>
      <w:pStyle w:val="20"/>
      <w:rPr>
        <w:rFonts w:hint="eastAsia" w:hAnsi="宋体" w:cs="宋体"/>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58C8C">
                          <w:pPr>
                            <w:pStyle w:val="2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2DD58C8C">
                    <w:pPr>
                      <w:pStyle w:val="2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D5C2">
    <w:pPr>
      <w:pStyle w:val="20"/>
      <w:tabs>
        <w:tab w:val="center" w:pos="4738"/>
        <w:tab w:val="left" w:pos="8085"/>
      </w:tabs>
      <w:jc w:val="left"/>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E8D22">
                          <w:pPr>
                            <w:pStyle w:val="2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59FE8D22">
                    <w:pPr>
                      <w:pStyle w:val="20"/>
                    </w:pPr>
                    <w:r>
                      <w:fldChar w:fldCharType="begin"/>
                    </w:r>
                    <w:r>
                      <w:instrText xml:space="preserve"> PAGE  \* MERGEFORMAT </w:instrText>
                    </w:r>
                    <w:r>
                      <w:fldChar w:fldCharType="separate"/>
                    </w:r>
                    <w:r>
                      <w:t>87</w:t>
                    </w:r>
                    <w:r>
                      <w:fldChar w:fldCharType="end"/>
                    </w:r>
                  </w:p>
                </w:txbxContent>
              </v:textbox>
            </v:shape>
          </w:pict>
        </mc:Fallback>
      </mc:AlternateContent>
    </w:r>
    <w:r>
      <w:rPr>
        <w:rFonts w:hint="eastAsia"/>
      </w:rPr>
      <w:tab/>
    </w:r>
    <w:r>
      <w:rPr>
        <w:rFonts w:hint="eastAsia"/>
      </w:rPr>
      <w:tab/>
    </w:r>
    <w:r>
      <w:rPr>
        <w:rFonts w:hint="eastAsia"/>
      </w:rPr>
      <w:tab/>
    </w:r>
    <w:r>
      <w:rPr>
        <w:rFonts w:hint="eastAsia"/>
      </w:rPr>
      <w:tab/>
    </w:r>
  </w:p>
  <w:p w14:paraId="50AC8965">
    <w:pPr>
      <w:pStyle w:val="2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1C29D">
    <w:pPr>
      <w:pStyle w:val="20"/>
      <w:rPr>
        <w:rFonts w:hint="eastAsia" w:hAnsi="宋体" w:cs="宋体"/>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25DF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65825DF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50AE2">
    <w:pPr>
      <w:pStyle w:val="20"/>
      <w:tabs>
        <w:tab w:val="center" w:pos="4738"/>
        <w:tab w:val="left" w:pos="8085"/>
      </w:tabs>
      <w:jc w:val="left"/>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4687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4B546876">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r>
      <w:rPr>
        <w:rFonts w:hint="eastAsia"/>
      </w:rPr>
      <w:tab/>
    </w:r>
    <w:r>
      <w:rPr>
        <w:rFonts w:hint="eastAsia"/>
      </w:rPr>
      <w:tab/>
    </w:r>
  </w:p>
  <w:p w14:paraId="5B30EF7C">
    <w:pPr>
      <w:pStyle w:val="2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B7A5B">
    <w:pPr>
      <w:pStyle w:val="20"/>
      <w:rPr>
        <w:rFonts w:hint="eastAsia" w:hAnsi="宋体" w:cs="宋体"/>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5F558">
                          <w:pPr>
                            <w:pStyle w:val="20"/>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7B35F558">
                    <w:pPr>
                      <w:pStyle w:val="20"/>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8059932"/>
      <w:docPartObj>
        <w:docPartGallery w:val="autotext"/>
      </w:docPartObj>
    </w:sdtPr>
    <w:sdtContent>
      <w:p w14:paraId="781AD6CE">
        <w:pPr>
          <w:pStyle w:val="20"/>
        </w:pPr>
        <w:r>
          <w:fldChar w:fldCharType="begin"/>
        </w:r>
        <w:r>
          <w:instrText xml:space="preserve">PAGE   \* MERGEFORMAT</w:instrText>
        </w:r>
        <w:r>
          <w:fldChar w:fldCharType="separate"/>
        </w:r>
        <w:r>
          <w:rPr>
            <w:lang w:val="zh-CN"/>
          </w:rPr>
          <w:t>2</w:t>
        </w:r>
        <w:r>
          <w:fldChar w:fldCharType="end"/>
        </w:r>
      </w:p>
    </w:sdtContent>
  </w:sdt>
  <w:p w14:paraId="43C026FE">
    <w:pPr>
      <w:pStyle w:val="20"/>
      <w:tabs>
        <w:tab w:val="center" w:pos="4738"/>
        <w:tab w:val="left" w:pos="8085"/>
      </w:tabs>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1472532"/>
      <w:docPartObj>
        <w:docPartGallery w:val="autotext"/>
      </w:docPartObj>
    </w:sdtPr>
    <w:sdtContent>
      <w:p w14:paraId="1C8227A7">
        <w:pPr>
          <w:pStyle w:val="20"/>
        </w:pPr>
        <w:r>
          <w:fldChar w:fldCharType="begin"/>
        </w:r>
        <w:r>
          <w:instrText xml:space="preserve">PAGE   \* MERGEFORMAT</w:instrText>
        </w:r>
        <w:r>
          <w:fldChar w:fldCharType="separate"/>
        </w:r>
        <w:r>
          <w:rPr>
            <w:lang w:val="zh-CN"/>
          </w:rPr>
          <w:t>2</w:t>
        </w:r>
        <w:r>
          <w:fldChar w:fldCharType="end"/>
        </w:r>
      </w:p>
    </w:sdtContent>
  </w:sdt>
  <w:p w14:paraId="7269B57A">
    <w:pPr>
      <w:pStyle w:val="20"/>
      <w:rPr>
        <w:rFonts w:hint="eastAsia" w:hAnsi="宋体" w:cs="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8218">
    <w:pPr>
      <w:pStyle w:val="20"/>
      <w:jc w:val="lef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E3E0F">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4D3E3E0F">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22B3E">
    <w:pPr>
      <w:pStyle w:val="20"/>
      <w:ind w:right="720"/>
      <w:jc w:val="both"/>
      <w:rPr>
        <w:sz w:val="2"/>
        <w:szCs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95A6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6EA95A6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990A9">
    <w:pPr>
      <w:pStyle w:val="60"/>
      <w:tabs>
        <w:tab w:val="left" w:pos="6920"/>
        <w:tab w:val="right" w:pos="9247"/>
      </w:tabs>
      <w:jc w:val="left"/>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799B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356799B0">
                    <w:pPr>
                      <w:pStyle w:val="2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8E737">
                          <w:pPr>
                            <w:pStyle w:val="20"/>
                            <w:jc w:val="both"/>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2218E737">
                    <w:pPr>
                      <w:pStyle w:val="20"/>
                      <w:jc w:val="both"/>
                    </w:pP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FBA7">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1322295"/>
      <w:docPartObj>
        <w:docPartGallery w:val="autotext"/>
      </w:docPartObj>
    </w:sdtPr>
    <w:sdtContent>
      <w:p w14:paraId="65B6B621">
        <w:pPr>
          <w:pStyle w:val="20"/>
        </w:pPr>
        <w:r>
          <w:fldChar w:fldCharType="begin"/>
        </w:r>
        <w:r>
          <w:instrText xml:space="preserve">PAGE   \* MERGEFORMAT</w:instrText>
        </w:r>
        <w:r>
          <w:fldChar w:fldCharType="separate"/>
        </w:r>
        <w:r>
          <w:rPr>
            <w:lang w:val="zh-CN"/>
          </w:rPr>
          <w:t>2</w:t>
        </w:r>
        <w:r>
          <w:fldChar w:fldCharType="end"/>
        </w:r>
      </w:p>
    </w:sdtContent>
  </w:sdt>
  <w:p w14:paraId="51E402DE">
    <w:pPr>
      <w:pStyle w:val="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F95A0">
    <w:pPr>
      <w:pStyle w:val="20"/>
      <w:jc w:val="left"/>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89350">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20489350">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7471990"/>
      <w:docPartObj>
        <w:docPartGallery w:val="autotext"/>
      </w:docPartObj>
    </w:sdtPr>
    <w:sdtContent>
      <w:p w14:paraId="1D937F3F">
        <w:pPr>
          <w:pStyle w:val="20"/>
        </w:pPr>
        <w:r>
          <w:fldChar w:fldCharType="begin"/>
        </w:r>
        <w:r>
          <w:instrText xml:space="preserve">PAGE   \* MERGEFORMAT</w:instrText>
        </w:r>
        <w:r>
          <w:fldChar w:fldCharType="separate"/>
        </w:r>
        <w:r>
          <w:rPr>
            <w:lang w:val="zh-CN"/>
          </w:rPr>
          <w:t>2</w:t>
        </w:r>
        <w:r>
          <w:fldChar w:fldCharType="end"/>
        </w:r>
      </w:p>
    </w:sdtContent>
  </w:sdt>
  <w:p w14:paraId="00B4E181">
    <w:pPr>
      <w:pStyle w:val="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3896606"/>
      <w:docPartObj>
        <w:docPartGallery w:val="autotext"/>
      </w:docPartObj>
    </w:sdtPr>
    <w:sdtContent>
      <w:p w14:paraId="366D337F">
        <w:pPr>
          <w:pStyle w:val="20"/>
        </w:pPr>
        <w:r>
          <w:fldChar w:fldCharType="begin"/>
        </w:r>
        <w:r>
          <w:instrText xml:space="preserve">PAGE   \* MERGEFORMAT</w:instrText>
        </w:r>
        <w:r>
          <w:fldChar w:fldCharType="separate"/>
        </w:r>
        <w:r>
          <w:rPr>
            <w:lang w:val="zh-CN"/>
          </w:rPr>
          <w:t>2</w:t>
        </w:r>
        <w:r>
          <w:fldChar w:fldCharType="end"/>
        </w:r>
      </w:p>
    </w:sdtContent>
  </w:sdt>
  <w:p w14:paraId="6A767F13">
    <w:pPr>
      <w:pStyle w:val="2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E8F24">
    <w:pPr>
      <w:pStyle w:val="21"/>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EEDD1">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22C59">
    <w:pPr>
      <w:pStyle w:val="21"/>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4E265">
    <w:pPr>
      <w:pStyle w:val="69"/>
      <w:rPr>
        <w:rFonts w:hint="eastAsia"/>
      </w:rPr>
    </w:pPr>
    <w:r>
      <w:fldChar w:fldCharType="begin"/>
    </w:r>
    <w:r>
      <w:instrText xml:space="preserve"> STYLEREF  标准文件_文件编号  \* MERGEFORMAT </w:instrText>
    </w:r>
    <w:r>
      <w:fldChar w:fldCharType="separate"/>
    </w:r>
    <w:r>
      <w:t>DBXX/T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A23F">
    <w:pPr>
      <w:pStyle w:val="70"/>
      <w:rPr>
        <w:rFonts w:hint="eastAsia"/>
      </w:rPr>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DBXX/T XXXX—XXXX</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41F3E"/>
    <w:multiLevelType w:val="singleLevel"/>
    <w:tmpl w:val="81741F3E"/>
    <w:lvl w:ilvl="0" w:tentative="0">
      <w:start w:val="4"/>
      <w:numFmt w:val="decimal"/>
      <w:suff w:val="space"/>
      <w:lvlText w:val="%1."/>
      <w:lvlJc w:val="left"/>
    </w:lvl>
  </w:abstractNum>
  <w:abstractNum w:abstractNumId="1">
    <w:nsid w:val="87DE0798"/>
    <w:multiLevelType w:val="singleLevel"/>
    <w:tmpl w:val="87DE0798"/>
    <w:lvl w:ilvl="0" w:tentative="0">
      <w:start w:val="1"/>
      <w:numFmt w:val="decimal"/>
      <w:suff w:val="nothing"/>
      <w:lvlText w:val="%1）"/>
      <w:lvlJc w:val="left"/>
    </w:lvl>
  </w:abstractNum>
  <w:abstractNum w:abstractNumId="2">
    <w:nsid w:val="BD600FB8"/>
    <w:multiLevelType w:val="multilevel"/>
    <w:tmpl w:val="BD600FB8"/>
    <w:lvl w:ilvl="0" w:tentative="0">
      <w:start w:val="1"/>
      <w:numFmt w:val="upperLetter"/>
      <w:pStyle w:val="207"/>
      <w:suff w:val="space"/>
      <w:lvlText w:val="%1"/>
      <w:lvlJc w:val="left"/>
      <w:pPr>
        <w:ind w:left="425" w:hanging="425"/>
      </w:pPr>
      <w:rPr>
        <w:rFonts w:hint="eastAsia"/>
      </w:rPr>
    </w:lvl>
    <w:lvl w:ilvl="1" w:tentative="0">
      <w:start w:val="1"/>
      <w:numFmt w:val="decimal"/>
      <w:pStyle w:val="85"/>
      <w:suff w:val="space"/>
      <w:lvlText w:val="表%1.%2"/>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BE53F49D"/>
    <w:multiLevelType w:val="singleLevel"/>
    <w:tmpl w:val="BE53F49D"/>
    <w:lvl w:ilvl="0" w:tentative="0">
      <w:start w:val="1"/>
      <w:numFmt w:val="decimal"/>
      <w:suff w:val="nothing"/>
      <w:lvlText w:val="（%1）"/>
      <w:lvlJc w:val="left"/>
    </w:lvl>
  </w:abstractNum>
  <w:abstractNum w:abstractNumId="4">
    <w:nsid w:val="D56BBAA9"/>
    <w:multiLevelType w:val="singleLevel"/>
    <w:tmpl w:val="D56BBAA9"/>
    <w:lvl w:ilvl="0" w:tentative="0">
      <w:start w:val="1"/>
      <w:numFmt w:val="decimal"/>
      <w:suff w:val="space"/>
      <w:lvlText w:val="%1."/>
      <w:lvlJc w:val="left"/>
    </w:lvl>
  </w:abstractNum>
  <w:abstractNum w:abstractNumId="5">
    <w:nsid w:val="DF93E311"/>
    <w:multiLevelType w:val="singleLevel"/>
    <w:tmpl w:val="DF93E311"/>
    <w:lvl w:ilvl="0" w:tentative="0">
      <w:start w:val="1"/>
      <w:numFmt w:val="decimal"/>
      <w:suff w:val="space"/>
      <w:lvlText w:val="%1."/>
      <w:lvlJc w:val="left"/>
    </w:lvl>
  </w:abstractNum>
  <w:abstractNum w:abstractNumId="6">
    <w:nsid w:val="E1E8CDA7"/>
    <w:multiLevelType w:val="singleLevel"/>
    <w:tmpl w:val="E1E8CDA7"/>
    <w:lvl w:ilvl="0" w:tentative="0">
      <w:start w:val="1"/>
      <w:numFmt w:val="decimal"/>
      <w:suff w:val="nothing"/>
      <w:lvlText w:val="（%1）"/>
      <w:lvlJc w:val="left"/>
    </w:lvl>
  </w:abstractNum>
  <w:abstractNum w:abstractNumId="7">
    <w:nsid w:val="02837933"/>
    <w:multiLevelType w:val="multilevel"/>
    <w:tmpl w:val="02837933"/>
    <w:lvl w:ilvl="0" w:tentative="0">
      <w:start w:val="1"/>
      <w:numFmt w:val="decimal"/>
      <w:pStyle w:val="72"/>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8">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7"/>
      <w:suff w:val="nothing"/>
      <w:lvlText w:val="%1%2.%3　"/>
      <w:lvlJc w:val="left"/>
      <w:pPr>
        <w:ind w:left="0" w:firstLine="0"/>
      </w:pPr>
    </w:lvl>
    <w:lvl w:ilvl="3" w:tentative="0">
      <w:start w:val="1"/>
      <w:numFmt w:val="decimal"/>
      <w:pStyle w:val="126"/>
      <w:suff w:val="nothing"/>
      <w:lvlText w:val="%1%2.%3.%4　"/>
      <w:lvlJc w:val="left"/>
      <w:pPr>
        <w:ind w:left="0" w:firstLine="0"/>
      </w:pPr>
    </w:lvl>
    <w:lvl w:ilvl="4" w:tentative="0">
      <w:start w:val="1"/>
      <w:numFmt w:val="decimal"/>
      <w:pStyle w:val="161"/>
      <w:suff w:val="nothing"/>
      <w:lvlText w:val="%1%2.%3.%4.%5　"/>
      <w:lvlJc w:val="left"/>
      <w:pPr>
        <w:ind w:left="0" w:firstLine="0"/>
      </w:pPr>
    </w:lvl>
    <w:lvl w:ilvl="5" w:tentative="0">
      <w:start w:val="1"/>
      <w:numFmt w:val="decimal"/>
      <w:pStyle w:val="163"/>
      <w:suff w:val="nothing"/>
      <w:lvlText w:val="%1%2.%3.%4.%5.%6　"/>
      <w:lvlJc w:val="left"/>
      <w:pPr>
        <w:ind w:left="0" w:firstLine="0"/>
      </w:pPr>
    </w:lvl>
    <w:lvl w:ilvl="6" w:tentative="0">
      <w:start w:val="1"/>
      <w:numFmt w:val="decimal"/>
      <w:pStyle w:val="166"/>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079102AD"/>
    <w:multiLevelType w:val="multilevel"/>
    <w:tmpl w:val="079102AD"/>
    <w:lvl w:ilvl="0" w:tentative="0">
      <w:start w:val="1"/>
      <w:numFmt w:val="decimal"/>
      <w:pStyle w:val="188"/>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0">
    <w:nsid w:val="07ED3FEA"/>
    <w:multiLevelType w:val="multilevel"/>
    <w:tmpl w:val="07ED3FEA"/>
    <w:lvl w:ilvl="0" w:tentative="0">
      <w:start w:val="1"/>
      <w:numFmt w:val="none"/>
      <w:pStyle w:val="97"/>
      <w:lvlText w:val="%1"/>
      <w:lvlJc w:val="left"/>
      <w:pPr>
        <w:ind w:left="425" w:hanging="425"/>
      </w:pPr>
      <w:rPr>
        <w:rFonts w:hint="eastAsia"/>
      </w:rPr>
    </w:lvl>
    <w:lvl w:ilvl="1" w:tentative="0">
      <w:start w:val="1"/>
      <w:numFmt w:val="decimal"/>
      <w:pStyle w:val="208"/>
      <w:suff w:val="nothing"/>
      <w:lvlText w:val="%10.%2 "/>
      <w:lvlJc w:val="left"/>
      <w:pPr>
        <w:ind w:left="0" w:firstLine="0"/>
      </w:pPr>
      <w:rPr>
        <w:rFonts w:hint="eastAsia" w:ascii="黑体" w:eastAsia="黑体" w:hAnsiTheme="minorHAnsi"/>
        <w:b w:val="0"/>
        <w:i w:val="0"/>
        <w:sz w:val="21"/>
      </w:rPr>
    </w:lvl>
    <w:lvl w:ilvl="2" w:tentative="0">
      <w:start w:val="1"/>
      <w:numFmt w:val="decimal"/>
      <w:pStyle w:val="209"/>
      <w:suff w:val="nothing"/>
      <w:lvlText w:val="%10.%2.%3 "/>
      <w:lvlJc w:val="left"/>
      <w:pPr>
        <w:ind w:left="0" w:firstLine="0"/>
      </w:pPr>
      <w:rPr>
        <w:rFonts w:hint="eastAsia" w:ascii="黑体" w:eastAsia="黑体" w:hAnsiTheme="minorHAnsi"/>
        <w:b w:val="0"/>
        <w:i w:val="0"/>
        <w:sz w:val="21"/>
      </w:rPr>
    </w:lvl>
    <w:lvl w:ilvl="3" w:tentative="0">
      <w:start w:val="1"/>
      <w:numFmt w:val="decimal"/>
      <w:pStyle w:val="210"/>
      <w:suff w:val="nothing"/>
      <w:lvlText w:val="%10.%2.%3.%4 "/>
      <w:lvlJc w:val="left"/>
      <w:pPr>
        <w:ind w:left="0" w:firstLine="0"/>
      </w:pPr>
      <w:rPr>
        <w:rFonts w:hint="eastAsia" w:ascii="黑体" w:eastAsia="黑体" w:hAnsiTheme="minorHAnsi"/>
        <w:b w:val="0"/>
        <w:i w:val="0"/>
        <w:sz w:val="21"/>
      </w:rPr>
    </w:lvl>
    <w:lvl w:ilvl="4" w:tentative="0">
      <w:start w:val="1"/>
      <w:numFmt w:val="decimal"/>
      <w:pStyle w:val="211"/>
      <w:suff w:val="nothing"/>
      <w:lvlText w:val="%10.%2.%3.%4.%5 "/>
      <w:lvlJc w:val="left"/>
      <w:pPr>
        <w:ind w:left="0" w:firstLine="0"/>
      </w:pPr>
      <w:rPr>
        <w:rFonts w:hint="eastAsia" w:ascii="黑体" w:eastAsia="黑体" w:hAnsiTheme="minorHAnsi"/>
        <w:b w:val="0"/>
        <w:i w:val="0"/>
        <w:sz w:val="21"/>
      </w:rPr>
    </w:lvl>
    <w:lvl w:ilvl="5" w:tentative="0">
      <w:start w:val="1"/>
      <w:numFmt w:val="decimal"/>
      <w:pStyle w:val="212"/>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0AE367E9"/>
    <w:multiLevelType w:val="multilevel"/>
    <w:tmpl w:val="0AE367E9"/>
    <w:lvl w:ilvl="0" w:tentative="0">
      <w:start w:val="1"/>
      <w:numFmt w:val="none"/>
      <w:pStyle w:val="189"/>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2">
    <w:nsid w:val="0BDC1670"/>
    <w:multiLevelType w:val="multilevel"/>
    <w:tmpl w:val="0BDC1670"/>
    <w:lvl w:ilvl="0" w:tentative="0">
      <w:start w:val="1"/>
      <w:numFmt w:val="decimal"/>
      <w:pStyle w:val="75"/>
      <w:lvlText w:val="[%1]"/>
      <w:lvlJc w:val="left"/>
      <w:pPr>
        <w:ind w:left="823" w:hanging="420"/>
      </w:pPr>
    </w:lvl>
    <w:lvl w:ilvl="1" w:tentative="0">
      <w:start w:val="1"/>
      <w:numFmt w:val="lowerLetter"/>
      <w:pStyle w:val="238"/>
      <w:lvlText w:val="%2)"/>
      <w:lvlJc w:val="left"/>
      <w:pPr>
        <w:tabs>
          <w:tab w:val="left" w:pos="840"/>
        </w:tabs>
        <w:ind w:left="840" w:hanging="420"/>
      </w:pPr>
    </w:lvl>
    <w:lvl w:ilvl="2" w:tentative="0">
      <w:start w:val="1"/>
      <w:numFmt w:val="lowerRoman"/>
      <w:pStyle w:val="243"/>
      <w:lvlText w:val="%3."/>
      <w:lvlJc w:val="right"/>
      <w:pPr>
        <w:tabs>
          <w:tab w:val="left" w:pos="1260"/>
        </w:tabs>
        <w:ind w:left="1260" w:hanging="420"/>
      </w:pPr>
    </w:lvl>
    <w:lvl w:ilvl="3" w:tentative="0">
      <w:start w:val="1"/>
      <w:numFmt w:val="decimal"/>
      <w:pStyle w:val="24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D051F45"/>
    <w:multiLevelType w:val="multilevel"/>
    <w:tmpl w:val="0D051F45"/>
    <w:lvl w:ilvl="0" w:tentative="0">
      <w:start w:val="1"/>
      <w:numFmt w:val="lowerRoman"/>
      <w:pStyle w:val="177"/>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4">
    <w:nsid w:val="1AD20F90"/>
    <w:multiLevelType w:val="multilevel"/>
    <w:tmpl w:val="1AD20F90"/>
    <w:lvl w:ilvl="0" w:tentative="0">
      <w:start w:val="1"/>
      <w:numFmt w:val="none"/>
      <w:pStyle w:val="118"/>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AF15012"/>
    <w:multiLevelType w:val="multilevel"/>
    <w:tmpl w:val="1AF15012"/>
    <w:lvl w:ilvl="0" w:tentative="0">
      <w:start w:val="1"/>
      <w:numFmt w:val="upperLetter"/>
      <w:pStyle w:val="93"/>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6">
    <w:nsid w:val="1EAA1992"/>
    <w:multiLevelType w:val="multilevel"/>
    <w:tmpl w:val="1EAA1992"/>
    <w:lvl w:ilvl="0" w:tentative="0">
      <w:start w:val="1"/>
      <w:numFmt w:val="none"/>
      <w:pStyle w:val="100"/>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7">
    <w:nsid w:val="2C5917C3"/>
    <w:multiLevelType w:val="multilevel"/>
    <w:tmpl w:val="2C5917C3"/>
    <w:lvl w:ilvl="0" w:tentative="0">
      <w:start w:val="1"/>
      <w:numFmt w:val="none"/>
      <w:pStyle w:val="140"/>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5"/>
      <w:lvlText w:val=""/>
      <w:lvlJc w:val="left"/>
      <w:pPr>
        <w:ind w:left="851" w:hanging="431"/>
      </w:pPr>
      <w:rPr>
        <w:rFonts w:hint="default" w:ascii="Symbol" w:hAnsi="Symbol"/>
        <w:sz w:val="21"/>
      </w:rPr>
    </w:lvl>
    <w:lvl w:ilvl="2" w:tentative="0">
      <w:start w:val="1"/>
      <w:numFmt w:val="bullet"/>
      <w:pStyle w:val="180"/>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8">
    <w:nsid w:val="32F04FB2"/>
    <w:multiLevelType w:val="multilevel"/>
    <w:tmpl w:val="32F04FB2"/>
    <w:lvl w:ilvl="0" w:tentative="0">
      <w:start w:val="1"/>
      <w:numFmt w:val="lowerLetter"/>
      <w:pStyle w:val="109"/>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9">
    <w:nsid w:val="37D99FD0"/>
    <w:multiLevelType w:val="multilevel"/>
    <w:tmpl w:val="37D99FD0"/>
    <w:lvl w:ilvl="0" w:tentative="0">
      <w:start w:val="2"/>
      <w:numFmt w:val="upperLetter"/>
      <w:pStyle w:val="84"/>
      <w:suff w:val="nothing"/>
      <w:lvlText w:val="附录%1"/>
      <w:lvlJc w:val="left"/>
      <w:pPr>
        <w:tabs>
          <w:tab w:val="left" w:pos="0"/>
        </w:tabs>
        <w:ind w:left="0" w:firstLine="0"/>
      </w:pPr>
      <w:rPr>
        <w:rFonts w:hint="default"/>
        <w:spacing w:val="100"/>
      </w:rPr>
    </w:lvl>
    <w:lvl w:ilvl="1" w:tentative="0">
      <w:start w:val="1"/>
      <w:numFmt w:val="decimal"/>
      <w:pStyle w:val="86"/>
      <w:suff w:val="nothing"/>
      <w:lvlText w:val="%1.%2　"/>
      <w:lvlJc w:val="left"/>
      <w:pPr>
        <w:ind w:left="0" w:firstLine="0"/>
      </w:pPr>
      <w:rPr>
        <w:rFonts w:hint="eastAsia" w:ascii="黑体" w:eastAsia="黑体"/>
        <w:b w:val="0"/>
        <w:i w:val="0"/>
        <w:sz w:val="21"/>
      </w:rPr>
    </w:lvl>
    <w:lvl w:ilvl="2" w:tentative="0">
      <w:start w:val="1"/>
      <w:numFmt w:val="decimal"/>
      <w:pStyle w:val="87"/>
      <w:suff w:val="nothing"/>
      <w:lvlText w:val="%1.%2.%3　"/>
      <w:lvlJc w:val="left"/>
      <w:pPr>
        <w:ind w:left="0" w:firstLine="0"/>
      </w:pPr>
      <w:rPr>
        <w:rFonts w:hint="eastAsia" w:ascii="黑体" w:eastAsia="黑体"/>
        <w:b w:val="0"/>
        <w:i w:val="0"/>
        <w:sz w:val="21"/>
      </w:rPr>
    </w:lvl>
    <w:lvl w:ilvl="3" w:tentative="0">
      <w:start w:val="1"/>
      <w:numFmt w:val="decimal"/>
      <w:pStyle w:val="89"/>
      <w:suff w:val="nothing"/>
      <w:lvlText w:val="%1.%2.%3.%4　"/>
      <w:lvlJc w:val="left"/>
      <w:pPr>
        <w:ind w:left="0" w:firstLine="0"/>
      </w:pPr>
      <w:rPr>
        <w:rFonts w:hint="eastAsia" w:ascii="黑体" w:eastAsia="黑体"/>
        <w:b w:val="0"/>
        <w:i w:val="0"/>
        <w:sz w:val="21"/>
      </w:rPr>
    </w:lvl>
    <w:lvl w:ilvl="4" w:tentative="0">
      <w:start w:val="1"/>
      <w:numFmt w:val="decimal"/>
      <w:pStyle w:val="90"/>
      <w:suff w:val="nothing"/>
      <w:lvlText w:val="%1.%2.%3.%4.%5　"/>
      <w:lvlJc w:val="left"/>
      <w:pPr>
        <w:ind w:left="0" w:firstLine="0"/>
      </w:pPr>
      <w:rPr>
        <w:rFonts w:hint="eastAsia" w:ascii="黑体" w:eastAsia="黑体"/>
        <w:b w:val="0"/>
        <w:i w:val="0"/>
        <w:sz w:val="21"/>
      </w:rPr>
    </w:lvl>
    <w:lvl w:ilvl="5" w:tentative="0">
      <w:start w:val="1"/>
      <w:numFmt w:val="decimal"/>
      <w:pStyle w:val="9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44C50F90"/>
    <w:multiLevelType w:val="multilevel"/>
    <w:tmpl w:val="44C50F90"/>
    <w:lvl w:ilvl="0" w:tentative="0">
      <w:start w:val="1"/>
      <w:numFmt w:val="lowerLetter"/>
      <w:pStyle w:val="269"/>
      <w:lvlText w:val="%1)"/>
      <w:lvlJc w:val="left"/>
      <w:pPr>
        <w:tabs>
          <w:tab w:val="left" w:pos="851"/>
        </w:tabs>
        <w:ind w:left="1046" w:hanging="426"/>
      </w:pPr>
      <w:rPr>
        <w:rFonts w:hint="eastAsia" w:ascii="宋体" w:hAnsi="Times New Roman" w:eastAsia="宋体"/>
        <w:sz w:val="21"/>
      </w:rPr>
    </w:lvl>
    <w:lvl w:ilvl="1" w:tentative="0">
      <w:start w:val="1"/>
      <w:numFmt w:val="decimal"/>
      <w:pStyle w:val="117"/>
      <w:lvlText w:val="%2)"/>
      <w:lvlJc w:val="left"/>
      <w:pPr>
        <w:tabs>
          <w:tab w:val="left" w:pos="1276"/>
        </w:tabs>
        <w:ind w:left="1276" w:hanging="425"/>
      </w:pPr>
      <w:rPr>
        <w:rFonts w:hint="eastAsia" w:ascii="宋体" w:hAnsi="Times New Roman" w:eastAsia="宋体"/>
        <w:sz w:val="21"/>
      </w:rPr>
    </w:lvl>
    <w:lvl w:ilvl="2" w:tentative="0">
      <w:start w:val="1"/>
      <w:numFmt w:val="decimal"/>
      <w:pStyle w:val="125"/>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1">
    <w:nsid w:val="48802D1C"/>
    <w:multiLevelType w:val="multilevel"/>
    <w:tmpl w:val="48802D1C"/>
    <w:lvl w:ilvl="0" w:tentative="0">
      <w:start w:val="1"/>
      <w:numFmt w:val="upperLetter"/>
      <w:pStyle w:val="206"/>
      <w:lvlText w:val="%1"/>
      <w:lvlJc w:val="left"/>
      <w:pPr>
        <w:ind w:left="420" w:hanging="420"/>
      </w:pPr>
      <w:rPr>
        <w:rFonts w:hint="eastAsia"/>
      </w:rPr>
    </w:lvl>
    <w:lvl w:ilvl="1" w:tentative="0">
      <w:start w:val="1"/>
      <w:numFmt w:val="decimal"/>
      <w:pStyle w:val="91"/>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4B733A5F"/>
    <w:multiLevelType w:val="multilevel"/>
    <w:tmpl w:val="4B733A5F"/>
    <w:lvl w:ilvl="0" w:tentative="0">
      <w:start w:val="1"/>
      <w:numFmt w:val="decimal"/>
      <w:pStyle w:val="191"/>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3">
    <w:nsid w:val="4E5D0534"/>
    <w:multiLevelType w:val="multilevel"/>
    <w:tmpl w:val="4E5D0534"/>
    <w:lvl w:ilvl="0" w:tentative="0">
      <w:start w:val="1"/>
      <w:numFmt w:val="decimal"/>
      <w:pStyle w:val="124"/>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4">
    <w:nsid w:val="54632751"/>
    <w:multiLevelType w:val="multilevel"/>
    <w:tmpl w:val="54632751"/>
    <w:lvl w:ilvl="0" w:tentative="0">
      <w:start w:val="1"/>
      <w:numFmt w:val="none"/>
      <w:pStyle w:val="101"/>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5">
    <w:nsid w:val="557C2AF5"/>
    <w:multiLevelType w:val="multilevel"/>
    <w:tmpl w:val="557C2AF5"/>
    <w:lvl w:ilvl="0" w:tentative="0">
      <w:start w:val="1"/>
      <w:numFmt w:val="decimal"/>
      <w:pStyle w:val="122"/>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6">
    <w:nsid w:val="564D2089"/>
    <w:multiLevelType w:val="multilevel"/>
    <w:tmpl w:val="564D2089"/>
    <w:lvl w:ilvl="0" w:tentative="0">
      <w:start w:val="1"/>
      <w:numFmt w:val="none"/>
      <w:pStyle w:val="119"/>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44622F9"/>
    <w:multiLevelType w:val="multilevel"/>
    <w:tmpl w:val="644622F9"/>
    <w:lvl w:ilvl="0" w:tentative="0">
      <w:start w:val="1"/>
      <w:numFmt w:val="upp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8">
    <w:nsid w:val="646260FA"/>
    <w:multiLevelType w:val="multilevel"/>
    <w:tmpl w:val="646260FA"/>
    <w:lvl w:ilvl="0" w:tentative="0">
      <w:start w:val="1"/>
      <w:numFmt w:val="decimal"/>
      <w:pStyle w:val="120"/>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9">
    <w:nsid w:val="654A26C9"/>
    <w:multiLevelType w:val="multilevel"/>
    <w:tmpl w:val="654A26C9"/>
    <w:lvl w:ilvl="0" w:tentative="0">
      <w:start w:val="1"/>
      <w:numFmt w:val="none"/>
      <w:pStyle w:val="197"/>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0">
    <w:nsid w:val="69506ABF"/>
    <w:multiLevelType w:val="multilevel"/>
    <w:tmpl w:val="69506ABF"/>
    <w:lvl w:ilvl="0" w:tentative="0">
      <w:start w:val="1"/>
      <w:numFmt w:val="bullet"/>
      <w:pStyle w:val="196"/>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1">
    <w:nsid w:val="6CA41985"/>
    <w:multiLevelType w:val="multilevel"/>
    <w:tmpl w:val="6CA41985"/>
    <w:lvl w:ilvl="0" w:tentative="0">
      <w:start w:val="1"/>
      <w:numFmt w:val="decimal"/>
      <w:pStyle w:val="105"/>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6CE42AC1"/>
    <w:multiLevelType w:val="multilevel"/>
    <w:tmpl w:val="6CE42AC1"/>
    <w:lvl w:ilvl="0" w:tentative="0">
      <w:start w:val="1"/>
      <w:numFmt w:val="lowerLetter"/>
      <w:pStyle w:val="18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CEA2025"/>
    <w:multiLevelType w:val="multilevel"/>
    <w:tmpl w:val="6CEA2025"/>
    <w:lvl w:ilvl="0" w:tentative="0">
      <w:start w:val="1"/>
      <w:numFmt w:val="none"/>
      <w:pStyle w:val="160"/>
      <w:suff w:val="nothing"/>
      <w:lvlText w:val="%1"/>
      <w:lvlJc w:val="left"/>
      <w:pPr>
        <w:ind w:left="0" w:firstLine="0"/>
      </w:pPr>
      <w:rPr>
        <w:rFonts w:hint="eastAsia"/>
      </w:rPr>
    </w:lvl>
    <w:lvl w:ilvl="1" w:tentative="0">
      <w:start w:val="1"/>
      <w:numFmt w:val="decimal"/>
      <w:pStyle w:val="112"/>
      <w:suff w:val="nothing"/>
      <w:lvlText w:val="%1%2　"/>
      <w:lvlJc w:val="left"/>
      <w:pPr>
        <w:ind w:left="426" w:firstLine="0"/>
      </w:pPr>
      <w:rPr>
        <w:rFonts w:hint="eastAsia" w:ascii="黑体" w:eastAsia="黑体"/>
        <w:b w:val="0"/>
        <w:i w:val="0"/>
        <w:sz w:val="21"/>
      </w:rPr>
    </w:lvl>
    <w:lvl w:ilvl="2" w:tentative="0">
      <w:start w:val="1"/>
      <w:numFmt w:val="decimal"/>
      <w:pStyle w:val="113"/>
      <w:suff w:val="nothing"/>
      <w:lvlText w:val="%1%2.%3　"/>
      <w:lvlJc w:val="left"/>
      <w:pPr>
        <w:ind w:left="0" w:firstLine="0"/>
      </w:pPr>
      <w:rPr>
        <w:rFonts w:hint="eastAsia" w:ascii="黑体" w:hAnsi="黑体"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3"/>
      <w:suff w:val="nothing"/>
      <w:lvlText w:val="%1%2.%3.%4　"/>
      <w:lvlJc w:val="left"/>
      <w:pPr>
        <w:ind w:left="568" w:firstLine="0"/>
      </w:pPr>
      <w:rPr>
        <w:rFonts w:hint="eastAsia" w:ascii="黑体" w:eastAsia="黑体"/>
        <w:b w:val="0"/>
        <w:i w:val="0"/>
        <w:sz w:val="21"/>
      </w:rPr>
    </w:lvl>
    <w:lvl w:ilvl="4" w:tentative="0">
      <w:start w:val="1"/>
      <w:numFmt w:val="decimal"/>
      <w:pStyle w:val="102"/>
      <w:suff w:val="nothing"/>
      <w:lvlText w:val="%1%2.%3.%4.%5　"/>
      <w:lvlJc w:val="left"/>
      <w:pPr>
        <w:ind w:left="0" w:firstLine="0"/>
      </w:pPr>
      <w:rPr>
        <w:rFonts w:hint="eastAsia" w:ascii="黑体" w:eastAsia="黑体"/>
        <w:b w:val="0"/>
        <w:i w:val="0"/>
        <w:sz w:val="21"/>
      </w:rPr>
    </w:lvl>
    <w:lvl w:ilvl="5" w:tentative="0">
      <w:start w:val="1"/>
      <w:numFmt w:val="decimal"/>
      <w:pStyle w:val="106"/>
      <w:suff w:val="nothing"/>
      <w:lvlText w:val="%1%2.%3.%4.%5.%6　"/>
      <w:lvlJc w:val="left"/>
      <w:pPr>
        <w:ind w:left="0" w:firstLine="0"/>
      </w:pPr>
      <w:rPr>
        <w:rFonts w:hint="eastAsia" w:ascii="黑体" w:eastAsia="黑体"/>
        <w:b w:val="0"/>
        <w:i w:val="0"/>
        <w:sz w:val="21"/>
      </w:rPr>
    </w:lvl>
    <w:lvl w:ilvl="6" w:tentative="0">
      <w:start w:val="1"/>
      <w:numFmt w:val="decimal"/>
      <w:pStyle w:val="111"/>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4">
    <w:nsid w:val="6CEF881E"/>
    <w:multiLevelType w:val="singleLevel"/>
    <w:tmpl w:val="6CEF881E"/>
    <w:lvl w:ilvl="0" w:tentative="0">
      <w:start w:val="1"/>
      <w:numFmt w:val="decimal"/>
      <w:suff w:val="space"/>
      <w:lvlText w:val="%1."/>
      <w:lvlJc w:val="left"/>
    </w:lvl>
  </w:abstractNum>
  <w:abstractNum w:abstractNumId="35">
    <w:nsid w:val="6DBF04F4"/>
    <w:multiLevelType w:val="multilevel"/>
    <w:tmpl w:val="6DBF04F4"/>
    <w:lvl w:ilvl="0" w:tentative="0">
      <w:start w:val="1"/>
      <w:numFmt w:val="none"/>
      <w:pStyle w:val="187"/>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6">
    <w:nsid w:val="6DF35F19"/>
    <w:multiLevelType w:val="multilevel"/>
    <w:tmpl w:val="6DF35F19"/>
    <w:lvl w:ilvl="0" w:tentative="0">
      <w:start w:val="1"/>
      <w:numFmt w:val="decimal"/>
      <w:pStyle w:val="123"/>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7">
    <w:nsid w:val="76933334"/>
    <w:multiLevelType w:val="multilevel"/>
    <w:tmpl w:val="76933334"/>
    <w:lvl w:ilvl="0" w:tentative="0">
      <w:start w:val="1"/>
      <w:numFmt w:val="none"/>
      <w:pStyle w:val="147"/>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3"/>
  </w:num>
  <w:num w:numId="3">
    <w:abstractNumId w:val="12"/>
  </w:num>
  <w:num w:numId="4">
    <w:abstractNumId w:val="19"/>
  </w:num>
  <w:num w:numId="5">
    <w:abstractNumId w:val="2"/>
  </w:num>
  <w:num w:numId="6">
    <w:abstractNumId w:val="21"/>
  </w:num>
  <w:num w:numId="7">
    <w:abstractNumId w:val="15"/>
  </w:num>
  <w:num w:numId="8">
    <w:abstractNumId w:val="10"/>
  </w:num>
  <w:num w:numId="9">
    <w:abstractNumId w:val="16"/>
  </w:num>
  <w:num w:numId="10">
    <w:abstractNumId w:val="24"/>
  </w:num>
  <w:num w:numId="11">
    <w:abstractNumId w:val="31"/>
  </w:num>
  <w:num w:numId="12">
    <w:abstractNumId w:val="18"/>
  </w:num>
  <w:num w:numId="13">
    <w:abstractNumId w:val="20"/>
  </w:num>
  <w:num w:numId="14">
    <w:abstractNumId w:val="14"/>
  </w:num>
  <w:num w:numId="15">
    <w:abstractNumId w:val="26"/>
  </w:num>
  <w:num w:numId="16">
    <w:abstractNumId w:val="28"/>
  </w:num>
  <w:num w:numId="17">
    <w:abstractNumId w:val="25"/>
  </w:num>
  <w:num w:numId="18">
    <w:abstractNumId w:val="36"/>
  </w:num>
  <w:num w:numId="19">
    <w:abstractNumId w:val="23"/>
  </w:num>
  <w:num w:numId="20">
    <w:abstractNumId w:val="8"/>
  </w:num>
  <w:num w:numId="21">
    <w:abstractNumId w:val="17"/>
  </w:num>
  <w:num w:numId="22">
    <w:abstractNumId w:val="37"/>
  </w:num>
  <w:num w:numId="23">
    <w:abstractNumId w:val="27"/>
  </w:num>
  <w:num w:numId="24">
    <w:abstractNumId w:val="13"/>
  </w:num>
  <w:num w:numId="25">
    <w:abstractNumId w:val="32"/>
  </w:num>
  <w:num w:numId="26">
    <w:abstractNumId w:val="35"/>
  </w:num>
  <w:num w:numId="27">
    <w:abstractNumId w:val="9"/>
  </w:num>
  <w:num w:numId="28">
    <w:abstractNumId w:val="11"/>
  </w:num>
  <w:num w:numId="29">
    <w:abstractNumId w:val="22"/>
  </w:num>
  <w:num w:numId="30">
    <w:abstractNumId w:val="30"/>
  </w:num>
  <w:num w:numId="31">
    <w:abstractNumId w:val="2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34"/>
  </w:num>
  <w:num w:numId="46">
    <w:abstractNumId w:val="4"/>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
  </w:num>
  <w:num w:numId="1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1" w:cryptProviderType="rsaAES" w:cryptAlgorithmClass="hash" w:cryptAlgorithmType="typeAny" w:cryptAlgorithmSid="14" w:cryptSpinCount="100000" w:hash="4iTZYbLZtQvnk0L+7cxnnQ/AeRGNnZm9JjGddHxAhb4Qc0/CnwnyJX1ryPhtGrJlf7dGx13ox8cYI4rK9tmxtg==" w:salt="5MVJcTIII0xnXkKA1PFQcw=="/>
  <w:defaultTabStop w:val="420"/>
  <w:evenAndOddHeaders w:val="1"/>
  <w:drawingGridHorizontalSpacing w:val="106"/>
  <w:drawingGridVerticalSpacing w:val="158"/>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0YzYxODM3OTg4NDU4NGI3MTA1OGY4YTRkOTUwOTkifQ=="/>
    <w:docVar w:name="KSO_WPS_MARK_KEY" w:val="01ee5a1f-598f-49ef-9130-53d889abcda5"/>
  </w:docVars>
  <w:rsids>
    <w:rsidRoot w:val="00BD79AE"/>
    <w:rsid w:val="0000040A"/>
    <w:rsid w:val="00000A94"/>
    <w:rsid w:val="0000159C"/>
    <w:rsid w:val="00001972"/>
    <w:rsid w:val="00001D9A"/>
    <w:rsid w:val="00007B3A"/>
    <w:rsid w:val="000107E0"/>
    <w:rsid w:val="00011FDE"/>
    <w:rsid w:val="00012A13"/>
    <w:rsid w:val="00012FFD"/>
    <w:rsid w:val="00014162"/>
    <w:rsid w:val="00014340"/>
    <w:rsid w:val="00016A9C"/>
    <w:rsid w:val="00022184"/>
    <w:rsid w:val="00022762"/>
    <w:rsid w:val="000229AF"/>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3BD9"/>
    <w:rsid w:val="000556ED"/>
    <w:rsid w:val="00055FE2"/>
    <w:rsid w:val="0005616F"/>
    <w:rsid w:val="00056893"/>
    <w:rsid w:val="0006031A"/>
    <w:rsid w:val="00060C2E"/>
    <w:rsid w:val="00061033"/>
    <w:rsid w:val="000619E9"/>
    <w:rsid w:val="000622D4"/>
    <w:rsid w:val="0006357D"/>
    <w:rsid w:val="00067F1E"/>
    <w:rsid w:val="00071CC0"/>
    <w:rsid w:val="00073C8C"/>
    <w:rsid w:val="00077B64"/>
    <w:rsid w:val="00080A1C"/>
    <w:rsid w:val="00082317"/>
    <w:rsid w:val="00083D2C"/>
    <w:rsid w:val="0008437A"/>
    <w:rsid w:val="00086AA1"/>
    <w:rsid w:val="00087A77"/>
    <w:rsid w:val="00090CA6"/>
    <w:rsid w:val="0009113D"/>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18FA"/>
    <w:rsid w:val="000E4C9E"/>
    <w:rsid w:val="000E6FD7"/>
    <w:rsid w:val="000F06E1"/>
    <w:rsid w:val="000F0E3C"/>
    <w:rsid w:val="000F19D5"/>
    <w:rsid w:val="000F4AEA"/>
    <w:rsid w:val="000F633F"/>
    <w:rsid w:val="000F67E9"/>
    <w:rsid w:val="00104926"/>
    <w:rsid w:val="00111570"/>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2BAF"/>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42E6"/>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39E0"/>
    <w:rsid w:val="001C42F7"/>
    <w:rsid w:val="001C49E5"/>
    <w:rsid w:val="001C680C"/>
    <w:rsid w:val="001C7FEA"/>
    <w:rsid w:val="001D0499"/>
    <w:rsid w:val="001D0BBE"/>
    <w:rsid w:val="001D0ED4"/>
    <w:rsid w:val="001D212F"/>
    <w:rsid w:val="001D29D7"/>
    <w:rsid w:val="001D2DE7"/>
    <w:rsid w:val="001D411C"/>
    <w:rsid w:val="001D4CF3"/>
    <w:rsid w:val="001E1B6A"/>
    <w:rsid w:val="001E2484"/>
    <w:rsid w:val="001E3CC4"/>
    <w:rsid w:val="001E4399"/>
    <w:rsid w:val="001E4882"/>
    <w:rsid w:val="001E73AB"/>
    <w:rsid w:val="001F092D"/>
    <w:rsid w:val="001F143A"/>
    <w:rsid w:val="001F1605"/>
    <w:rsid w:val="001F1C79"/>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37F6C"/>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28DB"/>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4FA4"/>
    <w:rsid w:val="00306063"/>
    <w:rsid w:val="00313B85"/>
    <w:rsid w:val="003165B6"/>
    <w:rsid w:val="00317988"/>
    <w:rsid w:val="003221B4"/>
    <w:rsid w:val="0032258D"/>
    <w:rsid w:val="003226D9"/>
    <w:rsid w:val="00322E62"/>
    <w:rsid w:val="00324D13"/>
    <w:rsid w:val="00324D2A"/>
    <w:rsid w:val="00324EDD"/>
    <w:rsid w:val="0033067F"/>
    <w:rsid w:val="0033268A"/>
    <w:rsid w:val="003331E4"/>
    <w:rsid w:val="00335362"/>
    <w:rsid w:val="00336C64"/>
    <w:rsid w:val="00337162"/>
    <w:rsid w:val="0034194F"/>
    <w:rsid w:val="003429CC"/>
    <w:rsid w:val="00344605"/>
    <w:rsid w:val="003474AA"/>
    <w:rsid w:val="003477E0"/>
    <w:rsid w:val="00350D1D"/>
    <w:rsid w:val="00351B26"/>
    <w:rsid w:val="00352C83"/>
    <w:rsid w:val="003615D2"/>
    <w:rsid w:val="0036429C"/>
    <w:rsid w:val="00364A53"/>
    <w:rsid w:val="003654CB"/>
    <w:rsid w:val="00365AA9"/>
    <w:rsid w:val="00365F86"/>
    <w:rsid w:val="00365F87"/>
    <w:rsid w:val="00366E89"/>
    <w:rsid w:val="00367CEF"/>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3950"/>
    <w:rsid w:val="003B5BF0"/>
    <w:rsid w:val="003B60BF"/>
    <w:rsid w:val="003B6BE3"/>
    <w:rsid w:val="003C010C"/>
    <w:rsid w:val="003C0A6C"/>
    <w:rsid w:val="003C14F8"/>
    <w:rsid w:val="003C5A43"/>
    <w:rsid w:val="003D0519"/>
    <w:rsid w:val="003D0FF6"/>
    <w:rsid w:val="003D158A"/>
    <w:rsid w:val="003D262C"/>
    <w:rsid w:val="003D6D61"/>
    <w:rsid w:val="003D79C6"/>
    <w:rsid w:val="003E01A2"/>
    <w:rsid w:val="003E091D"/>
    <w:rsid w:val="003E1C53"/>
    <w:rsid w:val="003E2A69"/>
    <w:rsid w:val="003E2D49"/>
    <w:rsid w:val="003E2FD4"/>
    <w:rsid w:val="003E49F6"/>
    <w:rsid w:val="003E63F5"/>
    <w:rsid w:val="003E660F"/>
    <w:rsid w:val="003F0841"/>
    <w:rsid w:val="003F23D3"/>
    <w:rsid w:val="003F3F08"/>
    <w:rsid w:val="003F49F1"/>
    <w:rsid w:val="003F6272"/>
    <w:rsid w:val="00400E72"/>
    <w:rsid w:val="00401400"/>
    <w:rsid w:val="00404869"/>
    <w:rsid w:val="00405884"/>
    <w:rsid w:val="004078D4"/>
    <w:rsid w:val="00407D39"/>
    <w:rsid w:val="004109BC"/>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0DE8"/>
    <w:rsid w:val="00481C44"/>
    <w:rsid w:val="00484183"/>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079B3"/>
    <w:rsid w:val="00510A7B"/>
    <w:rsid w:val="00512F6E"/>
    <w:rsid w:val="00513038"/>
    <w:rsid w:val="00514174"/>
    <w:rsid w:val="00516088"/>
    <w:rsid w:val="00516B0B"/>
    <w:rsid w:val="005220EC"/>
    <w:rsid w:val="00523330"/>
    <w:rsid w:val="00523F95"/>
    <w:rsid w:val="00524D65"/>
    <w:rsid w:val="00525B16"/>
    <w:rsid w:val="00533D04"/>
    <w:rsid w:val="00534804"/>
    <w:rsid w:val="00534BDF"/>
    <w:rsid w:val="005354EA"/>
    <w:rsid w:val="0053585F"/>
    <w:rsid w:val="00535EC4"/>
    <w:rsid w:val="00535ED9"/>
    <w:rsid w:val="0053692B"/>
    <w:rsid w:val="00541853"/>
    <w:rsid w:val="00543102"/>
    <w:rsid w:val="00543BDA"/>
    <w:rsid w:val="005441CC"/>
    <w:rsid w:val="005479DA"/>
    <w:rsid w:val="00547BCC"/>
    <w:rsid w:val="0055013B"/>
    <w:rsid w:val="00551F6F"/>
    <w:rsid w:val="00555044"/>
    <w:rsid w:val="00561475"/>
    <w:rsid w:val="0056323A"/>
    <w:rsid w:val="0056487B"/>
    <w:rsid w:val="00564FB9"/>
    <w:rsid w:val="00565097"/>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1DEA"/>
    <w:rsid w:val="005F284E"/>
    <w:rsid w:val="005F4712"/>
    <w:rsid w:val="006015CE"/>
    <w:rsid w:val="006045D0"/>
    <w:rsid w:val="00604784"/>
    <w:rsid w:val="00606419"/>
    <w:rsid w:val="00607D29"/>
    <w:rsid w:val="00612952"/>
    <w:rsid w:val="00614CC1"/>
    <w:rsid w:val="00615A9D"/>
    <w:rsid w:val="00617387"/>
    <w:rsid w:val="006205D6"/>
    <w:rsid w:val="006252D8"/>
    <w:rsid w:val="006259BC"/>
    <w:rsid w:val="0062636B"/>
    <w:rsid w:val="006303A8"/>
    <w:rsid w:val="00632182"/>
    <w:rsid w:val="006326F8"/>
    <w:rsid w:val="00632AE0"/>
    <w:rsid w:val="00633292"/>
    <w:rsid w:val="00633C17"/>
    <w:rsid w:val="00634D9E"/>
    <w:rsid w:val="00635BEA"/>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57AB4"/>
    <w:rsid w:val="006640E5"/>
    <w:rsid w:val="006646F1"/>
    <w:rsid w:val="00664929"/>
    <w:rsid w:val="00664F62"/>
    <w:rsid w:val="006655E1"/>
    <w:rsid w:val="006708CC"/>
    <w:rsid w:val="00672060"/>
    <w:rsid w:val="00672BFD"/>
    <w:rsid w:val="006770F4"/>
    <w:rsid w:val="00677A84"/>
    <w:rsid w:val="0068026D"/>
    <w:rsid w:val="00680A27"/>
    <w:rsid w:val="006816A4"/>
    <w:rsid w:val="006819B8"/>
    <w:rsid w:val="006840A6"/>
    <w:rsid w:val="006850CD"/>
    <w:rsid w:val="00685AAB"/>
    <w:rsid w:val="006957AA"/>
    <w:rsid w:val="00695D22"/>
    <w:rsid w:val="006A07AA"/>
    <w:rsid w:val="006A202A"/>
    <w:rsid w:val="006A25E5"/>
    <w:rsid w:val="006A2B46"/>
    <w:rsid w:val="006A336D"/>
    <w:rsid w:val="006A37B9"/>
    <w:rsid w:val="006A6719"/>
    <w:rsid w:val="006B168D"/>
    <w:rsid w:val="006B2672"/>
    <w:rsid w:val="006B501C"/>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609"/>
    <w:rsid w:val="00746800"/>
    <w:rsid w:val="00747365"/>
    <w:rsid w:val="007501A8"/>
    <w:rsid w:val="00750D61"/>
    <w:rsid w:val="00750EE1"/>
    <w:rsid w:val="00752B4D"/>
    <w:rsid w:val="00755402"/>
    <w:rsid w:val="00756B26"/>
    <w:rsid w:val="00756EDF"/>
    <w:rsid w:val="00757ADA"/>
    <w:rsid w:val="007600E3"/>
    <w:rsid w:val="00765C43"/>
    <w:rsid w:val="00765EFB"/>
    <w:rsid w:val="007671CA"/>
    <w:rsid w:val="00767C61"/>
    <w:rsid w:val="0077008A"/>
    <w:rsid w:val="007713CC"/>
    <w:rsid w:val="007730C7"/>
    <w:rsid w:val="00773C1F"/>
    <w:rsid w:val="00774DA4"/>
    <w:rsid w:val="00776599"/>
    <w:rsid w:val="0078114B"/>
    <w:rsid w:val="00781DD2"/>
    <w:rsid w:val="00783ECF"/>
    <w:rsid w:val="0078413A"/>
    <w:rsid w:val="007859BD"/>
    <w:rsid w:val="00786C1D"/>
    <w:rsid w:val="007935BA"/>
    <w:rsid w:val="007959E8"/>
    <w:rsid w:val="00795E9C"/>
    <w:rsid w:val="007A0521"/>
    <w:rsid w:val="007A2E12"/>
    <w:rsid w:val="007A3475"/>
    <w:rsid w:val="007A3F8A"/>
    <w:rsid w:val="007A41C8"/>
    <w:rsid w:val="007A54CE"/>
    <w:rsid w:val="007A566A"/>
    <w:rsid w:val="007A6FD9"/>
    <w:rsid w:val="007A7FFA"/>
    <w:rsid w:val="007B04EB"/>
    <w:rsid w:val="007B0D4F"/>
    <w:rsid w:val="007B5614"/>
    <w:rsid w:val="007B5A3D"/>
    <w:rsid w:val="007B5B95"/>
    <w:rsid w:val="007B68EA"/>
    <w:rsid w:val="007B7453"/>
    <w:rsid w:val="007C1E8B"/>
    <w:rsid w:val="007C2588"/>
    <w:rsid w:val="007C2D89"/>
    <w:rsid w:val="007C3338"/>
    <w:rsid w:val="007C4593"/>
    <w:rsid w:val="007C5309"/>
    <w:rsid w:val="007C5A02"/>
    <w:rsid w:val="007C6069"/>
    <w:rsid w:val="007D06C4"/>
    <w:rsid w:val="007D1352"/>
    <w:rsid w:val="007D2508"/>
    <w:rsid w:val="007D346A"/>
    <w:rsid w:val="007D6518"/>
    <w:rsid w:val="007D76BD"/>
    <w:rsid w:val="007E0BF1"/>
    <w:rsid w:val="007F0ED8"/>
    <w:rsid w:val="007F0F63"/>
    <w:rsid w:val="007F74D9"/>
    <w:rsid w:val="007F75CE"/>
    <w:rsid w:val="008013A4"/>
    <w:rsid w:val="008027CE"/>
    <w:rsid w:val="00802F42"/>
    <w:rsid w:val="00804383"/>
    <w:rsid w:val="00804BB7"/>
    <w:rsid w:val="00804D41"/>
    <w:rsid w:val="00810257"/>
    <w:rsid w:val="008104F5"/>
    <w:rsid w:val="00811072"/>
    <w:rsid w:val="00811369"/>
    <w:rsid w:val="008145A3"/>
    <w:rsid w:val="00815419"/>
    <w:rsid w:val="008163C8"/>
    <w:rsid w:val="008164A1"/>
    <w:rsid w:val="00817325"/>
    <w:rsid w:val="008209E6"/>
    <w:rsid w:val="00823303"/>
    <w:rsid w:val="008233B2"/>
    <w:rsid w:val="00823A9F"/>
    <w:rsid w:val="00823C85"/>
    <w:rsid w:val="00824678"/>
    <w:rsid w:val="00825138"/>
    <w:rsid w:val="008269DD"/>
    <w:rsid w:val="00827158"/>
    <w:rsid w:val="00830621"/>
    <w:rsid w:val="0083348C"/>
    <w:rsid w:val="008373D3"/>
    <w:rsid w:val="00840617"/>
    <w:rsid w:val="00840F84"/>
    <w:rsid w:val="00842A47"/>
    <w:rsid w:val="00843C13"/>
    <w:rsid w:val="008454F8"/>
    <w:rsid w:val="0085173A"/>
    <w:rsid w:val="00856316"/>
    <w:rsid w:val="008603CE"/>
    <w:rsid w:val="0086066C"/>
    <w:rsid w:val="008620FC"/>
    <w:rsid w:val="008627A5"/>
    <w:rsid w:val="00863E05"/>
    <w:rsid w:val="008649CE"/>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3A9"/>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53DC"/>
    <w:rsid w:val="008C6149"/>
    <w:rsid w:val="008C619A"/>
    <w:rsid w:val="008D0CE8"/>
    <w:rsid w:val="008D1282"/>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6CB7"/>
    <w:rsid w:val="008F70BD"/>
    <w:rsid w:val="008F788F"/>
    <w:rsid w:val="008F7EA2"/>
    <w:rsid w:val="00901068"/>
    <w:rsid w:val="00902722"/>
    <w:rsid w:val="009027BC"/>
    <w:rsid w:val="009062E6"/>
    <w:rsid w:val="00906750"/>
    <w:rsid w:val="00911BE5"/>
    <w:rsid w:val="00913CA9"/>
    <w:rsid w:val="009145AE"/>
    <w:rsid w:val="009146CE"/>
    <w:rsid w:val="00914CA7"/>
    <w:rsid w:val="00914D80"/>
    <w:rsid w:val="00915C3E"/>
    <w:rsid w:val="009161A8"/>
    <w:rsid w:val="009210BD"/>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090"/>
    <w:rsid w:val="00970CDC"/>
    <w:rsid w:val="00971C8E"/>
    <w:rsid w:val="00977010"/>
    <w:rsid w:val="00977D02"/>
    <w:rsid w:val="009809BB"/>
    <w:rsid w:val="0098364B"/>
    <w:rsid w:val="009838B7"/>
    <w:rsid w:val="009911AF"/>
    <w:rsid w:val="00991349"/>
    <w:rsid w:val="00991875"/>
    <w:rsid w:val="00991F92"/>
    <w:rsid w:val="00992985"/>
    <w:rsid w:val="00993889"/>
    <w:rsid w:val="0099551B"/>
    <w:rsid w:val="00997BF1"/>
    <w:rsid w:val="009A089C"/>
    <w:rsid w:val="009A118E"/>
    <w:rsid w:val="009A21CD"/>
    <w:rsid w:val="009A278C"/>
    <w:rsid w:val="009A2BC2"/>
    <w:rsid w:val="009A42C1"/>
    <w:rsid w:val="009A5429"/>
    <w:rsid w:val="009A7013"/>
    <w:rsid w:val="009A72AD"/>
    <w:rsid w:val="009B09E0"/>
    <w:rsid w:val="009B0BC5"/>
    <w:rsid w:val="009B1247"/>
    <w:rsid w:val="009B46F9"/>
    <w:rsid w:val="009B6029"/>
    <w:rsid w:val="009B6971"/>
    <w:rsid w:val="009C27F1"/>
    <w:rsid w:val="009C3152"/>
    <w:rsid w:val="009C319A"/>
    <w:rsid w:val="009C4CFA"/>
    <w:rsid w:val="009C5070"/>
    <w:rsid w:val="009D112C"/>
    <w:rsid w:val="009D47FA"/>
    <w:rsid w:val="009D4C5B"/>
    <w:rsid w:val="009D50D2"/>
    <w:rsid w:val="009D6BCA"/>
    <w:rsid w:val="009E0F62"/>
    <w:rsid w:val="009E4A58"/>
    <w:rsid w:val="009E5A2D"/>
    <w:rsid w:val="009E5AB2"/>
    <w:rsid w:val="009E6219"/>
    <w:rsid w:val="009F03B3"/>
    <w:rsid w:val="009F3F8D"/>
    <w:rsid w:val="00A0096C"/>
    <w:rsid w:val="00A01757"/>
    <w:rsid w:val="00A02229"/>
    <w:rsid w:val="00A028C0"/>
    <w:rsid w:val="00A02BAE"/>
    <w:rsid w:val="00A06A6B"/>
    <w:rsid w:val="00A07E47"/>
    <w:rsid w:val="00A129D0"/>
    <w:rsid w:val="00A12C33"/>
    <w:rsid w:val="00A138BA"/>
    <w:rsid w:val="00A14C8E"/>
    <w:rsid w:val="00A153D9"/>
    <w:rsid w:val="00A15F09"/>
    <w:rsid w:val="00A169B6"/>
    <w:rsid w:val="00A2271D"/>
    <w:rsid w:val="00A237D5"/>
    <w:rsid w:val="00A2637A"/>
    <w:rsid w:val="00A30EFC"/>
    <w:rsid w:val="00A31984"/>
    <w:rsid w:val="00A32D73"/>
    <w:rsid w:val="00A3317B"/>
    <w:rsid w:val="00A3367B"/>
    <w:rsid w:val="00A3597D"/>
    <w:rsid w:val="00A36DD1"/>
    <w:rsid w:val="00A4006C"/>
    <w:rsid w:val="00A40091"/>
    <w:rsid w:val="00A4030F"/>
    <w:rsid w:val="00A40C97"/>
    <w:rsid w:val="00A41C79"/>
    <w:rsid w:val="00A41CB5"/>
    <w:rsid w:val="00A42CDF"/>
    <w:rsid w:val="00A4452E"/>
    <w:rsid w:val="00A4472C"/>
    <w:rsid w:val="00A44E69"/>
    <w:rsid w:val="00A45623"/>
    <w:rsid w:val="00A4661E"/>
    <w:rsid w:val="00A55BD6"/>
    <w:rsid w:val="00A55D50"/>
    <w:rsid w:val="00A57142"/>
    <w:rsid w:val="00A64456"/>
    <w:rsid w:val="00A648CD"/>
    <w:rsid w:val="00A6537A"/>
    <w:rsid w:val="00A67223"/>
    <w:rsid w:val="00A67866"/>
    <w:rsid w:val="00A70B07"/>
    <w:rsid w:val="00A723F8"/>
    <w:rsid w:val="00A77077"/>
    <w:rsid w:val="00A77CCB"/>
    <w:rsid w:val="00A83D8D"/>
    <w:rsid w:val="00A8446B"/>
    <w:rsid w:val="00A8473F"/>
    <w:rsid w:val="00A862D6"/>
    <w:rsid w:val="00A8715E"/>
    <w:rsid w:val="00A9295B"/>
    <w:rsid w:val="00A93B09"/>
    <w:rsid w:val="00A94247"/>
    <w:rsid w:val="00A952D7"/>
    <w:rsid w:val="00A963F7"/>
    <w:rsid w:val="00A96AD8"/>
    <w:rsid w:val="00AA052C"/>
    <w:rsid w:val="00AA11B0"/>
    <w:rsid w:val="00AA1E45"/>
    <w:rsid w:val="00AA24A8"/>
    <w:rsid w:val="00AA4286"/>
    <w:rsid w:val="00AA44B3"/>
    <w:rsid w:val="00AA456B"/>
    <w:rsid w:val="00AA57F5"/>
    <w:rsid w:val="00AA672E"/>
    <w:rsid w:val="00AA6EC9"/>
    <w:rsid w:val="00AB1E9D"/>
    <w:rsid w:val="00AB41D5"/>
    <w:rsid w:val="00AB6309"/>
    <w:rsid w:val="00AB6C5F"/>
    <w:rsid w:val="00AB6FA9"/>
    <w:rsid w:val="00AB7129"/>
    <w:rsid w:val="00AC27A6"/>
    <w:rsid w:val="00AC30F7"/>
    <w:rsid w:val="00AC3A5A"/>
    <w:rsid w:val="00AC4D95"/>
    <w:rsid w:val="00AC5DF4"/>
    <w:rsid w:val="00AD0AEF"/>
    <w:rsid w:val="00AD11B7"/>
    <w:rsid w:val="00AD1A94"/>
    <w:rsid w:val="00AD1C05"/>
    <w:rsid w:val="00AD2526"/>
    <w:rsid w:val="00AD4126"/>
    <w:rsid w:val="00AD421C"/>
    <w:rsid w:val="00AD44FA"/>
    <w:rsid w:val="00AE0300"/>
    <w:rsid w:val="00AE070A"/>
    <w:rsid w:val="00AE101C"/>
    <w:rsid w:val="00AE37E5"/>
    <w:rsid w:val="00AE3E6B"/>
    <w:rsid w:val="00AE5A99"/>
    <w:rsid w:val="00AE5EB4"/>
    <w:rsid w:val="00AF0C18"/>
    <w:rsid w:val="00AF4328"/>
    <w:rsid w:val="00AF47C5"/>
    <w:rsid w:val="00AF5398"/>
    <w:rsid w:val="00B049AF"/>
    <w:rsid w:val="00B07242"/>
    <w:rsid w:val="00B10534"/>
    <w:rsid w:val="00B113DB"/>
    <w:rsid w:val="00B11A9E"/>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42A"/>
    <w:rsid w:val="00B72880"/>
    <w:rsid w:val="00B758BF"/>
    <w:rsid w:val="00B7738D"/>
    <w:rsid w:val="00B77EC8"/>
    <w:rsid w:val="00B827A6"/>
    <w:rsid w:val="00B831CE"/>
    <w:rsid w:val="00B86677"/>
    <w:rsid w:val="00B87131"/>
    <w:rsid w:val="00B939B1"/>
    <w:rsid w:val="00B96D40"/>
    <w:rsid w:val="00B97386"/>
    <w:rsid w:val="00BA263B"/>
    <w:rsid w:val="00BA42B2"/>
    <w:rsid w:val="00BA58D4"/>
    <w:rsid w:val="00BA5B9E"/>
    <w:rsid w:val="00BA7A41"/>
    <w:rsid w:val="00BA7C9A"/>
    <w:rsid w:val="00BB203B"/>
    <w:rsid w:val="00BB5F8F"/>
    <w:rsid w:val="00BB657A"/>
    <w:rsid w:val="00BC177E"/>
    <w:rsid w:val="00BC1A4E"/>
    <w:rsid w:val="00BC4790"/>
    <w:rsid w:val="00BC5DC7"/>
    <w:rsid w:val="00BC6B8B"/>
    <w:rsid w:val="00BC73D8"/>
    <w:rsid w:val="00BD52D7"/>
    <w:rsid w:val="00BD5AD2"/>
    <w:rsid w:val="00BD79AE"/>
    <w:rsid w:val="00BE22F3"/>
    <w:rsid w:val="00BE5B52"/>
    <w:rsid w:val="00BE7B8D"/>
    <w:rsid w:val="00BF0993"/>
    <w:rsid w:val="00BF10A9"/>
    <w:rsid w:val="00BF1703"/>
    <w:rsid w:val="00BF231C"/>
    <w:rsid w:val="00BF51E5"/>
    <w:rsid w:val="00BF5DA0"/>
    <w:rsid w:val="00BF74A6"/>
    <w:rsid w:val="00C000FB"/>
    <w:rsid w:val="00C013AD"/>
    <w:rsid w:val="00C04904"/>
    <w:rsid w:val="00C056B3"/>
    <w:rsid w:val="00C103E5"/>
    <w:rsid w:val="00C13319"/>
    <w:rsid w:val="00C13EE9"/>
    <w:rsid w:val="00C21540"/>
    <w:rsid w:val="00C21906"/>
    <w:rsid w:val="00C21BFA"/>
    <w:rsid w:val="00C22148"/>
    <w:rsid w:val="00C24C8D"/>
    <w:rsid w:val="00C25DF9"/>
    <w:rsid w:val="00C25FE2"/>
    <w:rsid w:val="00C26B53"/>
    <w:rsid w:val="00C279B2"/>
    <w:rsid w:val="00C32D6F"/>
    <w:rsid w:val="00C33E50"/>
    <w:rsid w:val="00C34C20"/>
    <w:rsid w:val="00C35A3E"/>
    <w:rsid w:val="00C42130"/>
    <w:rsid w:val="00C42260"/>
    <w:rsid w:val="00C423A4"/>
    <w:rsid w:val="00C44BF5"/>
    <w:rsid w:val="00C521D6"/>
    <w:rsid w:val="00C54787"/>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2767"/>
    <w:rsid w:val="00C84E33"/>
    <w:rsid w:val="00C86D6F"/>
    <w:rsid w:val="00C905FC"/>
    <w:rsid w:val="00C92D03"/>
    <w:rsid w:val="00C9319C"/>
    <w:rsid w:val="00C9435D"/>
    <w:rsid w:val="00C94DF2"/>
    <w:rsid w:val="00C96741"/>
    <w:rsid w:val="00CA1883"/>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0AE"/>
    <w:rsid w:val="00D072ED"/>
    <w:rsid w:val="00D07A16"/>
    <w:rsid w:val="00D1067E"/>
    <w:rsid w:val="00D10F50"/>
    <w:rsid w:val="00D11272"/>
    <w:rsid w:val="00D11EE2"/>
    <w:rsid w:val="00D126F5"/>
    <w:rsid w:val="00D1489E"/>
    <w:rsid w:val="00D20737"/>
    <w:rsid w:val="00D21E81"/>
    <w:rsid w:val="00D223DE"/>
    <w:rsid w:val="00D22FF9"/>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2"/>
    <w:rsid w:val="00D51BF3"/>
    <w:rsid w:val="00D66846"/>
    <w:rsid w:val="00D675FB"/>
    <w:rsid w:val="00D71A45"/>
    <w:rsid w:val="00D71F25"/>
    <w:rsid w:val="00D72A9C"/>
    <w:rsid w:val="00D73376"/>
    <w:rsid w:val="00D73D7E"/>
    <w:rsid w:val="00D74371"/>
    <w:rsid w:val="00D758F2"/>
    <w:rsid w:val="00D77031"/>
    <w:rsid w:val="00D848E7"/>
    <w:rsid w:val="00D84941"/>
    <w:rsid w:val="00D84FA1"/>
    <w:rsid w:val="00D851F0"/>
    <w:rsid w:val="00D86DB7"/>
    <w:rsid w:val="00D92122"/>
    <w:rsid w:val="00D926D0"/>
    <w:rsid w:val="00D93030"/>
    <w:rsid w:val="00D9474B"/>
    <w:rsid w:val="00D950E1"/>
    <w:rsid w:val="00D952A6"/>
    <w:rsid w:val="00D97F99"/>
    <w:rsid w:val="00DA1E08"/>
    <w:rsid w:val="00DA24F8"/>
    <w:rsid w:val="00DA28E8"/>
    <w:rsid w:val="00DA38D3"/>
    <w:rsid w:val="00DA3932"/>
    <w:rsid w:val="00DA3AFC"/>
    <w:rsid w:val="00DA5191"/>
    <w:rsid w:val="00DA64F8"/>
    <w:rsid w:val="00DA6C15"/>
    <w:rsid w:val="00DB0258"/>
    <w:rsid w:val="00DB079B"/>
    <w:rsid w:val="00DB2BD5"/>
    <w:rsid w:val="00DB38EE"/>
    <w:rsid w:val="00DB498B"/>
    <w:rsid w:val="00DB66CA"/>
    <w:rsid w:val="00DB6BCA"/>
    <w:rsid w:val="00DB73F7"/>
    <w:rsid w:val="00DC0321"/>
    <w:rsid w:val="00DC12BA"/>
    <w:rsid w:val="00DC3067"/>
    <w:rsid w:val="00DC370B"/>
    <w:rsid w:val="00DC5B90"/>
    <w:rsid w:val="00DD00FF"/>
    <w:rsid w:val="00DD0619"/>
    <w:rsid w:val="00DD07FB"/>
    <w:rsid w:val="00DD25C6"/>
    <w:rsid w:val="00DD3279"/>
    <w:rsid w:val="00DD4FE5"/>
    <w:rsid w:val="00DD54B0"/>
    <w:rsid w:val="00DD57EE"/>
    <w:rsid w:val="00DD6BCC"/>
    <w:rsid w:val="00DE0A4B"/>
    <w:rsid w:val="00DE1D5A"/>
    <w:rsid w:val="00DE2410"/>
    <w:rsid w:val="00DE2939"/>
    <w:rsid w:val="00DE6E81"/>
    <w:rsid w:val="00DE703F"/>
    <w:rsid w:val="00DE7595"/>
    <w:rsid w:val="00DE7BC5"/>
    <w:rsid w:val="00DF1961"/>
    <w:rsid w:val="00DF44DE"/>
    <w:rsid w:val="00DF5F11"/>
    <w:rsid w:val="00E01138"/>
    <w:rsid w:val="00E02DFB"/>
    <w:rsid w:val="00E030F9"/>
    <w:rsid w:val="00E0311A"/>
    <w:rsid w:val="00E03138"/>
    <w:rsid w:val="00E06404"/>
    <w:rsid w:val="00E065D2"/>
    <w:rsid w:val="00E11A85"/>
    <w:rsid w:val="00E12495"/>
    <w:rsid w:val="00E1533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5DBF"/>
    <w:rsid w:val="00E56800"/>
    <w:rsid w:val="00E57184"/>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180D"/>
    <w:rsid w:val="00E9311F"/>
    <w:rsid w:val="00E934D1"/>
    <w:rsid w:val="00E94AF0"/>
    <w:rsid w:val="00E95D13"/>
    <w:rsid w:val="00E95DD3"/>
    <w:rsid w:val="00E969D5"/>
    <w:rsid w:val="00EA2DC4"/>
    <w:rsid w:val="00EA3E0F"/>
    <w:rsid w:val="00EA58D1"/>
    <w:rsid w:val="00EA61BC"/>
    <w:rsid w:val="00EA681A"/>
    <w:rsid w:val="00EA735B"/>
    <w:rsid w:val="00EB17DE"/>
    <w:rsid w:val="00EB1E69"/>
    <w:rsid w:val="00EB2086"/>
    <w:rsid w:val="00EB5EDF"/>
    <w:rsid w:val="00EB60FE"/>
    <w:rsid w:val="00EB74DB"/>
    <w:rsid w:val="00EC5006"/>
    <w:rsid w:val="00EC5359"/>
    <w:rsid w:val="00EC562A"/>
    <w:rsid w:val="00ED067A"/>
    <w:rsid w:val="00ED2B50"/>
    <w:rsid w:val="00EE0350"/>
    <w:rsid w:val="00EE0719"/>
    <w:rsid w:val="00EE0E80"/>
    <w:rsid w:val="00EE445A"/>
    <w:rsid w:val="00EE54A6"/>
    <w:rsid w:val="00EE613F"/>
    <w:rsid w:val="00EE7295"/>
    <w:rsid w:val="00EE7869"/>
    <w:rsid w:val="00EF054A"/>
    <w:rsid w:val="00EF3235"/>
    <w:rsid w:val="00EF7E72"/>
    <w:rsid w:val="00F00DE2"/>
    <w:rsid w:val="00F06D37"/>
    <w:rsid w:val="00F07B9D"/>
    <w:rsid w:val="00F11586"/>
    <w:rsid w:val="00F1183B"/>
    <w:rsid w:val="00F11C9F"/>
    <w:rsid w:val="00F12263"/>
    <w:rsid w:val="00F1409D"/>
    <w:rsid w:val="00F14214"/>
    <w:rsid w:val="00F157A9"/>
    <w:rsid w:val="00F25BB6"/>
    <w:rsid w:val="00F26B7E"/>
    <w:rsid w:val="00F27A3B"/>
    <w:rsid w:val="00F33817"/>
    <w:rsid w:val="00F36A22"/>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0B42"/>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5FD1"/>
    <w:rsid w:val="00FB7054"/>
    <w:rsid w:val="00FB7E0C"/>
    <w:rsid w:val="00FC17B7"/>
    <w:rsid w:val="00FC2CB7"/>
    <w:rsid w:val="00FC4090"/>
    <w:rsid w:val="00FC55B4"/>
    <w:rsid w:val="00FD00E6"/>
    <w:rsid w:val="00FD09A1"/>
    <w:rsid w:val="00FD2A7C"/>
    <w:rsid w:val="00FD59EB"/>
    <w:rsid w:val="00FD7299"/>
    <w:rsid w:val="00FE078A"/>
    <w:rsid w:val="00FE1FBE"/>
    <w:rsid w:val="00FE3901"/>
    <w:rsid w:val="00FE39D3"/>
    <w:rsid w:val="00FE4BCE"/>
    <w:rsid w:val="00FE54AE"/>
    <w:rsid w:val="00FE576A"/>
    <w:rsid w:val="00FE7E79"/>
    <w:rsid w:val="00FF3E7D"/>
    <w:rsid w:val="00FF5B99"/>
    <w:rsid w:val="00FF730C"/>
    <w:rsid w:val="00FF73F4"/>
    <w:rsid w:val="00FF7CE4"/>
    <w:rsid w:val="00FF7E39"/>
    <w:rsid w:val="01270F12"/>
    <w:rsid w:val="01374B0F"/>
    <w:rsid w:val="013E6568"/>
    <w:rsid w:val="018A3AE5"/>
    <w:rsid w:val="018D2AEB"/>
    <w:rsid w:val="01936412"/>
    <w:rsid w:val="01AC5842"/>
    <w:rsid w:val="01BE6AF9"/>
    <w:rsid w:val="01D00DA8"/>
    <w:rsid w:val="01DC0A77"/>
    <w:rsid w:val="01E5212E"/>
    <w:rsid w:val="0228043D"/>
    <w:rsid w:val="022D11C3"/>
    <w:rsid w:val="02332B36"/>
    <w:rsid w:val="025B777E"/>
    <w:rsid w:val="0281282A"/>
    <w:rsid w:val="02817547"/>
    <w:rsid w:val="02830E5D"/>
    <w:rsid w:val="029B0DCF"/>
    <w:rsid w:val="02AD49EA"/>
    <w:rsid w:val="02BC061B"/>
    <w:rsid w:val="02CF729C"/>
    <w:rsid w:val="02D45050"/>
    <w:rsid w:val="02DB07B7"/>
    <w:rsid w:val="02E64D83"/>
    <w:rsid w:val="0315158F"/>
    <w:rsid w:val="03223E95"/>
    <w:rsid w:val="03433C31"/>
    <w:rsid w:val="03472B30"/>
    <w:rsid w:val="03663D94"/>
    <w:rsid w:val="036D7252"/>
    <w:rsid w:val="03A569EC"/>
    <w:rsid w:val="03D2664B"/>
    <w:rsid w:val="0400752D"/>
    <w:rsid w:val="040D7B50"/>
    <w:rsid w:val="04115E30"/>
    <w:rsid w:val="041D379D"/>
    <w:rsid w:val="04310280"/>
    <w:rsid w:val="043A11AF"/>
    <w:rsid w:val="043F77E0"/>
    <w:rsid w:val="04460683"/>
    <w:rsid w:val="04484651"/>
    <w:rsid w:val="044964DF"/>
    <w:rsid w:val="0465519A"/>
    <w:rsid w:val="04AE503E"/>
    <w:rsid w:val="04C0322E"/>
    <w:rsid w:val="04E52CC7"/>
    <w:rsid w:val="04E94199"/>
    <w:rsid w:val="04ED2DF6"/>
    <w:rsid w:val="050756AB"/>
    <w:rsid w:val="052F5FCA"/>
    <w:rsid w:val="053521B8"/>
    <w:rsid w:val="05353DA0"/>
    <w:rsid w:val="05402A16"/>
    <w:rsid w:val="054C2F2E"/>
    <w:rsid w:val="05834C53"/>
    <w:rsid w:val="05843D9F"/>
    <w:rsid w:val="059C6B0B"/>
    <w:rsid w:val="05A42509"/>
    <w:rsid w:val="05AD4401"/>
    <w:rsid w:val="05BF1892"/>
    <w:rsid w:val="05C6640F"/>
    <w:rsid w:val="05E617C1"/>
    <w:rsid w:val="05E95674"/>
    <w:rsid w:val="05ED31FC"/>
    <w:rsid w:val="06025523"/>
    <w:rsid w:val="0664572E"/>
    <w:rsid w:val="06650057"/>
    <w:rsid w:val="066C45D9"/>
    <w:rsid w:val="069F61D9"/>
    <w:rsid w:val="06A7088E"/>
    <w:rsid w:val="06BF1B73"/>
    <w:rsid w:val="06C57CB5"/>
    <w:rsid w:val="06E02079"/>
    <w:rsid w:val="070C61D7"/>
    <w:rsid w:val="07193C3B"/>
    <w:rsid w:val="071A74A9"/>
    <w:rsid w:val="07205DDF"/>
    <w:rsid w:val="072858AE"/>
    <w:rsid w:val="07435106"/>
    <w:rsid w:val="075F0911"/>
    <w:rsid w:val="07883904"/>
    <w:rsid w:val="07911761"/>
    <w:rsid w:val="07AF3E24"/>
    <w:rsid w:val="08057A5A"/>
    <w:rsid w:val="0807782C"/>
    <w:rsid w:val="08283748"/>
    <w:rsid w:val="082D0947"/>
    <w:rsid w:val="085D7F24"/>
    <w:rsid w:val="085F7AB8"/>
    <w:rsid w:val="08707848"/>
    <w:rsid w:val="0887549F"/>
    <w:rsid w:val="089D343C"/>
    <w:rsid w:val="08F72A35"/>
    <w:rsid w:val="09042716"/>
    <w:rsid w:val="09055188"/>
    <w:rsid w:val="091231FD"/>
    <w:rsid w:val="09194322"/>
    <w:rsid w:val="094620D8"/>
    <w:rsid w:val="094F4B05"/>
    <w:rsid w:val="0953715A"/>
    <w:rsid w:val="0970184A"/>
    <w:rsid w:val="09723B4F"/>
    <w:rsid w:val="097F1859"/>
    <w:rsid w:val="09CE6DE6"/>
    <w:rsid w:val="09E603AA"/>
    <w:rsid w:val="09ED6CDD"/>
    <w:rsid w:val="09FF2C2E"/>
    <w:rsid w:val="0A12153F"/>
    <w:rsid w:val="0A1506D3"/>
    <w:rsid w:val="0A3209A6"/>
    <w:rsid w:val="0A334D52"/>
    <w:rsid w:val="0A3D1B7F"/>
    <w:rsid w:val="0A592238"/>
    <w:rsid w:val="0A8E051F"/>
    <w:rsid w:val="0AA572D2"/>
    <w:rsid w:val="0AC14867"/>
    <w:rsid w:val="0AD80555"/>
    <w:rsid w:val="0AE126EC"/>
    <w:rsid w:val="0B0911CE"/>
    <w:rsid w:val="0B0A760F"/>
    <w:rsid w:val="0B1369A4"/>
    <w:rsid w:val="0B29497C"/>
    <w:rsid w:val="0B33129F"/>
    <w:rsid w:val="0B41524D"/>
    <w:rsid w:val="0B481CFA"/>
    <w:rsid w:val="0B57502C"/>
    <w:rsid w:val="0B8F51F0"/>
    <w:rsid w:val="0B962E02"/>
    <w:rsid w:val="0BD7774E"/>
    <w:rsid w:val="0BE660EC"/>
    <w:rsid w:val="0BEB03E0"/>
    <w:rsid w:val="0BEC5192"/>
    <w:rsid w:val="0BF04DC8"/>
    <w:rsid w:val="0BF202F5"/>
    <w:rsid w:val="0BFA53FB"/>
    <w:rsid w:val="0C1A08AE"/>
    <w:rsid w:val="0C416637"/>
    <w:rsid w:val="0C580AA0"/>
    <w:rsid w:val="0C6C5CAA"/>
    <w:rsid w:val="0C831DFB"/>
    <w:rsid w:val="0CC41D72"/>
    <w:rsid w:val="0CCC2B76"/>
    <w:rsid w:val="0D335DC7"/>
    <w:rsid w:val="0D3878F6"/>
    <w:rsid w:val="0D411534"/>
    <w:rsid w:val="0D4417FF"/>
    <w:rsid w:val="0D7B6AD9"/>
    <w:rsid w:val="0D9A0C44"/>
    <w:rsid w:val="0DC932D7"/>
    <w:rsid w:val="0DD548F8"/>
    <w:rsid w:val="0DE10621"/>
    <w:rsid w:val="0E362232"/>
    <w:rsid w:val="0E534683"/>
    <w:rsid w:val="0E5412AA"/>
    <w:rsid w:val="0E581951"/>
    <w:rsid w:val="0E6C5E91"/>
    <w:rsid w:val="0E7133A5"/>
    <w:rsid w:val="0E8D1EBF"/>
    <w:rsid w:val="0E9F3870"/>
    <w:rsid w:val="0EA84EAA"/>
    <w:rsid w:val="0ED61D83"/>
    <w:rsid w:val="0EE30AA4"/>
    <w:rsid w:val="0EF83570"/>
    <w:rsid w:val="0EFC576A"/>
    <w:rsid w:val="0EFF07A0"/>
    <w:rsid w:val="0F227143"/>
    <w:rsid w:val="0F2410E0"/>
    <w:rsid w:val="0F2C65BE"/>
    <w:rsid w:val="0F4554E1"/>
    <w:rsid w:val="0F4C36D5"/>
    <w:rsid w:val="0F4C5F6E"/>
    <w:rsid w:val="0F5C0857"/>
    <w:rsid w:val="0F6E2388"/>
    <w:rsid w:val="0F7C4064"/>
    <w:rsid w:val="0F9962B9"/>
    <w:rsid w:val="0FA63AC4"/>
    <w:rsid w:val="0FD72C0C"/>
    <w:rsid w:val="0FED0AE2"/>
    <w:rsid w:val="0FFD1C92"/>
    <w:rsid w:val="0FFF2167"/>
    <w:rsid w:val="10256AF3"/>
    <w:rsid w:val="1026468E"/>
    <w:rsid w:val="107263F9"/>
    <w:rsid w:val="1075073F"/>
    <w:rsid w:val="107C0AD5"/>
    <w:rsid w:val="10801F58"/>
    <w:rsid w:val="10825026"/>
    <w:rsid w:val="109E7B8F"/>
    <w:rsid w:val="10A50FBB"/>
    <w:rsid w:val="10A7457D"/>
    <w:rsid w:val="10DA0D37"/>
    <w:rsid w:val="10F808A7"/>
    <w:rsid w:val="113601B9"/>
    <w:rsid w:val="11B322D4"/>
    <w:rsid w:val="11D5455B"/>
    <w:rsid w:val="11DE0FB9"/>
    <w:rsid w:val="11EA1B72"/>
    <w:rsid w:val="120A7F85"/>
    <w:rsid w:val="121E5B25"/>
    <w:rsid w:val="1231403C"/>
    <w:rsid w:val="13001868"/>
    <w:rsid w:val="132A5113"/>
    <w:rsid w:val="13314778"/>
    <w:rsid w:val="13373D29"/>
    <w:rsid w:val="13533A02"/>
    <w:rsid w:val="13A9398F"/>
    <w:rsid w:val="13B83F6F"/>
    <w:rsid w:val="13BC7E78"/>
    <w:rsid w:val="13CC6AA4"/>
    <w:rsid w:val="13E67C63"/>
    <w:rsid w:val="14096A52"/>
    <w:rsid w:val="143254D0"/>
    <w:rsid w:val="14373691"/>
    <w:rsid w:val="147321EF"/>
    <w:rsid w:val="147619B2"/>
    <w:rsid w:val="14AD3BD1"/>
    <w:rsid w:val="14AD3C61"/>
    <w:rsid w:val="14B123BF"/>
    <w:rsid w:val="14D715F3"/>
    <w:rsid w:val="14FE2B3D"/>
    <w:rsid w:val="15071408"/>
    <w:rsid w:val="15520BE1"/>
    <w:rsid w:val="156356B2"/>
    <w:rsid w:val="159D3D21"/>
    <w:rsid w:val="15A703A2"/>
    <w:rsid w:val="15C076B6"/>
    <w:rsid w:val="15F1216D"/>
    <w:rsid w:val="160D52BA"/>
    <w:rsid w:val="16181D6E"/>
    <w:rsid w:val="16397448"/>
    <w:rsid w:val="163B10B2"/>
    <w:rsid w:val="164016E3"/>
    <w:rsid w:val="16412F63"/>
    <w:rsid w:val="169A0817"/>
    <w:rsid w:val="16B54D39"/>
    <w:rsid w:val="16CB698F"/>
    <w:rsid w:val="17024F07"/>
    <w:rsid w:val="1708778A"/>
    <w:rsid w:val="170B0773"/>
    <w:rsid w:val="17195ABF"/>
    <w:rsid w:val="174165D4"/>
    <w:rsid w:val="174974E6"/>
    <w:rsid w:val="17591D4F"/>
    <w:rsid w:val="178617AE"/>
    <w:rsid w:val="17872239"/>
    <w:rsid w:val="17A23084"/>
    <w:rsid w:val="17A50CDA"/>
    <w:rsid w:val="17A51EFB"/>
    <w:rsid w:val="17A75170"/>
    <w:rsid w:val="17BC6531"/>
    <w:rsid w:val="17D102BC"/>
    <w:rsid w:val="17D578B7"/>
    <w:rsid w:val="17DD097C"/>
    <w:rsid w:val="17E146F0"/>
    <w:rsid w:val="180C0000"/>
    <w:rsid w:val="18141E97"/>
    <w:rsid w:val="181D0DEF"/>
    <w:rsid w:val="18216B7B"/>
    <w:rsid w:val="185C6755"/>
    <w:rsid w:val="18921CE2"/>
    <w:rsid w:val="18AE04B3"/>
    <w:rsid w:val="18B03A11"/>
    <w:rsid w:val="18B62E60"/>
    <w:rsid w:val="18EA6F23"/>
    <w:rsid w:val="18EB0977"/>
    <w:rsid w:val="18F7519C"/>
    <w:rsid w:val="190A583C"/>
    <w:rsid w:val="195C7478"/>
    <w:rsid w:val="195E228B"/>
    <w:rsid w:val="19856DE1"/>
    <w:rsid w:val="198F6926"/>
    <w:rsid w:val="19D00361"/>
    <w:rsid w:val="19D07AE3"/>
    <w:rsid w:val="19FD59CA"/>
    <w:rsid w:val="1A1E0B24"/>
    <w:rsid w:val="1A2A1494"/>
    <w:rsid w:val="1A38723D"/>
    <w:rsid w:val="1AAA5691"/>
    <w:rsid w:val="1AC775D5"/>
    <w:rsid w:val="1ACC6D76"/>
    <w:rsid w:val="1AD31257"/>
    <w:rsid w:val="1AD5074D"/>
    <w:rsid w:val="1AE46F67"/>
    <w:rsid w:val="1B0B39CB"/>
    <w:rsid w:val="1B227A64"/>
    <w:rsid w:val="1B326138"/>
    <w:rsid w:val="1B3C655B"/>
    <w:rsid w:val="1B4C7393"/>
    <w:rsid w:val="1B550590"/>
    <w:rsid w:val="1B5E6CE5"/>
    <w:rsid w:val="1BA35183"/>
    <w:rsid w:val="1BC02078"/>
    <w:rsid w:val="1BD26C63"/>
    <w:rsid w:val="1BF275BD"/>
    <w:rsid w:val="1BF53277"/>
    <w:rsid w:val="1BFF6030"/>
    <w:rsid w:val="1C22182C"/>
    <w:rsid w:val="1C6B1CC9"/>
    <w:rsid w:val="1C8C3BB7"/>
    <w:rsid w:val="1C954F0F"/>
    <w:rsid w:val="1CDA671C"/>
    <w:rsid w:val="1D0C4ADF"/>
    <w:rsid w:val="1D356CC6"/>
    <w:rsid w:val="1D360481"/>
    <w:rsid w:val="1D3A1AFC"/>
    <w:rsid w:val="1D4872C6"/>
    <w:rsid w:val="1D6877BC"/>
    <w:rsid w:val="1D903F91"/>
    <w:rsid w:val="1D927673"/>
    <w:rsid w:val="1D943C66"/>
    <w:rsid w:val="1DC563C2"/>
    <w:rsid w:val="1E075E82"/>
    <w:rsid w:val="1E160478"/>
    <w:rsid w:val="1E2141A1"/>
    <w:rsid w:val="1E502F22"/>
    <w:rsid w:val="1E7B07B0"/>
    <w:rsid w:val="1E877BA2"/>
    <w:rsid w:val="1EA27958"/>
    <w:rsid w:val="1EB468FC"/>
    <w:rsid w:val="1EEC32CA"/>
    <w:rsid w:val="1EEE7042"/>
    <w:rsid w:val="1F0C74C8"/>
    <w:rsid w:val="1F1862E0"/>
    <w:rsid w:val="1F23503F"/>
    <w:rsid w:val="1F2B0E22"/>
    <w:rsid w:val="1F2C1918"/>
    <w:rsid w:val="1F8228AC"/>
    <w:rsid w:val="1F980ADA"/>
    <w:rsid w:val="1FB11D74"/>
    <w:rsid w:val="1FE426A0"/>
    <w:rsid w:val="1FF470B4"/>
    <w:rsid w:val="200B13BD"/>
    <w:rsid w:val="2018275C"/>
    <w:rsid w:val="20325537"/>
    <w:rsid w:val="20362A4E"/>
    <w:rsid w:val="203C6E3E"/>
    <w:rsid w:val="20400CB7"/>
    <w:rsid w:val="20606DFE"/>
    <w:rsid w:val="207605E7"/>
    <w:rsid w:val="208539D6"/>
    <w:rsid w:val="209307E5"/>
    <w:rsid w:val="20B91181"/>
    <w:rsid w:val="20D24AD1"/>
    <w:rsid w:val="2100305C"/>
    <w:rsid w:val="21047B74"/>
    <w:rsid w:val="211B6761"/>
    <w:rsid w:val="21221188"/>
    <w:rsid w:val="215A4F4A"/>
    <w:rsid w:val="21624FA9"/>
    <w:rsid w:val="219B6CB5"/>
    <w:rsid w:val="21B26F7E"/>
    <w:rsid w:val="21D40F5A"/>
    <w:rsid w:val="220B3A67"/>
    <w:rsid w:val="223B2525"/>
    <w:rsid w:val="223C71C8"/>
    <w:rsid w:val="228441D9"/>
    <w:rsid w:val="229427BE"/>
    <w:rsid w:val="22B1797C"/>
    <w:rsid w:val="22B34536"/>
    <w:rsid w:val="22BF6C91"/>
    <w:rsid w:val="22D03D8B"/>
    <w:rsid w:val="22D63793"/>
    <w:rsid w:val="22E40C63"/>
    <w:rsid w:val="23052BAC"/>
    <w:rsid w:val="23372ABA"/>
    <w:rsid w:val="234911F4"/>
    <w:rsid w:val="238C7018"/>
    <w:rsid w:val="23AB33C0"/>
    <w:rsid w:val="23B91E27"/>
    <w:rsid w:val="23C028FE"/>
    <w:rsid w:val="23C640E9"/>
    <w:rsid w:val="23CF502F"/>
    <w:rsid w:val="23EB3B50"/>
    <w:rsid w:val="23F65960"/>
    <w:rsid w:val="240A6253"/>
    <w:rsid w:val="241155A9"/>
    <w:rsid w:val="2451664F"/>
    <w:rsid w:val="24525685"/>
    <w:rsid w:val="24727DCD"/>
    <w:rsid w:val="24B71C84"/>
    <w:rsid w:val="24D52747"/>
    <w:rsid w:val="24D55DD0"/>
    <w:rsid w:val="24DB3599"/>
    <w:rsid w:val="252D6ACD"/>
    <w:rsid w:val="253C5BD1"/>
    <w:rsid w:val="253E313F"/>
    <w:rsid w:val="25480598"/>
    <w:rsid w:val="255319AC"/>
    <w:rsid w:val="256736AA"/>
    <w:rsid w:val="2568176E"/>
    <w:rsid w:val="256F66B5"/>
    <w:rsid w:val="257638ED"/>
    <w:rsid w:val="259E3FAA"/>
    <w:rsid w:val="25B1549F"/>
    <w:rsid w:val="25BB0756"/>
    <w:rsid w:val="25C75E59"/>
    <w:rsid w:val="25EA63F3"/>
    <w:rsid w:val="25ED4163"/>
    <w:rsid w:val="26555080"/>
    <w:rsid w:val="26630702"/>
    <w:rsid w:val="26892274"/>
    <w:rsid w:val="26B71E93"/>
    <w:rsid w:val="26BA5CA1"/>
    <w:rsid w:val="26BE19EF"/>
    <w:rsid w:val="26C24435"/>
    <w:rsid w:val="26CA7BAF"/>
    <w:rsid w:val="272F01F7"/>
    <w:rsid w:val="273019A5"/>
    <w:rsid w:val="273462A1"/>
    <w:rsid w:val="27561C28"/>
    <w:rsid w:val="27857FB5"/>
    <w:rsid w:val="27A40592"/>
    <w:rsid w:val="27CD5073"/>
    <w:rsid w:val="27D776C2"/>
    <w:rsid w:val="27E56297"/>
    <w:rsid w:val="27E96E49"/>
    <w:rsid w:val="27EE2F9E"/>
    <w:rsid w:val="28736CC7"/>
    <w:rsid w:val="288E4BE0"/>
    <w:rsid w:val="28B80DAD"/>
    <w:rsid w:val="292B3AB6"/>
    <w:rsid w:val="293E3699"/>
    <w:rsid w:val="29420A80"/>
    <w:rsid w:val="295F7565"/>
    <w:rsid w:val="29AA63D6"/>
    <w:rsid w:val="29B748AF"/>
    <w:rsid w:val="29F74C88"/>
    <w:rsid w:val="2A1775D5"/>
    <w:rsid w:val="2A534089"/>
    <w:rsid w:val="2A730E75"/>
    <w:rsid w:val="2AA94676"/>
    <w:rsid w:val="2AB57846"/>
    <w:rsid w:val="2AB95719"/>
    <w:rsid w:val="2AE009B9"/>
    <w:rsid w:val="2AE8703B"/>
    <w:rsid w:val="2B0C0F7B"/>
    <w:rsid w:val="2B3E4EAD"/>
    <w:rsid w:val="2B51083F"/>
    <w:rsid w:val="2B625283"/>
    <w:rsid w:val="2B7C38C5"/>
    <w:rsid w:val="2B844E22"/>
    <w:rsid w:val="2B894773"/>
    <w:rsid w:val="2B9A1F3A"/>
    <w:rsid w:val="2BF0305D"/>
    <w:rsid w:val="2C1361D9"/>
    <w:rsid w:val="2C421AD9"/>
    <w:rsid w:val="2C4C0474"/>
    <w:rsid w:val="2C5C1A8E"/>
    <w:rsid w:val="2C7D2EC9"/>
    <w:rsid w:val="2C800AFF"/>
    <w:rsid w:val="2C865BDD"/>
    <w:rsid w:val="2CAB47C4"/>
    <w:rsid w:val="2CDC7C10"/>
    <w:rsid w:val="2CF9552F"/>
    <w:rsid w:val="2CFD081B"/>
    <w:rsid w:val="2D192C9D"/>
    <w:rsid w:val="2D1A5144"/>
    <w:rsid w:val="2D1C6BDC"/>
    <w:rsid w:val="2D46444E"/>
    <w:rsid w:val="2D4879D2"/>
    <w:rsid w:val="2D4B16D2"/>
    <w:rsid w:val="2D6A1F89"/>
    <w:rsid w:val="2D7F7E6D"/>
    <w:rsid w:val="2D815AD7"/>
    <w:rsid w:val="2DB31805"/>
    <w:rsid w:val="2E414051"/>
    <w:rsid w:val="2E4B3B69"/>
    <w:rsid w:val="2E5B3542"/>
    <w:rsid w:val="2E98219A"/>
    <w:rsid w:val="2EC21945"/>
    <w:rsid w:val="2EF069F5"/>
    <w:rsid w:val="2F1008D2"/>
    <w:rsid w:val="2F337E46"/>
    <w:rsid w:val="2F486DA5"/>
    <w:rsid w:val="2F606A61"/>
    <w:rsid w:val="2F7D7D9E"/>
    <w:rsid w:val="2F9339F2"/>
    <w:rsid w:val="2FC362BC"/>
    <w:rsid w:val="2FE1247F"/>
    <w:rsid w:val="2FE72DC5"/>
    <w:rsid w:val="2FF734BD"/>
    <w:rsid w:val="300A35B0"/>
    <w:rsid w:val="301402BF"/>
    <w:rsid w:val="303D1DB9"/>
    <w:rsid w:val="306B39BD"/>
    <w:rsid w:val="307576CF"/>
    <w:rsid w:val="30795312"/>
    <w:rsid w:val="30A55867"/>
    <w:rsid w:val="30C34953"/>
    <w:rsid w:val="3118635B"/>
    <w:rsid w:val="311B07F6"/>
    <w:rsid w:val="31400EE1"/>
    <w:rsid w:val="31434FCB"/>
    <w:rsid w:val="316A1E7D"/>
    <w:rsid w:val="316F5DC0"/>
    <w:rsid w:val="318D33AD"/>
    <w:rsid w:val="319A540F"/>
    <w:rsid w:val="31AF5643"/>
    <w:rsid w:val="31C939D5"/>
    <w:rsid w:val="31CB3C99"/>
    <w:rsid w:val="320F36C1"/>
    <w:rsid w:val="326A77B1"/>
    <w:rsid w:val="327B210D"/>
    <w:rsid w:val="328A4EAF"/>
    <w:rsid w:val="32922A56"/>
    <w:rsid w:val="32AD5A73"/>
    <w:rsid w:val="32B7041E"/>
    <w:rsid w:val="32C368A8"/>
    <w:rsid w:val="32EE18DB"/>
    <w:rsid w:val="32F27914"/>
    <w:rsid w:val="32F80037"/>
    <w:rsid w:val="32FB3683"/>
    <w:rsid w:val="33423651"/>
    <w:rsid w:val="3359561A"/>
    <w:rsid w:val="3362272A"/>
    <w:rsid w:val="33752ADF"/>
    <w:rsid w:val="337B5394"/>
    <w:rsid w:val="33A83F41"/>
    <w:rsid w:val="33BD4B4C"/>
    <w:rsid w:val="33BF6E4B"/>
    <w:rsid w:val="33C55822"/>
    <w:rsid w:val="33D02B95"/>
    <w:rsid w:val="33DF2915"/>
    <w:rsid w:val="33F27DA0"/>
    <w:rsid w:val="34052013"/>
    <w:rsid w:val="34084019"/>
    <w:rsid w:val="3440560B"/>
    <w:rsid w:val="344C529F"/>
    <w:rsid w:val="34610250"/>
    <w:rsid w:val="34636EAF"/>
    <w:rsid w:val="34971663"/>
    <w:rsid w:val="3498562E"/>
    <w:rsid w:val="34D648F4"/>
    <w:rsid w:val="34E5102B"/>
    <w:rsid w:val="350513EB"/>
    <w:rsid w:val="352C5D76"/>
    <w:rsid w:val="35380BBF"/>
    <w:rsid w:val="35633E8E"/>
    <w:rsid w:val="35757693"/>
    <w:rsid w:val="359821D1"/>
    <w:rsid w:val="35DB5F42"/>
    <w:rsid w:val="35DD3DF2"/>
    <w:rsid w:val="360D0E45"/>
    <w:rsid w:val="361F7584"/>
    <w:rsid w:val="36570EB1"/>
    <w:rsid w:val="365A3052"/>
    <w:rsid w:val="36877489"/>
    <w:rsid w:val="36BF5B7B"/>
    <w:rsid w:val="36D02B02"/>
    <w:rsid w:val="36DF1167"/>
    <w:rsid w:val="370C426A"/>
    <w:rsid w:val="3723292E"/>
    <w:rsid w:val="372A7C86"/>
    <w:rsid w:val="374C0952"/>
    <w:rsid w:val="378557A7"/>
    <w:rsid w:val="379414D1"/>
    <w:rsid w:val="379E43F2"/>
    <w:rsid w:val="37E97D85"/>
    <w:rsid w:val="37F90431"/>
    <w:rsid w:val="383F0FBB"/>
    <w:rsid w:val="3841368B"/>
    <w:rsid w:val="38482EC7"/>
    <w:rsid w:val="385D6EA6"/>
    <w:rsid w:val="3860471F"/>
    <w:rsid w:val="387C7F87"/>
    <w:rsid w:val="388C36FB"/>
    <w:rsid w:val="388D1833"/>
    <w:rsid w:val="38D716C4"/>
    <w:rsid w:val="38EA5337"/>
    <w:rsid w:val="39145473"/>
    <w:rsid w:val="391D07F7"/>
    <w:rsid w:val="393578EF"/>
    <w:rsid w:val="39364EFF"/>
    <w:rsid w:val="3960312F"/>
    <w:rsid w:val="399277FC"/>
    <w:rsid w:val="39987E7E"/>
    <w:rsid w:val="399E2FDD"/>
    <w:rsid w:val="39D0711B"/>
    <w:rsid w:val="39D968F6"/>
    <w:rsid w:val="39EE363E"/>
    <w:rsid w:val="39F30D98"/>
    <w:rsid w:val="39F537D5"/>
    <w:rsid w:val="3A2B39FC"/>
    <w:rsid w:val="3A3C7DF7"/>
    <w:rsid w:val="3A4D6EBA"/>
    <w:rsid w:val="3A7617F2"/>
    <w:rsid w:val="3A7F26B0"/>
    <w:rsid w:val="3A8D5509"/>
    <w:rsid w:val="3A91536C"/>
    <w:rsid w:val="3AA765CB"/>
    <w:rsid w:val="3AEC222F"/>
    <w:rsid w:val="3AED5FA8"/>
    <w:rsid w:val="3AEE7A20"/>
    <w:rsid w:val="3AF37A62"/>
    <w:rsid w:val="3B457B9B"/>
    <w:rsid w:val="3B4634DA"/>
    <w:rsid w:val="3B576D67"/>
    <w:rsid w:val="3B5F50F7"/>
    <w:rsid w:val="3B750E20"/>
    <w:rsid w:val="3B827DFE"/>
    <w:rsid w:val="3BAC1AA9"/>
    <w:rsid w:val="3BB76081"/>
    <w:rsid w:val="3BC669BB"/>
    <w:rsid w:val="3C0C5496"/>
    <w:rsid w:val="3C2725F2"/>
    <w:rsid w:val="3C5B09E3"/>
    <w:rsid w:val="3C7428E0"/>
    <w:rsid w:val="3C85293C"/>
    <w:rsid w:val="3CBB3673"/>
    <w:rsid w:val="3CCB1897"/>
    <w:rsid w:val="3D394574"/>
    <w:rsid w:val="3D673D23"/>
    <w:rsid w:val="3D695DB9"/>
    <w:rsid w:val="3D6C7658"/>
    <w:rsid w:val="3DAF2FFF"/>
    <w:rsid w:val="3DCE0312"/>
    <w:rsid w:val="3DDD67A7"/>
    <w:rsid w:val="3E3217EA"/>
    <w:rsid w:val="3E3A43C2"/>
    <w:rsid w:val="3E450F2E"/>
    <w:rsid w:val="3E742C68"/>
    <w:rsid w:val="3E7B5510"/>
    <w:rsid w:val="3E8B6203"/>
    <w:rsid w:val="3E966574"/>
    <w:rsid w:val="3ECB7638"/>
    <w:rsid w:val="3ED617F3"/>
    <w:rsid w:val="3ED76DD4"/>
    <w:rsid w:val="3EEE3DBC"/>
    <w:rsid w:val="3EF27048"/>
    <w:rsid w:val="3EFF0F84"/>
    <w:rsid w:val="3F136CC1"/>
    <w:rsid w:val="3F60191E"/>
    <w:rsid w:val="3F6F1681"/>
    <w:rsid w:val="3F786788"/>
    <w:rsid w:val="3FBB34AE"/>
    <w:rsid w:val="3FC859B9"/>
    <w:rsid w:val="3FD32344"/>
    <w:rsid w:val="3FFC3891"/>
    <w:rsid w:val="3FFC48CF"/>
    <w:rsid w:val="4024421A"/>
    <w:rsid w:val="40275301"/>
    <w:rsid w:val="40372082"/>
    <w:rsid w:val="40700BD5"/>
    <w:rsid w:val="407C40DF"/>
    <w:rsid w:val="40B60C18"/>
    <w:rsid w:val="40D046E8"/>
    <w:rsid w:val="412B15D8"/>
    <w:rsid w:val="412B1E3F"/>
    <w:rsid w:val="415B77B2"/>
    <w:rsid w:val="417D62D7"/>
    <w:rsid w:val="41850CE8"/>
    <w:rsid w:val="41970AE1"/>
    <w:rsid w:val="41B11ADD"/>
    <w:rsid w:val="41C64CB8"/>
    <w:rsid w:val="41CB688B"/>
    <w:rsid w:val="41D113AC"/>
    <w:rsid w:val="41F37EE3"/>
    <w:rsid w:val="42010B0D"/>
    <w:rsid w:val="4218487C"/>
    <w:rsid w:val="42295B17"/>
    <w:rsid w:val="422C5123"/>
    <w:rsid w:val="4233544B"/>
    <w:rsid w:val="425D2C7A"/>
    <w:rsid w:val="42676F4C"/>
    <w:rsid w:val="42704F91"/>
    <w:rsid w:val="42843695"/>
    <w:rsid w:val="4287281C"/>
    <w:rsid w:val="428B4A24"/>
    <w:rsid w:val="429F227D"/>
    <w:rsid w:val="42BC1743"/>
    <w:rsid w:val="42C9205A"/>
    <w:rsid w:val="42CA4DD4"/>
    <w:rsid w:val="42E36819"/>
    <w:rsid w:val="43142827"/>
    <w:rsid w:val="437101AA"/>
    <w:rsid w:val="43720634"/>
    <w:rsid w:val="43930246"/>
    <w:rsid w:val="439627D4"/>
    <w:rsid w:val="43BC3ADA"/>
    <w:rsid w:val="43C114AA"/>
    <w:rsid w:val="44332C7D"/>
    <w:rsid w:val="448259B3"/>
    <w:rsid w:val="44CE0BF8"/>
    <w:rsid w:val="44DD155D"/>
    <w:rsid w:val="44FE14DD"/>
    <w:rsid w:val="45244FE2"/>
    <w:rsid w:val="45394AE5"/>
    <w:rsid w:val="455513D3"/>
    <w:rsid w:val="456357E4"/>
    <w:rsid w:val="4565330A"/>
    <w:rsid w:val="458A661C"/>
    <w:rsid w:val="45A96967"/>
    <w:rsid w:val="45AC3357"/>
    <w:rsid w:val="45CA7611"/>
    <w:rsid w:val="45D12E51"/>
    <w:rsid w:val="45E0774E"/>
    <w:rsid w:val="45EE33EC"/>
    <w:rsid w:val="45EE6BBD"/>
    <w:rsid w:val="461531AB"/>
    <w:rsid w:val="463A00A3"/>
    <w:rsid w:val="46813626"/>
    <w:rsid w:val="4685245D"/>
    <w:rsid w:val="46A073E9"/>
    <w:rsid w:val="46AC420E"/>
    <w:rsid w:val="46CB1893"/>
    <w:rsid w:val="46DA1AD6"/>
    <w:rsid w:val="471A3EBC"/>
    <w:rsid w:val="47270C97"/>
    <w:rsid w:val="475A500E"/>
    <w:rsid w:val="47785176"/>
    <w:rsid w:val="478E54EE"/>
    <w:rsid w:val="47A8357A"/>
    <w:rsid w:val="47AB4CCE"/>
    <w:rsid w:val="47B440D5"/>
    <w:rsid w:val="47D77316"/>
    <w:rsid w:val="47FF3A71"/>
    <w:rsid w:val="48013092"/>
    <w:rsid w:val="48015BEF"/>
    <w:rsid w:val="483C0527"/>
    <w:rsid w:val="48642F9D"/>
    <w:rsid w:val="487C22F6"/>
    <w:rsid w:val="48832D0E"/>
    <w:rsid w:val="48AD4952"/>
    <w:rsid w:val="491F4362"/>
    <w:rsid w:val="49310F9E"/>
    <w:rsid w:val="49316EA3"/>
    <w:rsid w:val="49547560"/>
    <w:rsid w:val="49654605"/>
    <w:rsid w:val="49AC5EEF"/>
    <w:rsid w:val="49C70F0F"/>
    <w:rsid w:val="49EC6F6E"/>
    <w:rsid w:val="4A0975F4"/>
    <w:rsid w:val="4A0E3CD7"/>
    <w:rsid w:val="4A1E3E10"/>
    <w:rsid w:val="4A527BD5"/>
    <w:rsid w:val="4A916707"/>
    <w:rsid w:val="4AB206DF"/>
    <w:rsid w:val="4AC04C7D"/>
    <w:rsid w:val="4AC72371"/>
    <w:rsid w:val="4AC72702"/>
    <w:rsid w:val="4AD41D38"/>
    <w:rsid w:val="4AD46948"/>
    <w:rsid w:val="4B1C5DEA"/>
    <w:rsid w:val="4B1F59AC"/>
    <w:rsid w:val="4B2131B2"/>
    <w:rsid w:val="4B38326F"/>
    <w:rsid w:val="4B4734B2"/>
    <w:rsid w:val="4B58167F"/>
    <w:rsid w:val="4B616C35"/>
    <w:rsid w:val="4B6D1416"/>
    <w:rsid w:val="4BA77ED2"/>
    <w:rsid w:val="4BB24DCF"/>
    <w:rsid w:val="4BBD1F73"/>
    <w:rsid w:val="4BCF0A51"/>
    <w:rsid w:val="4C010020"/>
    <w:rsid w:val="4C0C2594"/>
    <w:rsid w:val="4C123C81"/>
    <w:rsid w:val="4C1B2975"/>
    <w:rsid w:val="4C1C66ED"/>
    <w:rsid w:val="4C26363E"/>
    <w:rsid w:val="4C2C2DD4"/>
    <w:rsid w:val="4C391EA5"/>
    <w:rsid w:val="4C3B6E59"/>
    <w:rsid w:val="4C3C54D0"/>
    <w:rsid w:val="4C6B4A07"/>
    <w:rsid w:val="4C95392C"/>
    <w:rsid w:val="4CA303F1"/>
    <w:rsid w:val="4CD93348"/>
    <w:rsid w:val="4CE67094"/>
    <w:rsid w:val="4CF90F82"/>
    <w:rsid w:val="4D0067CA"/>
    <w:rsid w:val="4D083571"/>
    <w:rsid w:val="4D0D56BA"/>
    <w:rsid w:val="4D245859"/>
    <w:rsid w:val="4D25705E"/>
    <w:rsid w:val="4D3300EC"/>
    <w:rsid w:val="4D761143"/>
    <w:rsid w:val="4D8F1499"/>
    <w:rsid w:val="4D9C5D37"/>
    <w:rsid w:val="4D9C7AE5"/>
    <w:rsid w:val="4DB712E3"/>
    <w:rsid w:val="4DBC1F35"/>
    <w:rsid w:val="4DD00B5D"/>
    <w:rsid w:val="4DD24572"/>
    <w:rsid w:val="4DED71E2"/>
    <w:rsid w:val="4DF70D16"/>
    <w:rsid w:val="4E141D71"/>
    <w:rsid w:val="4E264068"/>
    <w:rsid w:val="4E4A7159"/>
    <w:rsid w:val="4E617EB9"/>
    <w:rsid w:val="4E6C677C"/>
    <w:rsid w:val="4E944C60"/>
    <w:rsid w:val="4E960F88"/>
    <w:rsid w:val="4F3F3C19"/>
    <w:rsid w:val="4F4D0836"/>
    <w:rsid w:val="4F530D5B"/>
    <w:rsid w:val="4F871272"/>
    <w:rsid w:val="4F9071D6"/>
    <w:rsid w:val="4F9A34F0"/>
    <w:rsid w:val="4FA270F1"/>
    <w:rsid w:val="4FC9093A"/>
    <w:rsid w:val="4FD03A76"/>
    <w:rsid w:val="4FF534DD"/>
    <w:rsid w:val="4FFE38B3"/>
    <w:rsid w:val="4FFE5083"/>
    <w:rsid w:val="501C204A"/>
    <w:rsid w:val="50255BD3"/>
    <w:rsid w:val="502B33A2"/>
    <w:rsid w:val="50404602"/>
    <w:rsid w:val="504E2E72"/>
    <w:rsid w:val="50B062F8"/>
    <w:rsid w:val="50D6132A"/>
    <w:rsid w:val="50DC291C"/>
    <w:rsid w:val="511F5694"/>
    <w:rsid w:val="512E723C"/>
    <w:rsid w:val="51475372"/>
    <w:rsid w:val="517127E2"/>
    <w:rsid w:val="5195281C"/>
    <w:rsid w:val="51962A9D"/>
    <w:rsid w:val="51A774B9"/>
    <w:rsid w:val="51A83C79"/>
    <w:rsid w:val="521505E8"/>
    <w:rsid w:val="52293911"/>
    <w:rsid w:val="522B7759"/>
    <w:rsid w:val="5240105E"/>
    <w:rsid w:val="524D7600"/>
    <w:rsid w:val="52552958"/>
    <w:rsid w:val="52720E14"/>
    <w:rsid w:val="528775F5"/>
    <w:rsid w:val="528974D7"/>
    <w:rsid w:val="52B92EE7"/>
    <w:rsid w:val="52BF6B1B"/>
    <w:rsid w:val="52CB5646"/>
    <w:rsid w:val="52D424B6"/>
    <w:rsid w:val="52D5741A"/>
    <w:rsid w:val="53165C44"/>
    <w:rsid w:val="53226DFC"/>
    <w:rsid w:val="533A591E"/>
    <w:rsid w:val="536E2B31"/>
    <w:rsid w:val="53901E9A"/>
    <w:rsid w:val="539F032F"/>
    <w:rsid w:val="53D3585A"/>
    <w:rsid w:val="53E669C9"/>
    <w:rsid w:val="53F6713B"/>
    <w:rsid w:val="53F7293C"/>
    <w:rsid w:val="540B62E7"/>
    <w:rsid w:val="543A3BB4"/>
    <w:rsid w:val="546512F6"/>
    <w:rsid w:val="5478143C"/>
    <w:rsid w:val="5481389E"/>
    <w:rsid w:val="5498614A"/>
    <w:rsid w:val="54AC4A87"/>
    <w:rsid w:val="54B17CFE"/>
    <w:rsid w:val="54DF1F1F"/>
    <w:rsid w:val="54F32E78"/>
    <w:rsid w:val="54FC5522"/>
    <w:rsid w:val="551B58AC"/>
    <w:rsid w:val="551C150B"/>
    <w:rsid w:val="55247CD8"/>
    <w:rsid w:val="556A2243"/>
    <w:rsid w:val="558F458D"/>
    <w:rsid w:val="5591380F"/>
    <w:rsid w:val="55990DAE"/>
    <w:rsid w:val="55BF0815"/>
    <w:rsid w:val="55C8036E"/>
    <w:rsid w:val="55CA0F67"/>
    <w:rsid w:val="55E11108"/>
    <w:rsid w:val="565C00B6"/>
    <w:rsid w:val="566A0472"/>
    <w:rsid w:val="56923B1D"/>
    <w:rsid w:val="56A620AC"/>
    <w:rsid w:val="56A877FD"/>
    <w:rsid w:val="56C761F1"/>
    <w:rsid w:val="56D025AE"/>
    <w:rsid w:val="56EA5099"/>
    <w:rsid w:val="56FD60E9"/>
    <w:rsid w:val="57201787"/>
    <w:rsid w:val="5732424A"/>
    <w:rsid w:val="573650C8"/>
    <w:rsid w:val="573A241D"/>
    <w:rsid w:val="57653AE8"/>
    <w:rsid w:val="57696ED7"/>
    <w:rsid w:val="578E2D77"/>
    <w:rsid w:val="57995095"/>
    <w:rsid w:val="579A3927"/>
    <w:rsid w:val="57A75A04"/>
    <w:rsid w:val="57B41ECF"/>
    <w:rsid w:val="57C1701F"/>
    <w:rsid w:val="57C647CB"/>
    <w:rsid w:val="57D301BE"/>
    <w:rsid w:val="57DD03B2"/>
    <w:rsid w:val="57DE61E7"/>
    <w:rsid w:val="57E8247C"/>
    <w:rsid w:val="57FD74CD"/>
    <w:rsid w:val="58090044"/>
    <w:rsid w:val="582B3B5C"/>
    <w:rsid w:val="584633D0"/>
    <w:rsid w:val="5848599D"/>
    <w:rsid w:val="586F1E4F"/>
    <w:rsid w:val="58722FCC"/>
    <w:rsid w:val="58AD2F0F"/>
    <w:rsid w:val="58FB163C"/>
    <w:rsid w:val="58FC3520"/>
    <w:rsid w:val="59215E6F"/>
    <w:rsid w:val="592340EB"/>
    <w:rsid w:val="592E7C7F"/>
    <w:rsid w:val="59357C33"/>
    <w:rsid w:val="5939268C"/>
    <w:rsid w:val="59446253"/>
    <w:rsid w:val="594B0611"/>
    <w:rsid w:val="5957679E"/>
    <w:rsid w:val="59802C08"/>
    <w:rsid w:val="59811FEB"/>
    <w:rsid w:val="59883613"/>
    <w:rsid w:val="59C5379A"/>
    <w:rsid w:val="59DB6BB4"/>
    <w:rsid w:val="5A163B25"/>
    <w:rsid w:val="5A2C355F"/>
    <w:rsid w:val="5A2C3D02"/>
    <w:rsid w:val="5A2E5BD9"/>
    <w:rsid w:val="5A2E68A2"/>
    <w:rsid w:val="5A44753A"/>
    <w:rsid w:val="5A4B256F"/>
    <w:rsid w:val="5A7F0572"/>
    <w:rsid w:val="5A7F67C4"/>
    <w:rsid w:val="5A9A1850"/>
    <w:rsid w:val="5AC2228F"/>
    <w:rsid w:val="5AFA22EF"/>
    <w:rsid w:val="5AFB3C93"/>
    <w:rsid w:val="5B363AA0"/>
    <w:rsid w:val="5B4E2984"/>
    <w:rsid w:val="5B5F0674"/>
    <w:rsid w:val="5B7A0F64"/>
    <w:rsid w:val="5BBC75A4"/>
    <w:rsid w:val="5BBC7BDC"/>
    <w:rsid w:val="5BC9220A"/>
    <w:rsid w:val="5BCA604A"/>
    <w:rsid w:val="5BDF6909"/>
    <w:rsid w:val="5BE32B87"/>
    <w:rsid w:val="5C081398"/>
    <w:rsid w:val="5C7133B8"/>
    <w:rsid w:val="5C815BC9"/>
    <w:rsid w:val="5C901728"/>
    <w:rsid w:val="5C9918B2"/>
    <w:rsid w:val="5CAE513F"/>
    <w:rsid w:val="5CBC2AB4"/>
    <w:rsid w:val="5CC74453"/>
    <w:rsid w:val="5D0E684D"/>
    <w:rsid w:val="5D0F41B3"/>
    <w:rsid w:val="5D1D14E3"/>
    <w:rsid w:val="5D2C1469"/>
    <w:rsid w:val="5D2F3B0A"/>
    <w:rsid w:val="5D333F8D"/>
    <w:rsid w:val="5D467A6D"/>
    <w:rsid w:val="5D4B5233"/>
    <w:rsid w:val="5D4E06D0"/>
    <w:rsid w:val="5D6D27C7"/>
    <w:rsid w:val="5D7C08ED"/>
    <w:rsid w:val="5DB62C97"/>
    <w:rsid w:val="5DD134F8"/>
    <w:rsid w:val="5DE24F11"/>
    <w:rsid w:val="5DE54B90"/>
    <w:rsid w:val="5DF076BF"/>
    <w:rsid w:val="5DFB749B"/>
    <w:rsid w:val="5E012EAC"/>
    <w:rsid w:val="5E0A6D2C"/>
    <w:rsid w:val="5E1225F6"/>
    <w:rsid w:val="5E142704"/>
    <w:rsid w:val="5E1555A0"/>
    <w:rsid w:val="5E3577AE"/>
    <w:rsid w:val="5E5D1DFC"/>
    <w:rsid w:val="5E7A4AE4"/>
    <w:rsid w:val="5E920C0B"/>
    <w:rsid w:val="5E972BD5"/>
    <w:rsid w:val="5E99689A"/>
    <w:rsid w:val="5E9D1C72"/>
    <w:rsid w:val="5EB804F7"/>
    <w:rsid w:val="5ECF25BB"/>
    <w:rsid w:val="5F036DC5"/>
    <w:rsid w:val="5F49761E"/>
    <w:rsid w:val="5FA10F8B"/>
    <w:rsid w:val="5FC6314E"/>
    <w:rsid w:val="5FCE450D"/>
    <w:rsid w:val="5FCF78A6"/>
    <w:rsid w:val="5FD27396"/>
    <w:rsid w:val="5FD92A9F"/>
    <w:rsid w:val="5FE64579"/>
    <w:rsid w:val="600532C8"/>
    <w:rsid w:val="60323D79"/>
    <w:rsid w:val="60351D7B"/>
    <w:rsid w:val="605B6376"/>
    <w:rsid w:val="607B3DB1"/>
    <w:rsid w:val="60830F1F"/>
    <w:rsid w:val="608422FA"/>
    <w:rsid w:val="60AD6BF8"/>
    <w:rsid w:val="60EE1FAE"/>
    <w:rsid w:val="6100267E"/>
    <w:rsid w:val="610436FA"/>
    <w:rsid w:val="61050FC1"/>
    <w:rsid w:val="61085A61"/>
    <w:rsid w:val="610A49CA"/>
    <w:rsid w:val="611942BA"/>
    <w:rsid w:val="6142054C"/>
    <w:rsid w:val="6147266D"/>
    <w:rsid w:val="61483901"/>
    <w:rsid w:val="614C4F26"/>
    <w:rsid w:val="619A05C2"/>
    <w:rsid w:val="61B40472"/>
    <w:rsid w:val="61B827FE"/>
    <w:rsid w:val="61D373F6"/>
    <w:rsid w:val="62112CA4"/>
    <w:rsid w:val="621F2448"/>
    <w:rsid w:val="622A52D0"/>
    <w:rsid w:val="62423124"/>
    <w:rsid w:val="624C5FCB"/>
    <w:rsid w:val="626C479B"/>
    <w:rsid w:val="62A60AA3"/>
    <w:rsid w:val="62A96BAB"/>
    <w:rsid w:val="62B64D4D"/>
    <w:rsid w:val="62D9026B"/>
    <w:rsid w:val="62ED5559"/>
    <w:rsid w:val="63292D05"/>
    <w:rsid w:val="633D731B"/>
    <w:rsid w:val="637C4FE4"/>
    <w:rsid w:val="63854178"/>
    <w:rsid w:val="639A7886"/>
    <w:rsid w:val="63A64B35"/>
    <w:rsid w:val="63EA16B0"/>
    <w:rsid w:val="63EA615F"/>
    <w:rsid w:val="63EE096F"/>
    <w:rsid w:val="64032214"/>
    <w:rsid w:val="640E3FCD"/>
    <w:rsid w:val="6414115C"/>
    <w:rsid w:val="641F4B74"/>
    <w:rsid w:val="64281583"/>
    <w:rsid w:val="64332B76"/>
    <w:rsid w:val="64415500"/>
    <w:rsid w:val="644A6B3E"/>
    <w:rsid w:val="64586A9A"/>
    <w:rsid w:val="6484649B"/>
    <w:rsid w:val="649B1A9C"/>
    <w:rsid w:val="649D2AC9"/>
    <w:rsid w:val="64C67424"/>
    <w:rsid w:val="64C82384"/>
    <w:rsid w:val="64E95CF9"/>
    <w:rsid w:val="65162195"/>
    <w:rsid w:val="65240694"/>
    <w:rsid w:val="65384140"/>
    <w:rsid w:val="65400609"/>
    <w:rsid w:val="65514F0C"/>
    <w:rsid w:val="656767D3"/>
    <w:rsid w:val="658209DC"/>
    <w:rsid w:val="65973507"/>
    <w:rsid w:val="65B6431D"/>
    <w:rsid w:val="65BB7628"/>
    <w:rsid w:val="65D57BE0"/>
    <w:rsid w:val="65DD3C9C"/>
    <w:rsid w:val="66027804"/>
    <w:rsid w:val="661A06AB"/>
    <w:rsid w:val="66285F62"/>
    <w:rsid w:val="66365CBA"/>
    <w:rsid w:val="66711DD3"/>
    <w:rsid w:val="668D4017"/>
    <w:rsid w:val="669A0256"/>
    <w:rsid w:val="66B01A8C"/>
    <w:rsid w:val="66B137CE"/>
    <w:rsid w:val="66BC11A1"/>
    <w:rsid w:val="66D63C10"/>
    <w:rsid w:val="66EB7D79"/>
    <w:rsid w:val="66EC3434"/>
    <w:rsid w:val="66F95B50"/>
    <w:rsid w:val="66F977D0"/>
    <w:rsid w:val="670A38BA"/>
    <w:rsid w:val="670D5D64"/>
    <w:rsid w:val="671C2656"/>
    <w:rsid w:val="673152EA"/>
    <w:rsid w:val="67386679"/>
    <w:rsid w:val="67450680"/>
    <w:rsid w:val="67527507"/>
    <w:rsid w:val="676D1094"/>
    <w:rsid w:val="67890C82"/>
    <w:rsid w:val="67B53825"/>
    <w:rsid w:val="67C76F28"/>
    <w:rsid w:val="67E265E5"/>
    <w:rsid w:val="67F16D26"/>
    <w:rsid w:val="682E5386"/>
    <w:rsid w:val="684A06E9"/>
    <w:rsid w:val="688C2D3E"/>
    <w:rsid w:val="68D0474A"/>
    <w:rsid w:val="68D128E1"/>
    <w:rsid w:val="691B43CA"/>
    <w:rsid w:val="691D4FB8"/>
    <w:rsid w:val="69547EE0"/>
    <w:rsid w:val="695C6092"/>
    <w:rsid w:val="696F3EA8"/>
    <w:rsid w:val="6985191D"/>
    <w:rsid w:val="69A00505"/>
    <w:rsid w:val="69A13AC0"/>
    <w:rsid w:val="69AC1CFD"/>
    <w:rsid w:val="69B6668F"/>
    <w:rsid w:val="69BB176B"/>
    <w:rsid w:val="69C262F5"/>
    <w:rsid w:val="69D96407"/>
    <w:rsid w:val="69F11830"/>
    <w:rsid w:val="6A585BE2"/>
    <w:rsid w:val="6A635EFE"/>
    <w:rsid w:val="6A6B14F9"/>
    <w:rsid w:val="6B201DA5"/>
    <w:rsid w:val="6B614135"/>
    <w:rsid w:val="6B680BAF"/>
    <w:rsid w:val="6B990C1E"/>
    <w:rsid w:val="6BB311EC"/>
    <w:rsid w:val="6BE10682"/>
    <w:rsid w:val="6BE50C68"/>
    <w:rsid w:val="6C183454"/>
    <w:rsid w:val="6C3F1D6B"/>
    <w:rsid w:val="6C757A27"/>
    <w:rsid w:val="6C891FB9"/>
    <w:rsid w:val="6C8C5277"/>
    <w:rsid w:val="6C9836C1"/>
    <w:rsid w:val="6CC74289"/>
    <w:rsid w:val="6CDB133D"/>
    <w:rsid w:val="6D4A7EB2"/>
    <w:rsid w:val="6D605FE2"/>
    <w:rsid w:val="6D636ADF"/>
    <w:rsid w:val="6DA46816"/>
    <w:rsid w:val="6DA56285"/>
    <w:rsid w:val="6DB5615E"/>
    <w:rsid w:val="6DE90B6C"/>
    <w:rsid w:val="6E5846B9"/>
    <w:rsid w:val="6E780885"/>
    <w:rsid w:val="6EA05AF0"/>
    <w:rsid w:val="6EB8009F"/>
    <w:rsid w:val="6EF84E1E"/>
    <w:rsid w:val="6EF94940"/>
    <w:rsid w:val="6F4F7BC0"/>
    <w:rsid w:val="6F7434CA"/>
    <w:rsid w:val="6FDE7692"/>
    <w:rsid w:val="70101D70"/>
    <w:rsid w:val="70155D24"/>
    <w:rsid w:val="70225429"/>
    <w:rsid w:val="705020FD"/>
    <w:rsid w:val="706A7ECF"/>
    <w:rsid w:val="70956D33"/>
    <w:rsid w:val="70A67BB3"/>
    <w:rsid w:val="70AA0678"/>
    <w:rsid w:val="70AA6031"/>
    <w:rsid w:val="70AE52B6"/>
    <w:rsid w:val="70D469D4"/>
    <w:rsid w:val="70DE33DC"/>
    <w:rsid w:val="70E6077F"/>
    <w:rsid w:val="70E742BE"/>
    <w:rsid w:val="70F27372"/>
    <w:rsid w:val="71064333"/>
    <w:rsid w:val="713B6C46"/>
    <w:rsid w:val="71820115"/>
    <w:rsid w:val="718E0D4C"/>
    <w:rsid w:val="71EE0A51"/>
    <w:rsid w:val="72114AAA"/>
    <w:rsid w:val="72236F1C"/>
    <w:rsid w:val="724437F1"/>
    <w:rsid w:val="72564E99"/>
    <w:rsid w:val="726357A8"/>
    <w:rsid w:val="726C71D7"/>
    <w:rsid w:val="72EB2159"/>
    <w:rsid w:val="72FB0ADD"/>
    <w:rsid w:val="72FC7540"/>
    <w:rsid w:val="731A1328"/>
    <w:rsid w:val="731C5A1A"/>
    <w:rsid w:val="7345132C"/>
    <w:rsid w:val="7397374A"/>
    <w:rsid w:val="73C53042"/>
    <w:rsid w:val="73E62FB9"/>
    <w:rsid w:val="73F90876"/>
    <w:rsid w:val="74182969"/>
    <w:rsid w:val="746C60C4"/>
    <w:rsid w:val="746D21F2"/>
    <w:rsid w:val="747F7695"/>
    <w:rsid w:val="74857D99"/>
    <w:rsid w:val="748C6185"/>
    <w:rsid w:val="749D75FC"/>
    <w:rsid w:val="74AA4797"/>
    <w:rsid w:val="74E36253"/>
    <w:rsid w:val="74E824E3"/>
    <w:rsid w:val="750802A9"/>
    <w:rsid w:val="750F7090"/>
    <w:rsid w:val="755F74C6"/>
    <w:rsid w:val="75E33C54"/>
    <w:rsid w:val="76171B4F"/>
    <w:rsid w:val="766F1A66"/>
    <w:rsid w:val="767844D3"/>
    <w:rsid w:val="76787031"/>
    <w:rsid w:val="769C3B2D"/>
    <w:rsid w:val="76AE0568"/>
    <w:rsid w:val="76BF4573"/>
    <w:rsid w:val="76EA4F5D"/>
    <w:rsid w:val="771530DF"/>
    <w:rsid w:val="776463F5"/>
    <w:rsid w:val="776D0703"/>
    <w:rsid w:val="77856B98"/>
    <w:rsid w:val="778B20E7"/>
    <w:rsid w:val="778F0EC1"/>
    <w:rsid w:val="77CC7892"/>
    <w:rsid w:val="77D41709"/>
    <w:rsid w:val="782C7E18"/>
    <w:rsid w:val="78317816"/>
    <w:rsid w:val="784A042E"/>
    <w:rsid w:val="784F2DED"/>
    <w:rsid w:val="78624867"/>
    <w:rsid w:val="787D213D"/>
    <w:rsid w:val="789254BD"/>
    <w:rsid w:val="789D5404"/>
    <w:rsid w:val="789E5569"/>
    <w:rsid w:val="78B51799"/>
    <w:rsid w:val="78B64950"/>
    <w:rsid w:val="790B76B5"/>
    <w:rsid w:val="79256331"/>
    <w:rsid w:val="793C3BEF"/>
    <w:rsid w:val="795037EE"/>
    <w:rsid w:val="798879E2"/>
    <w:rsid w:val="79A508D3"/>
    <w:rsid w:val="79AF58EE"/>
    <w:rsid w:val="79BB42D3"/>
    <w:rsid w:val="7A274F09"/>
    <w:rsid w:val="7A4245AF"/>
    <w:rsid w:val="7A5221B2"/>
    <w:rsid w:val="7A5944E4"/>
    <w:rsid w:val="7A68502D"/>
    <w:rsid w:val="7A7A445B"/>
    <w:rsid w:val="7ACA4C5A"/>
    <w:rsid w:val="7B1623D5"/>
    <w:rsid w:val="7B1734F9"/>
    <w:rsid w:val="7B2A5117"/>
    <w:rsid w:val="7B333512"/>
    <w:rsid w:val="7B3A339C"/>
    <w:rsid w:val="7B4E37ED"/>
    <w:rsid w:val="7B5C3128"/>
    <w:rsid w:val="7B62684D"/>
    <w:rsid w:val="7B743797"/>
    <w:rsid w:val="7B8053B0"/>
    <w:rsid w:val="7B901DF2"/>
    <w:rsid w:val="7B904074"/>
    <w:rsid w:val="7B907C9D"/>
    <w:rsid w:val="7BAC4AE8"/>
    <w:rsid w:val="7BC2255D"/>
    <w:rsid w:val="7BC40083"/>
    <w:rsid w:val="7BCC51AC"/>
    <w:rsid w:val="7BDE0856"/>
    <w:rsid w:val="7C014E34"/>
    <w:rsid w:val="7C0D1A2A"/>
    <w:rsid w:val="7C17639A"/>
    <w:rsid w:val="7C2A4932"/>
    <w:rsid w:val="7C375E3A"/>
    <w:rsid w:val="7C3E66E2"/>
    <w:rsid w:val="7C40465B"/>
    <w:rsid w:val="7C457B4B"/>
    <w:rsid w:val="7C670DC6"/>
    <w:rsid w:val="7C69308B"/>
    <w:rsid w:val="7CCC6A1C"/>
    <w:rsid w:val="7CD9190C"/>
    <w:rsid w:val="7CDD495B"/>
    <w:rsid w:val="7CE57CF8"/>
    <w:rsid w:val="7D0559B8"/>
    <w:rsid w:val="7D1F7C67"/>
    <w:rsid w:val="7D2A249D"/>
    <w:rsid w:val="7D561D2D"/>
    <w:rsid w:val="7D582795"/>
    <w:rsid w:val="7D6B2EAC"/>
    <w:rsid w:val="7D7472D8"/>
    <w:rsid w:val="7D7B7A7C"/>
    <w:rsid w:val="7D8C4276"/>
    <w:rsid w:val="7D9C73EA"/>
    <w:rsid w:val="7D9D293A"/>
    <w:rsid w:val="7DA65065"/>
    <w:rsid w:val="7DBA05C7"/>
    <w:rsid w:val="7DE14013"/>
    <w:rsid w:val="7E207DE9"/>
    <w:rsid w:val="7E3A2A7D"/>
    <w:rsid w:val="7E5002C9"/>
    <w:rsid w:val="7E590F57"/>
    <w:rsid w:val="7E965A58"/>
    <w:rsid w:val="7E9F5284"/>
    <w:rsid w:val="7EA565C8"/>
    <w:rsid w:val="7EE81324"/>
    <w:rsid w:val="7EEA116F"/>
    <w:rsid w:val="7EF86675"/>
    <w:rsid w:val="7F0D588B"/>
    <w:rsid w:val="7F17671C"/>
    <w:rsid w:val="7F214EBA"/>
    <w:rsid w:val="7F673200"/>
    <w:rsid w:val="7F6D27E0"/>
    <w:rsid w:val="7F8C0464"/>
    <w:rsid w:val="7F8F3231"/>
    <w:rsid w:val="7FAC4B35"/>
    <w:rsid w:val="7FC348D2"/>
    <w:rsid w:val="7FD91FF5"/>
    <w:rsid w:val="7FD92ABC"/>
    <w:rsid w:val="7FE31440"/>
    <w:rsid w:val="7FFA52D4"/>
    <w:rsid w:val="7FFFF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99"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paragraph" w:styleId="5">
    <w:name w:val="heading 4"/>
    <w:basedOn w:val="1"/>
    <w:next w:val="1"/>
    <w:link w:val="4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6"/>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7"/>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8"/>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9"/>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0"/>
    <w:qFormat/>
    <w:uiPriority w:val="0"/>
    <w:pPr>
      <w:keepNext/>
      <w:keepLines/>
      <w:adjustRightInd/>
      <w:spacing w:before="240" w:after="64" w:line="320" w:lineRule="auto"/>
      <w:outlineLvl w:val="8"/>
    </w:pPr>
    <w:rPr>
      <w:rFonts w:ascii="Arial" w:hAnsi="Arial" w:eastAsia="黑体"/>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caption"/>
    <w:basedOn w:val="1"/>
    <w:next w:val="1"/>
    <w:unhideWhenUsed/>
    <w:qFormat/>
    <w:uiPriority w:val="99"/>
    <w:pPr>
      <w:jc w:val="center"/>
    </w:pPr>
    <w:rPr>
      <w:rFonts w:ascii="等线 Light" w:hAnsi="等线 Light" w:eastAsia="黑体"/>
    </w:rPr>
  </w:style>
  <w:style w:type="paragraph" w:styleId="14">
    <w:name w:val="annotation text"/>
    <w:basedOn w:val="1"/>
    <w:link w:val="262"/>
    <w:unhideWhenUsed/>
    <w:qFormat/>
    <w:uiPriority w:val="99"/>
    <w:pPr>
      <w:jc w:val="left"/>
    </w:pPr>
  </w:style>
  <w:style w:type="paragraph" w:styleId="15">
    <w:name w:val="Body Text"/>
    <w:basedOn w:val="1"/>
    <w:link w:val="94"/>
    <w:qFormat/>
    <w:uiPriority w:val="0"/>
    <w:pPr>
      <w:spacing w:after="120"/>
    </w:pPr>
  </w:style>
  <w:style w:type="paragraph" w:styleId="16">
    <w:name w:val="Body Text Indent"/>
    <w:basedOn w:val="12"/>
    <w:next w:val="1"/>
    <w:unhideWhenUsed/>
    <w:qFormat/>
    <w:uiPriority w:val="99"/>
    <w:pPr>
      <w:spacing w:after="120"/>
      <w:ind w:left="420" w:leftChars="200"/>
    </w:pPr>
    <w:rPr>
      <w:rFonts w:hint="eastAsia" w:ascii="等线" w:hAnsi="等线" w:eastAsia="等线"/>
    </w:rPr>
  </w:style>
  <w:style w:type="paragraph" w:styleId="17">
    <w:name w:val="toc 5"/>
    <w:basedOn w:val="1"/>
    <w:next w:val="1"/>
    <w:unhideWhenUsed/>
    <w:qFormat/>
    <w:uiPriority w:val="39"/>
    <w:pPr>
      <w:ind w:left="839"/>
    </w:pPr>
    <w:rPr>
      <w:rFonts w:ascii="宋体"/>
    </w:rPr>
  </w:style>
  <w:style w:type="paragraph" w:styleId="18">
    <w:name w:val="toc 3"/>
    <w:basedOn w:val="1"/>
    <w:next w:val="1"/>
    <w:unhideWhenUsed/>
    <w:qFormat/>
    <w:uiPriority w:val="39"/>
    <w:pPr>
      <w:spacing w:line="300" w:lineRule="exact"/>
      <w:ind w:left="420"/>
    </w:pPr>
    <w:rPr>
      <w:rFonts w:ascii="宋体"/>
    </w:rPr>
  </w:style>
  <w:style w:type="paragraph" w:styleId="19">
    <w:name w:val="Balloon Text"/>
    <w:basedOn w:val="1"/>
    <w:link w:val="53"/>
    <w:semiHidden/>
    <w:unhideWhenUsed/>
    <w:qFormat/>
    <w:uiPriority w:val="99"/>
    <w:rPr>
      <w:sz w:val="18"/>
      <w:szCs w:val="18"/>
    </w:rPr>
  </w:style>
  <w:style w:type="paragraph" w:styleId="20">
    <w:name w:val="footer"/>
    <w:basedOn w:val="1"/>
    <w:link w:val="52"/>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51"/>
    <w:qFormat/>
    <w:uiPriority w:val="99"/>
    <w:pPr>
      <w:tabs>
        <w:tab w:val="center" w:pos="4153"/>
        <w:tab w:val="right" w:pos="8306"/>
      </w:tabs>
      <w:adjustRightInd/>
      <w:snapToGrid w:val="0"/>
      <w:jc w:val="center"/>
    </w:pPr>
    <w:rPr>
      <w:sz w:val="18"/>
      <w:szCs w:val="18"/>
    </w:rPr>
  </w:style>
  <w:style w:type="paragraph" w:styleId="22">
    <w:name w:val="toc 1"/>
    <w:basedOn w:val="1"/>
    <w:next w:val="1"/>
    <w:unhideWhenUsed/>
    <w:qFormat/>
    <w:uiPriority w:val="39"/>
    <w:rPr>
      <w:rFonts w:ascii="宋体"/>
    </w:rPr>
  </w:style>
  <w:style w:type="paragraph" w:styleId="23">
    <w:name w:val="toc 4"/>
    <w:basedOn w:val="1"/>
    <w:next w:val="1"/>
    <w:unhideWhenUsed/>
    <w:qFormat/>
    <w:uiPriority w:val="39"/>
    <w:pPr>
      <w:tabs>
        <w:tab w:val="right" w:leader="dot" w:pos="9344"/>
      </w:tabs>
      <w:spacing w:line="300" w:lineRule="exact"/>
      <w:ind w:left="629"/>
    </w:pPr>
    <w:rPr>
      <w:rFonts w:ascii="宋体"/>
    </w:rPr>
  </w:style>
  <w:style w:type="paragraph" w:styleId="24">
    <w:name w:val="Subtitle"/>
    <w:basedOn w:val="1"/>
    <w:next w:val="1"/>
    <w:qFormat/>
    <w:uiPriority w:val="11"/>
    <w:pPr>
      <w:spacing w:before="50" w:beforeLines="50" w:after="50" w:afterLines="50"/>
      <w:jc w:val="center"/>
      <w:outlineLvl w:val="3"/>
    </w:pPr>
    <w:rPr>
      <w:bCs/>
      <w:kern w:val="28"/>
      <w:szCs w:val="32"/>
    </w:rPr>
  </w:style>
  <w:style w:type="paragraph" w:styleId="25">
    <w:name w:val="footnote text"/>
    <w:basedOn w:val="1"/>
    <w:next w:val="1"/>
    <w:link w:val="107"/>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6">
    <w:name w:val="toc 6"/>
    <w:basedOn w:val="1"/>
    <w:next w:val="1"/>
    <w:unhideWhenUsed/>
    <w:qFormat/>
    <w:uiPriority w:val="39"/>
    <w:pPr>
      <w:spacing w:line="300" w:lineRule="exact"/>
      <w:ind w:left="1049"/>
    </w:pPr>
    <w:rPr>
      <w:rFonts w:ascii="宋体"/>
    </w:rPr>
  </w:style>
  <w:style w:type="paragraph" w:styleId="27">
    <w:name w:val="table of figures"/>
    <w:basedOn w:val="1"/>
    <w:next w:val="1"/>
    <w:semiHidden/>
    <w:qFormat/>
    <w:uiPriority w:val="0"/>
    <w:pPr>
      <w:adjustRightInd/>
      <w:spacing w:line="240" w:lineRule="auto"/>
      <w:jc w:val="left"/>
    </w:pPr>
    <w:rPr>
      <w:szCs w:val="24"/>
    </w:rPr>
  </w:style>
  <w:style w:type="paragraph" w:styleId="28">
    <w:name w:val="toc 2"/>
    <w:basedOn w:val="1"/>
    <w:next w:val="1"/>
    <w:unhideWhenUsed/>
    <w:qFormat/>
    <w:uiPriority w:val="39"/>
    <w:pPr>
      <w:tabs>
        <w:tab w:val="right" w:leader="dot" w:pos="9344"/>
      </w:tabs>
      <w:spacing w:line="300" w:lineRule="exact"/>
      <w:ind w:left="210"/>
    </w:pPr>
    <w:rPr>
      <w:rFonts w:ascii="宋体"/>
    </w:rPr>
  </w:style>
  <w:style w:type="paragraph" w:styleId="29">
    <w:name w:val="Normal (Web)"/>
    <w:basedOn w:val="1"/>
    <w:qFormat/>
    <w:uiPriority w:val="0"/>
    <w:pPr>
      <w:spacing w:before="100" w:beforeAutospacing="1" w:after="100" w:afterAutospacing="1"/>
      <w:jc w:val="left"/>
    </w:pPr>
    <w:rPr>
      <w:kern w:val="0"/>
      <w:sz w:val="24"/>
    </w:rPr>
  </w:style>
  <w:style w:type="paragraph" w:styleId="30">
    <w:name w:val="Title"/>
    <w:basedOn w:val="1"/>
    <w:link w:val="56"/>
    <w:qFormat/>
    <w:uiPriority w:val="0"/>
    <w:pPr>
      <w:spacing w:before="240" w:after="60"/>
      <w:jc w:val="center"/>
      <w:outlineLvl w:val="0"/>
    </w:pPr>
    <w:rPr>
      <w:rFonts w:ascii="Arial" w:hAnsi="Arial" w:cs="Arial"/>
      <w:b/>
      <w:bCs/>
      <w:sz w:val="32"/>
      <w:szCs w:val="32"/>
    </w:rPr>
  </w:style>
  <w:style w:type="paragraph" w:styleId="31">
    <w:name w:val="annotation subject"/>
    <w:basedOn w:val="14"/>
    <w:next w:val="14"/>
    <w:link w:val="263"/>
    <w:semiHidden/>
    <w:unhideWhenUsed/>
    <w:qFormat/>
    <w:uiPriority w:val="99"/>
    <w:rPr>
      <w:b/>
      <w:bCs/>
    </w:rPr>
  </w:style>
  <w:style w:type="paragraph" w:styleId="32">
    <w:name w:val="Body Text First Indent 2"/>
    <w:basedOn w:val="16"/>
    <w:next w:val="1"/>
    <w:unhideWhenUsed/>
    <w:qFormat/>
    <w:uiPriority w:val="99"/>
    <w:pPr>
      <w:ind w:firstLine="20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bCs/>
    </w:rPr>
  </w:style>
  <w:style w:type="character" w:styleId="37">
    <w:name w:val="page number"/>
    <w:qFormat/>
    <w:uiPriority w:val="0"/>
    <w:rPr>
      <w:rFonts w:ascii="宋体" w:hAnsi="Times New Roman" w:eastAsia="宋体"/>
      <w:sz w:val="18"/>
    </w:rPr>
  </w:style>
  <w:style w:type="character" w:styleId="38">
    <w:name w:val="Emphasis"/>
    <w:qFormat/>
    <w:uiPriority w:val="20"/>
    <w:rPr>
      <w:i/>
      <w:iCs/>
    </w:rPr>
  </w:style>
  <w:style w:type="character" w:styleId="39">
    <w:name w:val="Hyperlink"/>
    <w:basedOn w:val="35"/>
    <w:qFormat/>
    <w:uiPriority w:val="99"/>
    <w:rPr>
      <w:rFonts w:ascii="宋体" w:hAnsi="Times New Roman" w:eastAsia="宋体"/>
      <w:color w:val="auto"/>
      <w:spacing w:val="0"/>
      <w:w w:val="100"/>
      <w:position w:val="0"/>
      <w:sz w:val="21"/>
      <w:u w:val="none"/>
      <w:vertAlign w:val="baseline"/>
    </w:rPr>
  </w:style>
  <w:style w:type="character" w:styleId="40">
    <w:name w:val="annotation reference"/>
    <w:basedOn w:val="35"/>
    <w:qFormat/>
    <w:uiPriority w:val="0"/>
    <w:rPr>
      <w:sz w:val="21"/>
      <w:szCs w:val="21"/>
    </w:rPr>
  </w:style>
  <w:style w:type="character" w:styleId="41">
    <w:name w:val="footnote reference"/>
    <w:semiHidden/>
    <w:qFormat/>
    <w:uiPriority w:val="0"/>
    <w:rPr>
      <w:rFonts w:ascii="宋体" w:hAnsi="宋体" w:eastAsia="宋体" w:cs="Times New Roman"/>
      <w:spacing w:val="0"/>
      <w:sz w:val="18"/>
      <w:vertAlign w:val="superscript"/>
    </w:rPr>
  </w:style>
  <w:style w:type="character" w:customStyle="1" w:styleId="42">
    <w:name w:val="标题 1 字符"/>
    <w:link w:val="2"/>
    <w:qFormat/>
    <w:uiPriority w:val="0"/>
    <w:rPr>
      <w:b/>
      <w:bCs/>
      <w:kern w:val="44"/>
      <w:sz w:val="44"/>
      <w:szCs w:val="44"/>
    </w:rPr>
  </w:style>
  <w:style w:type="character" w:customStyle="1" w:styleId="43">
    <w:name w:val="标题 2 字符"/>
    <w:link w:val="3"/>
    <w:qFormat/>
    <w:uiPriority w:val="0"/>
    <w:rPr>
      <w:rFonts w:ascii="Arial" w:hAnsi="Arial" w:eastAsia="黑体"/>
      <w:b/>
      <w:bCs/>
      <w:kern w:val="2"/>
      <w:sz w:val="32"/>
      <w:szCs w:val="32"/>
    </w:rPr>
  </w:style>
  <w:style w:type="character" w:customStyle="1" w:styleId="44">
    <w:name w:val="标题 3 字符"/>
    <w:link w:val="4"/>
    <w:qFormat/>
    <w:uiPriority w:val="0"/>
    <w:rPr>
      <w:b/>
      <w:bCs/>
      <w:kern w:val="2"/>
      <w:sz w:val="32"/>
      <w:szCs w:val="32"/>
    </w:rPr>
  </w:style>
  <w:style w:type="character" w:customStyle="1" w:styleId="45">
    <w:name w:val="标题 4 字符"/>
    <w:link w:val="5"/>
    <w:qFormat/>
    <w:uiPriority w:val="0"/>
    <w:rPr>
      <w:rFonts w:ascii="Arial" w:hAnsi="Arial" w:eastAsia="黑体"/>
      <w:b/>
      <w:bCs/>
      <w:kern w:val="2"/>
      <w:sz w:val="28"/>
      <w:szCs w:val="28"/>
    </w:rPr>
  </w:style>
  <w:style w:type="character" w:customStyle="1" w:styleId="46">
    <w:name w:val="标题 5 字符"/>
    <w:link w:val="6"/>
    <w:qFormat/>
    <w:uiPriority w:val="0"/>
    <w:rPr>
      <w:b/>
      <w:bCs/>
      <w:kern w:val="2"/>
      <w:sz w:val="28"/>
      <w:szCs w:val="28"/>
    </w:rPr>
  </w:style>
  <w:style w:type="character" w:customStyle="1" w:styleId="47">
    <w:name w:val="标题 6 字符"/>
    <w:link w:val="7"/>
    <w:qFormat/>
    <w:uiPriority w:val="0"/>
    <w:rPr>
      <w:rFonts w:ascii="Arial" w:hAnsi="Arial" w:eastAsia="黑体"/>
      <w:b/>
      <w:bCs/>
      <w:kern w:val="2"/>
      <w:sz w:val="24"/>
      <w:szCs w:val="24"/>
    </w:rPr>
  </w:style>
  <w:style w:type="character" w:customStyle="1" w:styleId="48">
    <w:name w:val="标题 7 字符"/>
    <w:link w:val="8"/>
    <w:qFormat/>
    <w:uiPriority w:val="0"/>
    <w:rPr>
      <w:b/>
      <w:bCs/>
      <w:kern w:val="2"/>
      <w:sz w:val="24"/>
      <w:szCs w:val="24"/>
    </w:rPr>
  </w:style>
  <w:style w:type="character" w:customStyle="1" w:styleId="49">
    <w:name w:val="标题 8 字符"/>
    <w:link w:val="9"/>
    <w:qFormat/>
    <w:uiPriority w:val="0"/>
    <w:rPr>
      <w:rFonts w:ascii="Arial" w:hAnsi="Arial" w:eastAsia="黑体"/>
      <w:kern w:val="2"/>
      <w:sz w:val="24"/>
      <w:szCs w:val="24"/>
    </w:rPr>
  </w:style>
  <w:style w:type="character" w:customStyle="1" w:styleId="50">
    <w:name w:val="标题 9 字符"/>
    <w:link w:val="10"/>
    <w:qFormat/>
    <w:uiPriority w:val="0"/>
    <w:rPr>
      <w:rFonts w:ascii="Arial" w:hAnsi="Arial" w:eastAsia="黑体"/>
      <w:kern w:val="2"/>
      <w:sz w:val="21"/>
      <w:szCs w:val="21"/>
    </w:rPr>
  </w:style>
  <w:style w:type="character" w:customStyle="1" w:styleId="51">
    <w:name w:val="页眉 字符"/>
    <w:link w:val="21"/>
    <w:qFormat/>
    <w:uiPriority w:val="99"/>
    <w:rPr>
      <w:kern w:val="2"/>
      <w:sz w:val="18"/>
      <w:szCs w:val="18"/>
    </w:rPr>
  </w:style>
  <w:style w:type="character" w:customStyle="1" w:styleId="52">
    <w:name w:val="页脚 字符"/>
    <w:link w:val="20"/>
    <w:qFormat/>
    <w:uiPriority w:val="99"/>
    <w:rPr>
      <w:rFonts w:ascii="宋体"/>
      <w:kern w:val="2"/>
      <w:sz w:val="18"/>
      <w:szCs w:val="18"/>
    </w:rPr>
  </w:style>
  <w:style w:type="character" w:customStyle="1" w:styleId="53">
    <w:name w:val="批注框文本 字符"/>
    <w:link w:val="19"/>
    <w:semiHidden/>
    <w:qFormat/>
    <w:uiPriority w:val="99"/>
    <w:rPr>
      <w:kern w:val="2"/>
      <w:sz w:val="18"/>
      <w:szCs w:val="18"/>
    </w:rPr>
  </w:style>
  <w:style w:type="paragraph" w:styleId="54">
    <w:name w:val="Quote"/>
    <w:basedOn w:val="1"/>
    <w:next w:val="1"/>
    <w:link w:val="55"/>
    <w:qFormat/>
    <w:uiPriority w:val="29"/>
    <w:rPr>
      <w:i/>
      <w:iCs/>
      <w:color w:val="000000"/>
    </w:rPr>
  </w:style>
  <w:style w:type="character" w:customStyle="1" w:styleId="55">
    <w:name w:val="引用 字符"/>
    <w:link w:val="54"/>
    <w:qFormat/>
    <w:uiPriority w:val="29"/>
    <w:rPr>
      <w:i/>
      <w:iCs/>
      <w:color w:val="000000"/>
      <w:kern w:val="2"/>
      <w:sz w:val="21"/>
      <w:szCs w:val="21"/>
    </w:rPr>
  </w:style>
  <w:style w:type="character" w:customStyle="1" w:styleId="56">
    <w:name w:val="标题 字符"/>
    <w:link w:val="30"/>
    <w:qFormat/>
    <w:uiPriority w:val="0"/>
    <w:rPr>
      <w:rFonts w:ascii="Arial" w:hAnsi="Arial" w:cs="Arial"/>
      <w:b/>
      <w:bCs/>
      <w:kern w:val="2"/>
      <w:sz w:val="32"/>
      <w:szCs w:val="32"/>
    </w:rPr>
  </w:style>
  <w:style w:type="paragraph" w:customStyle="1" w:styleId="5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8">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9">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0">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1">
    <w:name w:val="标准书眉一"/>
    <w:qFormat/>
    <w:uiPriority w:val="0"/>
    <w:pPr>
      <w:jc w:val="both"/>
    </w:pPr>
    <w:rPr>
      <w:rFonts w:ascii="Times New Roman" w:hAnsi="Times New Roman" w:eastAsia="宋体" w:cs="Times New Roman"/>
      <w:lang w:val="en-US" w:eastAsia="zh-CN" w:bidi="ar-SA"/>
    </w:rPr>
  </w:style>
  <w:style w:type="paragraph" w:customStyle="1" w:styleId="62">
    <w:name w:val="标准文件_ICS"/>
    <w:basedOn w:val="1"/>
    <w:qFormat/>
    <w:uiPriority w:val="0"/>
    <w:pPr>
      <w:spacing w:line="0" w:lineRule="atLeast"/>
    </w:pPr>
    <w:rPr>
      <w:rFonts w:ascii="黑体" w:hAnsi="宋体" w:eastAsia="黑体"/>
    </w:rPr>
  </w:style>
  <w:style w:type="paragraph" w:customStyle="1" w:styleId="63">
    <w:name w:val="标准文件_标准正文"/>
    <w:basedOn w:val="1"/>
    <w:next w:val="64"/>
    <w:qFormat/>
    <w:uiPriority w:val="0"/>
    <w:pPr>
      <w:snapToGrid w:val="0"/>
      <w:ind w:firstLine="200" w:firstLineChars="200"/>
    </w:pPr>
    <w:rPr>
      <w:kern w:val="0"/>
    </w:rPr>
  </w:style>
  <w:style w:type="paragraph" w:customStyle="1" w:styleId="64">
    <w:name w:val="标准文件_段"/>
    <w:link w:val="19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标准文件_版本"/>
    <w:basedOn w:val="63"/>
    <w:qFormat/>
    <w:uiPriority w:val="0"/>
    <w:pPr>
      <w:adjustRightInd/>
      <w:snapToGrid/>
      <w:ind w:firstLine="0" w:firstLineChars="0"/>
    </w:pPr>
    <w:rPr>
      <w:rFonts w:ascii="宋体" w:hAnsi="宋体"/>
      <w:kern w:val="2"/>
    </w:rPr>
  </w:style>
  <w:style w:type="paragraph" w:customStyle="1" w:styleId="66">
    <w:name w:val="标准文件_标准部门"/>
    <w:basedOn w:val="1"/>
    <w:qFormat/>
    <w:uiPriority w:val="0"/>
    <w:pPr>
      <w:jc w:val="center"/>
    </w:pPr>
    <w:rPr>
      <w:rFonts w:ascii="黑体" w:eastAsia="黑体"/>
      <w:kern w:val="0"/>
      <w:sz w:val="44"/>
    </w:rPr>
  </w:style>
  <w:style w:type="paragraph" w:customStyle="1" w:styleId="67">
    <w:name w:val="标准文件_标准代替"/>
    <w:basedOn w:val="1"/>
    <w:next w:val="1"/>
    <w:qFormat/>
    <w:uiPriority w:val="0"/>
    <w:pPr>
      <w:spacing w:line="310" w:lineRule="exact"/>
      <w:jc w:val="right"/>
    </w:pPr>
    <w:rPr>
      <w:rFonts w:ascii="宋体" w:hAnsi="宋体"/>
      <w:kern w:val="0"/>
    </w:rPr>
  </w:style>
  <w:style w:type="paragraph" w:customStyle="1" w:styleId="68">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0">
    <w:name w:val="标准文件_页眉偶数页"/>
    <w:basedOn w:val="69"/>
    <w:next w:val="1"/>
    <w:qFormat/>
    <w:uiPriority w:val="0"/>
    <w:pPr>
      <w:jc w:val="left"/>
    </w:pPr>
  </w:style>
  <w:style w:type="paragraph" w:customStyle="1" w:styleId="71">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72">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3">
    <w:name w:val="标准文件_二级条标题"/>
    <w:next w:val="64"/>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74">
    <w:name w:val="标准文件_发布"/>
    <w:qFormat/>
    <w:uiPriority w:val="0"/>
    <w:rPr>
      <w:rFonts w:ascii="黑体" w:eastAsia="黑体"/>
      <w:spacing w:val="0"/>
      <w:w w:val="100"/>
      <w:position w:val="3"/>
      <w:sz w:val="28"/>
    </w:rPr>
  </w:style>
  <w:style w:type="paragraph" w:customStyle="1" w:styleId="75">
    <w:name w:val="标准文件_方框数字列项"/>
    <w:basedOn w:val="64"/>
    <w:qFormat/>
    <w:uiPriority w:val="0"/>
    <w:pPr>
      <w:numPr>
        <w:ilvl w:val="0"/>
        <w:numId w:val="3"/>
      </w:numPr>
      <w:ind w:firstLine="0" w:firstLineChars="0"/>
    </w:pPr>
  </w:style>
  <w:style w:type="paragraph" w:customStyle="1" w:styleId="76">
    <w:name w:val="标准文件_封面标准编号"/>
    <w:basedOn w:val="1"/>
    <w:next w:val="67"/>
    <w:qFormat/>
    <w:uiPriority w:val="0"/>
    <w:pPr>
      <w:spacing w:line="310" w:lineRule="exact"/>
      <w:jc w:val="right"/>
    </w:pPr>
    <w:rPr>
      <w:rFonts w:ascii="黑体" w:eastAsia="黑体"/>
      <w:kern w:val="0"/>
      <w:sz w:val="28"/>
    </w:rPr>
  </w:style>
  <w:style w:type="paragraph" w:customStyle="1" w:styleId="77">
    <w:name w:val="标准文件_封面标准分类号"/>
    <w:basedOn w:val="1"/>
    <w:qFormat/>
    <w:uiPriority w:val="0"/>
    <w:rPr>
      <w:rFonts w:ascii="黑体" w:eastAsia="黑体"/>
      <w:b/>
      <w:kern w:val="0"/>
      <w:sz w:val="28"/>
    </w:rPr>
  </w:style>
  <w:style w:type="paragraph" w:customStyle="1" w:styleId="78">
    <w:name w:val="标准文件_封面标准名称"/>
    <w:basedOn w:val="1"/>
    <w:qFormat/>
    <w:uiPriority w:val="0"/>
    <w:pPr>
      <w:spacing w:line="240" w:lineRule="auto"/>
      <w:jc w:val="center"/>
    </w:pPr>
    <w:rPr>
      <w:rFonts w:ascii="黑体" w:eastAsia="黑体"/>
      <w:kern w:val="0"/>
      <w:sz w:val="52"/>
    </w:rPr>
  </w:style>
  <w:style w:type="paragraph" w:customStyle="1" w:styleId="79">
    <w:name w:val="标准文件_封面标准英文名称"/>
    <w:basedOn w:val="1"/>
    <w:qFormat/>
    <w:uiPriority w:val="0"/>
    <w:pPr>
      <w:spacing w:line="240" w:lineRule="auto"/>
      <w:jc w:val="center"/>
    </w:pPr>
    <w:rPr>
      <w:rFonts w:ascii="黑体" w:eastAsia="黑体"/>
      <w:b/>
      <w:sz w:val="28"/>
    </w:rPr>
  </w:style>
  <w:style w:type="paragraph" w:customStyle="1" w:styleId="80">
    <w:name w:val="标准文件_封面发布日期"/>
    <w:basedOn w:val="1"/>
    <w:qFormat/>
    <w:uiPriority w:val="0"/>
    <w:pPr>
      <w:spacing w:line="310" w:lineRule="exact"/>
    </w:pPr>
    <w:rPr>
      <w:rFonts w:ascii="黑体" w:eastAsia="黑体"/>
      <w:kern w:val="0"/>
      <w:sz w:val="28"/>
    </w:rPr>
  </w:style>
  <w:style w:type="paragraph" w:customStyle="1" w:styleId="81">
    <w:name w:val="标准文件_封面密级"/>
    <w:basedOn w:val="1"/>
    <w:qFormat/>
    <w:uiPriority w:val="0"/>
    <w:rPr>
      <w:rFonts w:eastAsia="黑体"/>
      <w:sz w:val="32"/>
    </w:rPr>
  </w:style>
  <w:style w:type="paragraph" w:customStyle="1" w:styleId="82">
    <w:name w:val="标准文件_封面实施日期"/>
    <w:basedOn w:val="1"/>
    <w:qFormat/>
    <w:uiPriority w:val="0"/>
    <w:pPr>
      <w:spacing w:line="310" w:lineRule="exact"/>
      <w:jc w:val="right"/>
    </w:pPr>
    <w:rPr>
      <w:rFonts w:ascii="黑体" w:eastAsia="黑体"/>
      <w:sz w:val="28"/>
    </w:rPr>
  </w:style>
  <w:style w:type="paragraph" w:customStyle="1" w:styleId="83">
    <w:name w:val="标准文件_封面抬头"/>
    <w:basedOn w:val="64"/>
    <w:qFormat/>
    <w:uiPriority w:val="0"/>
    <w:pPr>
      <w:adjustRightInd w:val="0"/>
      <w:spacing w:line="800" w:lineRule="exact"/>
      <w:ind w:firstLine="0" w:firstLineChars="0"/>
      <w:jc w:val="distribute"/>
    </w:pPr>
    <w:rPr>
      <w:rFonts w:ascii="黑体" w:eastAsia="黑体"/>
      <w:b/>
      <w:sz w:val="64"/>
    </w:rPr>
  </w:style>
  <w:style w:type="paragraph" w:customStyle="1" w:styleId="84">
    <w:name w:val="标准文件_附录标识"/>
    <w:next w:val="64"/>
    <w:qFormat/>
    <w:uiPriority w:val="0"/>
    <w:pPr>
      <w:numPr>
        <w:ilvl w:val="0"/>
        <w:numId w:val="4"/>
      </w:numPr>
      <w:shd w:val="clear" w:color="FFFFFF" w:fill="FFFFFF"/>
      <w:tabs>
        <w:tab w:val="left" w:pos="6406"/>
        <w:tab w:val="clear" w:pos="0"/>
      </w:tabs>
      <w:spacing w:before="560" w:after="50" w:afterLines="50"/>
      <w:jc w:val="center"/>
      <w:outlineLvl w:val="0"/>
    </w:pPr>
    <w:rPr>
      <w:rFonts w:ascii="黑体" w:hAnsi="Times New Roman" w:eastAsia="黑体" w:cs="Times New Roman"/>
      <w:sz w:val="21"/>
      <w:lang w:val="en-US" w:eastAsia="zh-CN" w:bidi="ar-SA"/>
    </w:rPr>
  </w:style>
  <w:style w:type="paragraph" w:customStyle="1" w:styleId="85">
    <w:name w:val="标准文件_附录表标题"/>
    <w:next w:val="64"/>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6">
    <w:name w:val="标准文件_附录一级条标题"/>
    <w:next w:val="64"/>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7">
    <w:name w:val="标准文件_附录二级条标题"/>
    <w:basedOn w:val="86"/>
    <w:next w:val="64"/>
    <w:qFormat/>
    <w:uiPriority w:val="0"/>
    <w:pPr>
      <w:widowControl/>
      <w:numPr>
        <w:ilvl w:val="2"/>
      </w:numPr>
      <w:wordWrap w:val="0"/>
      <w:overflowPunct w:val="0"/>
      <w:autoSpaceDE w:val="0"/>
      <w:autoSpaceDN w:val="0"/>
      <w:textAlignment w:val="baseline"/>
      <w:outlineLvl w:val="3"/>
    </w:pPr>
  </w:style>
  <w:style w:type="paragraph" w:customStyle="1" w:styleId="88">
    <w:name w:val="标准文件_附录公式"/>
    <w:basedOn w:val="63"/>
    <w:next w:val="63"/>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9">
    <w:name w:val="标准文件_附录三级条标题"/>
    <w:next w:val="64"/>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90">
    <w:name w:val="标准文件_附录四级条标题"/>
    <w:next w:val="64"/>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1">
    <w:name w:val="标准文件_附录图标题"/>
    <w:next w:val="64"/>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92">
    <w:name w:val="标准文件_附录五级条标题"/>
    <w:next w:val="64"/>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3">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4">
    <w:name w:val="正文文本 字符"/>
    <w:link w:val="15"/>
    <w:qFormat/>
    <w:uiPriority w:val="0"/>
    <w:rPr>
      <w:kern w:val="2"/>
      <w:sz w:val="21"/>
      <w:szCs w:val="21"/>
    </w:rPr>
  </w:style>
  <w:style w:type="paragraph" w:customStyle="1" w:styleId="95">
    <w:name w:val="标准文件_附录章标题"/>
    <w:next w:val="64"/>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6">
    <w:name w:val="标准文件_公式后的破折号"/>
    <w:basedOn w:val="64"/>
    <w:next w:val="64"/>
    <w:qFormat/>
    <w:uiPriority w:val="0"/>
    <w:pPr>
      <w:ind w:left="488" w:leftChars="200" w:hanging="289" w:hangingChars="290"/>
    </w:pPr>
  </w:style>
  <w:style w:type="paragraph" w:customStyle="1" w:styleId="97">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8">
    <w:name w:val="标准文件_目次、标准名称标题"/>
    <w:basedOn w:val="97"/>
    <w:next w:val="64"/>
    <w:qFormat/>
    <w:uiPriority w:val="0"/>
    <w:pPr>
      <w:spacing w:line="460" w:lineRule="exact"/>
      <w:ind w:left="0" w:firstLine="0"/>
    </w:pPr>
  </w:style>
  <w:style w:type="paragraph" w:customStyle="1" w:styleId="99">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00">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1">
    <w:name w:val="标准文件_破折号列项（二级）"/>
    <w:basedOn w:val="100"/>
    <w:qFormat/>
    <w:uiPriority w:val="0"/>
    <w:pPr>
      <w:numPr>
        <w:numId w:val="10"/>
      </w:numPr>
    </w:pPr>
  </w:style>
  <w:style w:type="paragraph" w:customStyle="1" w:styleId="102">
    <w:name w:val="标准文件_三级条标题"/>
    <w:basedOn w:val="73"/>
    <w:next w:val="64"/>
    <w:qFormat/>
    <w:uiPriority w:val="0"/>
    <w:pPr>
      <w:widowControl/>
      <w:numPr>
        <w:ilvl w:val="4"/>
      </w:numPr>
      <w:outlineLvl w:val="3"/>
    </w:pPr>
  </w:style>
  <w:style w:type="character" w:customStyle="1" w:styleId="103">
    <w:name w:val="不明显参考1"/>
    <w:qFormat/>
    <w:uiPriority w:val="31"/>
    <w:rPr>
      <w:smallCaps/>
      <w:color w:val="C0504D"/>
      <w:u w:val="single"/>
    </w:rPr>
  </w:style>
  <w:style w:type="paragraph" w:customStyle="1" w:styleId="104">
    <w:name w:val="标准文件_示例后续"/>
    <w:basedOn w:val="1"/>
    <w:qFormat/>
    <w:uiPriority w:val="0"/>
    <w:pPr>
      <w:adjustRightInd/>
      <w:spacing w:line="240" w:lineRule="auto"/>
      <w:ind w:firstLine="200" w:firstLineChars="200"/>
    </w:pPr>
    <w:rPr>
      <w:sz w:val="18"/>
      <w:szCs w:val="24"/>
    </w:rPr>
  </w:style>
  <w:style w:type="paragraph" w:customStyle="1" w:styleId="105">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6">
    <w:name w:val="标准文件_四级条标题"/>
    <w:next w:val="64"/>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7">
    <w:name w:val="脚注文本 字符"/>
    <w:link w:val="25"/>
    <w:semiHidden/>
    <w:qFormat/>
    <w:uiPriority w:val="0"/>
    <w:rPr>
      <w:rFonts w:ascii="宋体"/>
      <w:kern w:val="2"/>
      <w:sz w:val="18"/>
      <w:szCs w:val="18"/>
    </w:rPr>
  </w:style>
  <w:style w:type="paragraph" w:customStyle="1" w:styleId="108">
    <w:name w:val="标准文件_条文脚注"/>
    <w:basedOn w:val="25"/>
    <w:qFormat/>
    <w:uiPriority w:val="0"/>
    <w:pPr>
      <w:adjustRightInd w:val="0"/>
      <w:spacing w:line="240" w:lineRule="auto"/>
      <w:ind w:left="0" w:leftChars="0" w:firstLine="200" w:firstLineChars="200"/>
      <w:jc w:val="both"/>
    </w:pPr>
    <w:rPr>
      <w:rFonts w:hAnsi="宋体"/>
    </w:rPr>
  </w:style>
  <w:style w:type="paragraph" w:customStyle="1" w:styleId="109">
    <w:name w:val="标准文件_图表脚注"/>
    <w:basedOn w:val="1"/>
    <w:next w:val="64"/>
    <w:qFormat/>
    <w:uiPriority w:val="0"/>
    <w:pPr>
      <w:numPr>
        <w:ilvl w:val="0"/>
        <w:numId w:val="12"/>
      </w:numPr>
      <w:spacing w:line="240" w:lineRule="auto"/>
      <w:jc w:val="left"/>
    </w:pPr>
    <w:rPr>
      <w:rFonts w:ascii="宋体" w:hAnsi="宋体"/>
      <w:sz w:val="18"/>
    </w:rPr>
  </w:style>
  <w:style w:type="character" w:customStyle="1" w:styleId="110">
    <w:name w:val="标准文件_图表脚注内容"/>
    <w:qFormat/>
    <w:uiPriority w:val="0"/>
    <w:rPr>
      <w:rFonts w:ascii="宋体" w:hAnsi="宋体" w:eastAsia="宋体" w:cs="Times New Roman"/>
      <w:spacing w:val="0"/>
      <w:sz w:val="18"/>
      <w:vertAlign w:val="superscript"/>
    </w:rPr>
  </w:style>
  <w:style w:type="paragraph" w:customStyle="1" w:styleId="111">
    <w:name w:val="标准文件_五级条标题"/>
    <w:next w:val="64"/>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2">
    <w:name w:val="标准文件_章标题"/>
    <w:next w:val="64"/>
    <w:qFormat/>
    <w:uiPriority w:val="0"/>
    <w:pPr>
      <w:numPr>
        <w:ilvl w:val="1"/>
        <w:numId w:val="2"/>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13">
    <w:name w:val="标准文件_一级条标题"/>
    <w:basedOn w:val="112"/>
    <w:next w:val="64"/>
    <w:qFormat/>
    <w:uiPriority w:val="0"/>
    <w:pPr>
      <w:numPr>
        <w:ilvl w:val="2"/>
      </w:numPr>
      <w:spacing w:before="50" w:beforeLines="50" w:after="50" w:afterLines="50"/>
      <w:outlineLvl w:val="1"/>
    </w:pPr>
  </w:style>
  <w:style w:type="paragraph" w:customStyle="1" w:styleId="114">
    <w:name w:val="标准文件_一致程度"/>
    <w:basedOn w:val="1"/>
    <w:qFormat/>
    <w:uiPriority w:val="0"/>
    <w:pPr>
      <w:spacing w:line="440" w:lineRule="exact"/>
      <w:jc w:val="center"/>
    </w:pPr>
    <w:rPr>
      <w:sz w:val="28"/>
    </w:rPr>
  </w:style>
  <w:style w:type="paragraph" w:customStyle="1" w:styleId="115">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6">
    <w:name w:val="标准文件_英文图表脚注"/>
    <w:basedOn w:val="63"/>
    <w:qFormat/>
    <w:uiPriority w:val="0"/>
    <w:pPr>
      <w:widowControl/>
      <w:adjustRightInd/>
      <w:snapToGrid/>
      <w:spacing w:line="240" w:lineRule="auto"/>
      <w:ind w:left="79" w:hanging="79" w:hangingChars="80"/>
    </w:pPr>
    <w:rPr>
      <w:rFonts w:ascii="宋体" w:hAnsi="宋体"/>
    </w:rPr>
  </w:style>
  <w:style w:type="paragraph" w:customStyle="1" w:styleId="117">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8">
    <w:name w:val="标准文件_英文注："/>
    <w:basedOn w:val="1"/>
    <w:next w:val="64"/>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9">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0">
    <w:name w:val="标准文件_正文表标题"/>
    <w:next w:val="64"/>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1">
    <w:name w:val="标准文件_正文公式"/>
    <w:basedOn w:val="1"/>
    <w:next w:val="63"/>
    <w:qFormat/>
    <w:uiPriority w:val="0"/>
    <w:pPr>
      <w:tabs>
        <w:tab w:val="center" w:pos="4678"/>
        <w:tab w:val="right" w:leader="middleDot" w:pos="9356"/>
      </w:tabs>
      <w:spacing w:line="240" w:lineRule="auto"/>
    </w:pPr>
    <w:rPr>
      <w:rFonts w:ascii="宋体" w:hAnsi="宋体"/>
    </w:rPr>
  </w:style>
  <w:style w:type="paragraph" w:customStyle="1" w:styleId="122">
    <w:name w:val="标准文件_正文图标题"/>
    <w:next w:val="64"/>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3">
    <w:name w:val="标准文件_正文英文表标题"/>
    <w:next w:val="64"/>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4">
    <w:name w:val="标准文件_正文英文图标题"/>
    <w:next w:val="64"/>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5">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6">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7">
    <w:name w:val="发布部门"/>
    <w:next w:val="64"/>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8">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9">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3">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4">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5">
    <w:name w:val="封面正文"/>
    <w:qFormat/>
    <w:uiPriority w:val="0"/>
    <w:pPr>
      <w:jc w:val="both"/>
    </w:pPr>
    <w:rPr>
      <w:rFonts w:ascii="Times New Roman" w:hAnsi="Times New Roman" w:eastAsia="宋体" w:cs="Times New Roman"/>
      <w:lang w:val="en-US" w:eastAsia="zh-CN" w:bidi="ar-SA"/>
    </w:rPr>
  </w:style>
  <w:style w:type="paragraph" w:customStyle="1" w:styleId="136">
    <w:name w:val="附录二级无标题条"/>
    <w:basedOn w:val="1"/>
    <w:next w:val="64"/>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7">
    <w:name w:val="附录三级无标题条"/>
    <w:basedOn w:val="136"/>
    <w:next w:val="64"/>
    <w:qFormat/>
    <w:uiPriority w:val="0"/>
    <w:pPr>
      <w:outlineLvl w:val="4"/>
    </w:pPr>
  </w:style>
  <w:style w:type="paragraph" w:customStyle="1" w:styleId="138">
    <w:name w:val="附录四级无标题条"/>
    <w:basedOn w:val="137"/>
    <w:next w:val="64"/>
    <w:qFormat/>
    <w:uiPriority w:val="0"/>
    <w:pPr>
      <w:outlineLvl w:val="5"/>
    </w:pPr>
  </w:style>
  <w:style w:type="paragraph" w:customStyle="1" w:styleId="139">
    <w:name w:val="附录图"/>
    <w:next w:val="64"/>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0">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1">
    <w:name w:val="附录五级无标题条"/>
    <w:basedOn w:val="138"/>
    <w:next w:val="64"/>
    <w:qFormat/>
    <w:uiPriority w:val="0"/>
    <w:pPr>
      <w:outlineLvl w:val="6"/>
    </w:pPr>
  </w:style>
  <w:style w:type="paragraph" w:customStyle="1" w:styleId="142">
    <w:name w:val="附录性质"/>
    <w:basedOn w:val="1"/>
    <w:qFormat/>
    <w:uiPriority w:val="0"/>
    <w:pPr>
      <w:widowControl/>
      <w:adjustRightInd/>
      <w:jc w:val="center"/>
    </w:pPr>
    <w:rPr>
      <w:rFonts w:ascii="黑体" w:eastAsia="黑体"/>
    </w:rPr>
  </w:style>
  <w:style w:type="paragraph" w:customStyle="1" w:styleId="143">
    <w:name w:val="附录一级无标题条"/>
    <w:basedOn w:val="95"/>
    <w:next w:val="64"/>
    <w:qFormat/>
    <w:uiPriority w:val="0"/>
    <w:pPr>
      <w:autoSpaceDN w:val="0"/>
      <w:outlineLvl w:val="2"/>
    </w:pPr>
    <w:rPr>
      <w:rFonts w:ascii="宋体" w:hAnsi="宋体" w:eastAsia="宋体"/>
    </w:rPr>
  </w:style>
  <w:style w:type="character" w:customStyle="1" w:styleId="144">
    <w:name w:val="个人答复风格"/>
    <w:qFormat/>
    <w:uiPriority w:val="0"/>
    <w:rPr>
      <w:rFonts w:ascii="Arial" w:hAnsi="Arial" w:eastAsia="宋体" w:cs="Arial"/>
      <w:color w:val="auto"/>
      <w:spacing w:val="0"/>
      <w:sz w:val="20"/>
    </w:rPr>
  </w:style>
  <w:style w:type="character" w:customStyle="1" w:styleId="145">
    <w:name w:val="个人撰写风格"/>
    <w:qFormat/>
    <w:uiPriority w:val="0"/>
    <w:rPr>
      <w:rFonts w:ascii="Arial" w:hAnsi="Arial" w:eastAsia="宋体" w:cs="Arial"/>
      <w:color w:val="auto"/>
      <w:spacing w:val="0"/>
      <w:sz w:val="20"/>
    </w:rPr>
  </w:style>
  <w:style w:type="paragraph" w:customStyle="1" w:styleId="146">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7">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8">
    <w:name w:val="列项·"/>
    <w:basedOn w:val="64"/>
    <w:qFormat/>
    <w:uiPriority w:val="0"/>
    <w:pPr>
      <w:tabs>
        <w:tab w:val="left" w:pos="840"/>
      </w:tabs>
    </w:pPr>
  </w:style>
  <w:style w:type="paragraph" w:customStyle="1" w:styleId="14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0">
    <w:name w:val="目录 21"/>
    <w:basedOn w:val="1"/>
    <w:next w:val="1"/>
    <w:semiHidden/>
    <w:qFormat/>
    <w:uiPriority w:val="0"/>
    <w:pPr>
      <w:adjustRightInd/>
      <w:spacing w:line="240" w:lineRule="auto"/>
      <w:jc w:val="left"/>
    </w:pPr>
    <w:rPr>
      <w:bCs/>
      <w:iCs/>
    </w:rPr>
  </w:style>
  <w:style w:type="paragraph" w:customStyle="1" w:styleId="151">
    <w:name w:val="目录 31"/>
    <w:basedOn w:val="1"/>
    <w:next w:val="1"/>
    <w:semiHidden/>
    <w:qFormat/>
    <w:uiPriority w:val="0"/>
    <w:pPr>
      <w:spacing w:line="240" w:lineRule="auto"/>
    </w:pPr>
    <w:rPr>
      <w:rFonts w:ascii="宋体" w:hAnsi="宋体"/>
      <w:iCs/>
    </w:rPr>
  </w:style>
  <w:style w:type="paragraph" w:customStyle="1" w:styleId="152">
    <w:name w:val="目录 41"/>
    <w:basedOn w:val="1"/>
    <w:next w:val="1"/>
    <w:semiHidden/>
    <w:qFormat/>
    <w:uiPriority w:val="0"/>
    <w:pPr>
      <w:adjustRightInd/>
      <w:spacing w:line="240" w:lineRule="auto"/>
      <w:jc w:val="left"/>
    </w:pPr>
  </w:style>
  <w:style w:type="paragraph" w:customStyle="1" w:styleId="153">
    <w:name w:val="目录 51"/>
    <w:basedOn w:val="1"/>
    <w:next w:val="1"/>
    <w:semiHidden/>
    <w:qFormat/>
    <w:uiPriority w:val="0"/>
    <w:pPr>
      <w:spacing w:line="240" w:lineRule="auto"/>
    </w:pPr>
    <w:rPr>
      <w:rFonts w:ascii="宋体" w:hAnsi="宋体"/>
    </w:rPr>
  </w:style>
  <w:style w:type="paragraph" w:customStyle="1" w:styleId="154">
    <w:name w:val="目录 61"/>
    <w:basedOn w:val="1"/>
    <w:next w:val="1"/>
    <w:semiHidden/>
    <w:qFormat/>
    <w:uiPriority w:val="0"/>
    <w:pPr>
      <w:adjustRightInd/>
      <w:spacing w:line="240" w:lineRule="auto"/>
      <w:jc w:val="left"/>
    </w:pPr>
  </w:style>
  <w:style w:type="paragraph" w:customStyle="1" w:styleId="155">
    <w:name w:val="目录 71"/>
    <w:basedOn w:val="154"/>
    <w:semiHidden/>
    <w:qFormat/>
    <w:uiPriority w:val="0"/>
    <w:pPr>
      <w:ind w:left="1260"/>
    </w:pPr>
  </w:style>
  <w:style w:type="paragraph" w:customStyle="1" w:styleId="156">
    <w:name w:val="目录 81"/>
    <w:basedOn w:val="155"/>
    <w:semiHidden/>
    <w:qFormat/>
    <w:uiPriority w:val="0"/>
    <w:pPr>
      <w:ind w:left="1470"/>
    </w:pPr>
  </w:style>
  <w:style w:type="paragraph" w:customStyle="1" w:styleId="157">
    <w:name w:val="目录 91"/>
    <w:basedOn w:val="156"/>
    <w:semiHidden/>
    <w:qFormat/>
    <w:uiPriority w:val="0"/>
    <w:pPr>
      <w:ind w:left="1680"/>
    </w:pPr>
  </w:style>
  <w:style w:type="paragraph" w:customStyle="1" w:styleId="15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9">
    <w:name w:val="其他发布部门"/>
    <w:basedOn w:val="127"/>
    <w:qFormat/>
    <w:uiPriority w:val="0"/>
    <w:pPr>
      <w:spacing w:line="0" w:lineRule="atLeast"/>
    </w:pPr>
    <w:rPr>
      <w:rFonts w:ascii="黑体" w:eastAsia="黑体"/>
      <w:b w:val="0"/>
    </w:rPr>
  </w:style>
  <w:style w:type="paragraph" w:customStyle="1" w:styleId="160">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1">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2">
    <w:name w:val="实施日期"/>
    <w:basedOn w:val="128"/>
    <w:qFormat/>
    <w:uiPriority w:val="0"/>
    <w:pPr>
      <w:framePr w:hSpace="0" w:xAlign="right"/>
      <w:jc w:val="right"/>
    </w:pPr>
  </w:style>
  <w:style w:type="paragraph" w:customStyle="1" w:styleId="163">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4">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5">
    <w:name w:val="无标题条"/>
    <w:next w:val="64"/>
    <w:qFormat/>
    <w:uiPriority w:val="0"/>
    <w:pPr>
      <w:jc w:val="both"/>
    </w:pPr>
    <w:rPr>
      <w:rFonts w:ascii="宋体" w:hAnsi="宋体" w:eastAsia="宋体" w:cs="Times New Roman"/>
      <w:sz w:val="21"/>
      <w:lang w:val="en-US" w:eastAsia="zh-CN" w:bidi="ar-SA"/>
    </w:rPr>
  </w:style>
  <w:style w:type="paragraph" w:customStyle="1" w:styleId="166">
    <w:name w:val="五级无标题条"/>
    <w:basedOn w:val="1"/>
    <w:qFormat/>
    <w:uiPriority w:val="0"/>
    <w:pPr>
      <w:numPr>
        <w:ilvl w:val="6"/>
        <w:numId w:val="20"/>
      </w:numPr>
      <w:adjustRightInd/>
    </w:pPr>
    <w:rPr>
      <w:szCs w:val="24"/>
    </w:rPr>
  </w:style>
  <w:style w:type="paragraph" w:customStyle="1" w:styleId="167">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8">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9">
    <w:name w:val="注×:后续"/>
    <w:basedOn w:val="168"/>
    <w:qFormat/>
    <w:uiPriority w:val="0"/>
    <w:pPr>
      <w:ind w:left="1406" w:leftChars="0" w:hanging="499" w:firstLineChars="0"/>
    </w:pPr>
  </w:style>
  <w:style w:type="paragraph" w:customStyle="1" w:styleId="170">
    <w:name w:val="标准文件_一级无标题"/>
    <w:basedOn w:val="113"/>
    <w:qFormat/>
    <w:uiPriority w:val="0"/>
    <w:pPr>
      <w:spacing w:before="0" w:beforeLines="0" w:after="0" w:afterLines="0"/>
      <w:outlineLvl w:val="9"/>
    </w:pPr>
    <w:rPr>
      <w:rFonts w:ascii="宋体" w:eastAsia="宋体"/>
    </w:rPr>
  </w:style>
  <w:style w:type="paragraph" w:customStyle="1" w:styleId="171">
    <w:name w:val="标准文件_五级无标题"/>
    <w:basedOn w:val="111"/>
    <w:qFormat/>
    <w:uiPriority w:val="0"/>
    <w:pPr>
      <w:spacing w:before="0" w:beforeLines="0" w:after="0" w:afterLines="0"/>
      <w:outlineLvl w:val="9"/>
    </w:pPr>
    <w:rPr>
      <w:rFonts w:ascii="宋体" w:eastAsia="宋体"/>
    </w:rPr>
  </w:style>
  <w:style w:type="paragraph" w:customStyle="1" w:styleId="172">
    <w:name w:val="标准文件_三级无标题"/>
    <w:basedOn w:val="102"/>
    <w:qFormat/>
    <w:uiPriority w:val="0"/>
    <w:pPr>
      <w:spacing w:before="0" w:beforeLines="0" w:after="0" w:afterLines="0"/>
      <w:outlineLvl w:val="9"/>
    </w:pPr>
    <w:rPr>
      <w:rFonts w:ascii="宋体" w:eastAsia="宋体"/>
    </w:rPr>
  </w:style>
  <w:style w:type="paragraph" w:customStyle="1" w:styleId="173">
    <w:name w:val="标准文件_二级无标题"/>
    <w:basedOn w:val="73"/>
    <w:qFormat/>
    <w:uiPriority w:val="0"/>
    <w:pPr>
      <w:spacing w:before="0" w:beforeLines="0" w:after="0" w:afterLines="0"/>
      <w:outlineLvl w:val="9"/>
    </w:pPr>
    <w:rPr>
      <w:rFonts w:ascii="宋体" w:eastAsia="宋体"/>
    </w:rPr>
  </w:style>
  <w:style w:type="paragraph" w:customStyle="1" w:styleId="174">
    <w:name w:val="标准_四级无标题"/>
    <w:basedOn w:val="106"/>
    <w:next w:val="64"/>
    <w:qFormat/>
    <w:uiPriority w:val="0"/>
    <w:rPr>
      <w:rFonts w:eastAsia="宋体"/>
    </w:rPr>
  </w:style>
  <w:style w:type="paragraph" w:customStyle="1" w:styleId="175">
    <w:name w:val="标准文件_四级无标题"/>
    <w:basedOn w:val="106"/>
    <w:qFormat/>
    <w:uiPriority w:val="0"/>
    <w:pPr>
      <w:spacing w:before="0" w:beforeLines="0" w:after="0" w:afterLines="0"/>
      <w:outlineLvl w:val="9"/>
    </w:pPr>
    <w:rPr>
      <w:rFonts w:ascii="宋体" w:hAnsi="黑体" w:eastAsia="宋体"/>
      <w:szCs w:val="52"/>
    </w:rPr>
  </w:style>
  <w:style w:type="paragraph" w:customStyle="1" w:styleId="176">
    <w:name w:val="标准文件_大写罗马数字编号列项"/>
    <w:basedOn w:val="64"/>
    <w:qFormat/>
    <w:uiPriority w:val="0"/>
    <w:pPr>
      <w:numPr>
        <w:ilvl w:val="0"/>
        <w:numId w:val="23"/>
      </w:numPr>
      <w:ind w:firstLine="0" w:firstLineChars="0"/>
    </w:pPr>
    <w:rPr>
      <w:rFonts w:ascii="Times New Roman" w:cs="Arial"/>
      <w:szCs w:val="28"/>
    </w:rPr>
  </w:style>
  <w:style w:type="paragraph" w:customStyle="1" w:styleId="177">
    <w:name w:val="标准文件_小写罗马数字编号列项"/>
    <w:basedOn w:val="64"/>
    <w:qFormat/>
    <w:uiPriority w:val="0"/>
    <w:pPr>
      <w:numPr>
        <w:ilvl w:val="0"/>
        <w:numId w:val="24"/>
      </w:numPr>
      <w:ind w:firstLine="0" w:firstLineChars="0"/>
    </w:pPr>
    <w:rPr>
      <w:rFonts w:cs="Arial"/>
      <w:szCs w:val="28"/>
    </w:rPr>
  </w:style>
  <w:style w:type="paragraph" w:customStyle="1" w:styleId="178">
    <w:name w:val="标准文件_附录标题"/>
    <w:basedOn w:val="84"/>
    <w:qFormat/>
    <w:uiPriority w:val="0"/>
    <w:pPr>
      <w:numPr>
        <w:numId w:val="0"/>
      </w:numPr>
      <w:spacing w:after="280"/>
      <w:outlineLvl w:val="9"/>
    </w:pPr>
  </w:style>
  <w:style w:type="paragraph" w:customStyle="1" w:styleId="179">
    <w:name w:val="标准文件_二级项"/>
    <w:qFormat/>
    <w:uiPriority w:val="0"/>
    <w:rPr>
      <w:rFonts w:ascii="宋体" w:hAnsi="Times New Roman" w:eastAsia="宋体" w:cs="Times New Roman"/>
      <w:sz w:val="21"/>
      <w:lang w:val="en-US" w:eastAsia="zh-CN" w:bidi="ar-SA"/>
    </w:rPr>
  </w:style>
  <w:style w:type="paragraph" w:customStyle="1" w:styleId="180">
    <w:name w:val="标准文件_三级项"/>
    <w:basedOn w:val="1"/>
    <w:qFormat/>
    <w:uiPriority w:val="0"/>
    <w:pPr>
      <w:numPr>
        <w:ilvl w:val="2"/>
        <w:numId w:val="21"/>
      </w:numPr>
      <w:spacing w:line="536870612" w:lineRule="auto"/>
    </w:pPr>
    <w:rPr>
      <w:rFonts w:ascii="Times New Roman" w:hAnsi="Times New Roman"/>
    </w:rPr>
  </w:style>
  <w:style w:type="paragraph" w:customStyle="1" w:styleId="181">
    <w:name w:val="图表脚注说明"/>
    <w:basedOn w:val="1"/>
    <w:next w:val="64"/>
    <w:qFormat/>
    <w:uiPriority w:val="0"/>
    <w:pPr>
      <w:numPr>
        <w:ilvl w:val="0"/>
        <w:numId w:val="25"/>
      </w:numPr>
      <w:adjustRightInd/>
      <w:spacing w:line="240" w:lineRule="auto"/>
    </w:pPr>
    <w:rPr>
      <w:rFonts w:ascii="宋体" w:hAnsi="Times New Roman"/>
      <w:sz w:val="18"/>
      <w:szCs w:val="18"/>
    </w:rPr>
  </w:style>
  <w:style w:type="paragraph" w:customStyle="1" w:styleId="182">
    <w:name w:val="标准文件_字母编号列项（一级）"/>
    <w:link w:val="270"/>
    <w:qFormat/>
    <w:uiPriority w:val="0"/>
    <w:pPr>
      <w:tabs>
        <w:tab w:val="left" w:pos="851"/>
      </w:tabs>
      <w:ind w:left="1046" w:hanging="426"/>
      <w:jc w:val="both"/>
    </w:pPr>
    <w:rPr>
      <w:rFonts w:ascii="宋体" w:hAnsi="Times New Roman" w:eastAsia="宋体" w:cs="Times New Roman"/>
      <w:sz w:val="21"/>
      <w:lang w:val="en-US" w:eastAsia="zh-CN" w:bidi="ar-SA"/>
    </w:rPr>
  </w:style>
  <w:style w:type="paragraph" w:customStyle="1" w:styleId="183">
    <w:name w:val="标准文件_索引字母"/>
    <w:next w:val="64"/>
    <w:qFormat/>
    <w:uiPriority w:val="0"/>
    <w:pPr>
      <w:jc w:val="center"/>
    </w:pPr>
    <w:rPr>
      <w:rFonts w:ascii="宋体" w:hAnsi="宋体" w:eastAsia="Times New Roman" w:cs="Times New Roman"/>
      <w:b/>
      <w:kern w:val="2"/>
      <w:sz w:val="21"/>
      <w:lang w:val="en-US" w:eastAsia="zh-CN" w:bidi="ar-SA"/>
    </w:rPr>
  </w:style>
  <w:style w:type="paragraph" w:customStyle="1" w:styleId="184">
    <w:name w:val="标准文件_附录前"/>
    <w:next w:val="64"/>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5">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6">
    <w:name w:val="标准文件_表格"/>
    <w:basedOn w:val="64"/>
    <w:qFormat/>
    <w:uiPriority w:val="0"/>
    <w:pPr>
      <w:ind w:firstLine="0" w:firstLineChars="0"/>
      <w:jc w:val="center"/>
    </w:pPr>
    <w:rPr>
      <w:sz w:val="18"/>
    </w:rPr>
  </w:style>
  <w:style w:type="paragraph" w:customStyle="1" w:styleId="187">
    <w:name w:val="标准文件_注："/>
    <w:next w:val="64"/>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9">
    <w:name w:val="标准文件_示例："/>
    <w:next w:val="190"/>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0">
    <w:name w:val="标准文件_示例内容"/>
    <w:basedOn w:val="64"/>
    <w:qFormat/>
    <w:uiPriority w:val="0"/>
    <w:pPr>
      <w:ind w:firstLine="420"/>
    </w:pPr>
    <w:rPr>
      <w:sz w:val="18"/>
    </w:rPr>
  </w:style>
  <w:style w:type="paragraph" w:customStyle="1" w:styleId="191">
    <w:name w:val="标准文件_示例×："/>
    <w:basedOn w:val="1"/>
    <w:next w:val="190"/>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2">
    <w:name w:val="标准文件_段 Char"/>
    <w:link w:val="64"/>
    <w:qFormat/>
    <w:uiPriority w:val="0"/>
    <w:rPr>
      <w:rFonts w:ascii="宋体" w:hAnsi="Times New Roman"/>
      <w:sz w:val="21"/>
    </w:rPr>
  </w:style>
  <w:style w:type="paragraph" w:customStyle="1" w:styleId="193">
    <w:name w:val="标准文件_表格续"/>
    <w:basedOn w:val="64"/>
    <w:next w:val="64"/>
    <w:qFormat/>
    <w:uiPriority w:val="0"/>
    <w:pPr>
      <w:jc w:val="center"/>
    </w:pPr>
    <w:rPr>
      <w:rFonts w:ascii="黑体" w:hAnsi="黑体" w:eastAsia="黑体"/>
    </w:rPr>
  </w:style>
  <w:style w:type="character" w:styleId="194">
    <w:name w:val="Placeholder Text"/>
    <w:basedOn w:val="35"/>
    <w:semiHidden/>
    <w:qFormat/>
    <w:uiPriority w:val="99"/>
    <w:rPr>
      <w:color w:val="808080"/>
    </w:rPr>
  </w:style>
  <w:style w:type="paragraph" w:customStyle="1" w:styleId="195">
    <w:name w:val="标准文件_二级项2"/>
    <w:basedOn w:val="64"/>
    <w:qFormat/>
    <w:uiPriority w:val="0"/>
    <w:pPr>
      <w:numPr>
        <w:ilvl w:val="1"/>
        <w:numId w:val="21"/>
      </w:numPr>
      <w:ind w:firstLine="0" w:firstLineChars="0"/>
    </w:pPr>
  </w:style>
  <w:style w:type="paragraph" w:customStyle="1" w:styleId="196">
    <w:name w:val="标准文件_三级项2"/>
    <w:basedOn w:val="64"/>
    <w:qFormat/>
    <w:uiPriority w:val="0"/>
    <w:pPr>
      <w:numPr>
        <w:ilvl w:val="0"/>
        <w:numId w:val="30"/>
      </w:numPr>
      <w:spacing w:line="300" w:lineRule="exact"/>
      <w:ind w:firstLineChars="0"/>
    </w:pPr>
    <w:rPr>
      <w:rFonts w:ascii="Times New Roman"/>
    </w:rPr>
  </w:style>
  <w:style w:type="paragraph" w:customStyle="1" w:styleId="197">
    <w:name w:val="标准文件_一级项2"/>
    <w:basedOn w:val="64"/>
    <w:qFormat/>
    <w:uiPriority w:val="0"/>
    <w:pPr>
      <w:numPr>
        <w:ilvl w:val="0"/>
        <w:numId w:val="31"/>
      </w:numPr>
      <w:spacing w:line="300" w:lineRule="exact"/>
      <w:ind w:firstLineChars="0"/>
    </w:pPr>
    <w:rPr>
      <w:rFonts w:ascii="Times New Roman"/>
    </w:rPr>
  </w:style>
  <w:style w:type="paragraph" w:customStyle="1" w:styleId="198">
    <w:name w:val="标准文件_提示"/>
    <w:basedOn w:val="64"/>
    <w:next w:val="64"/>
    <w:qFormat/>
    <w:uiPriority w:val="0"/>
    <w:pPr>
      <w:ind w:firstLine="420"/>
    </w:pPr>
    <w:rPr>
      <w:rFonts w:ascii="黑体" w:eastAsia="黑体"/>
    </w:rPr>
  </w:style>
  <w:style w:type="character" w:customStyle="1" w:styleId="199">
    <w:name w:val="标准文件_来源"/>
    <w:basedOn w:val="35"/>
    <w:qFormat/>
    <w:uiPriority w:val="1"/>
    <w:rPr>
      <w:rFonts w:eastAsia="宋体"/>
      <w:sz w:val="21"/>
    </w:rPr>
  </w:style>
  <w:style w:type="paragraph" w:customStyle="1" w:styleId="200">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1">
    <w:name w:val="其他发布日期"/>
    <w:basedOn w:val="128"/>
    <w:qFormat/>
    <w:uiPriority w:val="0"/>
    <w:pPr>
      <w:framePr w:w="3997" w:h="471" w:hRule="exact" w:hSpace="0" w:vSpace="181" w:vAnchor="page" w:hAnchor="page" w:x="1419" w:y="14097"/>
    </w:pPr>
  </w:style>
  <w:style w:type="paragraph" w:customStyle="1" w:styleId="202">
    <w:name w:val="其他实施日期"/>
    <w:basedOn w:val="162"/>
    <w:qFormat/>
    <w:uiPriority w:val="0"/>
    <w:pPr>
      <w:framePr w:w="3997" w:h="471" w:hRule="exact" w:vSpace="181" w:vAnchor="page" w:hAnchor="page" w:x="7089" w:y="14097"/>
    </w:pPr>
  </w:style>
  <w:style w:type="paragraph" w:customStyle="1" w:styleId="203">
    <w:name w:val="标准文件_文件编号"/>
    <w:basedOn w:val="64"/>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4">
    <w:name w:val="标准文件_替换文件编号"/>
    <w:basedOn w:val="203"/>
    <w:qFormat/>
    <w:uiPriority w:val="0"/>
    <w:pPr>
      <w:spacing w:before="57"/>
    </w:pPr>
    <w:rPr>
      <w:sz w:val="21"/>
    </w:rPr>
  </w:style>
  <w:style w:type="paragraph" w:customStyle="1" w:styleId="205">
    <w:name w:val="标准文件_文件名称"/>
    <w:basedOn w:val="64"/>
    <w:next w:val="64"/>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6">
    <w:name w:val="标准文件_附录图标号"/>
    <w:basedOn w:val="64"/>
    <w:next w:val="64"/>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7">
    <w:name w:val="标准文件_附录表标号"/>
    <w:basedOn w:val="64"/>
    <w:next w:val="64"/>
    <w:qFormat/>
    <w:uiPriority w:val="0"/>
    <w:pPr>
      <w:numPr>
        <w:ilvl w:val="0"/>
        <w:numId w:val="5"/>
      </w:numPr>
      <w:spacing w:line="14" w:lineRule="exact"/>
      <w:ind w:firstLine="0" w:firstLineChars="0"/>
      <w:jc w:val="center"/>
    </w:pPr>
    <w:rPr>
      <w:rFonts w:eastAsia="黑体"/>
      <w:vanish/>
      <w:sz w:val="2"/>
    </w:rPr>
  </w:style>
  <w:style w:type="paragraph" w:customStyle="1" w:styleId="208">
    <w:name w:val="标准文件_引言一级条标题"/>
    <w:basedOn w:val="64"/>
    <w:next w:val="64"/>
    <w:qFormat/>
    <w:uiPriority w:val="0"/>
    <w:pPr>
      <w:numPr>
        <w:ilvl w:val="1"/>
        <w:numId w:val="8"/>
      </w:numPr>
      <w:spacing w:before="50" w:beforeLines="50" w:after="50" w:afterLines="50"/>
      <w:ind w:firstLineChars="0"/>
    </w:pPr>
    <w:rPr>
      <w:rFonts w:ascii="黑体" w:eastAsia="黑体"/>
    </w:rPr>
  </w:style>
  <w:style w:type="paragraph" w:customStyle="1" w:styleId="209">
    <w:name w:val="标准文件_引言二级条标题"/>
    <w:basedOn w:val="64"/>
    <w:next w:val="64"/>
    <w:qFormat/>
    <w:uiPriority w:val="0"/>
    <w:pPr>
      <w:numPr>
        <w:ilvl w:val="2"/>
        <w:numId w:val="8"/>
      </w:numPr>
      <w:spacing w:before="50" w:beforeLines="50" w:after="50" w:afterLines="50"/>
      <w:ind w:firstLineChars="0"/>
    </w:pPr>
    <w:rPr>
      <w:rFonts w:ascii="黑体" w:eastAsia="黑体"/>
    </w:rPr>
  </w:style>
  <w:style w:type="paragraph" w:customStyle="1" w:styleId="210">
    <w:name w:val="标准文件_引言三级条标题"/>
    <w:basedOn w:val="64"/>
    <w:next w:val="64"/>
    <w:qFormat/>
    <w:uiPriority w:val="0"/>
    <w:pPr>
      <w:numPr>
        <w:ilvl w:val="3"/>
        <w:numId w:val="8"/>
      </w:numPr>
      <w:spacing w:before="50" w:beforeLines="50" w:after="50" w:afterLines="50"/>
      <w:ind w:firstLineChars="0"/>
    </w:pPr>
    <w:rPr>
      <w:rFonts w:ascii="黑体" w:eastAsia="黑体"/>
    </w:rPr>
  </w:style>
  <w:style w:type="paragraph" w:customStyle="1" w:styleId="211">
    <w:name w:val="标准文件_引言四级条标题"/>
    <w:basedOn w:val="64"/>
    <w:next w:val="64"/>
    <w:qFormat/>
    <w:uiPriority w:val="0"/>
    <w:pPr>
      <w:numPr>
        <w:ilvl w:val="4"/>
        <w:numId w:val="8"/>
      </w:numPr>
      <w:spacing w:before="50" w:beforeLines="50" w:after="50" w:afterLines="50"/>
      <w:ind w:firstLineChars="0"/>
    </w:pPr>
    <w:rPr>
      <w:rFonts w:ascii="黑体" w:eastAsia="黑体"/>
    </w:rPr>
  </w:style>
  <w:style w:type="paragraph" w:customStyle="1" w:styleId="212">
    <w:name w:val="标准文件_引言五级条标题"/>
    <w:basedOn w:val="64"/>
    <w:next w:val="64"/>
    <w:qFormat/>
    <w:uiPriority w:val="0"/>
    <w:pPr>
      <w:numPr>
        <w:ilvl w:val="5"/>
        <w:numId w:val="8"/>
      </w:numPr>
      <w:spacing w:before="50" w:beforeLines="50" w:after="50" w:afterLines="50"/>
      <w:ind w:firstLineChars="0"/>
    </w:pPr>
    <w:rPr>
      <w:rFonts w:ascii="黑体" w:eastAsia="黑体"/>
    </w:rPr>
  </w:style>
  <w:style w:type="paragraph" w:customStyle="1" w:styleId="213">
    <w:name w:val="标准文件_注后"/>
    <w:basedOn w:val="64"/>
    <w:qFormat/>
    <w:uiPriority w:val="0"/>
    <w:pPr>
      <w:ind w:left="811" w:firstLine="0" w:firstLineChars="0"/>
    </w:pPr>
    <w:rPr>
      <w:sz w:val="18"/>
    </w:rPr>
  </w:style>
  <w:style w:type="paragraph" w:customStyle="1" w:styleId="214">
    <w:name w:val="标准文件_注X后"/>
    <w:basedOn w:val="64"/>
    <w:qFormat/>
    <w:uiPriority w:val="0"/>
    <w:pPr>
      <w:ind w:left="811" w:firstLine="0" w:firstLineChars="0"/>
    </w:pPr>
    <w:rPr>
      <w:sz w:val="18"/>
    </w:rPr>
  </w:style>
  <w:style w:type="paragraph" w:customStyle="1" w:styleId="215">
    <w:name w:val="标准文件_示例后"/>
    <w:basedOn w:val="64"/>
    <w:qFormat/>
    <w:uiPriority w:val="0"/>
    <w:pPr>
      <w:ind w:left="964" w:firstLine="0" w:firstLineChars="0"/>
    </w:pPr>
    <w:rPr>
      <w:sz w:val="18"/>
    </w:rPr>
  </w:style>
  <w:style w:type="paragraph" w:customStyle="1" w:styleId="216">
    <w:name w:val="标准文件_示例X后"/>
    <w:basedOn w:val="64"/>
    <w:link w:val="217"/>
    <w:qFormat/>
    <w:uiPriority w:val="0"/>
    <w:pPr>
      <w:ind w:left="1049" w:firstLine="0" w:firstLineChars="0"/>
    </w:pPr>
    <w:rPr>
      <w:sz w:val="18"/>
    </w:rPr>
  </w:style>
  <w:style w:type="character" w:customStyle="1" w:styleId="217">
    <w:name w:val="标准文件_示例X后 字符"/>
    <w:basedOn w:val="192"/>
    <w:link w:val="216"/>
    <w:qFormat/>
    <w:uiPriority w:val="0"/>
    <w:rPr>
      <w:rFonts w:ascii="宋体" w:hAnsi="Times New Roman"/>
      <w:sz w:val="18"/>
    </w:rPr>
  </w:style>
  <w:style w:type="paragraph" w:customStyle="1" w:styleId="218">
    <w:name w:val="标准文件_索引项"/>
    <w:basedOn w:val="64"/>
    <w:next w:val="64"/>
    <w:qFormat/>
    <w:uiPriority w:val="0"/>
    <w:pPr>
      <w:tabs>
        <w:tab w:val="right" w:leader="dot" w:pos="9356"/>
      </w:tabs>
      <w:ind w:left="210" w:hanging="210" w:firstLineChars="0"/>
      <w:jc w:val="left"/>
    </w:pPr>
  </w:style>
  <w:style w:type="paragraph" w:customStyle="1" w:styleId="219">
    <w:name w:val="标准文件_附录一级无标题"/>
    <w:basedOn w:val="86"/>
    <w:qFormat/>
    <w:uiPriority w:val="0"/>
    <w:pPr>
      <w:spacing w:before="0" w:beforeLines="0" w:after="0" w:afterLines="0" w:line="276" w:lineRule="auto"/>
      <w:outlineLvl w:val="9"/>
    </w:pPr>
    <w:rPr>
      <w:rFonts w:ascii="宋体" w:eastAsia="宋体"/>
    </w:rPr>
  </w:style>
  <w:style w:type="paragraph" w:customStyle="1" w:styleId="220">
    <w:name w:val="标准文件_附录二级无标题"/>
    <w:basedOn w:val="87"/>
    <w:qFormat/>
    <w:uiPriority w:val="0"/>
    <w:pPr>
      <w:spacing w:before="0" w:beforeLines="0" w:after="0" w:afterLines="0" w:line="276" w:lineRule="auto"/>
      <w:outlineLvl w:val="9"/>
    </w:pPr>
    <w:rPr>
      <w:rFonts w:ascii="宋体" w:eastAsia="宋体"/>
    </w:rPr>
  </w:style>
  <w:style w:type="paragraph" w:customStyle="1" w:styleId="221">
    <w:name w:val="标准文件_附录三级无标题"/>
    <w:basedOn w:val="89"/>
    <w:qFormat/>
    <w:uiPriority w:val="0"/>
    <w:pPr>
      <w:spacing w:before="0" w:beforeLines="0" w:after="0" w:afterLines="0" w:line="276" w:lineRule="auto"/>
      <w:outlineLvl w:val="9"/>
    </w:pPr>
    <w:rPr>
      <w:rFonts w:ascii="宋体" w:eastAsia="宋体"/>
    </w:rPr>
  </w:style>
  <w:style w:type="paragraph" w:customStyle="1" w:styleId="222">
    <w:name w:val="标准文件_附录四级无标题"/>
    <w:basedOn w:val="90"/>
    <w:qFormat/>
    <w:uiPriority w:val="0"/>
    <w:pPr>
      <w:spacing w:before="0" w:beforeLines="0" w:after="0" w:afterLines="0" w:line="276" w:lineRule="auto"/>
      <w:outlineLvl w:val="9"/>
    </w:pPr>
    <w:rPr>
      <w:rFonts w:ascii="宋体" w:eastAsia="宋体"/>
    </w:rPr>
  </w:style>
  <w:style w:type="paragraph" w:customStyle="1" w:styleId="223">
    <w:name w:val="标准文件_附录五级无标题"/>
    <w:basedOn w:val="92"/>
    <w:qFormat/>
    <w:uiPriority w:val="0"/>
    <w:pPr>
      <w:spacing w:before="0" w:beforeLines="0" w:after="0" w:afterLines="0" w:line="276" w:lineRule="auto"/>
      <w:outlineLvl w:val="9"/>
    </w:pPr>
    <w:rPr>
      <w:rFonts w:ascii="宋体" w:eastAsia="宋体"/>
    </w:rPr>
  </w:style>
  <w:style w:type="paragraph" w:customStyle="1" w:styleId="224">
    <w:name w:val="标准文件_引言一级无标题"/>
    <w:basedOn w:val="208"/>
    <w:next w:val="64"/>
    <w:qFormat/>
    <w:uiPriority w:val="0"/>
    <w:pPr>
      <w:spacing w:before="0" w:beforeLines="0" w:after="0" w:afterLines="0" w:line="276" w:lineRule="auto"/>
    </w:pPr>
    <w:rPr>
      <w:rFonts w:ascii="宋体" w:eastAsia="宋体"/>
    </w:rPr>
  </w:style>
  <w:style w:type="paragraph" w:customStyle="1" w:styleId="225">
    <w:name w:val="标准文件_引言二级无标题"/>
    <w:basedOn w:val="209"/>
    <w:next w:val="64"/>
    <w:qFormat/>
    <w:uiPriority w:val="0"/>
    <w:pPr>
      <w:spacing w:before="0" w:beforeLines="0" w:after="0" w:afterLines="0" w:line="276" w:lineRule="auto"/>
    </w:pPr>
    <w:rPr>
      <w:rFonts w:ascii="宋体" w:eastAsia="宋体"/>
    </w:rPr>
  </w:style>
  <w:style w:type="paragraph" w:customStyle="1" w:styleId="226">
    <w:name w:val="标准文件_引言三级无标题"/>
    <w:basedOn w:val="210"/>
    <w:qFormat/>
    <w:uiPriority w:val="0"/>
    <w:pPr>
      <w:spacing w:before="0" w:beforeLines="0" w:after="0" w:afterLines="0" w:line="276" w:lineRule="auto"/>
    </w:pPr>
    <w:rPr>
      <w:rFonts w:ascii="宋体" w:eastAsia="宋体"/>
    </w:rPr>
  </w:style>
  <w:style w:type="paragraph" w:customStyle="1" w:styleId="227">
    <w:name w:val="标准文件_引言四级无标题"/>
    <w:basedOn w:val="211"/>
    <w:next w:val="64"/>
    <w:qFormat/>
    <w:uiPriority w:val="0"/>
    <w:pPr>
      <w:spacing w:before="0" w:beforeLines="0" w:after="0" w:afterLines="0" w:line="276" w:lineRule="auto"/>
    </w:pPr>
    <w:rPr>
      <w:rFonts w:ascii="宋体" w:eastAsia="宋体"/>
    </w:rPr>
  </w:style>
  <w:style w:type="paragraph" w:customStyle="1" w:styleId="228">
    <w:name w:val="标准文件_引言五级无标题"/>
    <w:basedOn w:val="212"/>
    <w:next w:val="64"/>
    <w:qFormat/>
    <w:uiPriority w:val="0"/>
    <w:pPr>
      <w:spacing w:before="0" w:beforeLines="0" w:after="0" w:afterLines="0" w:line="276" w:lineRule="auto"/>
    </w:pPr>
    <w:rPr>
      <w:rFonts w:ascii="宋体" w:eastAsia="宋体"/>
    </w:rPr>
  </w:style>
  <w:style w:type="paragraph" w:customStyle="1" w:styleId="229">
    <w:name w:val="标准文件_索引标题"/>
    <w:basedOn w:val="71"/>
    <w:next w:val="64"/>
    <w:qFormat/>
    <w:uiPriority w:val="0"/>
    <w:rPr>
      <w:rFonts w:hAnsi="黑体"/>
    </w:rPr>
  </w:style>
  <w:style w:type="paragraph" w:customStyle="1" w:styleId="230">
    <w:name w:val="标准文件_脚注内容"/>
    <w:basedOn w:val="64"/>
    <w:qFormat/>
    <w:uiPriority w:val="0"/>
    <w:pPr>
      <w:ind w:left="400" w:leftChars="200" w:hanging="200" w:hangingChars="200"/>
    </w:pPr>
    <w:rPr>
      <w:sz w:val="15"/>
    </w:rPr>
  </w:style>
  <w:style w:type="paragraph" w:customStyle="1" w:styleId="231">
    <w:name w:val="标准文件_术语条一"/>
    <w:basedOn w:val="170"/>
    <w:next w:val="64"/>
    <w:qFormat/>
    <w:uiPriority w:val="0"/>
  </w:style>
  <w:style w:type="paragraph" w:customStyle="1" w:styleId="232">
    <w:name w:val="标准文件_术语条二"/>
    <w:basedOn w:val="173"/>
    <w:next w:val="64"/>
    <w:qFormat/>
    <w:uiPriority w:val="0"/>
  </w:style>
  <w:style w:type="paragraph" w:customStyle="1" w:styleId="233">
    <w:name w:val="标准文件_术语条三"/>
    <w:basedOn w:val="172"/>
    <w:next w:val="64"/>
    <w:qFormat/>
    <w:uiPriority w:val="0"/>
  </w:style>
  <w:style w:type="paragraph" w:customStyle="1" w:styleId="234">
    <w:name w:val="标准文件_术语条四"/>
    <w:basedOn w:val="175"/>
    <w:next w:val="64"/>
    <w:qFormat/>
    <w:uiPriority w:val="0"/>
  </w:style>
  <w:style w:type="paragraph" w:customStyle="1" w:styleId="235">
    <w:name w:val="标准文件_术语条五"/>
    <w:basedOn w:val="171"/>
    <w:next w:val="64"/>
    <w:qFormat/>
    <w:uiPriority w:val="0"/>
  </w:style>
  <w:style w:type="paragraph" w:customStyle="1" w:styleId="23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7">
    <w:name w:val="发布"/>
    <w:basedOn w:val="35"/>
    <w:qFormat/>
    <w:uiPriority w:val="0"/>
    <w:rPr>
      <w:rFonts w:ascii="黑体" w:eastAsia="黑体"/>
      <w:spacing w:val="85"/>
      <w:w w:val="100"/>
      <w:position w:val="3"/>
      <w:sz w:val="28"/>
      <w:szCs w:val="28"/>
    </w:rPr>
  </w:style>
  <w:style w:type="paragraph" w:customStyle="1" w:styleId="238">
    <w:name w:val="一级条标题"/>
    <w:next w:val="1"/>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9">
    <w:name w:val="段"/>
    <w:link w:val="24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40">
    <w:name w:val="段 Char"/>
    <w:link w:val="239"/>
    <w:qFormat/>
    <w:uiPriority w:val="0"/>
    <w:rPr>
      <w:rFonts w:ascii="宋体" w:hAnsi="Times New Roman"/>
      <w:sz w:val="21"/>
    </w:rPr>
  </w:style>
  <w:style w:type="paragraph" w:styleId="241">
    <w:name w:val="List Paragraph"/>
    <w:basedOn w:val="1"/>
    <w:qFormat/>
    <w:uiPriority w:val="34"/>
    <w:pPr>
      <w:adjustRightInd/>
      <w:spacing w:line="240" w:lineRule="auto"/>
      <w:ind w:firstLine="420" w:firstLineChars="200"/>
    </w:pPr>
    <w:rPr>
      <w:rFonts w:ascii="Times New Roman" w:hAnsi="Times New Roman"/>
      <w:szCs w:val="24"/>
    </w:rPr>
  </w:style>
  <w:style w:type="paragraph" w:customStyle="1" w:styleId="242">
    <w:name w:val="三级条标题"/>
    <w:basedOn w:val="243"/>
    <w:next w:val="239"/>
    <w:qFormat/>
    <w:uiPriority w:val="0"/>
    <w:pPr>
      <w:numPr>
        <w:ilvl w:val="3"/>
      </w:numPr>
      <w:tabs>
        <w:tab w:val="left" w:pos="0"/>
        <w:tab w:val="left" w:pos="840"/>
      </w:tabs>
      <w:outlineLvl w:val="4"/>
    </w:pPr>
  </w:style>
  <w:style w:type="paragraph" w:customStyle="1" w:styleId="243">
    <w:name w:val="二级条标题"/>
    <w:basedOn w:val="238"/>
    <w:next w:val="239"/>
    <w:qFormat/>
    <w:uiPriority w:val="0"/>
    <w:pPr>
      <w:numPr>
        <w:ilvl w:val="2"/>
      </w:numPr>
      <w:tabs>
        <w:tab w:val="left" w:pos="0"/>
      </w:tabs>
      <w:spacing w:before="50" w:after="50"/>
      <w:outlineLvl w:val="3"/>
    </w:pPr>
  </w:style>
  <w:style w:type="paragraph" w:customStyle="1" w:styleId="244">
    <w:name w:val="二级无"/>
    <w:basedOn w:val="243"/>
    <w:qFormat/>
    <w:uiPriority w:val="0"/>
    <w:pPr>
      <w:tabs>
        <w:tab w:val="clear" w:pos="0"/>
      </w:tabs>
      <w:spacing w:before="0" w:beforeLines="0" w:after="0" w:afterLines="0"/>
    </w:pPr>
    <w:rPr>
      <w:rFonts w:ascii="宋体" w:eastAsia="宋体"/>
    </w:rPr>
  </w:style>
  <w:style w:type="paragraph" w:customStyle="1" w:styleId="245">
    <w:name w:val="章标题"/>
    <w:next w:val="239"/>
    <w:qFormat/>
    <w:uiPriority w:val="0"/>
    <w:pPr>
      <w:spacing w:before="312" w:beforeLines="100" w:after="312" w:afterLines="100"/>
      <w:ind w:left="823" w:hanging="420"/>
      <w:jc w:val="both"/>
      <w:outlineLvl w:val="1"/>
    </w:pPr>
    <w:rPr>
      <w:rFonts w:ascii="黑体" w:hAnsi="Times New Roman" w:eastAsia="黑体" w:cs="Times New Roman"/>
      <w:sz w:val="21"/>
      <w:lang w:val="en-US" w:eastAsia="zh-CN" w:bidi="ar-SA"/>
    </w:rPr>
  </w:style>
  <w:style w:type="paragraph" w:customStyle="1" w:styleId="246">
    <w:name w:val="终结线"/>
    <w:basedOn w:val="1"/>
    <w:qFormat/>
    <w:uiPriority w:val="0"/>
    <w:pPr>
      <w:framePr w:hSpace="181" w:vSpace="181" w:wrap="around" w:vAnchor="text" w:hAnchor="margin" w:xAlign="center" w:y="285"/>
      <w:adjustRightInd/>
      <w:spacing w:line="240" w:lineRule="auto"/>
    </w:pPr>
    <w:rPr>
      <w:rFonts w:ascii="Times New Roman" w:hAnsi="Times New Roman"/>
      <w:szCs w:val="24"/>
    </w:rPr>
  </w:style>
  <w:style w:type="paragraph" w:customStyle="1" w:styleId="247">
    <w:name w:val="样式10"/>
    <w:basedOn w:val="1"/>
    <w:qFormat/>
    <w:uiPriority w:val="0"/>
    <w:pPr>
      <w:widowControl/>
      <w:spacing w:line="340" w:lineRule="exact"/>
      <w:jc w:val="left"/>
    </w:pPr>
  </w:style>
  <w:style w:type="paragraph" w:customStyle="1" w:styleId="248">
    <w:name w:val="样式1"/>
    <w:link w:val="249"/>
    <w:qFormat/>
    <w:uiPriority w:val="0"/>
    <w:pPr>
      <w:spacing w:beforeLines="50" w:afterLines="50"/>
      <w:ind w:firstLine="420" w:firstLineChars="200"/>
    </w:pPr>
    <w:rPr>
      <w:rFonts w:ascii="黑体" w:hAnsi="黑体" w:eastAsia="黑体" w:cs="Times New Roman"/>
      <w:bCs/>
      <w:lang w:val="en-US" w:eastAsia="zh-CN" w:bidi="ar-SA"/>
    </w:rPr>
  </w:style>
  <w:style w:type="character" w:customStyle="1" w:styleId="249">
    <w:name w:val="样式1 Char"/>
    <w:basedOn w:val="35"/>
    <w:link w:val="248"/>
    <w:qFormat/>
    <w:uiPriority w:val="0"/>
    <w:rPr>
      <w:rFonts w:ascii="黑体" w:hAnsi="黑体" w:eastAsia="黑体"/>
      <w:bCs/>
    </w:rPr>
  </w:style>
  <w:style w:type="paragraph" w:customStyle="1" w:styleId="250">
    <w:name w:val="CM32"/>
    <w:basedOn w:val="236"/>
    <w:next w:val="236"/>
    <w:unhideWhenUsed/>
    <w:qFormat/>
    <w:uiPriority w:val="99"/>
    <w:rPr>
      <w:rFonts w:hint="eastAsia" w:cs="Times New Roman"/>
    </w:rPr>
  </w:style>
  <w:style w:type="paragraph" w:customStyle="1" w:styleId="251">
    <w:name w:val="CM29"/>
    <w:basedOn w:val="236"/>
    <w:next w:val="236"/>
    <w:qFormat/>
    <w:uiPriority w:val="99"/>
    <w:pPr>
      <w:spacing w:line="340" w:lineRule="atLeast"/>
    </w:pPr>
    <w:rPr>
      <w:rFonts w:cs="Times New Roman"/>
      <w:color w:val="auto"/>
    </w:rPr>
  </w:style>
  <w:style w:type="paragraph" w:customStyle="1" w:styleId="252">
    <w:name w:val="正文文本缩进 21"/>
    <w:basedOn w:val="1"/>
    <w:qFormat/>
    <w:uiPriority w:val="0"/>
    <w:pPr>
      <w:widowControl/>
      <w:spacing w:line="480" w:lineRule="auto"/>
      <w:ind w:left="200" w:leftChars="200"/>
      <w:jc w:val="left"/>
    </w:pPr>
  </w:style>
  <w:style w:type="paragraph" w:customStyle="1" w:styleId="253">
    <w:name w:val="Body text|1"/>
    <w:basedOn w:val="1"/>
    <w:qFormat/>
    <w:uiPriority w:val="0"/>
    <w:pPr>
      <w:spacing w:line="381" w:lineRule="auto"/>
      <w:ind w:firstLine="400"/>
      <w:jc w:val="left"/>
    </w:pPr>
    <w:rPr>
      <w:rFonts w:ascii="宋体" w:hAnsi="宋体" w:cs="宋体"/>
      <w:color w:val="000000"/>
      <w:kern w:val="0"/>
      <w:sz w:val="22"/>
    </w:rPr>
  </w:style>
  <w:style w:type="paragraph" w:customStyle="1" w:styleId="254">
    <w:name w:val="图片"/>
    <w:qFormat/>
    <w:uiPriority w:val="0"/>
    <w:pPr>
      <w:adjustRightInd w:val="0"/>
      <w:spacing w:before="240" w:after="240" w:line="360" w:lineRule="auto"/>
      <w:ind w:left="100" w:leftChars="100" w:right="100" w:rightChars="100"/>
      <w:jc w:val="center"/>
    </w:pPr>
    <w:rPr>
      <w:rFonts w:ascii="等线" w:hAnsi="等线" w:eastAsia="宋体" w:cs="Times New Roman"/>
      <w:kern w:val="2"/>
      <w:sz w:val="24"/>
      <w:szCs w:val="22"/>
      <w:lang w:val="en-US" w:eastAsia="zh-CN" w:bidi="ar-SA"/>
    </w:rPr>
  </w:style>
  <w:style w:type="paragraph" w:customStyle="1" w:styleId="255">
    <w:name w:val="样式4"/>
    <w:basedOn w:val="1"/>
    <w:qFormat/>
    <w:uiPriority w:val="0"/>
    <w:pPr>
      <w:widowControl/>
      <w:spacing w:line="340" w:lineRule="exact"/>
      <w:ind w:firstLine="200" w:firstLineChars="200"/>
      <w:jc w:val="left"/>
    </w:pPr>
  </w:style>
  <w:style w:type="paragraph" w:customStyle="1" w:styleId="256">
    <w:name w:val="CM2"/>
    <w:basedOn w:val="236"/>
    <w:next w:val="236"/>
    <w:qFormat/>
    <w:uiPriority w:val="99"/>
    <w:rPr>
      <w:rFonts w:cs="Times New Roman"/>
      <w:color w:val="auto"/>
    </w:rPr>
  </w:style>
  <w:style w:type="paragraph" w:customStyle="1" w:styleId="257">
    <w:name w:val="图表"/>
    <w:basedOn w:val="1"/>
    <w:qFormat/>
    <w:uiPriority w:val="0"/>
    <w:pPr>
      <w:jc w:val="center"/>
    </w:pPr>
  </w:style>
  <w:style w:type="table" w:customStyle="1" w:styleId="258">
    <w:name w:val="网格型1"/>
    <w:basedOn w:val="33"/>
    <w:qFormat/>
    <w:uiPriority w:val="39"/>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9">
    <w:name w:val="CM24"/>
    <w:basedOn w:val="236"/>
    <w:next w:val="236"/>
    <w:qFormat/>
    <w:uiPriority w:val="99"/>
    <w:pPr>
      <w:spacing w:line="340" w:lineRule="atLeast"/>
    </w:pPr>
    <w:rPr>
      <w:rFonts w:cs="Times New Roman"/>
      <w:color w:val="auto"/>
    </w:rPr>
  </w:style>
  <w:style w:type="paragraph" w:customStyle="1" w:styleId="260">
    <w:name w:val="CM34"/>
    <w:basedOn w:val="236"/>
    <w:next w:val="236"/>
    <w:unhideWhenUsed/>
    <w:qFormat/>
    <w:uiPriority w:val="99"/>
    <w:rPr>
      <w:rFonts w:hint="eastAsia" w:cs="Times New Roman"/>
    </w:rPr>
  </w:style>
  <w:style w:type="paragraph" w:customStyle="1" w:styleId="261">
    <w:name w:val="CM26"/>
    <w:basedOn w:val="236"/>
    <w:next w:val="236"/>
    <w:unhideWhenUsed/>
    <w:qFormat/>
    <w:uiPriority w:val="99"/>
    <w:pPr>
      <w:spacing w:line="340" w:lineRule="atLeast"/>
    </w:pPr>
    <w:rPr>
      <w:rFonts w:hint="eastAsia" w:cs="Times New Roman"/>
    </w:rPr>
  </w:style>
  <w:style w:type="character" w:customStyle="1" w:styleId="262">
    <w:name w:val="批注文字 字符"/>
    <w:basedOn w:val="35"/>
    <w:link w:val="14"/>
    <w:qFormat/>
    <w:uiPriority w:val="99"/>
    <w:rPr>
      <w:kern w:val="2"/>
      <w:sz w:val="21"/>
      <w:szCs w:val="21"/>
    </w:rPr>
  </w:style>
  <w:style w:type="character" w:customStyle="1" w:styleId="263">
    <w:name w:val="批注主题 字符"/>
    <w:basedOn w:val="262"/>
    <w:link w:val="31"/>
    <w:semiHidden/>
    <w:qFormat/>
    <w:uiPriority w:val="99"/>
    <w:rPr>
      <w:b/>
      <w:bCs/>
      <w:kern w:val="2"/>
      <w:sz w:val="21"/>
      <w:szCs w:val="21"/>
    </w:rPr>
  </w:style>
  <w:style w:type="paragraph" w:customStyle="1" w:styleId="264">
    <w:name w:val="修订1"/>
    <w:hidden/>
    <w:unhideWhenUsed/>
    <w:qFormat/>
    <w:uiPriority w:val="99"/>
    <w:rPr>
      <w:rFonts w:ascii="Calibri" w:hAnsi="Calibri" w:eastAsia="宋体" w:cs="Times New Roman"/>
      <w:kern w:val="2"/>
      <w:sz w:val="21"/>
      <w:szCs w:val="21"/>
      <w:lang w:val="en-US" w:eastAsia="zh-CN" w:bidi="ar-SA"/>
    </w:rPr>
  </w:style>
  <w:style w:type="paragraph" w:customStyle="1" w:styleId="265">
    <w:name w:val="表格标题"/>
    <w:basedOn w:val="266"/>
    <w:qFormat/>
    <w:uiPriority w:val="0"/>
    <w:pPr>
      <w:ind w:firstLine="360"/>
    </w:pPr>
    <w:rPr>
      <w:rFonts w:eastAsia="黑体"/>
    </w:rPr>
  </w:style>
  <w:style w:type="paragraph" w:customStyle="1" w:styleId="266">
    <w:name w:val="表格字体"/>
    <w:basedOn w:val="1"/>
    <w:qFormat/>
    <w:uiPriority w:val="0"/>
    <w:pPr>
      <w:adjustRightInd/>
      <w:spacing w:line="240" w:lineRule="auto"/>
      <w:jc w:val="center"/>
    </w:pPr>
    <w:rPr>
      <w:rFonts w:ascii="Times New Roman" w:hAnsi="Times New Roman"/>
      <w:szCs w:val="24"/>
    </w:rPr>
  </w:style>
  <w:style w:type="table" w:customStyle="1" w:styleId="267">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268">
    <w:name w:val="Table Text"/>
    <w:basedOn w:val="1"/>
    <w:semiHidden/>
    <w:qFormat/>
    <w:uiPriority w:val="0"/>
    <w:pPr>
      <w:widowControl/>
      <w:kinsoku w:val="0"/>
      <w:autoSpaceDE w:val="0"/>
      <w:autoSpaceDN w:val="0"/>
      <w:snapToGrid w:val="0"/>
      <w:spacing w:line="240" w:lineRule="auto"/>
      <w:jc w:val="left"/>
      <w:textAlignment w:val="baseline"/>
    </w:pPr>
    <w:rPr>
      <w:rFonts w:ascii="宋体" w:hAnsi="宋体" w:cs="宋体"/>
      <w:snapToGrid w:val="0"/>
      <w:color w:val="000000"/>
      <w:kern w:val="0"/>
      <w:sz w:val="18"/>
      <w:szCs w:val="18"/>
      <w:lang w:eastAsia="en-US"/>
    </w:rPr>
  </w:style>
  <w:style w:type="paragraph" w:customStyle="1" w:styleId="269">
    <w:name w:val="列项——（一级）"/>
    <w:qFormat/>
    <w:uiPriority w:val="0"/>
    <w:pPr>
      <w:widowControl w:val="0"/>
      <w:numPr>
        <w:ilvl w:val="0"/>
        <w:numId w:val="13"/>
      </w:numPr>
      <w:jc w:val="both"/>
    </w:pPr>
    <w:rPr>
      <w:rFonts w:ascii="宋体" w:hAnsi="Times New Roman" w:eastAsia="宋体" w:cs="Times New Roman"/>
      <w:sz w:val="21"/>
      <w:lang w:val="en-US" w:eastAsia="zh-CN" w:bidi="ar-SA"/>
    </w:rPr>
  </w:style>
  <w:style w:type="character" w:customStyle="1" w:styleId="270">
    <w:name w:val="标准文件_字母编号列项（一级） Char"/>
    <w:link w:val="182"/>
    <w:qFormat/>
    <w:uiPriority w:val="0"/>
    <w:rPr>
      <w:rFonts w:ascii="宋体"/>
      <w:sz w:val="21"/>
    </w:rPr>
  </w:style>
  <w:style w:type="paragraph" w:customStyle="1" w:styleId="271">
    <w:name w:val="图样式"/>
    <w:basedOn w:val="24"/>
    <w:qFormat/>
    <w:uiPriority w:val="0"/>
    <w:pPr>
      <w:keepNext/>
      <w:outlineLvl w:val="9"/>
    </w:pPr>
  </w:style>
  <w:style w:type="table" w:customStyle="1" w:styleId="272">
    <w:name w:val="Table Normal11"/>
    <w:basedOn w:val="33"/>
    <w:qFormat/>
    <w:uiPriority w:val="0"/>
    <w:rPr>
      <w:rFonts w:eastAsia="Times New Roman"/>
    </w:rPr>
    <w:tblPr>
      <w:tblCellMar>
        <w:left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6.png"/><Relationship Id="rId98" Type="http://schemas.openxmlformats.org/officeDocument/2006/relationships/image" Target="media/image55.png"/><Relationship Id="rId97" Type="http://schemas.openxmlformats.org/officeDocument/2006/relationships/image" Target="media/image54.png"/><Relationship Id="rId96" Type="http://schemas.openxmlformats.org/officeDocument/2006/relationships/image" Target="media/image53.png"/><Relationship Id="rId95" Type="http://schemas.openxmlformats.org/officeDocument/2006/relationships/image" Target="media/image52.png"/><Relationship Id="rId94" Type="http://schemas.openxmlformats.org/officeDocument/2006/relationships/image" Target="media/image51.png"/><Relationship Id="rId93" Type="http://schemas.openxmlformats.org/officeDocument/2006/relationships/image" Target="media/image50.png"/><Relationship Id="rId92" Type="http://schemas.openxmlformats.org/officeDocument/2006/relationships/image" Target="media/image49.png"/><Relationship Id="rId91" Type="http://schemas.openxmlformats.org/officeDocument/2006/relationships/image" Target="media/image48.png"/><Relationship Id="rId90" Type="http://schemas.openxmlformats.org/officeDocument/2006/relationships/image" Target="media/image47.png"/><Relationship Id="rId9" Type="http://schemas.openxmlformats.org/officeDocument/2006/relationships/footer" Target="footer2.xml"/><Relationship Id="rId89" Type="http://schemas.openxmlformats.org/officeDocument/2006/relationships/image" Target="media/image46.png"/><Relationship Id="rId88" Type="http://schemas.openxmlformats.org/officeDocument/2006/relationships/image" Target="media/image45.png"/><Relationship Id="rId87" Type="http://schemas.openxmlformats.org/officeDocument/2006/relationships/image" Target="media/image44.png"/><Relationship Id="rId86" Type="http://schemas.openxmlformats.org/officeDocument/2006/relationships/image" Target="media/image43.png"/><Relationship Id="rId85" Type="http://schemas.openxmlformats.org/officeDocument/2006/relationships/image" Target="media/image42.wmf"/><Relationship Id="rId84" Type="http://schemas.openxmlformats.org/officeDocument/2006/relationships/oleObject" Target="embeddings/oleObject16.bin"/><Relationship Id="rId83" Type="http://schemas.openxmlformats.org/officeDocument/2006/relationships/image" Target="media/image41.wmf"/><Relationship Id="rId82" Type="http://schemas.openxmlformats.org/officeDocument/2006/relationships/oleObject" Target="embeddings/oleObject15.bin"/><Relationship Id="rId81" Type="http://schemas.openxmlformats.org/officeDocument/2006/relationships/image" Target="media/image40.png"/><Relationship Id="rId80" Type="http://schemas.openxmlformats.org/officeDocument/2006/relationships/image" Target="media/image39.png"/><Relationship Id="rId8" Type="http://schemas.openxmlformats.org/officeDocument/2006/relationships/footer" Target="footer1.xml"/><Relationship Id="rId79" Type="http://schemas.openxmlformats.org/officeDocument/2006/relationships/image" Target="media/image38.png"/><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image" Target="media/image35.png"/><Relationship Id="rId75" Type="http://schemas.openxmlformats.org/officeDocument/2006/relationships/image" Target="media/image34.emf"/><Relationship Id="rId74" Type="http://schemas.openxmlformats.org/officeDocument/2006/relationships/oleObject" Target="embeddings/oleObject14.bin"/><Relationship Id="rId73" Type="http://schemas.openxmlformats.org/officeDocument/2006/relationships/image" Target="media/image33.png"/><Relationship Id="rId72" Type="http://schemas.openxmlformats.org/officeDocument/2006/relationships/image" Target="media/image32.png"/><Relationship Id="rId71" Type="http://schemas.openxmlformats.org/officeDocument/2006/relationships/image" Target="media/image31.wmf"/><Relationship Id="rId70" Type="http://schemas.openxmlformats.org/officeDocument/2006/relationships/image" Target="media/image30.wmf"/><Relationship Id="rId7" Type="http://schemas.openxmlformats.org/officeDocument/2006/relationships/header" Target="header3.xml"/><Relationship Id="rId69" Type="http://schemas.openxmlformats.org/officeDocument/2006/relationships/image" Target="media/image29.emf"/><Relationship Id="rId68" Type="http://schemas.openxmlformats.org/officeDocument/2006/relationships/oleObject" Target="embeddings/oleObject13.bin"/><Relationship Id="rId67" Type="http://schemas.openxmlformats.org/officeDocument/2006/relationships/image" Target="media/image28.emf"/><Relationship Id="rId66" Type="http://schemas.openxmlformats.org/officeDocument/2006/relationships/oleObject" Target="embeddings/oleObject12.bin"/><Relationship Id="rId65" Type="http://schemas.openxmlformats.org/officeDocument/2006/relationships/image" Target="media/image27.emf"/><Relationship Id="rId64" Type="http://schemas.openxmlformats.org/officeDocument/2006/relationships/oleObject" Target="embeddings/oleObject11.bin"/><Relationship Id="rId63" Type="http://schemas.openxmlformats.org/officeDocument/2006/relationships/image" Target="media/image26.emf"/><Relationship Id="rId62" Type="http://schemas.openxmlformats.org/officeDocument/2006/relationships/oleObject" Target="embeddings/oleObject10.bin"/><Relationship Id="rId61" Type="http://schemas.openxmlformats.org/officeDocument/2006/relationships/image" Target="media/image25.emf"/><Relationship Id="rId60" Type="http://schemas.openxmlformats.org/officeDocument/2006/relationships/oleObject" Target="embeddings/oleObject9.bin"/><Relationship Id="rId6" Type="http://schemas.openxmlformats.org/officeDocument/2006/relationships/header" Target="header2.xml"/><Relationship Id="rId59" Type="http://schemas.openxmlformats.org/officeDocument/2006/relationships/image" Target="media/image24.emf"/><Relationship Id="rId58" Type="http://schemas.openxmlformats.org/officeDocument/2006/relationships/oleObject" Target="embeddings/oleObject8.bin"/><Relationship Id="rId57" Type="http://schemas.openxmlformats.org/officeDocument/2006/relationships/image" Target="media/image23.emf"/><Relationship Id="rId56" Type="http://schemas.openxmlformats.org/officeDocument/2006/relationships/oleObject" Target="embeddings/oleObject7.bin"/><Relationship Id="rId55" Type="http://schemas.openxmlformats.org/officeDocument/2006/relationships/image" Target="media/image22.emf"/><Relationship Id="rId54" Type="http://schemas.openxmlformats.org/officeDocument/2006/relationships/oleObject" Target="embeddings/oleObject6.bin"/><Relationship Id="rId53" Type="http://schemas.openxmlformats.org/officeDocument/2006/relationships/image" Target="media/image21.emf"/><Relationship Id="rId52" Type="http://schemas.openxmlformats.org/officeDocument/2006/relationships/oleObject" Target="embeddings/oleObject5.bin"/><Relationship Id="rId51" Type="http://schemas.openxmlformats.org/officeDocument/2006/relationships/image" Target="media/image20.emf"/><Relationship Id="rId50" Type="http://schemas.openxmlformats.org/officeDocument/2006/relationships/oleObject" Target="embeddings/oleObject4.bin"/><Relationship Id="rId5" Type="http://schemas.openxmlformats.org/officeDocument/2006/relationships/header" Target="header1.xml"/><Relationship Id="rId49" Type="http://schemas.openxmlformats.org/officeDocument/2006/relationships/image" Target="media/image19.emf"/><Relationship Id="rId48" Type="http://schemas.openxmlformats.org/officeDocument/2006/relationships/oleObject" Target="embeddings/oleObject3.bin"/><Relationship Id="rId47" Type="http://schemas.openxmlformats.org/officeDocument/2006/relationships/image" Target="media/image18.emf"/><Relationship Id="rId46" Type="http://schemas.openxmlformats.org/officeDocument/2006/relationships/oleObject" Target="embeddings/oleObject2.bin"/><Relationship Id="rId45" Type="http://schemas.openxmlformats.org/officeDocument/2006/relationships/image" Target="media/image17.emf"/><Relationship Id="rId44" Type="http://schemas.openxmlformats.org/officeDocument/2006/relationships/oleObject" Target="embeddings/oleObject1.bin"/><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7" Type="http://schemas.openxmlformats.org/officeDocument/2006/relationships/glossaryDocument" Target="glossary/document.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60.tiff"/><Relationship Id="rId102" Type="http://schemas.openxmlformats.org/officeDocument/2006/relationships/image" Target="media/image59.png"/><Relationship Id="rId101" Type="http://schemas.openxmlformats.org/officeDocument/2006/relationships/image" Target="media/image58.png"/><Relationship Id="rId100" Type="http://schemas.openxmlformats.org/officeDocument/2006/relationships/image" Target="media/image57.png"/><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E270FE93A2F4319828ECE77788D8805"/>
        <w:style w:val=""/>
        <w:category>
          <w:name w:val="常规"/>
          <w:gallery w:val="placeholder"/>
        </w:category>
        <w:types>
          <w:type w:val="bbPlcHdr"/>
        </w:types>
        <w:behaviors>
          <w:behavior w:val="content"/>
        </w:behaviors>
        <w:description w:val=""/>
        <w:guid w:val="{5A145924-0A01-434C-A447-85B8C9683AF3}"/>
      </w:docPartPr>
      <w:docPartBody>
        <w:p w14:paraId="2151A1E7">
          <w:pPr>
            <w:pStyle w:val="5"/>
            <w:rPr>
              <w:rFonts w:hint="eastAsia"/>
            </w:rPr>
          </w:pPr>
          <w:r>
            <w:rPr>
              <w:rStyle w:val="4"/>
              <w:rFonts w:hint="eastAsia"/>
            </w:rPr>
            <w:t>单击或点击此处输入文字。</w:t>
          </w:r>
        </w:p>
      </w:docPartBody>
    </w:docPart>
    <w:docPart>
      <w:docPartPr>
        <w:name w:val="011E3DC2703F46B2A4DDD73AD2693BC8"/>
        <w:style w:val=""/>
        <w:category>
          <w:name w:val="常规"/>
          <w:gallery w:val="placeholder"/>
        </w:category>
        <w:types>
          <w:type w:val="bbPlcHdr"/>
        </w:types>
        <w:behaviors>
          <w:behavior w:val="content"/>
        </w:behaviors>
        <w:description w:val=""/>
        <w:guid w:val="{94F8CF17-C1AA-499F-9571-B662B6D9CA74}"/>
      </w:docPartPr>
      <w:docPartBody>
        <w:p w14:paraId="05CD4065">
          <w:pPr>
            <w:pStyle w:val="6"/>
            <w:rPr>
              <w:rFonts w:hint="eastAsia"/>
            </w:rPr>
          </w:pPr>
          <w:r>
            <w:rPr>
              <w:rStyle w:val="4"/>
              <w:rFonts w:hint="eastAsia"/>
            </w:rPr>
            <w:t>选择一项。</w:t>
          </w:r>
        </w:p>
      </w:docPartBody>
    </w:docPart>
    <w:docPart>
      <w:docPartPr>
        <w:name w:val="1EBC5FA6199D48F682F055C655BD57FE"/>
        <w:style w:val=""/>
        <w:category>
          <w:name w:val="常规"/>
          <w:gallery w:val="placeholder"/>
        </w:category>
        <w:types>
          <w:type w:val="bbPlcHdr"/>
        </w:types>
        <w:behaviors>
          <w:behavior w:val="content"/>
        </w:behaviors>
        <w:description w:val=""/>
        <w:guid w:val="{80D428BB-80FF-43F5-823F-EACFA024F305}"/>
      </w:docPartPr>
      <w:docPartBody>
        <w:p w14:paraId="14112783">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汉仪中宋简">
    <w:panose1 w:val="02010600000101010101"/>
    <w:charset w:val="80"/>
    <w:family w:val="auto"/>
    <w:pitch w:val="default"/>
    <w:sig w:usb0="800002BF" w:usb1="184F6CF8" w:usb2="00000012" w:usb3="00000000" w:csb0="00020001"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34E"/>
    <w:rsid w:val="000F4478"/>
    <w:rsid w:val="0015284C"/>
    <w:rsid w:val="00195062"/>
    <w:rsid w:val="006303A8"/>
    <w:rsid w:val="006326F8"/>
    <w:rsid w:val="00683BC9"/>
    <w:rsid w:val="006A0F29"/>
    <w:rsid w:val="006A634E"/>
    <w:rsid w:val="0072073B"/>
    <w:rsid w:val="007E2797"/>
    <w:rsid w:val="008A2709"/>
    <w:rsid w:val="008A6E1D"/>
    <w:rsid w:val="009B6802"/>
    <w:rsid w:val="00A35CD2"/>
    <w:rsid w:val="00A5399B"/>
    <w:rsid w:val="00A86DCD"/>
    <w:rsid w:val="00AC107C"/>
    <w:rsid w:val="00BF054E"/>
    <w:rsid w:val="00C000FB"/>
    <w:rsid w:val="00F0031D"/>
    <w:rsid w:val="00F85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E270FE93A2F4319828ECE77788D88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11E3DC2703F46B2A4DDD73AD2693B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1EBC5FA6199D48F682F055C655BD57F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76</Pages>
  <Words>7092</Words>
  <Characters>8083</Characters>
  <Lines>490</Lines>
  <Paragraphs>138</Paragraphs>
  <TotalTime>4</TotalTime>
  <ScaleCrop>false</ScaleCrop>
  <LinksUpToDate>false</LinksUpToDate>
  <CharactersWithSpaces>8330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2026-04-22T00:00:00Z</dcterms:created>
  <dc:creator>匿名用户</dc:creator>
  <dc:description>&lt;config cover="true" show_menu="true" version="1.0.0" doctype="SDKXY"&gt;_x000d_
&lt;/config&gt;</dc:description>
  <cp:lastModifiedBy>Kathy 敏</cp:lastModifiedBy>
  <cp:lastPrinted>2026-03-23T10:30:00Z</cp:lastPrinted>
  <dcterms:modified xsi:type="dcterms:W3CDTF">2026-04-29T01:27:06Z</dcterms:modified>
  <dc:title>地方标准</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2052-12.1.0.25865</vt:lpwstr>
  </property>
  <property fmtid="{D5CDD505-2E9C-101B-9397-08002B2CF9AE}" pid="15" name="ICV">
    <vt:lpwstr>E964D94C0D084AFBB9E4D7CAD3071F43_13</vt:lpwstr>
  </property>
  <property fmtid="{D5CDD505-2E9C-101B-9397-08002B2CF9AE}" pid="16" name="KSOTemplateDocerSaveRecord">
    <vt:lpwstr>eyJoZGlkIjoiMjk2ZGZmMzI3ZDEyZTNmYTRlYzFlYmMwODMzNWEyNjciLCJ1c2VySWQiOiI3MTQ3Nzc1MjIifQ==</vt:lpwstr>
  </property>
</Properties>
</file>