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385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7A81C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14:paraId="6BBB046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93.020</w:t>
            </w:r>
            <w:r>
              <w:rPr>
                <w:rFonts w:ascii="黑体" w:hAnsi="黑体" w:eastAsia="黑体"/>
                <w:sz w:val="21"/>
                <w:szCs w:val="21"/>
              </w:rPr>
              <w:fldChar w:fldCharType="end"/>
            </w:r>
            <w:bookmarkEnd w:id="0"/>
          </w:p>
        </w:tc>
      </w:tr>
      <w:tr w14:paraId="1E2E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4CDB6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14:paraId="62106C5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2</w:t>
            </w:r>
            <w:r>
              <w:rPr>
                <w:rFonts w:hint="eastAsia" w:ascii="黑体" w:hAnsi="黑体" w:eastAsia="黑体"/>
                <w:sz w:val="21"/>
                <w:szCs w:val="21"/>
              </w:rPr>
              <w:t>1</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12850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149E124">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64806B0A">
      <w:pPr>
        <w:pStyle w:val="52"/>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8FDCE44">
      <w:pPr>
        <w:pStyle w:val="197"/>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7F1150E">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441DF7">
      <w:pPr>
        <w:spacing w:line="240" w:lineRule="auto"/>
        <w:rPr>
          <w:rFonts w:hint="eastAsia" w:ascii="黑体" w:hAnsi="黑体" w:eastAsia="黑体"/>
          <w:kern w:val="0"/>
          <w:sz w:val="10"/>
          <w:szCs w:val="10"/>
        </w:rPr>
      </w:pPr>
      <w:r>
        <w:rPr>
          <w:rFonts w:hint="eastAsia"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3+I8zYAAAA&#10;DAEAAA8AAAAAAAAAAQAgAAAAIgAAAGRycy9kb3ducmV2LnhtbFBLAQIUABQAAAAIAIdO4kD8zsUq&#10;5AEAAKsDAAAOAAAAAAAAAAEAIAAAACcBAABkcnMvZTJvRG9jLnhtbFBLBQYAAAAABgAGAFkBAAB9&#10;BQAAAAA=&#10;">
                <v:fill on="f" focussize="0,0"/>
                <v:stroke color="#000000" joinstyle="round"/>
                <v:imagedata o:title=""/>
                <o:lock v:ext="edit" aspectratio="f"/>
              </v:line>
            </w:pict>
          </mc:Fallback>
        </mc:AlternateContent>
      </w:r>
    </w:p>
    <w:p w14:paraId="1A0DB67D">
      <w:pPr>
        <w:pStyle w:val="52"/>
        <w:framePr w:w="9639" w:h="6976" w:hRule="exact" w:hSpace="0" w:vSpace="0" w:hAnchor="page" w:y="6408"/>
        <w:jc w:val="center"/>
        <w:rPr>
          <w:rFonts w:hint="eastAsia" w:ascii="黑体" w:hAnsi="黑体" w:eastAsia="黑体"/>
          <w:b w:val="0"/>
          <w:bCs w:val="0"/>
          <w:w w:val="100"/>
        </w:rPr>
      </w:pPr>
    </w:p>
    <w:p w14:paraId="75BAE03E">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矩形顶管施工技术规程</w:t>
      </w:r>
      <w:r>
        <w:fldChar w:fldCharType="end"/>
      </w:r>
      <w:bookmarkEnd w:id="9"/>
    </w:p>
    <w:p w14:paraId="6EB6CE1E">
      <w:pPr>
        <w:framePr w:w="9639" w:h="6974" w:hRule="exact" w:wrap="around" w:vAnchor="page" w:hAnchor="page" w:x="1419" w:y="6408" w:anchorLock="1"/>
        <w:ind w:left="-1418"/>
      </w:pPr>
    </w:p>
    <w:p w14:paraId="301F5341">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regulation for rectangle pipejacking</w:t>
      </w:r>
    </w:p>
    <w:p w14:paraId="4B57231C">
      <w:pPr>
        <w:pStyle w:val="127"/>
        <w:framePr w:w="9639" w:h="6974" w:hRule="exact" w:wrap="around" w:vAnchor="page" w:hAnchor="page" w:x="1419" w:y="6408" w:anchorLock="1"/>
        <w:textAlignment w:val="bottom"/>
        <w:rPr>
          <w:rFonts w:eastAsia="黑体"/>
          <w:szCs w:val="28"/>
        </w:rPr>
      </w:pPr>
    </w:p>
    <w:p w14:paraId="5D4C9ADB">
      <w:pPr>
        <w:pStyle w:val="127"/>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66653103">
      <w:pPr>
        <w:pStyle w:val="127"/>
        <w:framePr w:w="9639" w:h="6974" w:hRule="exact" w:wrap="around" w:vAnchor="page" w:hAnchor="page" w:x="1419" w:y="6408" w:anchorLock="1"/>
        <w:textAlignment w:val="bottom"/>
        <w:rPr>
          <w:rFonts w:eastAsia="黑体"/>
          <w:szCs w:val="28"/>
        </w:rPr>
      </w:pPr>
    </w:p>
    <w:p w14:paraId="4D39C167">
      <w:pPr>
        <w:pStyle w:val="127"/>
        <w:framePr w:w="9639" w:h="6974" w:hRule="exact" w:wrap="around" w:vAnchor="page" w:hAnchor="page" w:x="1419" w:y="6408" w:anchorLock="1"/>
        <w:textAlignment w:val="bottom"/>
        <w:rPr>
          <w:rFonts w:eastAsia="黑体"/>
          <w:szCs w:val="28"/>
        </w:rPr>
      </w:pPr>
    </w:p>
    <w:p w14:paraId="36444EC8">
      <w:pPr>
        <w:pStyle w:val="127"/>
        <w:framePr w:w="9639" w:h="6974" w:hRule="exact" w:wrap="around" w:vAnchor="page" w:hAnchor="page" w:x="1419" w:y="6408" w:anchorLock="1"/>
        <w:textAlignment w:val="bottom"/>
        <w:rPr>
          <w:rFonts w:eastAsia="黑体"/>
          <w:szCs w:val="28"/>
        </w:rPr>
      </w:pPr>
    </w:p>
    <w:p w14:paraId="03018146">
      <w:pPr>
        <w:pStyle w:val="127"/>
        <w:framePr w:w="9639" w:h="6974" w:hRule="exact" w:wrap="around" w:vAnchor="page" w:hAnchor="page" w:x="1419" w:y="6408" w:anchorLock="1"/>
        <w:textAlignment w:val="bottom"/>
        <w:rPr>
          <w:rFonts w:eastAsia="黑体"/>
          <w:szCs w:val="28"/>
        </w:rPr>
      </w:pPr>
    </w:p>
    <w:p w14:paraId="017B3711">
      <w:pPr>
        <w:pStyle w:val="127"/>
        <w:framePr w:w="9639" w:h="6974" w:hRule="exact" w:wrap="around" w:vAnchor="page" w:hAnchor="page" w:x="1419" w:y="6408" w:anchorLock="1"/>
        <w:textAlignment w:val="bottom"/>
        <w:rPr>
          <w:rFonts w:eastAsia="黑体"/>
          <w:szCs w:val="28"/>
        </w:rPr>
      </w:pPr>
      <w:r>
        <w:rPr>
          <w:rFonts w:eastAsia="黑体"/>
          <w:szCs w:val="28"/>
        </w:rPr>
        <w:fldChar w:fldCharType="end"/>
      </w:r>
      <w:bookmarkEnd w:id="10"/>
    </w:p>
    <w:p w14:paraId="710E0332">
      <w:pPr>
        <w:framePr w:w="9639" w:h="6974" w:hRule="exact" w:wrap="around" w:vAnchor="page" w:hAnchor="page" w:x="1419" w:y="6408" w:anchorLock="1"/>
        <w:spacing w:line="760" w:lineRule="exact"/>
        <w:ind w:left="-1418"/>
      </w:pPr>
    </w:p>
    <w:p w14:paraId="43DAB774">
      <w:pPr>
        <w:pStyle w:val="127"/>
        <w:framePr w:w="9639" w:h="6974" w:hRule="exact" w:wrap="around" w:vAnchor="page" w:hAnchor="page" w:x="1419" w:y="6408" w:anchorLock="1"/>
        <w:textAlignment w:val="bottom"/>
        <w:rPr>
          <w:rFonts w:eastAsia="黑体"/>
          <w:szCs w:val="28"/>
        </w:rPr>
      </w:pPr>
    </w:p>
    <w:p w14:paraId="50164751">
      <w:pPr>
        <w:pStyle w:val="195"/>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76CF984D">
      <w:pPr>
        <w:pStyle w:val="196"/>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tbl>
      <w:tblPr>
        <w:tblStyle w:val="28"/>
        <w:tblpPr w:leftFromText="180" w:rightFromText="180" w:vertAnchor="text" w:horzAnchor="margin" w:tblpXSpec="center" w:tblpY="14394"/>
        <w:tblW w:w="0" w:type="auto"/>
        <w:tblInd w:w="0" w:type="dxa"/>
        <w:tblLayout w:type="fixed"/>
        <w:tblCellMar>
          <w:top w:w="0" w:type="dxa"/>
          <w:left w:w="108" w:type="dxa"/>
          <w:bottom w:w="0" w:type="dxa"/>
          <w:right w:w="108" w:type="dxa"/>
        </w:tblCellMar>
      </w:tblPr>
      <w:tblGrid>
        <w:gridCol w:w="4925"/>
        <w:gridCol w:w="2021"/>
      </w:tblGrid>
      <w:tr w14:paraId="061A1CFD">
        <w:tblPrEx>
          <w:tblCellMar>
            <w:top w:w="0" w:type="dxa"/>
            <w:left w:w="108" w:type="dxa"/>
            <w:bottom w:w="0" w:type="dxa"/>
            <w:right w:w="108" w:type="dxa"/>
          </w:tblCellMar>
        </w:tblPrEx>
        <w:tc>
          <w:tcPr>
            <w:tcW w:w="4925" w:type="dxa"/>
            <w:vAlign w:val="center"/>
          </w:tcPr>
          <w:p w14:paraId="1790B014">
            <w:pPr>
              <w:spacing w:line="0" w:lineRule="atLeast"/>
              <w:jc w:val="distribute"/>
              <w:rPr>
                <w:rFonts w:ascii="黑体" w:hAnsi="Calibri Light" w:eastAsia="黑体"/>
                <w:b/>
                <w:bCs/>
                <w:sz w:val="32"/>
                <w:szCs w:val="32"/>
              </w:rPr>
            </w:pPr>
            <w:r>
              <w:rPr>
                <w:rFonts w:hint="eastAsia" w:ascii="黑体" w:eastAsia="黑体"/>
                <w:sz w:val="32"/>
                <w:szCs w:val="32"/>
              </w:rPr>
              <w:t>湖北省住房和城乡建设厅</w:t>
            </w:r>
          </w:p>
        </w:tc>
        <w:tc>
          <w:tcPr>
            <w:tcW w:w="2021" w:type="dxa"/>
            <w:vMerge w:val="restart"/>
            <w:vAlign w:val="center"/>
          </w:tcPr>
          <w:p w14:paraId="078B7D91">
            <w:pPr>
              <w:spacing w:line="0" w:lineRule="atLeast"/>
              <w:jc w:val="center"/>
              <w:rPr>
                <w:rFonts w:ascii="黑体" w:eastAsia="黑体"/>
                <w:sz w:val="28"/>
                <w:szCs w:val="28"/>
              </w:rPr>
            </w:pPr>
            <w:r>
              <w:rPr>
                <w:rFonts w:hint="eastAsia" w:ascii="黑体" w:eastAsia="黑体"/>
                <w:sz w:val="32"/>
                <w:szCs w:val="28"/>
              </w:rPr>
              <w:t>联 合 发 布</w:t>
            </w:r>
          </w:p>
        </w:tc>
      </w:tr>
      <w:tr w14:paraId="030A4D52">
        <w:tblPrEx>
          <w:tblCellMar>
            <w:top w:w="0" w:type="dxa"/>
            <w:left w:w="108" w:type="dxa"/>
            <w:bottom w:w="0" w:type="dxa"/>
            <w:right w:w="108" w:type="dxa"/>
          </w:tblCellMar>
        </w:tblPrEx>
        <w:trPr>
          <w:trHeight w:val="429" w:hRule="atLeast"/>
        </w:trPr>
        <w:tc>
          <w:tcPr>
            <w:tcW w:w="4925" w:type="dxa"/>
            <w:vAlign w:val="center"/>
          </w:tcPr>
          <w:p w14:paraId="4CFD00C4">
            <w:pPr>
              <w:spacing w:line="0" w:lineRule="atLeast"/>
              <w:jc w:val="distribute"/>
              <w:rPr>
                <w:rFonts w:ascii="黑体" w:eastAsia="黑体"/>
                <w:sz w:val="32"/>
                <w:szCs w:val="32"/>
              </w:rPr>
            </w:pPr>
            <w:r>
              <w:rPr>
                <w:rFonts w:hint="eastAsia" w:ascii="黑体" w:eastAsia="黑体"/>
                <w:sz w:val="32"/>
                <w:szCs w:val="32"/>
              </w:rPr>
              <w:t>湖北省市场监督管理局</w:t>
            </w:r>
          </w:p>
        </w:tc>
        <w:tc>
          <w:tcPr>
            <w:tcW w:w="2021" w:type="dxa"/>
            <w:vMerge w:val="continue"/>
            <w:vAlign w:val="center"/>
          </w:tcPr>
          <w:p w14:paraId="5CFD96E0">
            <w:pPr>
              <w:spacing w:line="0" w:lineRule="atLeast"/>
              <w:jc w:val="center"/>
              <w:rPr>
                <w:rFonts w:ascii="黑体" w:eastAsia="黑体"/>
                <w:sz w:val="32"/>
                <w:szCs w:val="32"/>
              </w:rPr>
            </w:pPr>
          </w:p>
        </w:tc>
      </w:tr>
    </w:tbl>
    <w:p w14:paraId="48014B9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W9Oey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TZN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VvTnsuMB&#10;AACqAwAADgAAAAAAAAABACAAAAAmAQAAZHJzL2Uyb0RvYy54bWxQSwUGAAAAAAYABgBZAQAAewUA&#10;AAAA&#10;">
                <v:fill on="f" focussize="0,0"/>
                <v:stroke color="#000000" joinstyle="round"/>
                <v:imagedata o:title=""/>
                <o:lock v:ext="edit" aspectratio="f"/>
                <w10:anchorlock/>
              </v:line>
            </w:pict>
          </mc:Fallback>
        </mc:AlternateContent>
      </w:r>
    </w:p>
    <w:p w14:paraId="68612C3D">
      <w:pPr>
        <w:pStyle w:val="93"/>
        <w:spacing w:after="468"/>
      </w:pPr>
      <w:bookmarkStart w:id="17" w:name="BookMark1"/>
      <w:bookmarkStart w:id="18" w:name="_Toc100142409"/>
      <w:r>
        <w:rPr>
          <w:rFonts w:hint="eastAsia"/>
          <w:spacing w:val="320"/>
        </w:rPr>
        <w:t>目</w:t>
      </w:r>
      <w:r>
        <w:rPr>
          <w:rFonts w:hint="eastAsia"/>
        </w:rPr>
        <w:t>次</w:t>
      </w:r>
    </w:p>
    <w:p w14:paraId="32AF8CBA">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"_Toc100145149" </w:instrText>
      </w:r>
      <w:r>
        <w:fldChar w:fldCharType="separate"/>
      </w:r>
      <w:r>
        <w:rPr>
          <w:rStyle w:val="34"/>
        </w:rPr>
        <w:t>前言</w:t>
      </w:r>
      <w:r>
        <w:tab/>
      </w:r>
      <w:r>
        <w:fldChar w:fldCharType="begin"/>
      </w:r>
      <w:r>
        <w:instrText xml:space="preserve"> PAGEREF _Toc100145149 \h </w:instrText>
      </w:r>
      <w:r>
        <w:fldChar w:fldCharType="separate"/>
      </w:r>
      <w:r>
        <w:t>III</w:t>
      </w:r>
      <w:r>
        <w:fldChar w:fldCharType="end"/>
      </w:r>
      <w:r>
        <w:fldChar w:fldCharType="end"/>
      </w:r>
    </w:p>
    <w:p w14:paraId="163CAD5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"_Toc100145151" </w:instrText>
      </w:r>
      <w:r>
        <w:fldChar w:fldCharType="separate"/>
      </w:r>
      <w:r>
        <w:rPr>
          <w:rStyle w:val="34"/>
        </w:rPr>
        <w:t>1 范围</w:t>
      </w:r>
      <w:r>
        <w:tab/>
      </w:r>
      <w:r>
        <w:fldChar w:fldCharType="begin"/>
      </w:r>
      <w:r>
        <w:instrText xml:space="preserve"> PAGEREF _Toc100145151 \h </w:instrText>
      </w:r>
      <w:r>
        <w:fldChar w:fldCharType="separate"/>
      </w:r>
      <w:r>
        <w:t>1</w:t>
      </w:r>
      <w:r>
        <w:fldChar w:fldCharType="end"/>
      </w:r>
      <w:r>
        <w:fldChar w:fldCharType="end"/>
      </w:r>
    </w:p>
    <w:p w14:paraId="6C7EC05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"_Toc100145152" </w:instrText>
      </w:r>
      <w:r>
        <w:fldChar w:fldCharType="separate"/>
      </w:r>
      <w:r>
        <w:rPr>
          <w:rStyle w:val="34"/>
        </w:rPr>
        <w:t>2 规范性引用文件</w:t>
      </w:r>
      <w:r>
        <w:tab/>
      </w:r>
      <w:r>
        <w:fldChar w:fldCharType="begin"/>
      </w:r>
      <w:r>
        <w:instrText xml:space="preserve"> PAGEREF _Toc100145152 \h </w:instrText>
      </w:r>
      <w:r>
        <w:fldChar w:fldCharType="separate"/>
      </w:r>
      <w:r>
        <w:t>1</w:t>
      </w:r>
      <w:r>
        <w:fldChar w:fldCharType="end"/>
      </w:r>
      <w:r>
        <w:fldChar w:fldCharType="end"/>
      </w:r>
    </w:p>
    <w:p w14:paraId="66B480B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"_Toc100145153" </w:instrText>
      </w:r>
      <w:r>
        <w:fldChar w:fldCharType="separate"/>
      </w:r>
      <w:r>
        <w:rPr>
          <w:rStyle w:val="34"/>
        </w:rPr>
        <w:t>3 术语和定义</w:t>
      </w:r>
      <w:r>
        <w:tab/>
      </w:r>
      <w:r>
        <w:fldChar w:fldCharType="begin"/>
      </w:r>
      <w:r>
        <w:instrText xml:space="preserve"> PAGEREF _Toc100145153 \h </w:instrText>
      </w:r>
      <w:r>
        <w:fldChar w:fldCharType="separate"/>
      </w:r>
      <w:r>
        <w:t>1</w:t>
      </w:r>
      <w:r>
        <w:fldChar w:fldCharType="end"/>
      </w:r>
      <w:r>
        <w:fldChar w:fldCharType="end"/>
      </w:r>
    </w:p>
    <w:p w14:paraId="1100003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"_Toc100145154" </w:instrText>
      </w:r>
      <w:r>
        <w:fldChar w:fldCharType="separate"/>
      </w:r>
      <w:r>
        <w:rPr>
          <w:rStyle w:val="34"/>
        </w:rPr>
        <w:t>4 符号</w:t>
      </w:r>
      <w:r>
        <w:tab/>
      </w:r>
      <w:r>
        <w:fldChar w:fldCharType="begin"/>
      </w:r>
      <w:r>
        <w:instrText xml:space="preserve"> PAGEREF _Toc100145154 \h </w:instrText>
      </w:r>
      <w:r>
        <w:fldChar w:fldCharType="separate"/>
      </w:r>
      <w:r>
        <w:t>2</w:t>
      </w:r>
      <w:r>
        <w:fldChar w:fldCharType="end"/>
      </w:r>
      <w:r>
        <w:fldChar w:fldCharType="end"/>
      </w:r>
    </w:p>
    <w:p w14:paraId="5B5AE3C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"_Toc100145159" </w:instrText>
      </w:r>
      <w:r>
        <w:fldChar w:fldCharType="separate"/>
      </w:r>
      <w:r>
        <w:rPr>
          <w:rStyle w:val="34"/>
        </w:rPr>
        <w:t>5 总则</w:t>
      </w:r>
      <w:r>
        <w:tab/>
      </w:r>
      <w:r>
        <w:fldChar w:fldCharType="begin"/>
      </w:r>
      <w:r>
        <w:instrText xml:space="preserve"> PAGEREF _Toc100145159 \h </w:instrText>
      </w:r>
      <w:r>
        <w:fldChar w:fldCharType="separate"/>
      </w:r>
      <w:r>
        <w:t>3</w:t>
      </w:r>
      <w:r>
        <w:fldChar w:fldCharType="end"/>
      </w:r>
      <w:r>
        <w:fldChar w:fldCharType="end"/>
      </w:r>
    </w:p>
    <w:p w14:paraId="44FFB792">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"_Toc100145160" </w:instrText>
      </w:r>
      <w:r>
        <w:fldChar w:fldCharType="separate"/>
      </w:r>
      <w:r>
        <w:rPr>
          <w:rStyle w:val="34"/>
        </w:rPr>
        <w:t>6 基本规定</w:t>
      </w:r>
      <w:r>
        <w:tab/>
      </w:r>
      <w:r>
        <w:fldChar w:fldCharType="begin"/>
      </w:r>
      <w:r>
        <w:instrText xml:space="preserve"> PAGEREF _Toc100145160 \h </w:instrText>
      </w:r>
      <w:r>
        <w:fldChar w:fldCharType="separate"/>
      </w:r>
      <w:r>
        <w:t>3</w:t>
      </w:r>
      <w:r>
        <w:fldChar w:fldCharType="end"/>
      </w:r>
      <w:r>
        <w:fldChar w:fldCharType="end"/>
      </w:r>
    </w:p>
    <w:p w14:paraId="52CBEAC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"_Toc100145161" </w:instrText>
      </w:r>
      <w:r>
        <w:fldChar w:fldCharType="separate"/>
      </w:r>
      <w:r>
        <w:rPr>
          <w:rStyle w:val="34"/>
          <w:rFonts w:hAnsi="Calibri" w:cs="Calibri"/>
        </w:rPr>
        <w:t>7</w:t>
      </w:r>
      <w:r>
        <w:rPr>
          <w:rStyle w:val="34"/>
        </w:rPr>
        <w:t xml:space="preserve"> 管节顶进施工</w:t>
      </w:r>
      <w:r>
        <w:tab/>
      </w:r>
      <w:r>
        <w:fldChar w:fldCharType="begin"/>
      </w:r>
      <w:r>
        <w:instrText xml:space="preserve"> PAGEREF _Toc100145161 \h </w:instrText>
      </w:r>
      <w:r>
        <w:fldChar w:fldCharType="separate"/>
      </w:r>
      <w:r>
        <w:t>4</w:t>
      </w:r>
      <w:r>
        <w:fldChar w:fldCharType="end"/>
      </w:r>
      <w:r>
        <w:fldChar w:fldCharType="end"/>
      </w:r>
    </w:p>
    <w:p w14:paraId="113103BF">
      <w:pPr>
        <w:pStyle w:val="25"/>
        <w:rPr>
          <w:rFonts w:hint="eastAsia" w:asciiTheme="minorHAnsi" w:hAnsiTheme="minorHAnsi" w:eastAsiaTheme="minorEastAsia" w:cstheme="minorBidi"/>
          <w:szCs w:val="22"/>
        </w:rPr>
      </w:pPr>
      <w:r>
        <w:fldChar w:fldCharType="begin"/>
      </w:r>
      <w:r>
        <w:instrText xml:space="preserve"> HYPERLINK \l "_Toc100145162" </w:instrText>
      </w:r>
      <w:r>
        <w:fldChar w:fldCharType="separate"/>
      </w:r>
      <w:r>
        <w:rPr>
          <w:rStyle w:val="34"/>
        </w:rPr>
        <w:t>7.1 一般规定</w:t>
      </w:r>
      <w:r>
        <w:tab/>
      </w:r>
      <w:r>
        <w:fldChar w:fldCharType="begin"/>
      </w:r>
      <w:r>
        <w:instrText xml:space="preserve"> PAGEREF _Toc100145162 \h </w:instrText>
      </w:r>
      <w:r>
        <w:fldChar w:fldCharType="separate"/>
      </w:r>
      <w:r>
        <w:t>4</w:t>
      </w:r>
      <w:r>
        <w:fldChar w:fldCharType="end"/>
      </w:r>
      <w:r>
        <w:fldChar w:fldCharType="end"/>
      </w:r>
    </w:p>
    <w:p w14:paraId="41AB5FF8">
      <w:pPr>
        <w:pStyle w:val="25"/>
        <w:rPr>
          <w:rFonts w:hint="eastAsia" w:asciiTheme="minorHAnsi" w:hAnsiTheme="minorHAnsi" w:eastAsiaTheme="minorEastAsia" w:cstheme="minorBidi"/>
          <w:szCs w:val="22"/>
        </w:rPr>
      </w:pPr>
      <w:r>
        <w:fldChar w:fldCharType="begin"/>
      </w:r>
      <w:r>
        <w:instrText xml:space="preserve"> HYPERLINK \l "_Toc100145163" </w:instrText>
      </w:r>
      <w:r>
        <w:fldChar w:fldCharType="separate"/>
      </w:r>
      <w:r>
        <w:rPr>
          <w:rStyle w:val="34"/>
        </w:rPr>
        <w:t>7.2 顶管机始发</w:t>
      </w:r>
      <w:r>
        <w:tab/>
      </w:r>
      <w:r>
        <w:fldChar w:fldCharType="begin"/>
      </w:r>
      <w:r>
        <w:instrText xml:space="preserve"> PAGEREF _Toc100145163 \h </w:instrText>
      </w:r>
      <w:r>
        <w:fldChar w:fldCharType="separate"/>
      </w:r>
      <w:r>
        <w:t>4</w:t>
      </w:r>
      <w:r>
        <w:fldChar w:fldCharType="end"/>
      </w:r>
      <w:r>
        <w:fldChar w:fldCharType="end"/>
      </w:r>
    </w:p>
    <w:p w14:paraId="33996758">
      <w:pPr>
        <w:pStyle w:val="25"/>
        <w:rPr>
          <w:rFonts w:hint="eastAsia" w:asciiTheme="minorHAnsi" w:hAnsiTheme="minorHAnsi" w:eastAsiaTheme="minorEastAsia" w:cstheme="minorBidi"/>
          <w:szCs w:val="22"/>
        </w:rPr>
      </w:pPr>
      <w:r>
        <w:fldChar w:fldCharType="begin"/>
      </w:r>
      <w:r>
        <w:instrText xml:space="preserve"> HYPERLINK \l "_Toc100145164" </w:instrText>
      </w:r>
      <w:r>
        <w:fldChar w:fldCharType="separate"/>
      </w:r>
      <w:r>
        <w:rPr>
          <w:rStyle w:val="34"/>
        </w:rPr>
        <w:t>7.3 管节安装</w:t>
      </w:r>
      <w:r>
        <w:tab/>
      </w:r>
      <w:r>
        <w:fldChar w:fldCharType="begin"/>
      </w:r>
      <w:r>
        <w:instrText xml:space="preserve"> PAGEREF _Toc100145164 \h </w:instrText>
      </w:r>
      <w:r>
        <w:fldChar w:fldCharType="separate"/>
      </w:r>
      <w:r>
        <w:t>5</w:t>
      </w:r>
      <w:r>
        <w:fldChar w:fldCharType="end"/>
      </w:r>
      <w:r>
        <w:fldChar w:fldCharType="end"/>
      </w:r>
    </w:p>
    <w:p w14:paraId="4FCC6838">
      <w:pPr>
        <w:pStyle w:val="25"/>
        <w:rPr>
          <w:rFonts w:hint="eastAsia" w:asciiTheme="minorHAnsi" w:hAnsiTheme="minorHAnsi" w:eastAsiaTheme="minorEastAsia" w:cstheme="minorBidi"/>
          <w:szCs w:val="22"/>
        </w:rPr>
      </w:pPr>
      <w:r>
        <w:fldChar w:fldCharType="begin"/>
      </w:r>
      <w:r>
        <w:instrText xml:space="preserve"> HYPERLINK \l "_Toc100145165" </w:instrText>
      </w:r>
      <w:r>
        <w:fldChar w:fldCharType="separate"/>
      </w:r>
      <w:r>
        <w:rPr>
          <w:rStyle w:val="34"/>
        </w:rPr>
        <w:t>7.4 管道顶进</w:t>
      </w:r>
      <w:r>
        <w:tab/>
      </w:r>
      <w:r>
        <w:fldChar w:fldCharType="begin"/>
      </w:r>
      <w:r>
        <w:instrText xml:space="preserve"> PAGEREF _Toc100145165 \h </w:instrText>
      </w:r>
      <w:r>
        <w:fldChar w:fldCharType="separate"/>
      </w:r>
      <w:r>
        <w:t>5</w:t>
      </w:r>
      <w:r>
        <w:fldChar w:fldCharType="end"/>
      </w:r>
      <w:r>
        <w:fldChar w:fldCharType="end"/>
      </w:r>
    </w:p>
    <w:p w14:paraId="46B86F52">
      <w:pPr>
        <w:pStyle w:val="25"/>
        <w:rPr>
          <w:rFonts w:hint="eastAsia" w:asciiTheme="minorHAnsi" w:hAnsiTheme="minorHAnsi" w:eastAsiaTheme="minorEastAsia" w:cstheme="minorBidi"/>
          <w:szCs w:val="22"/>
        </w:rPr>
      </w:pPr>
      <w:r>
        <w:fldChar w:fldCharType="begin"/>
      </w:r>
      <w:r>
        <w:instrText xml:space="preserve"> HYPERLINK \l "_Toc100145166" </w:instrText>
      </w:r>
      <w:r>
        <w:fldChar w:fldCharType="separate"/>
      </w:r>
      <w:r>
        <w:rPr>
          <w:rStyle w:val="34"/>
        </w:rPr>
        <w:t>7.5 渣土改良及外运</w:t>
      </w:r>
      <w:r>
        <w:tab/>
      </w:r>
      <w:r>
        <w:fldChar w:fldCharType="begin"/>
      </w:r>
      <w:r>
        <w:instrText xml:space="preserve"> PAGEREF _Toc100145166 \h </w:instrText>
      </w:r>
      <w:r>
        <w:fldChar w:fldCharType="separate"/>
      </w:r>
      <w:r>
        <w:t>8</w:t>
      </w:r>
      <w:r>
        <w:fldChar w:fldCharType="end"/>
      </w:r>
      <w:r>
        <w:fldChar w:fldCharType="end"/>
      </w:r>
    </w:p>
    <w:p w14:paraId="40538A34">
      <w:pPr>
        <w:pStyle w:val="25"/>
        <w:rPr>
          <w:rFonts w:hint="eastAsia" w:asciiTheme="minorHAnsi" w:hAnsiTheme="minorHAnsi" w:eastAsiaTheme="minorEastAsia" w:cstheme="minorBidi"/>
          <w:szCs w:val="22"/>
        </w:rPr>
      </w:pPr>
      <w:r>
        <w:fldChar w:fldCharType="begin"/>
      </w:r>
      <w:r>
        <w:instrText xml:space="preserve"> HYPERLINK \l "_Toc100145167" </w:instrText>
      </w:r>
      <w:r>
        <w:fldChar w:fldCharType="separate"/>
      </w:r>
      <w:r>
        <w:rPr>
          <w:rStyle w:val="34"/>
        </w:rPr>
        <w:t>7.6 顶管纠偏控制</w:t>
      </w:r>
      <w:r>
        <w:tab/>
      </w:r>
      <w:r>
        <w:fldChar w:fldCharType="begin"/>
      </w:r>
      <w:r>
        <w:instrText xml:space="preserve"> PAGEREF _Toc100145167 \h </w:instrText>
      </w:r>
      <w:r>
        <w:fldChar w:fldCharType="separate"/>
      </w:r>
      <w:r>
        <w:t>8</w:t>
      </w:r>
      <w:r>
        <w:fldChar w:fldCharType="end"/>
      </w:r>
      <w:r>
        <w:fldChar w:fldCharType="end"/>
      </w:r>
    </w:p>
    <w:p w14:paraId="464F6B92">
      <w:pPr>
        <w:pStyle w:val="25"/>
        <w:rPr>
          <w:rFonts w:hint="eastAsia" w:asciiTheme="minorHAnsi" w:hAnsiTheme="minorHAnsi" w:eastAsiaTheme="minorEastAsia" w:cstheme="minorBidi"/>
          <w:szCs w:val="22"/>
        </w:rPr>
      </w:pPr>
      <w:r>
        <w:fldChar w:fldCharType="begin"/>
      </w:r>
      <w:r>
        <w:instrText xml:space="preserve"> HYPERLINK \l "_Toc100145168" </w:instrText>
      </w:r>
      <w:r>
        <w:fldChar w:fldCharType="separate"/>
      </w:r>
      <w:r>
        <w:rPr>
          <w:rStyle w:val="34"/>
        </w:rPr>
        <w:t>7.7 地面隆沉控制</w:t>
      </w:r>
      <w:r>
        <w:tab/>
      </w:r>
      <w:r>
        <w:fldChar w:fldCharType="begin"/>
      </w:r>
      <w:r>
        <w:instrText xml:space="preserve"> PAGEREF _Toc100145168 \h </w:instrText>
      </w:r>
      <w:r>
        <w:fldChar w:fldCharType="separate"/>
      </w:r>
      <w:r>
        <w:t>8</w:t>
      </w:r>
      <w:r>
        <w:fldChar w:fldCharType="end"/>
      </w:r>
      <w:r>
        <w:fldChar w:fldCharType="end"/>
      </w:r>
    </w:p>
    <w:p w14:paraId="5C134739">
      <w:pPr>
        <w:pStyle w:val="25"/>
        <w:rPr>
          <w:rFonts w:hint="eastAsia" w:asciiTheme="minorHAnsi" w:hAnsiTheme="minorHAnsi" w:eastAsiaTheme="minorEastAsia" w:cstheme="minorBidi"/>
          <w:szCs w:val="22"/>
        </w:rPr>
      </w:pPr>
      <w:r>
        <w:fldChar w:fldCharType="begin"/>
      </w:r>
      <w:r>
        <w:instrText xml:space="preserve"> HYPERLINK \l "_Toc100145169" </w:instrText>
      </w:r>
      <w:r>
        <w:fldChar w:fldCharType="separate"/>
      </w:r>
      <w:r>
        <w:rPr>
          <w:rStyle w:val="34"/>
        </w:rPr>
        <w:t>7.8 顶管机接收</w:t>
      </w:r>
      <w:r>
        <w:tab/>
      </w:r>
      <w:r>
        <w:fldChar w:fldCharType="begin"/>
      </w:r>
      <w:r>
        <w:instrText xml:space="preserve"> PAGEREF _Toc100145169 \h </w:instrText>
      </w:r>
      <w:r>
        <w:fldChar w:fldCharType="separate"/>
      </w:r>
      <w:r>
        <w:t>8</w:t>
      </w:r>
      <w:r>
        <w:fldChar w:fldCharType="end"/>
      </w:r>
      <w:r>
        <w:fldChar w:fldCharType="end"/>
      </w:r>
    </w:p>
    <w:p w14:paraId="1B80C3F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"_Toc100145170" </w:instrText>
      </w:r>
      <w:r>
        <w:fldChar w:fldCharType="separate"/>
      </w:r>
      <w:r>
        <w:rPr>
          <w:rStyle w:val="34"/>
        </w:rPr>
        <w:t>8 特殊地段顶管施工</w:t>
      </w:r>
      <w:r>
        <w:tab/>
      </w:r>
      <w:r>
        <w:fldChar w:fldCharType="begin"/>
      </w:r>
      <w:r>
        <w:instrText xml:space="preserve"> PAGEREF _Toc100145170 \h </w:instrText>
      </w:r>
      <w:r>
        <w:fldChar w:fldCharType="separate"/>
      </w:r>
      <w:r>
        <w:t>9</w:t>
      </w:r>
      <w:r>
        <w:fldChar w:fldCharType="end"/>
      </w:r>
      <w:r>
        <w:fldChar w:fldCharType="end"/>
      </w:r>
    </w:p>
    <w:p w14:paraId="4DA013B6">
      <w:pPr>
        <w:pStyle w:val="25"/>
        <w:rPr>
          <w:rFonts w:hint="eastAsia" w:asciiTheme="minorHAnsi" w:hAnsiTheme="minorHAnsi" w:eastAsiaTheme="minorEastAsia" w:cstheme="minorBidi"/>
          <w:szCs w:val="22"/>
        </w:rPr>
      </w:pPr>
      <w:r>
        <w:fldChar w:fldCharType="begin"/>
      </w:r>
      <w:r>
        <w:instrText xml:space="preserve"> HYPERLINK \l "_Toc100145171" </w:instrText>
      </w:r>
      <w:r>
        <w:fldChar w:fldCharType="separate"/>
      </w:r>
      <w:r>
        <w:rPr>
          <w:rStyle w:val="34"/>
        </w:rPr>
        <w:t>8.1 一般规定</w:t>
      </w:r>
      <w:r>
        <w:tab/>
      </w:r>
      <w:r>
        <w:fldChar w:fldCharType="begin"/>
      </w:r>
      <w:r>
        <w:instrText xml:space="preserve"> PAGEREF _Toc100145171 \h </w:instrText>
      </w:r>
      <w:r>
        <w:fldChar w:fldCharType="separate"/>
      </w:r>
      <w:r>
        <w:t>9</w:t>
      </w:r>
      <w:r>
        <w:fldChar w:fldCharType="end"/>
      </w:r>
      <w:r>
        <w:fldChar w:fldCharType="end"/>
      </w:r>
    </w:p>
    <w:p w14:paraId="7464FD17">
      <w:pPr>
        <w:pStyle w:val="25"/>
        <w:rPr>
          <w:rFonts w:hint="eastAsia" w:asciiTheme="minorHAnsi" w:hAnsiTheme="minorHAnsi" w:eastAsiaTheme="minorEastAsia" w:cstheme="minorBidi"/>
          <w:szCs w:val="22"/>
        </w:rPr>
      </w:pPr>
      <w:r>
        <w:fldChar w:fldCharType="begin"/>
      </w:r>
      <w:r>
        <w:instrText xml:space="preserve"> HYPERLINK \l "_Toc100145172" </w:instrText>
      </w:r>
      <w:r>
        <w:fldChar w:fldCharType="separate"/>
      </w:r>
      <w:r>
        <w:rPr>
          <w:rStyle w:val="34"/>
        </w:rPr>
        <w:t>8.2 浅覆土段施工</w:t>
      </w:r>
      <w:r>
        <w:tab/>
      </w:r>
      <w:r>
        <w:fldChar w:fldCharType="begin"/>
      </w:r>
      <w:r>
        <w:instrText xml:space="preserve"> PAGEREF _Toc100145172 \h </w:instrText>
      </w:r>
      <w:r>
        <w:fldChar w:fldCharType="separate"/>
      </w:r>
      <w:r>
        <w:t>9</w:t>
      </w:r>
      <w:r>
        <w:fldChar w:fldCharType="end"/>
      </w:r>
      <w:r>
        <w:fldChar w:fldCharType="end"/>
      </w:r>
    </w:p>
    <w:p w14:paraId="7CD827B0">
      <w:pPr>
        <w:pStyle w:val="25"/>
        <w:rPr>
          <w:rFonts w:hint="eastAsia" w:asciiTheme="minorHAnsi" w:hAnsiTheme="minorHAnsi" w:eastAsiaTheme="minorEastAsia" w:cstheme="minorBidi"/>
          <w:szCs w:val="22"/>
        </w:rPr>
      </w:pPr>
      <w:r>
        <w:fldChar w:fldCharType="begin"/>
      </w:r>
      <w:r>
        <w:instrText xml:space="preserve"> HYPERLINK \l "_Toc100145173" </w:instrText>
      </w:r>
      <w:r>
        <w:fldChar w:fldCharType="separate"/>
      </w:r>
      <w:r>
        <w:rPr>
          <w:rStyle w:val="34"/>
        </w:rPr>
        <w:t>8.3 穿越建（构）筑物施工</w:t>
      </w:r>
      <w:r>
        <w:tab/>
      </w:r>
      <w:r>
        <w:fldChar w:fldCharType="begin"/>
      </w:r>
      <w:r>
        <w:instrText xml:space="preserve"> PAGEREF _Toc100145173 \h </w:instrText>
      </w:r>
      <w:r>
        <w:fldChar w:fldCharType="separate"/>
      </w:r>
      <w:r>
        <w:t>9</w:t>
      </w:r>
      <w:r>
        <w:fldChar w:fldCharType="end"/>
      </w:r>
      <w:r>
        <w:fldChar w:fldCharType="end"/>
      </w:r>
    </w:p>
    <w:p w14:paraId="34399F91">
      <w:pPr>
        <w:pStyle w:val="25"/>
        <w:rPr>
          <w:rFonts w:hint="eastAsia" w:asciiTheme="minorHAnsi" w:hAnsiTheme="minorHAnsi" w:eastAsiaTheme="minorEastAsia" w:cstheme="minorBidi"/>
          <w:szCs w:val="22"/>
        </w:rPr>
      </w:pPr>
      <w:r>
        <w:fldChar w:fldCharType="begin"/>
      </w:r>
      <w:r>
        <w:instrText xml:space="preserve"> HYPERLINK \l "_Toc100145174" </w:instrText>
      </w:r>
      <w:r>
        <w:fldChar w:fldCharType="separate"/>
      </w:r>
      <w:r>
        <w:rPr>
          <w:rStyle w:val="34"/>
        </w:rPr>
        <w:t>8.4 突遇不明障碍物施工</w:t>
      </w:r>
      <w:r>
        <w:tab/>
      </w:r>
      <w:r>
        <w:fldChar w:fldCharType="begin"/>
      </w:r>
      <w:r>
        <w:instrText xml:space="preserve"> PAGEREF _Toc100145174 \h </w:instrText>
      </w:r>
      <w:r>
        <w:fldChar w:fldCharType="separate"/>
      </w:r>
      <w:r>
        <w:t>10</w:t>
      </w:r>
      <w:r>
        <w:fldChar w:fldCharType="end"/>
      </w:r>
      <w:r>
        <w:fldChar w:fldCharType="end"/>
      </w:r>
    </w:p>
    <w:p w14:paraId="6A99DF46">
      <w:pPr>
        <w:pStyle w:val="25"/>
        <w:rPr>
          <w:rFonts w:hint="eastAsia" w:asciiTheme="minorHAnsi" w:hAnsiTheme="minorHAnsi" w:eastAsiaTheme="minorEastAsia" w:cstheme="minorBidi"/>
          <w:szCs w:val="22"/>
        </w:rPr>
      </w:pPr>
      <w:r>
        <w:fldChar w:fldCharType="begin"/>
      </w:r>
      <w:r>
        <w:instrText xml:space="preserve"> HYPERLINK \l "_Toc100145175" </w:instrText>
      </w:r>
      <w:r>
        <w:fldChar w:fldCharType="separate"/>
      </w:r>
      <w:r>
        <w:rPr>
          <w:rStyle w:val="34"/>
        </w:rPr>
        <w:t>8.5 特殊地层施工</w:t>
      </w:r>
      <w:r>
        <w:tab/>
      </w:r>
      <w:r>
        <w:fldChar w:fldCharType="begin"/>
      </w:r>
      <w:r>
        <w:instrText xml:space="preserve"> PAGEREF _Toc100145175 \h </w:instrText>
      </w:r>
      <w:r>
        <w:fldChar w:fldCharType="separate"/>
      </w:r>
      <w:r>
        <w:t>10</w:t>
      </w:r>
      <w:r>
        <w:fldChar w:fldCharType="end"/>
      </w:r>
      <w:r>
        <w:fldChar w:fldCharType="end"/>
      </w:r>
    </w:p>
    <w:p w14:paraId="1C7CD22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"_Toc100145176" </w:instrText>
      </w:r>
      <w:r>
        <w:fldChar w:fldCharType="separate"/>
      </w:r>
      <w:r>
        <w:rPr>
          <w:rStyle w:val="34"/>
        </w:rPr>
        <w:t>9 管节注浆</w:t>
      </w:r>
      <w:r>
        <w:tab/>
      </w:r>
      <w:r>
        <w:fldChar w:fldCharType="begin"/>
      </w:r>
      <w:r>
        <w:instrText xml:space="preserve"> PAGEREF _Toc100145176 \h </w:instrText>
      </w:r>
      <w:r>
        <w:fldChar w:fldCharType="separate"/>
      </w:r>
      <w:r>
        <w:t>10</w:t>
      </w:r>
      <w:r>
        <w:fldChar w:fldCharType="end"/>
      </w:r>
      <w:r>
        <w:fldChar w:fldCharType="end"/>
      </w:r>
    </w:p>
    <w:p w14:paraId="6CE13E8B">
      <w:pPr>
        <w:pStyle w:val="25"/>
        <w:rPr>
          <w:rFonts w:hint="eastAsia" w:asciiTheme="minorHAnsi" w:hAnsiTheme="minorHAnsi" w:eastAsiaTheme="minorEastAsia" w:cstheme="minorBidi"/>
          <w:szCs w:val="22"/>
        </w:rPr>
      </w:pPr>
      <w:r>
        <w:fldChar w:fldCharType="begin"/>
      </w:r>
      <w:r>
        <w:instrText xml:space="preserve"> HYPERLINK \l "_Toc100145177" </w:instrText>
      </w:r>
      <w:r>
        <w:fldChar w:fldCharType="separate"/>
      </w:r>
      <w:r>
        <w:rPr>
          <w:rStyle w:val="34"/>
        </w:rPr>
        <w:t>9.1 一般规定</w:t>
      </w:r>
      <w:r>
        <w:tab/>
      </w:r>
      <w:r>
        <w:fldChar w:fldCharType="begin"/>
      </w:r>
      <w:r>
        <w:instrText xml:space="preserve"> PAGEREF _Toc100145177 \h </w:instrText>
      </w:r>
      <w:r>
        <w:fldChar w:fldCharType="separate"/>
      </w:r>
      <w:r>
        <w:t>11</w:t>
      </w:r>
      <w:r>
        <w:fldChar w:fldCharType="end"/>
      </w:r>
      <w:r>
        <w:fldChar w:fldCharType="end"/>
      </w:r>
    </w:p>
    <w:p w14:paraId="7D4F7C35">
      <w:pPr>
        <w:pStyle w:val="25"/>
        <w:rPr>
          <w:rFonts w:hint="eastAsia" w:asciiTheme="minorHAnsi" w:hAnsiTheme="minorHAnsi" w:eastAsiaTheme="minorEastAsia" w:cstheme="minorBidi"/>
          <w:szCs w:val="22"/>
        </w:rPr>
      </w:pPr>
      <w:r>
        <w:fldChar w:fldCharType="begin"/>
      </w:r>
      <w:r>
        <w:instrText xml:space="preserve"> HYPERLINK \l "_Toc100145178" </w:instrText>
      </w:r>
      <w:r>
        <w:fldChar w:fldCharType="separate"/>
      </w:r>
      <w:r>
        <w:rPr>
          <w:rStyle w:val="34"/>
        </w:rPr>
        <w:t>9.2 注浆减阻</w:t>
      </w:r>
      <w:r>
        <w:tab/>
      </w:r>
      <w:r>
        <w:fldChar w:fldCharType="begin"/>
      </w:r>
      <w:r>
        <w:instrText xml:space="preserve"> PAGEREF _Toc100145178 \h </w:instrText>
      </w:r>
      <w:r>
        <w:fldChar w:fldCharType="separate"/>
      </w:r>
      <w:r>
        <w:t>11</w:t>
      </w:r>
      <w:r>
        <w:fldChar w:fldCharType="end"/>
      </w:r>
      <w:r>
        <w:fldChar w:fldCharType="end"/>
      </w:r>
    </w:p>
    <w:p w14:paraId="755FCDB9">
      <w:pPr>
        <w:pStyle w:val="25"/>
        <w:rPr>
          <w:rFonts w:hint="eastAsia" w:asciiTheme="minorHAnsi" w:hAnsiTheme="minorHAnsi" w:eastAsiaTheme="minorEastAsia" w:cstheme="minorBidi"/>
          <w:szCs w:val="22"/>
        </w:rPr>
      </w:pPr>
      <w:r>
        <w:fldChar w:fldCharType="begin"/>
      </w:r>
      <w:r>
        <w:instrText xml:space="preserve"> HYPERLINK \l "_Toc100145179" </w:instrText>
      </w:r>
      <w:r>
        <w:fldChar w:fldCharType="separate"/>
      </w:r>
      <w:r>
        <w:rPr>
          <w:rStyle w:val="34"/>
        </w:rPr>
        <w:t>9.3 触变泥浆材料及配比</w:t>
      </w:r>
      <w:r>
        <w:tab/>
      </w:r>
      <w:r>
        <w:fldChar w:fldCharType="begin"/>
      </w:r>
      <w:r>
        <w:instrText xml:space="preserve"> PAGEREF _Toc100145179 \h </w:instrText>
      </w:r>
      <w:r>
        <w:fldChar w:fldCharType="separate"/>
      </w:r>
      <w:r>
        <w:t>11</w:t>
      </w:r>
      <w:r>
        <w:fldChar w:fldCharType="end"/>
      </w:r>
      <w:r>
        <w:fldChar w:fldCharType="end"/>
      </w:r>
    </w:p>
    <w:p w14:paraId="6BA2D80E">
      <w:pPr>
        <w:pStyle w:val="25"/>
        <w:rPr>
          <w:rFonts w:hint="eastAsia" w:asciiTheme="minorHAnsi" w:hAnsiTheme="minorHAnsi" w:eastAsiaTheme="minorEastAsia" w:cstheme="minorBidi"/>
          <w:szCs w:val="22"/>
        </w:rPr>
      </w:pPr>
      <w:r>
        <w:fldChar w:fldCharType="begin"/>
      </w:r>
      <w:r>
        <w:instrText xml:space="preserve"> HYPERLINK \l "_Toc100145180" </w:instrText>
      </w:r>
      <w:r>
        <w:fldChar w:fldCharType="separate"/>
      </w:r>
      <w:r>
        <w:rPr>
          <w:rStyle w:val="34"/>
        </w:rPr>
        <w:t>9.4 浆液置换</w:t>
      </w:r>
      <w:r>
        <w:tab/>
      </w:r>
      <w:r>
        <w:fldChar w:fldCharType="begin"/>
      </w:r>
      <w:r>
        <w:instrText xml:space="preserve"> PAGEREF _Toc100145180 \h </w:instrText>
      </w:r>
      <w:r>
        <w:fldChar w:fldCharType="separate"/>
      </w:r>
      <w:r>
        <w:t>11</w:t>
      </w:r>
      <w:r>
        <w:fldChar w:fldCharType="end"/>
      </w:r>
      <w:r>
        <w:fldChar w:fldCharType="end"/>
      </w:r>
    </w:p>
    <w:p w14:paraId="5B25C5C4">
      <w:pPr>
        <w:pStyle w:val="25"/>
        <w:rPr>
          <w:rFonts w:hint="eastAsia" w:asciiTheme="minorHAnsi" w:hAnsiTheme="minorHAnsi" w:eastAsiaTheme="minorEastAsia" w:cstheme="minorBidi"/>
          <w:szCs w:val="22"/>
        </w:rPr>
      </w:pPr>
      <w:r>
        <w:fldChar w:fldCharType="begin"/>
      </w:r>
      <w:r>
        <w:instrText xml:space="preserve"> HYPERLINK \l "_Toc100145181" </w:instrText>
      </w:r>
      <w:r>
        <w:fldChar w:fldCharType="separate"/>
      </w:r>
      <w:r>
        <w:rPr>
          <w:rStyle w:val="34"/>
        </w:rPr>
        <w:t>9.5 注浆质量控制</w:t>
      </w:r>
      <w:r>
        <w:tab/>
      </w:r>
      <w:r>
        <w:fldChar w:fldCharType="begin"/>
      </w:r>
      <w:r>
        <w:instrText xml:space="preserve"> PAGEREF _Toc100145181 \h </w:instrText>
      </w:r>
      <w:r>
        <w:fldChar w:fldCharType="separate"/>
      </w:r>
      <w:r>
        <w:t>12</w:t>
      </w:r>
      <w:r>
        <w:fldChar w:fldCharType="end"/>
      </w:r>
      <w:r>
        <w:fldChar w:fldCharType="end"/>
      </w:r>
    </w:p>
    <w:p w14:paraId="7C442C7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"_Toc100145182" </w:instrText>
      </w:r>
      <w:r>
        <w:fldChar w:fldCharType="separate"/>
      </w:r>
      <w:r>
        <w:rPr>
          <w:rStyle w:val="34"/>
        </w:rPr>
        <w:t>10 管节防水</w:t>
      </w:r>
      <w:r>
        <w:tab/>
      </w:r>
      <w:r>
        <w:fldChar w:fldCharType="begin"/>
      </w:r>
      <w:r>
        <w:instrText xml:space="preserve"> PAGEREF _Toc100145182 \h </w:instrText>
      </w:r>
      <w:r>
        <w:fldChar w:fldCharType="separate"/>
      </w:r>
      <w:r>
        <w:t>12</w:t>
      </w:r>
      <w:r>
        <w:fldChar w:fldCharType="end"/>
      </w:r>
      <w:r>
        <w:fldChar w:fldCharType="end"/>
      </w:r>
    </w:p>
    <w:p w14:paraId="08374894">
      <w:pPr>
        <w:pStyle w:val="25"/>
        <w:rPr>
          <w:rFonts w:hint="eastAsia" w:asciiTheme="minorHAnsi" w:hAnsiTheme="minorHAnsi" w:eastAsiaTheme="minorEastAsia" w:cstheme="minorBidi"/>
          <w:szCs w:val="22"/>
        </w:rPr>
      </w:pPr>
      <w:r>
        <w:fldChar w:fldCharType="begin"/>
      </w:r>
      <w:r>
        <w:instrText xml:space="preserve"> HYPERLINK \l "_Toc100145183" </w:instrText>
      </w:r>
      <w:r>
        <w:fldChar w:fldCharType="separate"/>
      </w:r>
      <w:r>
        <w:rPr>
          <w:rStyle w:val="34"/>
        </w:rPr>
        <w:t>10.1 一般规定</w:t>
      </w:r>
      <w:r>
        <w:tab/>
      </w:r>
      <w:r>
        <w:fldChar w:fldCharType="begin"/>
      </w:r>
      <w:r>
        <w:instrText xml:space="preserve"> PAGEREF _Toc100145183 \h </w:instrText>
      </w:r>
      <w:r>
        <w:fldChar w:fldCharType="separate"/>
      </w:r>
      <w:r>
        <w:t>12</w:t>
      </w:r>
      <w:r>
        <w:fldChar w:fldCharType="end"/>
      </w:r>
      <w:r>
        <w:fldChar w:fldCharType="end"/>
      </w:r>
    </w:p>
    <w:p w14:paraId="3799B7C5">
      <w:pPr>
        <w:pStyle w:val="25"/>
        <w:rPr>
          <w:rFonts w:hint="eastAsia" w:asciiTheme="minorHAnsi" w:hAnsiTheme="minorHAnsi" w:eastAsiaTheme="minorEastAsia" w:cstheme="minorBidi"/>
          <w:szCs w:val="22"/>
        </w:rPr>
      </w:pPr>
      <w:r>
        <w:fldChar w:fldCharType="begin"/>
      </w:r>
      <w:r>
        <w:instrText xml:space="preserve"> HYPERLINK \l "_Toc100145184" </w:instrText>
      </w:r>
      <w:r>
        <w:fldChar w:fldCharType="separate"/>
      </w:r>
      <w:r>
        <w:rPr>
          <w:rStyle w:val="34"/>
        </w:rPr>
        <w:t>10.2 管节接口防水要求</w:t>
      </w:r>
      <w:r>
        <w:tab/>
      </w:r>
      <w:r>
        <w:fldChar w:fldCharType="begin"/>
      </w:r>
      <w:r>
        <w:instrText xml:space="preserve"> PAGEREF _Toc100145184 \h </w:instrText>
      </w:r>
      <w:r>
        <w:fldChar w:fldCharType="separate"/>
      </w:r>
      <w:r>
        <w:t>12</w:t>
      </w:r>
      <w:r>
        <w:fldChar w:fldCharType="end"/>
      </w:r>
      <w:r>
        <w:fldChar w:fldCharType="end"/>
      </w:r>
    </w:p>
    <w:p w14:paraId="60F1924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"_Toc100145185" </w:instrText>
      </w:r>
      <w:r>
        <w:fldChar w:fldCharType="separate"/>
      </w:r>
      <w:r>
        <w:rPr>
          <w:rStyle w:val="34"/>
        </w:rPr>
        <w:t>11 施工测量</w:t>
      </w:r>
      <w:r>
        <w:tab/>
      </w:r>
      <w:r>
        <w:fldChar w:fldCharType="begin"/>
      </w:r>
      <w:r>
        <w:instrText xml:space="preserve"> PAGEREF _Toc100145185 \h </w:instrText>
      </w:r>
      <w:r>
        <w:fldChar w:fldCharType="separate"/>
      </w:r>
      <w:r>
        <w:t>12</w:t>
      </w:r>
      <w:r>
        <w:fldChar w:fldCharType="end"/>
      </w:r>
      <w:r>
        <w:fldChar w:fldCharType="end"/>
      </w:r>
    </w:p>
    <w:p w14:paraId="7229DCF8">
      <w:pPr>
        <w:pStyle w:val="25"/>
        <w:rPr>
          <w:rFonts w:hint="eastAsia" w:asciiTheme="minorHAnsi" w:hAnsiTheme="minorHAnsi" w:eastAsiaTheme="minorEastAsia" w:cstheme="minorBidi"/>
          <w:szCs w:val="22"/>
        </w:rPr>
      </w:pPr>
      <w:r>
        <w:fldChar w:fldCharType="begin"/>
      </w:r>
      <w:r>
        <w:instrText xml:space="preserve"> HYPERLINK \l "_Toc100145186" </w:instrText>
      </w:r>
      <w:r>
        <w:fldChar w:fldCharType="separate"/>
      </w:r>
      <w:r>
        <w:rPr>
          <w:rStyle w:val="34"/>
        </w:rPr>
        <w:t>11.1 一般规定</w:t>
      </w:r>
      <w:r>
        <w:tab/>
      </w:r>
      <w:r>
        <w:fldChar w:fldCharType="begin"/>
      </w:r>
      <w:r>
        <w:instrText xml:space="preserve"> PAGEREF _Toc100145186 \h </w:instrText>
      </w:r>
      <w:r>
        <w:fldChar w:fldCharType="separate"/>
      </w:r>
      <w:r>
        <w:t>13</w:t>
      </w:r>
      <w:r>
        <w:fldChar w:fldCharType="end"/>
      </w:r>
      <w:r>
        <w:fldChar w:fldCharType="end"/>
      </w:r>
    </w:p>
    <w:p w14:paraId="54659FE9">
      <w:pPr>
        <w:pStyle w:val="25"/>
        <w:rPr>
          <w:rFonts w:hint="eastAsia" w:asciiTheme="minorHAnsi" w:hAnsiTheme="minorHAnsi" w:eastAsiaTheme="minorEastAsia" w:cstheme="minorBidi"/>
          <w:szCs w:val="22"/>
        </w:rPr>
      </w:pPr>
      <w:r>
        <w:fldChar w:fldCharType="begin"/>
      </w:r>
      <w:r>
        <w:instrText xml:space="preserve"> HYPERLINK \l "_Toc100145187" </w:instrText>
      </w:r>
      <w:r>
        <w:fldChar w:fldCharType="separate"/>
      </w:r>
      <w:r>
        <w:rPr>
          <w:rStyle w:val="34"/>
        </w:rPr>
        <w:t>11.2 施工测量</w:t>
      </w:r>
      <w:r>
        <w:tab/>
      </w:r>
      <w:r>
        <w:fldChar w:fldCharType="begin"/>
      </w:r>
      <w:r>
        <w:instrText xml:space="preserve"> PAGEREF _Toc100145187 \h </w:instrText>
      </w:r>
      <w:r>
        <w:fldChar w:fldCharType="separate"/>
      </w:r>
      <w:r>
        <w:t>13</w:t>
      </w:r>
      <w:r>
        <w:fldChar w:fldCharType="end"/>
      </w:r>
      <w:r>
        <w:fldChar w:fldCharType="end"/>
      </w:r>
    </w:p>
    <w:p w14:paraId="5CF102F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"_Toc100145188" </w:instrText>
      </w:r>
      <w:r>
        <w:fldChar w:fldCharType="separate"/>
      </w:r>
      <w:r>
        <w:rPr>
          <w:rStyle w:val="34"/>
        </w:rPr>
        <w:t>12 工程监测</w:t>
      </w:r>
      <w:r>
        <w:tab/>
      </w:r>
      <w:r>
        <w:fldChar w:fldCharType="begin"/>
      </w:r>
      <w:r>
        <w:instrText xml:space="preserve"> PAGEREF _Toc100145188 \h </w:instrText>
      </w:r>
      <w:r>
        <w:fldChar w:fldCharType="separate"/>
      </w:r>
      <w:r>
        <w:t>14</w:t>
      </w:r>
      <w:r>
        <w:fldChar w:fldCharType="end"/>
      </w:r>
      <w:r>
        <w:fldChar w:fldCharType="end"/>
      </w:r>
    </w:p>
    <w:p w14:paraId="2194CE5F">
      <w:pPr>
        <w:pStyle w:val="25"/>
        <w:rPr>
          <w:rFonts w:hint="eastAsia" w:asciiTheme="minorHAnsi" w:hAnsiTheme="minorHAnsi" w:eastAsiaTheme="minorEastAsia" w:cstheme="minorBidi"/>
          <w:szCs w:val="22"/>
        </w:rPr>
      </w:pPr>
      <w:r>
        <w:fldChar w:fldCharType="begin"/>
      </w:r>
      <w:r>
        <w:instrText xml:space="preserve"> HYPERLINK \l "_Toc100145189" </w:instrText>
      </w:r>
      <w:r>
        <w:fldChar w:fldCharType="separate"/>
      </w:r>
      <w:r>
        <w:rPr>
          <w:rStyle w:val="34"/>
        </w:rPr>
        <w:t>12.1 一般规定</w:t>
      </w:r>
      <w:r>
        <w:tab/>
      </w:r>
      <w:r>
        <w:fldChar w:fldCharType="begin"/>
      </w:r>
      <w:r>
        <w:instrText xml:space="preserve"> PAGEREF _Toc100145189 \h </w:instrText>
      </w:r>
      <w:r>
        <w:fldChar w:fldCharType="separate"/>
      </w:r>
      <w:r>
        <w:t>14</w:t>
      </w:r>
      <w:r>
        <w:fldChar w:fldCharType="end"/>
      </w:r>
      <w:r>
        <w:fldChar w:fldCharType="end"/>
      </w:r>
    </w:p>
    <w:p w14:paraId="05C05001">
      <w:pPr>
        <w:pStyle w:val="25"/>
        <w:rPr>
          <w:rFonts w:hint="eastAsia" w:asciiTheme="minorHAnsi" w:hAnsiTheme="minorHAnsi" w:eastAsiaTheme="minorEastAsia" w:cstheme="minorBidi"/>
          <w:szCs w:val="22"/>
        </w:rPr>
      </w:pPr>
      <w:r>
        <w:fldChar w:fldCharType="begin"/>
      </w:r>
      <w:r>
        <w:instrText xml:space="preserve"> HYPERLINK \l "_Toc100145190" </w:instrText>
      </w:r>
      <w:r>
        <w:fldChar w:fldCharType="separate"/>
      </w:r>
      <w:r>
        <w:rPr>
          <w:rStyle w:val="34"/>
        </w:rPr>
        <w:t>12.2 监测项目</w:t>
      </w:r>
      <w:r>
        <w:tab/>
      </w:r>
      <w:r>
        <w:fldChar w:fldCharType="begin"/>
      </w:r>
      <w:r>
        <w:instrText xml:space="preserve"> PAGEREF _Toc100145190 \h </w:instrText>
      </w:r>
      <w:r>
        <w:fldChar w:fldCharType="separate"/>
      </w:r>
      <w:r>
        <w:t>14</w:t>
      </w:r>
      <w:r>
        <w:fldChar w:fldCharType="end"/>
      </w:r>
      <w:r>
        <w:fldChar w:fldCharType="end"/>
      </w:r>
    </w:p>
    <w:p w14:paraId="2D26ED40">
      <w:pPr>
        <w:pStyle w:val="25"/>
        <w:rPr>
          <w:rFonts w:hint="eastAsia" w:asciiTheme="minorHAnsi" w:hAnsiTheme="minorHAnsi" w:eastAsiaTheme="minorEastAsia" w:cstheme="minorBidi"/>
          <w:szCs w:val="22"/>
        </w:rPr>
      </w:pPr>
      <w:r>
        <w:fldChar w:fldCharType="begin"/>
      </w:r>
      <w:r>
        <w:instrText xml:space="preserve"> HYPERLINK \l "_Toc100145191" </w:instrText>
      </w:r>
      <w:r>
        <w:fldChar w:fldCharType="separate"/>
      </w:r>
      <w:r>
        <w:rPr>
          <w:rStyle w:val="34"/>
        </w:rPr>
        <w:t>12.3 监测布点</w:t>
      </w:r>
      <w:r>
        <w:tab/>
      </w:r>
      <w:r>
        <w:fldChar w:fldCharType="begin"/>
      </w:r>
      <w:r>
        <w:instrText xml:space="preserve"> PAGEREF _Toc100145191 \h </w:instrText>
      </w:r>
      <w:r>
        <w:fldChar w:fldCharType="separate"/>
      </w:r>
      <w:r>
        <w:t>15</w:t>
      </w:r>
      <w:r>
        <w:fldChar w:fldCharType="end"/>
      </w:r>
      <w:r>
        <w:fldChar w:fldCharType="end"/>
      </w:r>
    </w:p>
    <w:p w14:paraId="7FDE677B">
      <w:pPr>
        <w:pStyle w:val="25"/>
        <w:rPr>
          <w:rFonts w:hint="eastAsia" w:asciiTheme="minorHAnsi" w:hAnsiTheme="minorHAnsi" w:eastAsiaTheme="minorEastAsia" w:cstheme="minorBidi"/>
          <w:szCs w:val="22"/>
        </w:rPr>
      </w:pPr>
      <w:r>
        <w:fldChar w:fldCharType="begin"/>
      </w:r>
      <w:r>
        <w:instrText xml:space="preserve"> HYPERLINK \l "_Toc100145192" </w:instrText>
      </w:r>
      <w:r>
        <w:fldChar w:fldCharType="separate"/>
      </w:r>
      <w:r>
        <w:rPr>
          <w:rStyle w:val="34"/>
        </w:rPr>
        <w:t>12.5 信息化施工</w:t>
      </w:r>
      <w:r>
        <w:tab/>
      </w:r>
      <w:r>
        <w:fldChar w:fldCharType="begin"/>
      </w:r>
      <w:r>
        <w:instrText xml:space="preserve"> PAGEREF _Toc100145192 \h </w:instrText>
      </w:r>
      <w:r>
        <w:fldChar w:fldCharType="separate"/>
      </w:r>
      <w:r>
        <w:t>16</w:t>
      </w:r>
      <w:r>
        <w:fldChar w:fldCharType="end"/>
      </w:r>
      <w:r>
        <w:fldChar w:fldCharType="end"/>
      </w:r>
    </w:p>
    <w:p w14:paraId="4092116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"_Toc100145193" </w:instrText>
      </w:r>
      <w:r>
        <w:fldChar w:fldCharType="separate"/>
      </w:r>
      <w:r>
        <w:rPr>
          <w:rStyle w:val="34"/>
        </w:rPr>
        <w:t>13 质量验收</w:t>
      </w:r>
      <w:r>
        <w:tab/>
      </w:r>
      <w:r>
        <w:fldChar w:fldCharType="begin"/>
      </w:r>
      <w:r>
        <w:instrText xml:space="preserve"> PAGEREF _Toc100145193 \h </w:instrText>
      </w:r>
      <w:r>
        <w:fldChar w:fldCharType="separate"/>
      </w:r>
      <w:r>
        <w:t>16</w:t>
      </w:r>
      <w:r>
        <w:fldChar w:fldCharType="end"/>
      </w:r>
      <w:r>
        <w:fldChar w:fldCharType="end"/>
      </w:r>
    </w:p>
    <w:p w14:paraId="5D28942D">
      <w:pPr>
        <w:pStyle w:val="25"/>
        <w:rPr>
          <w:rFonts w:hint="eastAsia" w:asciiTheme="minorHAnsi" w:hAnsiTheme="minorHAnsi" w:eastAsiaTheme="minorEastAsia" w:cstheme="minorBidi"/>
          <w:szCs w:val="22"/>
        </w:rPr>
      </w:pPr>
      <w:r>
        <w:fldChar w:fldCharType="begin"/>
      </w:r>
      <w:r>
        <w:instrText xml:space="preserve"> HYPERLINK \l "_Toc100145194" </w:instrText>
      </w:r>
      <w:r>
        <w:fldChar w:fldCharType="separate"/>
      </w:r>
      <w:r>
        <w:rPr>
          <w:rStyle w:val="34"/>
        </w:rPr>
        <w:t>13.1 基本规定</w:t>
      </w:r>
      <w:r>
        <w:tab/>
      </w:r>
      <w:r>
        <w:fldChar w:fldCharType="begin"/>
      </w:r>
      <w:r>
        <w:instrText xml:space="preserve"> PAGEREF _Toc100145194 \h </w:instrText>
      </w:r>
      <w:r>
        <w:fldChar w:fldCharType="separate"/>
      </w:r>
      <w:r>
        <w:t>16</w:t>
      </w:r>
      <w:r>
        <w:fldChar w:fldCharType="end"/>
      </w:r>
      <w:r>
        <w:fldChar w:fldCharType="end"/>
      </w:r>
    </w:p>
    <w:p w14:paraId="4A39780F">
      <w:pPr>
        <w:pStyle w:val="25"/>
        <w:rPr>
          <w:rFonts w:hint="eastAsia" w:asciiTheme="minorHAnsi" w:hAnsiTheme="minorHAnsi" w:eastAsiaTheme="minorEastAsia" w:cstheme="minorBidi"/>
          <w:szCs w:val="22"/>
        </w:rPr>
      </w:pPr>
      <w:r>
        <w:fldChar w:fldCharType="begin"/>
      </w:r>
      <w:r>
        <w:instrText xml:space="preserve"> HYPERLINK \l "_Toc100145195" </w:instrText>
      </w:r>
      <w:r>
        <w:fldChar w:fldCharType="separate"/>
      </w:r>
      <w:r>
        <w:rPr>
          <w:rStyle w:val="34"/>
        </w:rPr>
        <w:t>13.2 质量验收</w:t>
      </w:r>
      <w:r>
        <w:tab/>
      </w:r>
      <w:r>
        <w:fldChar w:fldCharType="begin"/>
      </w:r>
      <w:r>
        <w:instrText xml:space="preserve"> PAGEREF _Toc100145195 \h </w:instrText>
      </w:r>
      <w:r>
        <w:fldChar w:fldCharType="separate"/>
      </w:r>
      <w:r>
        <w:t>17</w:t>
      </w:r>
      <w:r>
        <w:fldChar w:fldCharType="end"/>
      </w:r>
      <w:r>
        <w:fldChar w:fldCharType="end"/>
      </w:r>
    </w:p>
    <w:p w14:paraId="716996C7">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14:paraId="2B72F07C">
      <w:pPr>
        <w:pStyle w:val="91"/>
        <w:spacing w:after="468"/>
      </w:pPr>
      <w:bookmarkStart w:id="19" w:name="_Toc100145149"/>
      <w:bookmarkStart w:id="20" w:name="BookMark2"/>
      <w:r>
        <w:rPr>
          <w:rFonts w:hint="eastAsia"/>
          <w:spacing w:val="320"/>
        </w:rPr>
        <w:t>前</w:t>
      </w:r>
      <w:r>
        <w:rPr>
          <w:rFonts w:hint="eastAsia"/>
        </w:rPr>
        <w:t>言</w:t>
      </w:r>
      <w:bookmarkEnd w:id="18"/>
      <w:bookmarkEnd w:id="19"/>
    </w:p>
    <w:p w14:paraId="61410F04">
      <w:pPr>
        <w:pStyle w:val="58"/>
        <w:ind w:firstLine="420"/>
      </w:pPr>
      <w:r>
        <w:rPr>
          <w:rFonts w:hint="eastAsia"/>
        </w:rPr>
        <w:t>本文件按照GB/T 1.1—2020《标准化工作导则  第1部分：标准化文件的结构和起草规则》的规定起草。</w:t>
      </w:r>
    </w:p>
    <w:p w14:paraId="05B23D32">
      <w:pPr>
        <w:pStyle w:val="58"/>
        <w:ind w:firstLine="420"/>
      </w:pPr>
      <w:r>
        <w:rPr>
          <w:rFonts w:hint="eastAsia"/>
        </w:rPr>
        <w:t>请注意本文件的某些内容可能涉及专利。本文件的发布机构不承担识别专利的责任。</w:t>
      </w:r>
    </w:p>
    <w:p w14:paraId="6A98909C">
      <w:pPr>
        <w:pStyle w:val="58"/>
        <w:ind w:firstLine="420"/>
      </w:pPr>
      <w:r>
        <w:rPr>
          <w:rFonts w:hint="eastAsia"/>
        </w:rPr>
        <w:t>本文件由</w:t>
      </w:r>
      <w:r>
        <w:t>湖北省住房和城乡建设厅</w:t>
      </w:r>
      <w:r>
        <w:rPr>
          <w:rFonts w:hint="eastAsia"/>
        </w:rPr>
        <w:t>提出并归口管理。</w:t>
      </w:r>
    </w:p>
    <w:p w14:paraId="33DEAFB5">
      <w:pPr>
        <w:pStyle w:val="58"/>
        <w:ind w:firstLine="420"/>
      </w:pPr>
      <w:r>
        <w:rPr>
          <w:rFonts w:hint="eastAsia"/>
        </w:rPr>
        <w:t>本文件起草单位：武汉市市政工程质量安全中心、武汉市市政建设集团有限公司、武汉地铁集团有限公司、中铁一局集团有限公司、中铁七局集团有限公司、中铁十一局集团有限公司、中交第二航务工程局有限公司、中铁十一局集团第一工程有限公司、中铁十一局武汉重型装备有限公司、武汉市武昌市政建设（集团）有限公司、湖北先创市政工程有限公司、湖北省市政工程协会、武汉市市政建设集团基础设施建设有限公司、中国地质大学（武汉）、武汉丰达地质工程有限公司、中信建设有限责任公司、湖北仑木建筑工程有限公司、湖北望新建设有限公司、武汉致远荆瀚建筑科技有限公司、武汉市政环境工程建设有限公司、武汉市桥梁工程有限公司。</w:t>
      </w:r>
    </w:p>
    <w:p w14:paraId="16132C12">
      <w:pPr>
        <w:pStyle w:val="58"/>
        <w:ind w:firstLine="420"/>
      </w:pPr>
      <w:r>
        <w:rPr>
          <w:rFonts w:hint="eastAsia"/>
        </w:rPr>
        <w:t>本文件主要起草人：唐传政、熊秋梅、朱红西、肖铭钊、李忠超、邹伟彪、盛永清、王锋、匡文亮、王雪强、张旭东、杨钊、李兴勇、张昆峰、喻正军、王涛、周旋、王艳、梁荣柱、冯晓腊、王红喜、蔡雪峰、潘勇、武超毅、文志勇、吴璐、田久晖、李磊、谢武军、胡文惠、黄超群、刘律、冯恒、黄栋。</w:t>
      </w:r>
    </w:p>
    <w:p w14:paraId="2FB66906">
      <w:pPr>
        <w:pStyle w:val="58"/>
        <w:ind w:firstLine="420"/>
      </w:pPr>
      <w:r>
        <w:rPr>
          <w:rFonts w:hint="eastAsia"/>
        </w:rPr>
        <w:t>本文件实施应用中的疑问，可咨询湖北省住房和城乡建设厅，联系电话：027-68873088，邮箱：</w:t>
      </w:r>
      <w:r>
        <w:rPr>
          <w:rFonts w:hint="eastAsia"/>
          <w:lang w:val="en-US" w:eastAsia="zh-CN"/>
        </w:rPr>
        <w:t>bkc@</w:t>
      </w:r>
      <w:r>
        <w:t>hbszjt.net.c</w:t>
      </w:r>
      <w:r>
        <w:rPr>
          <w:rFonts w:hint="eastAsia"/>
          <w:lang w:val="en-US" w:eastAsia="zh-CN"/>
        </w:rPr>
        <w:t>om</w:t>
      </w:r>
      <w:r>
        <w:rPr>
          <w:rFonts w:hint="eastAsia"/>
        </w:rPr>
        <w:t>。在执行过程中如有意见和建议请邮寄武汉市市政工程质量安全中心</w:t>
      </w:r>
      <w:r>
        <w:rPr>
          <w:rFonts w:hint="eastAsia" w:ascii="Times New Roman"/>
          <w:kern w:val="2"/>
          <w:szCs w:val="24"/>
        </w:rPr>
        <w:t>，</w:t>
      </w:r>
      <w:r>
        <w:rPr>
          <w:rFonts w:hint="eastAsia"/>
        </w:rPr>
        <w:t>联系电话：</w:t>
      </w:r>
      <w:r>
        <w:t>027-65660003</w:t>
      </w:r>
      <w:r>
        <w:rPr>
          <w:rFonts w:hint="eastAsia"/>
        </w:rPr>
        <w:t>，邮箱：</w:t>
      </w:r>
      <w:r>
        <w:t>466121728@qq.com</w:t>
      </w:r>
      <w:r>
        <w:rPr>
          <w:rFonts w:hint="eastAsia"/>
        </w:rPr>
        <w:t>。</w:t>
      </w:r>
    </w:p>
    <w:p w14:paraId="671DB7C4">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0"/>
    <w:p w14:paraId="074DA549">
      <w:pPr>
        <w:spacing w:line="20" w:lineRule="exact"/>
        <w:jc w:val="center"/>
        <w:rPr>
          <w:rFonts w:hint="eastAsia" w:ascii="黑体" w:hAnsi="黑体" w:eastAsia="黑体"/>
          <w:sz w:val="32"/>
          <w:szCs w:val="32"/>
        </w:rPr>
      </w:pPr>
      <w:bookmarkStart w:id="21" w:name="BookMark4"/>
    </w:p>
    <w:p w14:paraId="10B014BA">
      <w:pPr>
        <w:spacing w:line="20" w:lineRule="exact"/>
        <w:jc w:val="center"/>
        <w:rPr>
          <w:rFonts w:hint="eastAsia" w:ascii="黑体" w:hAnsi="黑体" w:eastAsia="黑体"/>
          <w:sz w:val="32"/>
          <w:szCs w:val="32"/>
        </w:rPr>
      </w:pPr>
    </w:p>
    <w:sdt>
      <w:sdtPr>
        <w:tag w:val="NEW_STAND_NAME"/>
        <w:id w:val="595910757"/>
        <w:lock w:val="sdtLocked"/>
        <w:placeholder>
          <w:docPart w:val="F81E4182C1C043299A1D113FDCD640C6"/>
        </w:placeholder>
      </w:sdtPr>
      <w:sdtContent>
        <w:p w14:paraId="622BAD08">
          <w:pPr>
            <w:pStyle w:val="179"/>
            <w:spacing w:before="3" w:beforeLines="1" w:after="686" w:afterLines="220"/>
            <w:rPr>
              <w:rFonts w:hint="eastAsia"/>
            </w:rPr>
          </w:pPr>
          <w:bookmarkStart w:id="22" w:name="NEW_STAND_NAME"/>
          <w:r>
            <w:rPr>
              <w:rFonts w:hint="eastAsia"/>
            </w:rPr>
            <w:t>矩形顶管施工技术规程</w:t>
          </w:r>
        </w:p>
      </w:sdtContent>
    </w:sdt>
    <w:bookmarkEnd w:id="22"/>
    <w:p w14:paraId="4C87ACAA">
      <w:pPr>
        <w:pStyle w:val="106"/>
        <w:spacing w:before="312" w:after="312"/>
      </w:pPr>
      <w:bookmarkStart w:id="23" w:name="_Toc26718930"/>
      <w:bookmarkStart w:id="24" w:name="_Toc100145151"/>
      <w:bookmarkStart w:id="25" w:name="_Toc17233333"/>
      <w:bookmarkStart w:id="26" w:name="_Toc24884218"/>
      <w:bookmarkStart w:id="27" w:name="_Toc17233325"/>
      <w:bookmarkStart w:id="28" w:name="_Toc100142411"/>
      <w:bookmarkStart w:id="29" w:name="_Toc97191423"/>
      <w:bookmarkStart w:id="30" w:name="_Toc26986530"/>
      <w:bookmarkStart w:id="31" w:name="_Toc24884211"/>
      <w:bookmarkStart w:id="32" w:name="_Toc26648465"/>
      <w:bookmarkStart w:id="33" w:name="_Toc26986771"/>
      <w:r>
        <w:rPr>
          <w:rFonts w:hint="eastAsia"/>
        </w:rPr>
        <w:t>范围</w:t>
      </w:r>
      <w:bookmarkEnd w:id="23"/>
      <w:bookmarkEnd w:id="24"/>
      <w:bookmarkEnd w:id="25"/>
      <w:bookmarkEnd w:id="26"/>
      <w:bookmarkEnd w:id="27"/>
      <w:bookmarkEnd w:id="28"/>
      <w:bookmarkEnd w:id="29"/>
      <w:bookmarkEnd w:id="30"/>
      <w:bookmarkEnd w:id="31"/>
      <w:bookmarkEnd w:id="32"/>
      <w:bookmarkEnd w:id="33"/>
    </w:p>
    <w:p w14:paraId="04ABFE7D">
      <w:pPr>
        <w:pStyle w:val="58"/>
        <w:ind w:firstLine="420"/>
      </w:pPr>
      <w:bookmarkStart w:id="34" w:name="_Toc24884212"/>
      <w:bookmarkStart w:id="35" w:name="_Toc26648466"/>
      <w:bookmarkStart w:id="36" w:name="_Toc17233334"/>
      <w:bookmarkStart w:id="37" w:name="_Toc24884219"/>
      <w:bookmarkStart w:id="38" w:name="_Toc17233326"/>
      <w:r>
        <w:rPr>
          <w:rFonts w:hint="eastAsia"/>
        </w:rPr>
        <w:t>本文件规定了湖北省矩形顶管施工、监测、质量检验及验收的基本技术要求。</w:t>
      </w:r>
    </w:p>
    <w:p w14:paraId="5BEDE643">
      <w:pPr>
        <w:pStyle w:val="58"/>
        <w:ind w:firstLine="420"/>
      </w:pPr>
      <w:r>
        <w:rPr>
          <w:rFonts w:hint="eastAsia"/>
        </w:rPr>
        <w:t>本文件适用于预制矩形顶管工程的施工、监测、质量检验及验收。</w:t>
      </w:r>
    </w:p>
    <w:p w14:paraId="3DB8804C">
      <w:pPr>
        <w:pStyle w:val="106"/>
        <w:spacing w:before="312" w:after="312"/>
      </w:pPr>
      <w:bookmarkStart w:id="39" w:name="_Toc26718931"/>
      <w:bookmarkStart w:id="40" w:name="_Toc97191424"/>
      <w:bookmarkStart w:id="41" w:name="_Toc26986531"/>
      <w:bookmarkStart w:id="42" w:name="_Toc100142412"/>
      <w:bookmarkStart w:id="43" w:name="_Toc100145152"/>
      <w:bookmarkStart w:id="44" w:name="_Toc26986772"/>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1BF0564B29E5448D957091B584CDC5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68F1609">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F878D8">
      <w:pPr>
        <w:pStyle w:val="58"/>
        <w:ind w:firstLine="420"/>
      </w:pPr>
      <w:r>
        <w:t>GB/T 12897国家一、二等水准测量规范</w:t>
      </w:r>
    </w:p>
    <w:p w14:paraId="128ED7B5">
      <w:pPr>
        <w:pStyle w:val="58"/>
        <w:ind w:firstLine="420"/>
      </w:pPr>
      <w:r>
        <w:t>GB/T 21873  橡胶密封件给、排水管及污水管道用接口密封圈材料规范</w:t>
      </w:r>
    </w:p>
    <w:p w14:paraId="2DE274B7">
      <w:pPr>
        <w:pStyle w:val="58"/>
        <w:ind w:firstLine="420"/>
      </w:pPr>
      <w:r>
        <w:t>GB 50007  建筑地基基础设计规范</w:t>
      </w:r>
    </w:p>
    <w:p w14:paraId="6D864FAA">
      <w:pPr>
        <w:pStyle w:val="58"/>
        <w:ind w:firstLine="420"/>
      </w:pPr>
      <w:r>
        <w:t>GB 50021  岩土工程勘察规范</w:t>
      </w:r>
    </w:p>
    <w:p w14:paraId="5E4C5734">
      <w:pPr>
        <w:pStyle w:val="58"/>
        <w:ind w:firstLine="420"/>
      </w:pPr>
      <w:r>
        <w:t>GB 50026  工程测量标准</w:t>
      </w:r>
    </w:p>
    <w:p w14:paraId="06A5B366">
      <w:pPr>
        <w:pStyle w:val="58"/>
        <w:ind w:firstLine="420"/>
      </w:pPr>
      <w:r>
        <w:t>GB 50202  建筑地基基础工程施工质量验收标准</w:t>
      </w:r>
    </w:p>
    <w:p w14:paraId="27743886">
      <w:pPr>
        <w:pStyle w:val="58"/>
        <w:ind w:firstLine="420"/>
      </w:pPr>
      <w:r>
        <w:t>GB 50204  混凝土结构工程施工质量验收规范</w:t>
      </w:r>
    </w:p>
    <w:p w14:paraId="47E72A4C">
      <w:pPr>
        <w:pStyle w:val="58"/>
        <w:ind w:firstLine="420"/>
      </w:pPr>
      <w:r>
        <w:t>GB 50268  给水排水管道工程施工及验收规范    </w:t>
      </w:r>
    </w:p>
    <w:p w14:paraId="63B63107">
      <w:pPr>
        <w:pStyle w:val="58"/>
        <w:ind w:firstLine="420"/>
      </w:pPr>
      <w:r>
        <w:t>GB 55003  建筑与市政地基基础通用规范</w:t>
      </w:r>
    </w:p>
    <w:p w14:paraId="59295654">
      <w:pPr>
        <w:pStyle w:val="58"/>
        <w:ind w:firstLine="420"/>
      </w:pPr>
      <w:r>
        <w:t>CJJ 56市政工程勘察规范</w:t>
      </w:r>
    </w:p>
    <w:p w14:paraId="069FC04C">
      <w:pPr>
        <w:pStyle w:val="58"/>
        <w:ind w:firstLine="420"/>
      </w:pPr>
      <w:r>
        <w:t>JGJ 120建筑基坑支护技术规程</w:t>
      </w:r>
    </w:p>
    <w:p w14:paraId="35DE7FEB">
      <w:pPr>
        <w:pStyle w:val="58"/>
        <w:ind w:firstLine="420"/>
      </w:pPr>
      <w:r>
        <w:t>DB42/169岩土工程勘察工作规程</w:t>
      </w:r>
    </w:p>
    <w:p w14:paraId="25F8432A">
      <w:pPr>
        <w:pStyle w:val="58"/>
        <w:ind w:firstLine="420"/>
      </w:pPr>
      <w:r>
        <w:t>DB42/242建筑地基基础技术规范</w:t>
      </w:r>
    </w:p>
    <w:p w14:paraId="1C41D8AD">
      <w:pPr>
        <w:pStyle w:val="58"/>
        <w:ind w:firstLine="420"/>
      </w:pPr>
      <w:r>
        <w:t>DB42/T159基坑工程技术规程</w:t>
      </w:r>
    </w:p>
    <w:p w14:paraId="249180ED">
      <w:pPr>
        <w:pStyle w:val="106"/>
        <w:spacing w:before="312" w:after="312"/>
      </w:pPr>
      <w:bookmarkStart w:id="45" w:name="_Toc97191425"/>
      <w:bookmarkStart w:id="46" w:name="_Toc100145153"/>
      <w:bookmarkStart w:id="47" w:name="_Toc100142413"/>
      <w:r>
        <w:rPr>
          <w:rFonts w:hint="eastAsia"/>
          <w:szCs w:val="21"/>
        </w:rPr>
        <w:t>术语和定义</w:t>
      </w:r>
      <w:bookmarkEnd w:id="45"/>
      <w:bookmarkEnd w:id="46"/>
      <w:bookmarkEnd w:id="47"/>
    </w:p>
    <w:sdt>
      <w:sdtPr>
        <w:id w:val="-1"/>
        <w:placeholder>
          <w:docPart w:val="5813D8ADA0624C258886AEE3A8D1C26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7A5453">
          <w:pPr>
            <w:pStyle w:val="58"/>
            <w:ind w:firstLine="420"/>
          </w:pPr>
          <w:bookmarkStart w:id="48" w:name="_Toc26986532"/>
          <w:bookmarkEnd w:id="48"/>
          <w:r>
            <w:t>下列术语和定义适用于本文件。</w:t>
          </w:r>
        </w:p>
      </w:sdtContent>
    </w:sdt>
    <w:p w14:paraId="0856E1F7">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矩形顶管  rectangular </w:t>
      </w:r>
      <w:r>
        <w:rPr>
          <w:rFonts w:ascii="黑体" w:hAnsi="黑体" w:eastAsia="黑体"/>
        </w:rPr>
        <w:t>p</w:t>
      </w:r>
      <w:r>
        <w:rPr>
          <w:rFonts w:hint="eastAsia" w:ascii="黑体" w:hAnsi="黑体" w:eastAsia="黑体"/>
        </w:rPr>
        <w:t xml:space="preserve">ipe </w:t>
      </w:r>
      <w:r>
        <w:rPr>
          <w:rFonts w:ascii="黑体" w:hAnsi="黑体" w:eastAsia="黑体"/>
        </w:rPr>
        <w:t>j</w:t>
      </w:r>
      <w:r>
        <w:rPr>
          <w:rFonts w:hint="eastAsia" w:ascii="黑体" w:hAnsi="黑体" w:eastAsia="黑体"/>
        </w:rPr>
        <w:t>acking</w:t>
      </w:r>
    </w:p>
    <w:p w14:paraId="241CA4FD">
      <w:pPr>
        <w:pStyle w:val="58"/>
        <w:ind w:firstLine="420"/>
      </w:pPr>
      <w:r>
        <w:rPr>
          <w:rFonts w:hint="eastAsia"/>
        </w:rPr>
        <w:t>借助顶推切削装置，将矩形断面的管道在地下逐节顶进的非开挖施工技术。</w:t>
      </w:r>
    </w:p>
    <w:p w14:paraId="29E2EC23">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顶管井  shaft</w:t>
      </w:r>
    </w:p>
    <w:p w14:paraId="5BB3B323">
      <w:pPr>
        <w:pStyle w:val="58"/>
        <w:ind w:firstLine="420"/>
      </w:pPr>
      <w:r>
        <w:rPr>
          <w:rFonts w:hint="eastAsia"/>
        </w:rPr>
        <w:t>用于顶管作业时始发或到达所需要的地下作业空间结构，包括始发井和接收井。</w:t>
      </w:r>
    </w:p>
    <w:p w14:paraId="674D58B7">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始发井  </w:t>
      </w:r>
      <w:r>
        <w:rPr>
          <w:rFonts w:ascii="黑体" w:hAnsi="黑体" w:eastAsia="黑体"/>
          <w:szCs w:val="22"/>
        </w:rPr>
        <w:t>l</w:t>
      </w:r>
      <w:r>
        <w:rPr>
          <w:rFonts w:hint="eastAsia" w:ascii="黑体" w:hAnsi="黑体" w:eastAsia="黑体"/>
          <w:szCs w:val="22"/>
        </w:rPr>
        <w:t>aunch</w:t>
      </w:r>
      <w:r>
        <w:rPr>
          <w:rFonts w:ascii="黑体" w:hAnsi="黑体" w:eastAsia="黑体"/>
        </w:rPr>
        <w:t>s</w:t>
      </w:r>
      <w:r>
        <w:rPr>
          <w:rFonts w:hint="eastAsia" w:ascii="黑体" w:hAnsi="黑体" w:eastAsia="黑体"/>
        </w:rPr>
        <w:t>haft</w:t>
      </w:r>
    </w:p>
    <w:p w14:paraId="53E51AD1">
      <w:pPr>
        <w:pStyle w:val="58"/>
        <w:ind w:firstLine="420"/>
      </w:pPr>
      <w:r>
        <w:rPr>
          <w:rFonts w:hint="eastAsia"/>
        </w:rPr>
        <w:t>顶管始发端放置顶进设备并进行顶进作业的地下作业空间结构。</w:t>
      </w:r>
    </w:p>
    <w:p w14:paraId="1D576F39">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接收井  </w:t>
      </w:r>
      <w:r>
        <w:rPr>
          <w:rFonts w:ascii="黑体" w:hAnsi="黑体" w:eastAsia="黑体"/>
        </w:rPr>
        <w:t>a</w:t>
      </w:r>
      <w:r>
        <w:rPr>
          <w:rFonts w:hint="eastAsia" w:ascii="黑体" w:hAnsi="黑体" w:eastAsia="黑体"/>
        </w:rPr>
        <w:t>rriv</w:t>
      </w:r>
      <w:r>
        <w:rPr>
          <w:rFonts w:ascii="黑体" w:hAnsi="黑体" w:eastAsia="黑体"/>
        </w:rPr>
        <w:t>als</w:t>
      </w:r>
      <w:r>
        <w:rPr>
          <w:rFonts w:hint="eastAsia" w:ascii="黑体" w:hAnsi="黑体" w:eastAsia="黑体"/>
        </w:rPr>
        <w:t>haft</w:t>
      </w:r>
    </w:p>
    <w:p w14:paraId="29913C98">
      <w:pPr>
        <w:pStyle w:val="58"/>
        <w:ind w:firstLine="420"/>
      </w:pPr>
      <w:r>
        <w:rPr>
          <w:rFonts w:hint="eastAsia"/>
        </w:rPr>
        <w:t>顶管终端接收顶管机的地下作业空间结构。</w:t>
      </w:r>
    </w:p>
    <w:p w14:paraId="34FDEDAB">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顶管机  pipe </w:t>
      </w:r>
      <w:r>
        <w:rPr>
          <w:rFonts w:ascii="黑体" w:hAnsi="黑体" w:eastAsia="黑体"/>
        </w:rPr>
        <w:t>j</w:t>
      </w:r>
      <w:r>
        <w:rPr>
          <w:rFonts w:hint="eastAsia" w:ascii="黑体" w:hAnsi="黑体" w:eastAsia="黑体"/>
        </w:rPr>
        <w:t xml:space="preserve">acking </w:t>
      </w:r>
      <w:r>
        <w:rPr>
          <w:rFonts w:ascii="黑体" w:hAnsi="黑体" w:eastAsia="黑体"/>
        </w:rPr>
        <w:t>m</w:t>
      </w:r>
      <w:r>
        <w:rPr>
          <w:rFonts w:hint="eastAsia" w:ascii="黑体" w:hAnsi="黑体" w:eastAsia="黑体"/>
        </w:rPr>
        <w:t>achine</w:t>
      </w:r>
    </w:p>
    <w:p w14:paraId="479E9126">
      <w:pPr>
        <w:pStyle w:val="58"/>
        <w:ind w:firstLine="420"/>
      </w:pPr>
      <w:r>
        <w:rPr>
          <w:rFonts w:hint="eastAsia"/>
        </w:rPr>
        <w:t>安装在顶进管道最前段用于掘进、出泥和导向的并带动力的顶管装置。</w:t>
      </w:r>
    </w:p>
    <w:p w14:paraId="735F4D63">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导轨  g</w:t>
      </w:r>
      <w:r>
        <w:rPr>
          <w:rFonts w:ascii="黑体" w:hAnsi="黑体" w:eastAsia="黑体"/>
        </w:rPr>
        <w:t>ui</w:t>
      </w:r>
      <w:r>
        <w:rPr>
          <w:rFonts w:hint="eastAsia" w:ascii="黑体" w:hAnsi="黑体" w:eastAsia="黑体"/>
        </w:rPr>
        <w:t>d</w:t>
      </w:r>
      <w:r>
        <w:rPr>
          <w:rFonts w:ascii="黑体" w:hAnsi="黑体" w:eastAsia="黑体"/>
        </w:rPr>
        <w:t>er</w:t>
      </w:r>
      <w:r>
        <w:rPr>
          <w:rFonts w:hint="eastAsia" w:ascii="黑体" w:hAnsi="黑体" w:eastAsia="黑体"/>
        </w:rPr>
        <w:t>ail</w:t>
      </w:r>
    </w:p>
    <w:p w14:paraId="3012AA08">
      <w:pPr>
        <w:pStyle w:val="58"/>
        <w:ind w:firstLine="420"/>
      </w:pPr>
      <w:r>
        <w:rPr>
          <w:rFonts w:hint="eastAsia"/>
        </w:rPr>
        <w:t>固定于工作井井底、用于支承顶管机和管节的轨道，在顶管初始段有导向的作用。</w:t>
      </w:r>
    </w:p>
    <w:p w14:paraId="3EBFD26E">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后背墙  </w:t>
      </w:r>
      <w:r>
        <w:rPr>
          <w:rFonts w:ascii="黑体" w:hAnsi="黑体" w:eastAsia="黑体"/>
        </w:rPr>
        <w:t>reactionw</w:t>
      </w:r>
      <w:r>
        <w:rPr>
          <w:rFonts w:hint="eastAsia" w:ascii="黑体" w:hAnsi="黑体" w:eastAsia="黑体"/>
        </w:rPr>
        <w:t>all</w:t>
      </w:r>
    </w:p>
    <w:p w14:paraId="04D755C6">
      <w:pPr>
        <w:pStyle w:val="58"/>
        <w:ind w:firstLine="420"/>
      </w:pPr>
      <w:r>
        <w:rPr>
          <w:rFonts w:hint="eastAsia"/>
        </w:rPr>
        <w:t>工作井中承受顶力的结构体。</w:t>
      </w:r>
    </w:p>
    <w:p w14:paraId="0E5115A3">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后座  Thrust </w:t>
      </w:r>
      <w:r>
        <w:rPr>
          <w:rFonts w:ascii="黑体" w:hAnsi="黑体" w:eastAsia="黑体"/>
        </w:rPr>
        <w:t>w</w:t>
      </w:r>
      <w:r>
        <w:rPr>
          <w:rFonts w:hint="eastAsia" w:ascii="黑体" w:hAnsi="黑体" w:eastAsia="黑体"/>
        </w:rPr>
        <w:t>all</w:t>
      </w:r>
    </w:p>
    <w:p w14:paraId="62BDB4A2">
      <w:pPr>
        <w:pStyle w:val="58"/>
        <w:ind w:firstLine="420"/>
      </w:pPr>
      <w:r>
        <w:rPr>
          <w:rFonts w:hint="eastAsia"/>
        </w:rPr>
        <w:t>安装在主油缸与后背墙之间用于扩大受力面积的构件。</w:t>
      </w:r>
    </w:p>
    <w:p w14:paraId="633BE65C">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顶铁  Pressure Distribution Ring</w:t>
      </w:r>
    </w:p>
    <w:p w14:paraId="040ED629">
      <w:pPr>
        <w:spacing w:line="240" w:lineRule="auto"/>
        <w:rPr>
          <w:rFonts w:hint="eastAsia" w:ascii="宋体" w:hAnsi="宋体"/>
        </w:rPr>
      </w:pPr>
      <w:r>
        <w:rPr>
          <w:rFonts w:hint="eastAsia" w:ascii="宋体" w:hAnsi="宋体"/>
        </w:rPr>
        <w:t>顶铁是放置于千斤顶和被顶管道之间的传力装置，分环形顶铁和其他顶铁。环形顶铁放置于管节尾部用于向管道传力的环形装置，确保管道受力均匀，是顶管必需的装置。</w:t>
      </w:r>
    </w:p>
    <w:p w14:paraId="32096710">
      <w:pPr>
        <w:pStyle w:val="225"/>
        <w:ind w:left="420" w:hanging="420" w:hangingChars="200"/>
        <w:rPr>
          <w:rFonts w:hint="eastAsia" w:ascii="黑体" w:hAnsi="黑体" w:eastAsia="黑体"/>
          <w:bCs/>
        </w:rPr>
      </w:pPr>
      <w:r>
        <w:rPr>
          <w:rFonts w:ascii="黑体" w:hAnsi="黑体" w:eastAsia="黑体"/>
        </w:rPr>
        <w:br w:type="textWrapping"/>
      </w:r>
      <w:r>
        <w:rPr>
          <w:rFonts w:hint="eastAsia" w:ascii="黑体" w:hAnsi="黑体" w:eastAsia="黑体"/>
          <w:bCs/>
        </w:rPr>
        <w:t xml:space="preserve">始发  </w:t>
      </w:r>
      <w:r>
        <w:rPr>
          <w:rFonts w:ascii="黑体" w:hAnsi="黑体" w:eastAsia="黑体"/>
        </w:rPr>
        <w:t>L</w:t>
      </w:r>
      <w:r>
        <w:rPr>
          <w:rFonts w:hint="eastAsia" w:ascii="黑体" w:hAnsi="黑体" w:eastAsia="黑体"/>
        </w:rPr>
        <w:t>aunch</w:t>
      </w:r>
      <w:r>
        <w:rPr>
          <w:rFonts w:ascii="黑体" w:hAnsi="黑体" w:eastAsia="黑体"/>
        </w:rPr>
        <w:t>ing</w:t>
      </w:r>
    </w:p>
    <w:p w14:paraId="5417ACF2">
      <w:pPr>
        <w:spacing w:line="240" w:lineRule="auto"/>
        <w:rPr>
          <w:rFonts w:hint="eastAsia" w:ascii="宋体" w:hAnsi="宋体"/>
        </w:rPr>
      </w:pPr>
      <w:r>
        <w:rPr>
          <w:rFonts w:hint="eastAsia" w:ascii="宋体" w:hAnsi="宋体"/>
        </w:rPr>
        <w:t>顶管机由工作井进入土体向前顶进的过程。</w:t>
      </w:r>
    </w:p>
    <w:p w14:paraId="173D49A6">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接收  </w:t>
      </w:r>
      <w:r>
        <w:rPr>
          <w:rFonts w:ascii="黑体" w:hAnsi="黑体" w:eastAsia="黑体"/>
        </w:rPr>
        <w:t>Receiv</w:t>
      </w:r>
      <w:r>
        <w:rPr>
          <w:rFonts w:hint="eastAsia" w:ascii="黑体" w:hAnsi="黑体" w:eastAsia="黑体"/>
        </w:rPr>
        <w:t>ing</w:t>
      </w:r>
    </w:p>
    <w:p w14:paraId="12E43970">
      <w:pPr>
        <w:spacing w:line="240" w:lineRule="auto"/>
        <w:rPr>
          <w:rFonts w:hint="eastAsia" w:ascii="宋体" w:hAnsi="宋体"/>
        </w:rPr>
      </w:pPr>
      <w:r>
        <w:rPr>
          <w:rFonts w:hint="eastAsia" w:ascii="宋体" w:hAnsi="宋体"/>
        </w:rPr>
        <w:t>顶管机向前顶进进入接收井的过程。</w:t>
      </w:r>
    </w:p>
    <w:p w14:paraId="5626AC2E">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触变泥浆  T</w:t>
      </w:r>
      <w:r>
        <w:rPr>
          <w:rFonts w:ascii="黑体" w:hAnsi="黑体" w:eastAsia="黑体"/>
        </w:rPr>
        <w:t>hixotropic</w:t>
      </w:r>
      <w:r>
        <w:rPr>
          <w:rFonts w:hint="eastAsia" w:ascii="黑体" w:hAnsi="黑体" w:eastAsia="黑体"/>
        </w:rPr>
        <w:t xml:space="preserve"> Slurry</w:t>
      </w:r>
    </w:p>
    <w:p w14:paraId="36CA28EF">
      <w:pPr>
        <w:spacing w:line="240" w:lineRule="auto"/>
        <w:rPr>
          <w:rFonts w:hint="eastAsia" w:ascii="宋体" w:hAnsi="宋体"/>
        </w:rPr>
      </w:pPr>
      <w:r>
        <w:rPr>
          <w:rFonts w:hint="eastAsia" w:ascii="宋体" w:hAnsi="宋体"/>
        </w:rPr>
        <w:t>以膨润土和水拌合、用于注入管节和土体之间空隙起到润滑减阻及填充作用的泥浆材料。</w:t>
      </w:r>
    </w:p>
    <w:p w14:paraId="42432C17">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土压平衡式矩形顶管  Earth Pressure Balance</w:t>
      </w:r>
      <w:r>
        <w:rPr>
          <w:rFonts w:ascii="黑体" w:hAnsi="黑体" w:eastAsia="黑体"/>
        </w:rPr>
        <w:t>d</w:t>
      </w:r>
      <w:r>
        <w:rPr>
          <w:rFonts w:hint="eastAsia" w:ascii="黑体" w:hAnsi="黑体" w:eastAsia="黑体"/>
        </w:rPr>
        <w:t xml:space="preserve"> Rectangular Pipe Jacking</w:t>
      </w:r>
    </w:p>
    <w:p w14:paraId="6C83E23D">
      <w:pPr>
        <w:spacing w:line="240" w:lineRule="auto"/>
        <w:rPr>
          <w:rFonts w:hint="eastAsia" w:ascii="宋体" w:hAnsi="宋体"/>
        </w:rPr>
      </w:pPr>
      <w:r>
        <w:rPr>
          <w:rFonts w:hint="eastAsia" w:ascii="宋体" w:hAnsi="宋体"/>
        </w:rPr>
        <w:t>由螺旋机出土，并利用搅拌土体压力或压缩空气压力平衡水土压力的机械掘进顶管施工方法。</w:t>
      </w:r>
    </w:p>
    <w:p w14:paraId="05FAC95B">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泥水平衡式矩形顶管  Slurry Balance</w:t>
      </w:r>
      <w:r>
        <w:rPr>
          <w:rFonts w:ascii="黑体" w:hAnsi="黑体" w:eastAsia="黑体"/>
        </w:rPr>
        <w:t>d</w:t>
      </w:r>
      <w:r>
        <w:rPr>
          <w:rFonts w:hint="eastAsia" w:ascii="黑体" w:hAnsi="黑体" w:eastAsia="黑体"/>
        </w:rPr>
        <w:t xml:space="preserve"> Rectangular Pipe Jacking</w:t>
      </w:r>
    </w:p>
    <w:p w14:paraId="2C2EC131">
      <w:pPr>
        <w:spacing w:line="240" w:lineRule="auto"/>
        <w:rPr>
          <w:rFonts w:hint="eastAsia" w:ascii="宋体" w:hAnsi="宋体"/>
        </w:rPr>
      </w:pPr>
      <w:r>
        <w:rPr>
          <w:rFonts w:hint="eastAsia" w:ascii="宋体" w:hAnsi="宋体"/>
        </w:rPr>
        <w:t>由泥水循环出土，并利用泥水压力平衡水土压力的机械掘进顶管施工方法。</w:t>
      </w:r>
    </w:p>
    <w:p w14:paraId="4123F026">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顶力  Jacking</w:t>
      </w:r>
      <w:r>
        <w:rPr>
          <w:rFonts w:ascii="黑体" w:hAnsi="黑体" w:eastAsia="黑体"/>
        </w:rPr>
        <w:t xml:space="preserve"> F</w:t>
      </w:r>
      <w:r>
        <w:rPr>
          <w:rFonts w:hint="eastAsia" w:ascii="黑体" w:hAnsi="黑体" w:eastAsia="黑体"/>
        </w:rPr>
        <w:t>orce</w:t>
      </w:r>
    </w:p>
    <w:p w14:paraId="4453839D">
      <w:pPr>
        <w:pStyle w:val="58"/>
        <w:ind w:firstLine="420"/>
      </w:pPr>
      <w:r>
        <w:rPr>
          <w:rFonts w:hint="eastAsia" w:hAnsi="宋体"/>
        </w:rPr>
        <w:t>推进整个管道系统和相关机械设备向前运动的作用力。</w:t>
      </w:r>
    </w:p>
    <w:p w14:paraId="2EB9AFDC">
      <w:pPr>
        <w:pStyle w:val="106"/>
        <w:spacing w:before="312" w:after="312"/>
      </w:pPr>
      <w:bookmarkStart w:id="49" w:name="_Toc100138085"/>
      <w:bookmarkStart w:id="50" w:name="_Toc100145154"/>
      <w:bookmarkStart w:id="51" w:name="_Toc100142414"/>
      <w:bookmarkStart w:id="52" w:name="_Toc458279612"/>
      <w:bookmarkStart w:id="53" w:name="_Toc339208961"/>
      <w:bookmarkStart w:id="54" w:name="_Toc298670687"/>
      <w:bookmarkStart w:id="55" w:name="_Toc298671236"/>
      <w:bookmarkStart w:id="56" w:name="_Toc299176952"/>
      <w:bookmarkStart w:id="57" w:name="_Toc472961565"/>
      <w:bookmarkStart w:id="58" w:name="_Toc298771805"/>
      <w:bookmarkStart w:id="59" w:name="_Toc299176901"/>
      <w:bookmarkStart w:id="60" w:name="_Toc472351214"/>
      <w:bookmarkStart w:id="61" w:name="_Toc97293152"/>
      <w:bookmarkStart w:id="62" w:name="_Toc472961778"/>
      <w:bookmarkStart w:id="63" w:name="_Toc472351306"/>
      <w:bookmarkStart w:id="64" w:name="_Toc100138099"/>
      <w:bookmarkStart w:id="65" w:name="_Toc484503871"/>
      <w:bookmarkStart w:id="66" w:name="OLE_LINK5"/>
      <w:bookmarkStart w:id="67" w:name="_Toc339213457"/>
      <w:bookmarkStart w:id="68" w:name="_Toc322619518"/>
      <w:bookmarkStart w:id="69" w:name="_Toc474229846"/>
      <w:r>
        <w:t>符号</w:t>
      </w:r>
      <w:bookmarkEnd w:id="49"/>
      <w:bookmarkEnd w:id="50"/>
      <w:bookmarkEnd w:id="51"/>
    </w:p>
    <w:p w14:paraId="7791286B">
      <w:pPr>
        <w:pStyle w:val="107"/>
        <w:spacing w:beforeLines="0" w:afterLines="0"/>
      </w:pPr>
      <w:bookmarkStart w:id="70" w:name="_Toc100138086"/>
      <w:bookmarkStart w:id="71" w:name="_Toc100145155"/>
      <w:bookmarkStart w:id="72" w:name="_Toc100142415"/>
      <w:r>
        <w:t>管道结构上的作用和土的性质</w:t>
      </w:r>
      <w:r>
        <w:br w:type="textWrapping"/>
      </w:r>
      <w:r>
        <w:rPr>
          <w:rFonts w:ascii="宋体" w:eastAsia="宋体"/>
          <w:i/>
        </w:rPr>
        <w:t>c</w:t>
      </w:r>
      <w:r>
        <w:rPr>
          <w:rFonts w:ascii="宋体" w:eastAsia="宋体"/>
        </w:rPr>
        <w:t>——土的黏聚力（kN/m³）；</w:t>
      </w:r>
      <w:bookmarkEnd w:id="70"/>
      <w:bookmarkEnd w:id="71"/>
      <w:bookmarkEnd w:id="72"/>
    </w:p>
    <w:p w14:paraId="0275956C">
      <w:pPr>
        <w:pStyle w:val="58"/>
        <w:ind w:firstLine="420"/>
      </w:pPr>
      <w:r>
        <w:rPr>
          <w:i/>
        </w:rPr>
        <w:t>P</w:t>
      </w:r>
      <w:r>
        <w:t>——总顶力（kN）；</w:t>
      </w:r>
    </w:p>
    <w:p w14:paraId="7D422849">
      <w:pPr>
        <w:pStyle w:val="58"/>
        <w:ind w:firstLine="400"/>
      </w:pPr>
      <w:r>
        <w:rPr>
          <w:i/>
          <w:iCs/>
          <w:sz w:val="20"/>
        </w:rPr>
        <w:t>P</w:t>
      </w:r>
      <w:r>
        <w:rPr>
          <w:i/>
          <w:iCs/>
          <w:sz w:val="20"/>
          <w:vertAlign w:val="subscript"/>
        </w:rPr>
        <w:t>z</w:t>
      </w:r>
      <w:r>
        <w:t>——注浆压力（kPa）；</w:t>
      </w:r>
    </w:p>
    <w:p w14:paraId="6C8EFD59">
      <w:pPr>
        <w:pStyle w:val="58"/>
        <w:ind w:firstLine="420"/>
      </w:pPr>
      <w:r>
        <w:rPr>
          <w:i/>
        </w:rPr>
        <w:t>γ</w:t>
      </w:r>
      <w:r>
        <w:t>——土的天然重度（kN/m³）；</w:t>
      </w:r>
    </w:p>
    <w:p w14:paraId="45EAC64C">
      <w:pPr>
        <w:pStyle w:val="58"/>
        <w:ind w:firstLine="420"/>
      </w:pPr>
      <w:r>
        <w:rPr>
          <w:i/>
        </w:rPr>
        <w:t>μ</w:t>
      </w:r>
      <w:r>
        <w:t>——管节自重摩擦系数；</w:t>
      </w:r>
      <w:r>
        <w:br w:type="textWrapping"/>
      </w: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f</m:t>
            </m:r>
            <m:ctrlPr>
              <w:rPr>
                <w:rFonts w:ascii="Cambria Math" w:hAnsi="Cambria Math"/>
              </w:rPr>
            </m:ctrlPr>
          </m:sub>
        </m:sSub>
      </m:oMath>
      <w:r>
        <w:t>——管道外壁与土体接触面的摩阻力，单位kPa；</w:t>
      </w:r>
    </w:p>
    <w:p w14:paraId="4CD7504C">
      <w:pPr>
        <w:pStyle w:val="58"/>
        <w:ind w:firstLine="400"/>
      </w:pPr>
      <w:r>
        <w:rPr>
          <w:i/>
          <w:iCs/>
          <w:sz w:val="20"/>
        </w:rPr>
        <w:t>F</w:t>
      </w:r>
      <w:r>
        <w:rPr>
          <w:i/>
          <w:sz w:val="20"/>
          <w:vertAlign w:val="subscript"/>
        </w:rPr>
        <w:t>1</w:t>
      </w:r>
      <w:r>
        <w:t>——设计允许顶力（kN）；</w:t>
      </w:r>
    </w:p>
    <w:p w14:paraId="704F5E3B">
      <w:pPr>
        <w:pStyle w:val="58"/>
        <w:ind w:firstLine="400"/>
      </w:pPr>
      <w:r>
        <w:rPr>
          <w:i/>
          <w:iCs/>
          <w:sz w:val="20"/>
        </w:rPr>
        <w:t>F</w:t>
      </w:r>
      <w:r>
        <w:rPr>
          <w:i/>
          <w:sz w:val="20"/>
          <w:vertAlign w:val="subscript"/>
        </w:rPr>
        <w:t>2</w:t>
      </w:r>
      <w:r>
        <w:t>——顶管机的迎面阻力（kN）；</w:t>
      </w:r>
    </w:p>
    <w:p w14:paraId="246B53A8">
      <w:pPr>
        <w:pStyle w:val="58"/>
        <w:ind w:firstLine="400"/>
      </w:pPr>
      <w:r>
        <w:rPr>
          <w:i/>
          <w:iCs/>
          <w:sz w:val="20"/>
        </w:rPr>
        <w:t>M</w:t>
      </w:r>
      <w:r>
        <w:rPr>
          <w:i/>
          <w:sz w:val="20"/>
          <w:vertAlign w:val="subscript"/>
        </w:rPr>
        <w:t>β</w:t>
      </w:r>
      <w:r>
        <w:t>——测角中误差；</w:t>
      </w:r>
    </w:p>
    <w:p w14:paraId="74726833">
      <w:pPr>
        <w:pStyle w:val="58"/>
        <w:ind w:firstLine="420"/>
      </w:pPr>
      <w:r>
        <w:rPr>
          <w:rFonts w:ascii="Times New Roman"/>
          <w:i/>
        </w:rPr>
        <w:t>φ</w:t>
      </w:r>
      <w:r>
        <w:t>——土体内摩擦角（°）；</w:t>
      </w:r>
    </w:p>
    <w:p w14:paraId="0C02CAF8">
      <w:pPr>
        <w:pStyle w:val="58"/>
        <w:ind w:firstLine="420"/>
      </w:pPr>
      <w:r>
        <w:rPr>
          <w:rFonts w:ascii="Times New Roman"/>
          <w:i/>
        </w:rPr>
        <w:t>W</w:t>
      </w:r>
      <w:r>
        <w:t>——管节单位重量（kN/m）；</w:t>
      </w:r>
    </w:p>
    <w:p w14:paraId="0CF369E4">
      <w:pPr>
        <w:pStyle w:val="107"/>
        <w:spacing w:beforeLines="0" w:afterLines="0"/>
      </w:pPr>
      <w:bookmarkStart w:id="73" w:name="_Toc100142416"/>
      <w:bookmarkStart w:id="74" w:name="_Toc100138087"/>
      <w:bookmarkStart w:id="75" w:name="_Toc100145156"/>
      <w:r>
        <w:t>几何参数</w:t>
      </w:r>
      <w:r>
        <w:br w:type="textWrapping"/>
      </w:r>
      <w:r>
        <w:rPr>
          <w:rFonts w:ascii="宋体" w:eastAsia="宋体"/>
          <w:i/>
        </w:rPr>
        <w:t>b</w:t>
      </w:r>
      <w:r>
        <w:rPr>
          <w:rFonts w:ascii="宋体" w:eastAsia="宋体"/>
        </w:rPr>
        <w:t>——管节宽度（m）；</w:t>
      </w:r>
      <w:bookmarkEnd w:id="73"/>
      <w:bookmarkEnd w:id="74"/>
      <w:bookmarkEnd w:id="75"/>
    </w:p>
    <w:p w14:paraId="48CD4497">
      <w:pPr>
        <w:pStyle w:val="58"/>
        <w:ind w:firstLine="420"/>
      </w:pPr>
      <w:r>
        <w:rPr>
          <w:i/>
        </w:rPr>
        <w:t>C</w:t>
      </w:r>
      <w:r>
        <w:t>——顶管外周长（m）</w:t>
      </w:r>
    </w:p>
    <w:p w14:paraId="1861F17A">
      <w:pPr>
        <w:pStyle w:val="58"/>
        <w:ind w:firstLine="420"/>
      </w:pPr>
      <w:r>
        <w:rPr>
          <w:i/>
        </w:rPr>
        <w:t>L</w:t>
      </w:r>
      <w:r>
        <w:t>——管道顶进长度（m）；</w:t>
      </w:r>
    </w:p>
    <w:p w14:paraId="11F8779A">
      <w:pPr>
        <w:pStyle w:val="58"/>
        <w:ind w:firstLine="400"/>
      </w:pPr>
      <w:r>
        <w:rPr>
          <w:rFonts w:ascii="Times New Roman"/>
          <w:i/>
          <w:kern w:val="2"/>
          <w:sz w:val="20"/>
          <w:szCs w:val="24"/>
        </w:rPr>
        <w:t>a</w:t>
      </w:r>
      <w:r>
        <w:t>——管节长（m）；</w:t>
      </w:r>
    </w:p>
    <w:p w14:paraId="2FB10A79">
      <w:pPr>
        <w:pStyle w:val="58"/>
        <w:ind w:firstLine="420"/>
      </w:pPr>
      <w:r>
        <w:rPr>
          <w:i/>
        </w:rPr>
        <w:t>b</w:t>
      </w:r>
      <w:r>
        <w:t>——管节款（m）；</w:t>
      </w:r>
    </w:p>
    <w:p w14:paraId="5B50EA85">
      <w:pPr>
        <w:pStyle w:val="58"/>
        <w:ind w:firstLine="420"/>
      </w:pPr>
      <w:r>
        <w:rPr>
          <w:i/>
        </w:rPr>
        <w:t>S</w:t>
      </w:r>
      <w:r>
        <w:t>——刀盘的面积（m2）</w:t>
      </w:r>
    </w:p>
    <w:p w14:paraId="6712757E">
      <w:pPr>
        <w:pStyle w:val="58"/>
        <w:ind w:firstLine="420"/>
      </w:pPr>
      <w:r>
        <w:rPr>
          <w:i/>
        </w:rPr>
        <w:t>L'</w:t>
      </w:r>
      <w:r>
        <w:t>——中继间的间隔距离（m）；</w:t>
      </w:r>
    </w:p>
    <w:p w14:paraId="64078502">
      <w:pPr>
        <w:pStyle w:val="58"/>
        <w:ind w:firstLine="420"/>
      </w:pPr>
      <w:r>
        <w:rPr>
          <w:i/>
        </w:rPr>
        <w:t>h</w:t>
      </w:r>
      <w:r>
        <w:t>——管道轴线埋深（m）；</w:t>
      </w:r>
    </w:p>
    <w:p w14:paraId="1A698B9D">
      <w:pPr>
        <w:pStyle w:val="107"/>
        <w:spacing w:beforeLines="0" w:afterLines="0"/>
      </w:pPr>
      <w:bookmarkStart w:id="76" w:name="_Toc100138088"/>
      <w:bookmarkStart w:id="77" w:name="_Toc100145157"/>
      <w:bookmarkStart w:id="78" w:name="_Toc100142417"/>
      <w:r>
        <w:t>计算系数</w:t>
      </w:r>
      <w:r>
        <w:br w:type="textWrapping"/>
      </w:r>
      <w:r>
        <w:rPr>
          <w:i/>
          <w:iCs/>
          <w:sz w:val="20"/>
        </w:rPr>
        <w:t>f</w:t>
      </w:r>
      <w:r>
        <w:rPr>
          <w:rFonts w:ascii="宋体" w:eastAsia="宋体"/>
        </w:rPr>
        <w:t>——单位摩阻力（kPa）；</w:t>
      </w:r>
      <w:bookmarkEnd w:id="76"/>
      <w:bookmarkEnd w:id="77"/>
      <w:bookmarkEnd w:id="78"/>
    </w:p>
    <w:p w14:paraId="4BF54AE7">
      <w:pPr>
        <w:pStyle w:val="58"/>
        <w:ind w:firstLine="400"/>
      </w:pPr>
      <w:r>
        <w:rPr>
          <w:i/>
          <w:iCs/>
          <w:sz w:val="20"/>
        </w:rPr>
        <w:t>K</w:t>
      </w:r>
      <w:r>
        <w:rPr>
          <w:i/>
          <w:sz w:val="20"/>
          <w:vertAlign w:val="subscript"/>
        </w:rPr>
        <w:t>a</w:t>
      </w:r>
      <w:r>
        <w:t>——主动土压力系数；</w:t>
      </w:r>
    </w:p>
    <w:p w14:paraId="255706F6">
      <w:pPr>
        <w:pStyle w:val="58"/>
        <w:ind w:firstLine="400"/>
      </w:pPr>
      <w:r>
        <w:rPr>
          <w:i/>
          <w:iCs/>
          <w:sz w:val="20"/>
        </w:rPr>
        <w:t>k</w:t>
      </w:r>
      <w:r>
        <w:rPr>
          <w:i/>
          <w:iCs/>
          <w:sz w:val="20"/>
          <w:vertAlign w:val="subscript"/>
        </w:rPr>
        <w:t>1</w:t>
      </w:r>
      <w:r>
        <w:t>——顶力系数，宜取0.5</w:t>
      </w:r>
      <w:r>
        <w:rPr>
          <w:rFonts w:hint="eastAsia" w:hAnsi="宋体"/>
        </w:rPr>
        <w:t>～</w:t>
      </w:r>
      <w:r>
        <w:t>0.6；</w:t>
      </w:r>
    </w:p>
    <w:p w14:paraId="4748ADDE">
      <w:pPr>
        <w:pStyle w:val="58"/>
        <w:ind w:firstLine="400"/>
        <w:rPr>
          <w:rFonts w:ascii="黑体" w:eastAsia="黑体"/>
        </w:rPr>
      </w:pPr>
      <w:r>
        <w:rPr>
          <w:i/>
          <w:iCs/>
          <w:sz w:val="20"/>
        </w:rPr>
        <w:t>k</w:t>
      </w:r>
      <w:r>
        <w:rPr>
          <w:i/>
          <w:iCs/>
          <w:sz w:val="20"/>
          <w:vertAlign w:val="subscript"/>
        </w:rPr>
        <w:t>2</w:t>
      </w:r>
      <w:r>
        <w:t>——注浆压力系数，宜取0.8</w:t>
      </w:r>
      <w:r>
        <w:rPr>
          <w:rFonts w:hint="eastAsia" w:hAnsi="宋体"/>
        </w:rPr>
        <w:t>～</w:t>
      </w:r>
      <w:r>
        <w:t>1.2。</w:t>
      </w:r>
    </w:p>
    <w:p w14:paraId="3BB0181E">
      <w:pPr>
        <w:pStyle w:val="107"/>
        <w:spacing w:beforeLines="0" w:afterLines="0"/>
      </w:pPr>
      <w:bookmarkStart w:id="79" w:name="_Toc100142418"/>
      <w:bookmarkStart w:id="80" w:name="_Toc100138089"/>
      <w:bookmarkStart w:id="81" w:name="_Toc100145158"/>
      <w:r>
        <w:t>其他</w:t>
      </w:r>
      <w:r>
        <w:br w:type="textWrapping"/>
      </w:r>
      <w:r>
        <w:rPr>
          <w:i/>
          <w:iCs/>
          <w:sz w:val="20"/>
        </w:rPr>
        <w:t>f</w:t>
      </w:r>
      <w:r>
        <w:rPr>
          <w:i/>
          <w:sz w:val="20"/>
          <w:vertAlign w:val="subscript"/>
        </w:rPr>
        <w:t>β</w:t>
      </w:r>
      <w:r>
        <w:rPr>
          <w:rFonts w:ascii="宋体" w:eastAsia="宋体"/>
        </w:rPr>
        <w:t>——导线环角度闭合差或附和导线的方位角闭合差（"）；</w:t>
      </w:r>
      <w:bookmarkEnd w:id="79"/>
      <w:bookmarkEnd w:id="80"/>
      <w:bookmarkEnd w:id="81"/>
    </w:p>
    <w:p w14:paraId="5C664E8B">
      <w:pPr>
        <w:pStyle w:val="58"/>
        <w:ind w:firstLine="420"/>
      </w:pPr>
      <w:r>
        <w:rPr>
          <w:i/>
        </w:rPr>
        <w:t>N</w:t>
      </w:r>
      <w:r>
        <w:t>——导线环或附合导线的个数；</w:t>
      </w:r>
    </w:p>
    <w:p w14:paraId="03752C31">
      <w:pPr>
        <w:pStyle w:val="58"/>
        <w:ind w:firstLine="420"/>
      </w:pPr>
      <w:r>
        <w:rPr>
          <w:i/>
        </w:rPr>
        <w:t>n</w:t>
      </w:r>
      <w:r>
        <w:t>——计算fβ时的角度个数。</w:t>
      </w:r>
    </w:p>
    <w:p w14:paraId="6A54E033">
      <w:pPr>
        <w:pStyle w:val="106"/>
        <w:spacing w:before="312" w:after="312"/>
      </w:pPr>
      <w:bookmarkStart w:id="82" w:name="_Toc100138090"/>
      <w:bookmarkStart w:id="83" w:name="_Toc100145159"/>
      <w:bookmarkStart w:id="84" w:name="_Toc100142419"/>
      <w:r>
        <w:t>总则</w:t>
      </w:r>
      <w:bookmarkEnd w:id="82"/>
      <w:bookmarkEnd w:id="83"/>
      <w:bookmarkEnd w:id="84"/>
    </w:p>
    <w:p w14:paraId="290813B3">
      <w:pPr>
        <w:pStyle w:val="164"/>
      </w:pPr>
      <w:r>
        <w:t>为规范湖北省矩形顶管施工、监测及质量检验，做到技术先进、经济合理、安全可靠，确保质量，保护环境而制定本规程。</w:t>
      </w:r>
    </w:p>
    <w:p w14:paraId="7F670C9E">
      <w:pPr>
        <w:pStyle w:val="164"/>
      </w:pPr>
      <w:r>
        <w:t>矩形顶管工程应根据本地区工程地质、水文地质、周边环境及施工条件等因素，合理选择矩形顶管施工设备，精心组织施工，严格监控。</w:t>
      </w:r>
    </w:p>
    <w:p w14:paraId="3772B4CC">
      <w:pPr>
        <w:pStyle w:val="164"/>
      </w:pPr>
      <w:r>
        <w:t>矩形顶管的施工、监测与检验验收除应符合本规程外，尚应符合国家现行的有关技术标准规范的规定。</w:t>
      </w:r>
    </w:p>
    <w:p w14:paraId="656D8ED5">
      <w:pPr>
        <w:pStyle w:val="106"/>
        <w:spacing w:before="312" w:after="312"/>
      </w:pPr>
      <w:bookmarkStart w:id="85" w:name="_Toc100138091"/>
      <w:bookmarkStart w:id="86" w:name="_Toc100145160"/>
      <w:bookmarkStart w:id="87" w:name="_Toc100142420"/>
      <w:r>
        <w:t>基本规定</w:t>
      </w:r>
      <w:bookmarkEnd w:id="85"/>
      <w:bookmarkEnd w:id="86"/>
      <w:bookmarkEnd w:id="87"/>
    </w:p>
    <w:p w14:paraId="6576F20D">
      <w:pPr>
        <w:pStyle w:val="164"/>
      </w:pPr>
      <w:r>
        <w:t>矩形顶管施工前，施工单位应按照合同文件、设计文件和有关规范、标准要求，核实建设单位提供的施工界域内有关工程地质、水文地质和周围环境情况，以及沿线地下与地上管线、周边建（构）筑物、障碍物及其他设施的详细资料。</w:t>
      </w:r>
    </w:p>
    <w:p w14:paraId="2C7532AC">
      <w:pPr>
        <w:pStyle w:val="164"/>
      </w:pPr>
      <w:r>
        <w:t>顶管施工前应编写顶管施工组织设计和专项施工方案，应满足设计文件与合同协议的要求，在现场踏勘的基础上，综合考虑各方面因素，根据实际情况选用合适的设备和选择最优施工方法与工艺，还应随着工程进展根据实际情况的变化调整施工参数。</w:t>
      </w:r>
    </w:p>
    <w:p w14:paraId="0D14BDF9">
      <w:pPr>
        <w:pStyle w:val="164"/>
      </w:pPr>
      <w:r>
        <w:t>对顶管施工引起的地表变形和对周边环境的影响，应事先做出充分的预测。当预计难以确保地面建（构）筑物、道路交通和地下管线的正常使用时，应制定有效的监测和保护措施。</w:t>
      </w:r>
    </w:p>
    <w:p w14:paraId="4C108592">
      <w:pPr>
        <w:pStyle w:val="164"/>
      </w:pPr>
      <w:r>
        <w:t>工程所用的管材、矩形顶管附件、构（配）件和主要原材料等产品进入施工现场时应进行进场验收并妥善保管。进场验收时应检查每批产品的质量合格证书、性能检验报告、使用说明书、进口产品的商检报告等，并按国家有关标准规定进行复验，验收合格后方可使用，主体结构管节质量应满足设计使用年限要求。</w:t>
      </w:r>
    </w:p>
    <w:p w14:paraId="6CBDF27F">
      <w:pPr>
        <w:pStyle w:val="164"/>
      </w:pPr>
      <w:r>
        <w:t>施工临时设施应根据工程特点合理设置。对不宜间断施工的项目，应有备用动力和设备，管道内应合理配置通风、供电、照明等装置。</w:t>
      </w:r>
    </w:p>
    <w:p w14:paraId="686A81B4">
      <w:pPr>
        <w:pStyle w:val="164"/>
      </w:pPr>
      <w:r>
        <w:t>顶管施工前，应对施工场地进行硬化，并对地基承载力进行复核，场地应满足顶管机设备及管节吊装要求。</w:t>
      </w:r>
    </w:p>
    <w:p w14:paraId="4CB3142A">
      <w:pPr>
        <w:pStyle w:val="164"/>
      </w:pPr>
      <w:r>
        <w:t>顶管穿越河道或富水地层时，应复核管节、管道抗浮安全。</w:t>
      </w:r>
    </w:p>
    <w:p w14:paraId="30765CE1">
      <w:pPr>
        <w:pStyle w:val="164"/>
        <w:rPr>
          <w:rFonts w:ascii="Calibri" w:hAnsi="Calibri" w:cs="Calibri"/>
        </w:rPr>
      </w:pPr>
      <w:r>
        <w:t>顶管施工应建立地面和地下测量系统，测量控制点应设在不易扰动、方便校核和易于保护的地方</w:t>
      </w:r>
    </w:p>
    <w:p w14:paraId="792B5611">
      <w:pPr>
        <w:pStyle w:val="164"/>
        <w:rPr>
          <w:rFonts w:ascii="Calibri" w:hAnsi="Calibri" w:cs="Calibri"/>
        </w:rPr>
      </w:pPr>
      <w:r>
        <w:t>顶管施工前应完成工作井施工并通过质量验收，验收合格后，方可投入使用。</w:t>
      </w:r>
      <w:r>
        <w:rPr>
          <w:rFonts w:ascii="Calibri" w:hAnsi="Calibri" w:cs="Calibri"/>
        </w:rPr>
        <w:t>  </w:t>
      </w:r>
    </w:p>
    <w:p w14:paraId="3F68C68A">
      <w:pPr>
        <w:pStyle w:val="106"/>
        <w:spacing w:before="312" w:after="312"/>
        <w:rPr>
          <w:rFonts w:ascii="Calibri" w:hAnsi="Calibri" w:cs="Calibri"/>
        </w:rPr>
      </w:pPr>
      <w:bookmarkStart w:id="88" w:name="_Toc100138092"/>
      <w:bookmarkStart w:id="89" w:name="_Toc100142421"/>
      <w:bookmarkStart w:id="90" w:name="_Toc100145161"/>
      <w:r>
        <w:t>管节顶进施工</w:t>
      </w:r>
      <w:bookmarkEnd w:id="88"/>
      <w:bookmarkEnd w:id="89"/>
      <w:bookmarkEnd w:id="90"/>
      <w:r>
        <w:rPr>
          <w:rFonts w:ascii="Calibri" w:hAnsi="Calibri" w:cs="Calibri"/>
        </w:rPr>
        <w:t> </w:t>
      </w:r>
    </w:p>
    <w:p w14:paraId="5347D803">
      <w:pPr>
        <w:pStyle w:val="107"/>
        <w:spacing w:before="156" w:after="156"/>
      </w:pPr>
      <w:bookmarkStart w:id="91" w:name="_Toc100145162"/>
      <w:bookmarkStart w:id="92" w:name="_Toc100142422"/>
      <w:bookmarkStart w:id="93" w:name="_Toc100138093"/>
      <w:r>
        <w:t>一般规定</w:t>
      </w:r>
      <w:bookmarkEnd w:id="91"/>
      <w:bookmarkEnd w:id="92"/>
      <w:bookmarkEnd w:id="93"/>
    </w:p>
    <w:p w14:paraId="1ADDF598">
      <w:pPr>
        <w:pStyle w:val="167"/>
      </w:pPr>
      <w:r>
        <w:t>顶管井的施工和验收应满足相应规范的要求，井内降水和防水措施应满足设计要求。</w:t>
      </w:r>
    </w:p>
    <w:p w14:paraId="6ED4DBBA">
      <w:pPr>
        <w:pStyle w:val="167"/>
      </w:pPr>
      <w:r>
        <w:t>管道内的照明应与动力电源分开，设置独立照明电源，照明电源应采用双低压，电压不宜大于36V；管道内应设置通风系统和有毒气体报警器。</w:t>
      </w:r>
    </w:p>
    <w:p w14:paraId="16BC6E35">
      <w:pPr>
        <w:pStyle w:val="167"/>
      </w:pPr>
      <w:r>
        <w:t>施工时宜建立良好的通讯网络和视频监控系统，保证控制室、顶管内及地表作业区的通讯畅通。</w:t>
      </w:r>
    </w:p>
    <w:p w14:paraId="18AC0A30">
      <w:pPr>
        <w:pStyle w:val="167"/>
      </w:pPr>
      <w:r>
        <w:t>顶管施工应采取触变泥浆减阻措施，其配比应由现场试验确定。管道外壁如未设计有防腐或减阻措施，宜增加涂刷石蜡等减阻涂料。</w:t>
      </w:r>
    </w:p>
    <w:p w14:paraId="587FFA77">
      <w:pPr>
        <w:pStyle w:val="167"/>
      </w:pPr>
      <w:r>
        <w:t>所有使用的设备应按规定定期检查、维修和保养，并作好记录。</w:t>
      </w:r>
    </w:p>
    <w:p w14:paraId="63F22780">
      <w:pPr>
        <w:pStyle w:val="167"/>
      </w:pPr>
      <w:r>
        <w:t>辅助设备应满足施工技术要求和安全、文明施工要求。</w:t>
      </w:r>
    </w:p>
    <w:p w14:paraId="4DE7A64E">
      <w:pPr>
        <w:pStyle w:val="167"/>
      </w:pPr>
      <w:r>
        <w:t>根据工程设计、施工方法和水文地质等条件，对邻近建（构）筑物、管线采取土体加固措施或其他保护措施。</w:t>
      </w:r>
    </w:p>
    <w:p w14:paraId="16E3F4E4">
      <w:pPr>
        <w:pStyle w:val="107"/>
        <w:spacing w:before="156" w:after="156"/>
      </w:pPr>
      <w:bookmarkStart w:id="94" w:name="_Toc100145163"/>
      <w:bookmarkStart w:id="95" w:name="_Toc100142423"/>
      <w:r>
        <w:rPr>
          <w:rFonts w:hint="eastAsia"/>
        </w:rPr>
        <w:t>顶管机始发</w:t>
      </w:r>
      <w:bookmarkEnd w:id="94"/>
      <w:bookmarkEnd w:id="95"/>
    </w:p>
    <w:p w14:paraId="180C9F5E">
      <w:pPr>
        <w:pStyle w:val="167"/>
      </w:pPr>
      <w:r>
        <w:rPr>
          <w:rFonts w:hint="eastAsia"/>
        </w:rPr>
        <w:t>始发前应对顶管机下软弱土层进行处理。</w:t>
      </w:r>
    </w:p>
    <w:p w14:paraId="2EA26DFD">
      <w:pPr>
        <w:pStyle w:val="167"/>
      </w:pPr>
      <w:r>
        <w:rPr>
          <w:rFonts w:hint="eastAsia"/>
        </w:rPr>
        <w:t>工作井后背墙混凝土强度达到设计要求，其表面应与顶进轴线垂直，表面平整。</w:t>
      </w:r>
    </w:p>
    <w:p w14:paraId="23949FBA">
      <w:pPr>
        <w:pStyle w:val="167"/>
      </w:pPr>
      <w:r>
        <w:rPr>
          <w:rFonts w:hint="eastAsia"/>
        </w:rPr>
        <w:t>顶进前应查明工作井周围的地表水以及地下水情况</w:t>
      </w:r>
      <w:r>
        <w:rPr>
          <w:rFonts w:hint="eastAsia"/>
          <w:strike/>
        </w:rPr>
        <w:t>,</w:t>
      </w:r>
      <w:r>
        <w:rPr>
          <w:rFonts w:hint="eastAsia"/>
        </w:rPr>
        <w:t>，做好工作井周围及坑内的明水排放；顶进前对洞门进行探孔，查明地下水、洞门土体加固及有毒有害气体等情况，确定是否具备始发条件。</w:t>
      </w:r>
    </w:p>
    <w:p w14:paraId="0A6A6675">
      <w:pPr>
        <w:pStyle w:val="167"/>
      </w:pPr>
      <w:r>
        <w:rPr>
          <w:rFonts w:hint="eastAsia"/>
        </w:rPr>
        <w:t>顶管机掘进前如需破除洞门，应在节点验收后进行。</w:t>
      </w:r>
    </w:p>
    <w:p w14:paraId="31558E96">
      <w:pPr>
        <w:pStyle w:val="167"/>
      </w:pPr>
      <w:r>
        <w:rPr>
          <w:rFonts w:hint="eastAsia"/>
        </w:rPr>
        <w:t>洞门破除前，应对洞门外经改良后的土体进行质量检测，合格后方可进行洞门破除；应制定洞门围护结构破除方案，顶管始发时应采取密封措施，保证始发安全。</w:t>
      </w:r>
    </w:p>
    <w:p w14:paraId="2A248F5E">
      <w:pPr>
        <w:pStyle w:val="167"/>
        <w:rPr>
          <w:rFonts w:ascii="Times New Roman"/>
        </w:rPr>
      </w:pPr>
      <w:r>
        <w:rPr>
          <w:rFonts w:hint="eastAsia" w:ascii="Times New Roman"/>
        </w:rPr>
        <w:t>顶管机吊装的起重设备应经有关部门检验合格方可使用，吊装作业人员应严格按照国家和行业有关安全技术标准作业，顶管机组装应按作业安全操作规程和组装方案进行。</w:t>
      </w:r>
    </w:p>
    <w:p w14:paraId="2370C769">
      <w:pPr>
        <w:pStyle w:val="167"/>
        <w:rPr>
          <w:rFonts w:ascii="Times New Roman"/>
        </w:rPr>
      </w:pPr>
      <w:r>
        <w:rPr>
          <w:rFonts w:hint="eastAsia" w:ascii="Times New Roman"/>
        </w:rPr>
        <w:t>始发掘进前，顶铁应进行安全验算，后座垫铁的立面面积应根据顶力、井壁厚度及强度、土层的承载力综合确定。</w:t>
      </w:r>
    </w:p>
    <w:p w14:paraId="6429DDF1">
      <w:pPr>
        <w:pStyle w:val="167"/>
        <w:rPr>
          <w:rFonts w:ascii="Times New Roman"/>
        </w:rPr>
      </w:pPr>
      <w:r>
        <w:rPr>
          <w:rFonts w:hint="eastAsia" w:ascii="Times New Roman"/>
        </w:rPr>
        <w:t>始发掘进时，应对顶管机姿态进行复核。应采取措施防止顶管机出洞时发生磕头现象。</w:t>
      </w:r>
    </w:p>
    <w:p w14:paraId="16776737">
      <w:pPr>
        <w:pStyle w:val="167"/>
        <w:rPr>
          <w:rFonts w:ascii="Times New Roman"/>
        </w:rPr>
      </w:pPr>
      <w:r>
        <w:rPr>
          <w:rFonts w:hint="eastAsia" w:ascii="Times New Roman"/>
        </w:rPr>
        <w:t>顶管机机头进入原状土体后，应进行洞门圈间隙的封堵和填充注浆。注浆完成后方可掘进。</w:t>
      </w:r>
    </w:p>
    <w:p w14:paraId="29578D47">
      <w:pPr>
        <w:pStyle w:val="167"/>
      </w:pPr>
      <w:r>
        <w:rPr>
          <w:rFonts w:hint="eastAsia" w:ascii="Times New Roman"/>
        </w:rPr>
        <w:t>顶管顶进时应控制顶管机姿态和推力，加强监测，并应根据监测结果调整掘进参数。</w:t>
      </w:r>
    </w:p>
    <w:p w14:paraId="2F3C14FF">
      <w:pPr>
        <w:pStyle w:val="107"/>
        <w:spacing w:before="156" w:after="156"/>
      </w:pPr>
      <w:bookmarkStart w:id="96" w:name="_Toc100142424"/>
      <w:bookmarkStart w:id="97" w:name="_Toc100145164"/>
      <w:r>
        <w:rPr>
          <w:rFonts w:hint="eastAsia"/>
        </w:rPr>
        <w:t>管节安装</w:t>
      </w:r>
      <w:bookmarkEnd w:id="96"/>
      <w:bookmarkEnd w:id="97"/>
    </w:p>
    <w:p w14:paraId="6AD46CA5">
      <w:pPr>
        <w:pStyle w:val="232"/>
        <w:ind w:firstLine="0" w:firstLineChars="0"/>
        <w:rPr>
          <w:rFonts w:ascii="Times New Roman"/>
        </w:rPr>
      </w:pPr>
      <w:r>
        <w:rPr>
          <w:rFonts w:ascii="Times New Roman"/>
        </w:rPr>
        <w:t xml:space="preserve">7.3.1 </w:t>
      </w:r>
      <w:r>
        <w:rPr>
          <w:rFonts w:hint="eastAsia" w:ascii="Times New Roman"/>
        </w:rPr>
        <w:t>管节起重设备吊装前，应制定相应的安全专项施工方案，经论证通过后方可实施。</w:t>
      </w:r>
    </w:p>
    <w:p w14:paraId="6E06AC0F">
      <w:pPr>
        <w:pStyle w:val="232"/>
        <w:ind w:firstLine="0" w:firstLineChars="0"/>
        <w:rPr>
          <w:rFonts w:ascii="Times New Roman"/>
        </w:rPr>
      </w:pPr>
      <w:r>
        <w:rPr>
          <w:rFonts w:hint="eastAsia" w:ascii="Times New Roman"/>
        </w:rPr>
        <w:t>7</w:t>
      </w:r>
      <w:r>
        <w:rPr>
          <w:rFonts w:ascii="Times New Roman"/>
        </w:rPr>
        <w:t xml:space="preserve">.3.2 </w:t>
      </w:r>
      <w:r>
        <w:rPr>
          <w:rFonts w:hint="eastAsia" w:ascii="Times New Roman"/>
        </w:rPr>
        <w:t>管节安装的起重机械经有关部门检测合格后方可使用，起重作业人员应持证上岗，并严格遵守国家和行业有关安全技术标准。</w:t>
      </w:r>
    </w:p>
    <w:p w14:paraId="7C107B6A">
      <w:pPr>
        <w:pStyle w:val="232"/>
        <w:ind w:firstLine="0" w:firstLineChars="0"/>
        <w:rPr>
          <w:rFonts w:ascii="Times New Roman"/>
        </w:rPr>
      </w:pPr>
      <w:r>
        <w:rPr>
          <w:rFonts w:ascii="Times New Roman"/>
        </w:rPr>
        <w:t xml:space="preserve">7.3.3 </w:t>
      </w:r>
      <w:r>
        <w:rPr>
          <w:rFonts w:hint="eastAsia" w:ascii="Times New Roman"/>
        </w:rPr>
        <w:t>在起吊范围内应划定警戒区域，设置警告区标志、标线和围挡，禁止吊装过程中人员靠近作业范围。</w:t>
      </w:r>
    </w:p>
    <w:p w14:paraId="50C9DA74">
      <w:pPr>
        <w:pStyle w:val="232"/>
        <w:ind w:firstLine="0" w:firstLineChars="0"/>
        <w:rPr>
          <w:rFonts w:ascii="Times New Roman"/>
        </w:rPr>
      </w:pPr>
      <w:r>
        <w:rPr>
          <w:rFonts w:ascii="Times New Roman"/>
        </w:rPr>
        <w:t xml:space="preserve">7.3.4 </w:t>
      </w:r>
      <w:r>
        <w:rPr>
          <w:rFonts w:hint="eastAsia" w:ascii="Times New Roman"/>
        </w:rPr>
        <w:t>起吊前，应对管节外观、尺寸、混凝土强度、钢套环、楔形橡胶条、嵌缝板等进行验收。</w:t>
      </w:r>
    </w:p>
    <w:p w14:paraId="2343B117">
      <w:pPr>
        <w:pStyle w:val="232"/>
        <w:ind w:firstLine="0" w:firstLineChars="0"/>
        <w:rPr>
          <w:rFonts w:ascii="Times New Roman"/>
        </w:rPr>
      </w:pPr>
      <w:r>
        <w:rPr>
          <w:rFonts w:ascii="Times New Roman"/>
        </w:rPr>
        <w:t xml:space="preserve">7.3.5 </w:t>
      </w:r>
      <w:r>
        <w:rPr>
          <w:rFonts w:hint="eastAsia" w:ascii="Times New Roman"/>
        </w:rPr>
        <w:t>起吊过长、过大、过重等大型管节时，应先进行试吊，离地高度不高于0.2m，经检查确认吊机、吊具等安全可靠后，方可起吊作业。</w:t>
      </w:r>
    </w:p>
    <w:p w14:paraId="48D2296E">
      <w:pPr>
        <w:pStyle w:val="232"/>
        <w:ind w:firstLine="0" w:firstLineChars="0"/>
        <w:rPr>
          <w:rFonts w:ascii="Times New Roman"/>
        </w:rPr>
      </w:pPr>
      <w:r>
        <w:rPr>
          <w:rFonts w:hint="eastAsia" w:ascii="Times New Roman"/>
        </w:rPr>
        <w:t>7</w:t>
      </w:r>
      <w:r>
        <w:rPr>
          <w:rFonts w:ascii="Times New Roman"/>
        </w:rPr>
        <w:t xml:space="preserve">.3.6 </w:t>
      </w:r>
      <w:r>
        <w:rPr>
          <w:rFonts w:hint="eastAsia" w:ascii="Times New Roman"/>
        </w:rPr>
        <w:t>管节吊装过程中应轻翻、轻吊、轻装，严禁碰撞，不得损坏管节承口、插口等部位。</w:t>
      </w:r>
    </w:p>
    <w:p w14:paraId="4BC53391">
      <w:pPr>
        <w:pStyle w:val="232"/>
        <w:ind w:firstLine="0" w:firstLineChars="0"/>
        <w:rPr>
          <w:rFonts w:ascii="Times New Roman"/>
        </w:rPr>
      </w:pPr>
      <w:r>
        <w:rPr>
          <w:rFonts w:ascii="Times New Roman"/>
        </w:rPr>
        <w:t xml:space="preserve">7.3.7 </w:t>
      </w:r>
      <w:r>
        <w:rPr>
          <w:rFonts w:hint="eastAsia" w:ascii="Times New Roman"/>
        </w:rPr>
        <w:t>管节安装时应与前管节接口对位校准，严防对位失准顶进损坏管节和防水密封条。</w:t>
      </w:r>
    </w:p>
    <w:p w14:paraId="0290F837">
      <w:pPr>
        <w:pStyle w:val="232"/>
        <w:ind w:firstLine="0" w:firstLineChars="0"/>
        <w:rPr>
          <w:rFonts w:ascii="Times New Roman"/>
        </w:rPr>
      </w:pPr>
      <w:r>
        <w:rPr>
          <w:rFonts w:ascii="Times New Roman"/>
        </w:rPr>
        <w:t xml:space="preserve">7.3.8 </w:t>
      </w:r>
      <w:r>
        <w:rPr>
          <w:rFonts w:hint="eastAsia" w:ascii="Times New Roman"/>
        </w:rPr>
        <w:t>第一节管节下到导轨上时，应测量管节中线及前后管底高程，校核导轨安装的准确性；后续顶进中，宜每次顶进复核轴线和高程，及时纠偏。</w:t>
      </w:r>
    </w:p>
    <w:p w14:paraId="3CE417E3">
      <w:pPr>
        <w:pStyle w:val="232"/>
        <w:ind w:firstLine="0" w:firstLineChars="0"/>
        <w:rPr>
          <w:rFonts w:ascii="Times New Roman"/>
        </w:rPr>
      </w:pPr>
      <w:r>
        <w:rPr>
          <w:rFonts w:ascii="Times New Roman"/>
        </w:rPr>
        <w:t xml:space="preserve">7.3.9 </w:t>
      </w:r>
      <w:r>
        <w:rPr>
          <w:rFonts w:hint="eastAsia" w:ascii="Times New Roman"/>
        </w:rPr>
        <w:t>前后管节安装高差及水平误差应控制在允许范围内。</w:t>
      </w:r>
    </w:p>
    <w:p w14:paraId="6F9901E8">
      <w:pPr>
        <w:pStyle w:val="232"/>
        <w:ind w:firstLine="0" w:firstLineChars="0"/>
        <w:rPr>
          <w:rFonts w:ascii="Times New Roman"/>
        </w:rPr>
      </w:pPr>
      <w:r>
        <w:rPr>
          <w:rFonts w:ascii="Times New Roman"/>
        </w:rPr>
        <w:t xml:space="preserve">7.3.10 </w:t>
      </w:r>
      <w:r>
        <w:rPr>
          <w:rFonts w:hint="eastAsia" w:ascii="Times New Roman"/>
        </w:rPr>
        <w:t>顶管接口应保证顶管接口处橡胶圈位置准确。</w:t>
      </w:r>
    </w:p>
    <w:p w14:paraId="37746C0E">
      <w:pPr>
        <w:pStyle w:val="58"/>
        <w:ind w:firstLine="0" w:firstLineChars="0"/>
        <w:rPr>
          <w:rFonts w:ascii="Times New Roman"/>
        </w:rPr>
      </w:pPr>
      <w:r>
        <w:rPr>
          <w:rFonts w:ascii="Times New Roman"/>
        </w:rPr>
        <w:t xml:space="preserve">7.3.11 </w:t>
      </w:r>
      <w:r>
        <w:rPr>
          <w:rFonts w:hint="eastAsia" w:ascii="Times New Roman"/>
        </w:rPr>
        <w:t>应依据施工方案和安装工艺要求逐节安装、及时顶进。</w:t>
      </w:r>
    </w:p>
    <w:p w14:paraId="11B32CDB">
      <w:pPr>
        <w:pStyle w:val="107"/>
        <w:spacing w:before="156" w:after="156"/>
      </w:pPr>
      <w:bookmarkStart w:id="98" w:name="_Toc100145165"/>
      <w:bookmarkStart w:id="99" w:name="_Toc100142425"/>
      <w:r>
        <w:rPr>
          <w:rFonts w:hint="eastAsia"/>
        </w:rPr>
        <w:t>管道顶进</w:t>
      </w:r>
      <w:bookmarkEnd w:id="98"/>
      <w:bookmarkEnd w:id="99"/>
    </w:p>
    <w:p w14:paraId="672A5C40">
      <w:pPr>
        <w:pStyle w:val="167"/>
      </w:pPr>
      <w:r>
        <w:rPr>
          <w:rFonts w:hint="eastAsia"/>
        </w:rPr>
        <w:t>矩形顶管总顶力为迎面阻力和顶管周边摩擦力之和，可按下式（1）估算：</w:t>
      </w:r>
    </w:p>
    <w:p w14:paraId="14BB6B9E">
      <w:pPr>
        <w:pStyle w:val="115"/>
        <w:rPr>
          <w:rFonts w:hint="eastAsia"/>
        </w:rPr>
      </w:pPr>
      <w:r>
        <w:tab/>
      </w:r>
      <m:oMath>
        <m:r>
          <m:rPr/>
          <w:rPr>
            <w:rFonts w:hint="eastAsia" w:ascii="Cambria Math" w:hAnsi="Cambria Math"/>
          </w:rPr>
          <m:t>P=S</m:t>
        </m:r>
        <m:r>
          <m:rPr/>
          <w:rPr>
            <w:rFonts w:ascii="Cambria Math" w:hAnsi="Cambria Math"/>
          </w:rPr>
          <m:t>k</m:t>
        </m:r>
        <m:r>
          <m:rPr/>
          <w:rPr>
            <w:rFonts w:ascii="Cambria Math" w:hAnsi="Cambria Math"/>
            <w:vertAlign w:val="subscript"/>
          </w:rPr>
          <m:t>a</m:t>
        </m:r>
        <m:r>
          <m:rPr/>
          <w:rPr>
            <w:rFonts w:hint="eastAsia" w:ascii="Cambria Math" w:hAnsi="Cambria Math"/>
          </w:rPr>
          <m:t>γ</m:t>
        </m:r>
        <m:r>
          <m:rPr/>
          <w:rPr>
            <w:rFonts w:hint="eastAsia" w:ascii="MS Mincho" w:hAnsi="MS Mincho" w:eastAsia="MS Mincho" w:cs="MS Mincho"/>
            <w:vertAlign w:val="subscript"/>
          </w:rPr>
          <m:t>h</m:t>
        </m:r>
        <m:r>
          <m:rPr/>
          <w:rPr>
            <w:rFonts w:hint="eastAsia" w:ascii="Cambria Math" w:hAnsi="Cambria Math"/>
          </w:rPr>
          <m:t>+（q</m:t>
        </m:r>
        <m:r>
          <m:rPr/>
          <w:rPr>
            <w:rFonts w:ascii="Cambria Math" w:hAnsi="Cambria Math"/>
            <w:vertAlign w:val="subscript"/>
          </w:rPr>
          <m:t>f</m:t>
        </m:r>
        <m:r>
          <m:rPr/>
          <w:rPr>
            <w:rFonts w:hint="eastAsia" w:ascii="Cambria Math" w:hAnsi="Cambria Math"/>
          </w:rPr>
          <m:t>C+Wμ）L</m:t>
        </m:r>
      </m:oMath>
      <w:r>
        <w:rPr>
          <w:rFonts w:ascii="微软雅黑" w:hAnsi="微软雅黑" w:eastAsia="微软雅黑"/>
        </w:rPr>
        <w:tab/>
      </w:r>
      <w:r>
        <w:t>(</w:t>
      </w:r>
      <w:r>
        <w:fldChar w:fldCharType="begin"/>
      </w:r>
      <w:r>
        <w:instrText xml:space="preserve"> AUTONUM </w:instrText>
      </w:r>
      <w:r>
        <w:fldChar w:fldCharType="end"/>
      </w:r>
      <w:r>
        <w:t>)</w:t>
      </w:r>
    </w:p>
    <w:p w14:paraId="687DF177">
      <w:pPr>
        <w:pStyle w:val="232"/>
        <w:rPr>
          <w:rFonts w:ascii="Times New Roman"/>
        </w:rPr>
      </w:pPr>
      <w:r>
        <w:rPr>
          <w:rFonts w:hint="eastAsia" w:ascii="Times New Roman"/>
        </w:rPr>
        <w:t>式中：</w:t>
      </w:r>
    </w:p>
    <w:p w14:paraId="528E4540">
      <w:pPr>
        <w:pStyle w:val="232"/>
        <w:rPr>
          <w:rFonts w:ascii="Times New Roman"/>
        </w:rPr>
      </w:pPr>
      <w:r>
        <w:rPr>
          <w:rFonts w:hint="eastAsia" w:ascii="Times New Roman"/>
          <w:i/>
          <w:iCs/>
        </w:rPr>
        <w:t>P</w:t>
      </w:r>
      <w:r>
        <w:rPr>
          <w:rFonts w:ascii="Times New Roman"/>
        </w:rPr>
        <w:t>——</w:t>
      </w:r>
      <w:r>
        <w:rPr>
          <w:rFonts w:hint="eastAsia" w:ascii="Times New Roman"/>
        </w:rPr>
        <w:t>总顶力（kN）；</w:t>
      </w:r>
    </w:p>
    <w:p w14:paraId="2DA152E2">
      <w:pPr>
        <w:pStyle w:val="232"/>
        <w:rPr>
          <w:rFonts w:ascii="Times New Roman"/>
        </w:rPr>
      </w:pPr>
      <w:r>
        <w:rPr>
          <w:rFonts w:hint="eastAsia" w:ascii="Times New Roman"/>
          <w:i/>
          <w:iCs/>
        </w:rPr>
        <w:t>S</w:t>
      </w:r>
      <w:r>
        <w:rPr>
          <w:rFonts w:ascii="Times New Roman"/>
        </w:rPr>
        <w:t>——</w:t>
      </w:r>
      <w:r>
        <w:rPr>
          <w:rFonts w:hint="eastAsia" w:ascii="Times New Roman"/>
        </w:rPr>
        <w:t>刀盘面积（m</w:t>
      </w:r>
      <w:r>
        <w:rPr>
          <w:rFonts w:ascii="Times New Roman"/>
          <w:vertAlign w:val="superscript"/>
        </w:rPr>
        <w:t>2</w:t>
      </w:r>
      <w:r>
        <w:rPr>
          <w:rFonts w:hint="eastAsia" w:ascii="Times New Roman"/>
        </w:rPr>
        <w:t>）；</w:t>
      </w:r>
    </w:p>
    <w:p w14:paraId="2798FED3">
      <w:pPr>
        <w:pStyle w:val="232"/>
        <w:rPr>
          <w:rFonts w:ascii="Times New Roman"/>
        </w:rPr>
      </w:pPr>
      <w:r>
        <w:rPr>
          <w:rFonts w:hint="eastAsia" w:ascii="Times New Roman"/>
          <w:i/>
        </w:rPr>
        <w:t>γ</w:t>
      </w:r>
      <w:r>
        <w:rPr>
          <w:rFonts w:ascii="Times New Roman"/>
        </w:rPr>
        <w:t>——</w:t>
      </w:r>
      <w:r>
        <w:rPr>
          <w:rFonts w:hint="eastAsia" w:ascii="Times New Roman"/>
        </w:rPr>
        <w:t>土的天然重度（k</w:t>
      </w:r>
      <w:r>
        <w:rPr>
          <w:rFonts w:ascii="Times New Roman"/>
        </w:rPr>
        <w:t>N</w:t>
      </w:r>
      <w:r>
        <w:rPr>
          <w:rFonts w:hint="eastAsia" w:ascii="Times New Roman"/>
        </w:rPr>
        <w:t>/m³）</w:t>
      </w:r>
    </w:p>
    <w:p w14:paraId="65C80B1A">
      <w:pPr>
        <w:pStyle w:val="232"/>
        <w:rPr>
          <w:rFonts w:ascii="Times New Roman"/>
        </w:rPr>
      </w:pPr>
      <w:r>
        <w:rPr>
          <w:rFonts w:hint="eastAsia" w:ascii="Times New Roman"/>
          <w:i/>
          <w:iCs/>
        </w:rPr>
        <w:t>L</w:t>
      </w:r>
      <w:r>
        <w:rPr>
          <w:rFonts w:ascii="Times New Roman"/>
        </w:rPr>
        <w:t>——</w:t>
      </w:r>
      <w:r>
        <w:rPr>
          <w:rFonts w:hint="eastAsia" w:ascii="Times New Roman"/>
        </w:rPr>
        <w:t>管道顶进长度（m）；</w:t>
      </w:r>
    </w:p>
    <w:p w14:paraId="4618CE9C">
      <w:pPr>
        <w:pStyle w:val="232"/>
        <w:rPr>
          <w:rFonts w:ascii="Times New Roman"/>
        </w:rPr>
      </w:pPr>
      <w:r>
        <w:rPr>
          <w:rFonts w:hint="eastAsia" w:ascii="Times New Roman"/>
          <w:i/>
          <w:iCs/>
        </w:rPr>
        <w:t>q</w:t>
      </w:r>
      <w:r>
        <w:rPr>
          <w:rFonts w:ascii="Times New Roman"/>
          <w:i/>
          <w:iCs/>
          <w:vertAlign w:val="subscript"/>
        </w:rPr>
        <w:t>f</w:t>
      </w:r>
      <w:r>
        <w:rPr>
          <w:rFonts w:ascii="Times New Roman"/>
        </w:rPr>
        <w:t>——</w:t>
      </w:r>
      <w:r>
        <w:rPr>
          <w:rFonts w:hint="eastAsia" w:ascii="Times New Roman"/>
        </w:rPr>
        <w:t>管道外壁与土体接触面的摩阻力（kPa），参考表</w:t>
      </w:r>
      <w:r>
        <w:rPr>
          <w:rFonts w:ascii="Times New Roman"/>
        </w:rPr>
        <w:t>1</w:t>
      </w:r>
      <w:r>
        <w:rPr>
          <w:rFonts w:hint="eastAsia" w:ascii="Times New Roman"/>
        </w:rPr>
        <w:t>；</w:t>
      </w:r>
    </w:p>
    <w:p w14:paraId="550E72B1">
      <w:pPr>
        <w:pStyle w:val="232"/>
        <w:rPr>
          <w:rFonts w:ascii="Times New Roman"/>
        </w:rPr>
      </w:pPr>
      <w:r>
        <w:rPr>
          <w:rFonts w:hint="eastAsia" w:ascii="Times New Roman"/>
          <w:i/>
          <w:iCs/>
        </w:rPr>
        <w:t>C</w:t>
      </w:r>
      <w:r>
        <w:rPr>
          <w:rFonts w:ascii="Times New Roman"/>
        </w:rPr>
        <w:t>——</w:t>
      </w:r>
      <w:r>
        <w:rPr>
          <w:rFonts w:hint="eastAsia" w:ascii="Times New Roman"/>
        </w:rPr>
        <w:t>顶管外周长（m）；</w:t>
      </w:r>
    </w:p>
    <w:p w14:paraId="096C27A5">
      <w:pPr>
        <w:pStyle w:val="232"/>
        <w:rPr>
          <w:rFonts w:ascii="Times New Roman"/>
        </w:rPr>
      </w:pPr>
      <w:r>
        <w:rPr>
          <w:rFonts w:hint="eastAsia" w:ascii="Times New Roman"/>
          <w:i/>
          <w:iCs/>
        </w:rPr>
        <w:t>W</w:t>
      </w:r>
      <w:r>
        <w:rPr>
          <w:rFonts w:ascii="Times New Roman"/>
        </w:rPr>
        <w:t>——</w:t>
      </w:r>
      <w:r>
        <w:rPr>
          <w:rFonts w:hint="eastAsia" w:ascii="Times New Roman"/>
        </w:rPr>
        <w:t>管节单位重量（k</w:t>
      </w:r>
      <w:r>
        <w:rPr>
          <w:rFonts w:ascii="Times New Roman"/>
        </w:rPr>
        <w:t>N</w:t>
      </w:r>
      <w:r>
        <w:rPr>
          <w:rFonts w:hint="eastAsia" w:ascii="Times New Roman"/>
        </w:rPr>
        <w:t>/m）；</w:t>
      </w:r>
    </w:p>
    <w:p w14:paraId="4C20FD8B">
      <w:pPr>
        <w:pStyle w:val="232"/>
        <w:rPr>
          <w:rFonts w:ascii="Times New Roman"/>
        </w:rPr>
      </w:pPr>
      <w:r>
        <w:rPr>
          <w:rFonts w:hint="eastAsia" w:ascii="Times New Roman"/>
          <w:i/>
        </w:rPr>
        <w:t>μ</w:t>
      </w:r>
      <w:r>
        <w:rPr>
          <w:rFonts w:ascii="Times New Roman"/>
        </w:rPr>
        <w:t>——</w:t>
      </w:r>
      <w:r>
        <w:rPr>
          <w:rFonts w:hint="eastAsia" w:ascii="Times New Roman"/>
        </w:rPr>
        <w:t>管节自重摩擦系数。</w:t>
      </w:r>
    </w:p>
    <w:p w14:paraId="06DBDD29">
      <w:pPr>
        <w:pStyle w:val="114"/>
        <w:spacing w:before="156" w:after="156"/>
      </w:pPr>
      <w:r>
        <w:rPr>
          <w:rFonts w:hint="eastAsia"/>
        </w:rPr>
        <w:t>管节与土体接触面的摩阻力  （单位：kPa）</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03"/>
        <w:gridCol w:w="1703"/>
        <w:gridCol w:w="1704"/>
        <w:gridCol w:w="1704"/>
        <w:gridCol w:w="1704"/>
      </w:tblGrid>
      <w:tr w14:paraId="46190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703" w:type="dxa"/>
            <w:tcBorders>
              <w:top w:val="single" w:color="auto" w:sz="8" w:space="0"/>
              <w:bottom w:val="single" w:color="auto" w:sz="8" w:space="0"/>
            </w:tcBorders>
            <w:vAlign w:val="center"/>
          </w:tcPr>
          <w:p w14:paraId="6D4A3EDC">
            <w:pPr>
              <w:spacing w:line="240" w:lineRule="auto"/>
              <w:jc w:val="center"/>
              <w:rPr>
                <w:rFonts w:hint="eastAsia" w:ascii="宋体" w:hAnsi="宋体"/>
                <w:sz w:val="18"/>
                <w:szCs w:val="18"/>
              </w:rPr>
            </w:pPr>
            <w:r>
              <w:rPr>
                <w:rFonts w:hint="eastAsia" w:ascii="宋体" w:hAnsi="宋体"/>
                <w:sz w:val="18"/>
                <w:szCs w:val="18"/>
              </w:rPr>
              <w:t>类别</w:t>
            </w:r>
          </w:p>
        </w:tc>
        <w:tc>
          <w:tcPr>
            <w:tcW w:w="1703" w:type="dxa"/>
            <w:tcBorders>
              <w:top w:val="single" w:color="auto" w:sz="8" w:space="0"/>
              <w:bottom w:val="single" w:color="auto" w:sz="8" w:space="0"/>
            </w:tcBorders>
            <w:vAlign w:val="center"/>
          </w:tcPr>
          <w:p w14:paraId="29DE0240">
            <w:pPr>
              <w:spacing w:line="240" w:lineRule="auto"/>
              <w:jc w:val="center"/>
              <w:rPr>
                <w:rFonts w:hint="eastAsia" w:ascii="宋体" w:hAnsi="宋体"/>
                <w:sz w:val="18"/>
                <w:szCs w:val="18"/>
              </w:rPr>
            </w:pPr>
            <w:r>
              <w:rPr>
                <w:rFonts w:hint="eastAsia" w:ascii="宋体" w:hAnsi="宋体"/>
                <w:sz w:val="18"/>
                <w:szCs w:val="18"/>
              </w:rPr>
              <w:t>软黏土</w:t>
            </w:r>
          </w:p>
        </w:tc>
        <w:tc>
          <w:tcPr>
            <w:tcW w:w="1704" w:type="dxa"/>
            <w:tcBorders>
              <w:top w:val="single" w:color="auto" w:sz="8" w:space="0"/>
              <w:bottom w:val="single" w:color="auto" w:sz="8" w:space="0"/>
            </w:tcBorders>
            <w:vAlign w:val="center"/>
          </w:tcPr>
          <w:p w14:paraId="6C42B366">
            <w:pPr>
              <w:spacing w:line="240" w:lineRule="auto"/>
              <w:jc w:val="center"/>
              <w:rPr>
                <w:rFonts w:hint="eastAsia" w:ascii="宋体" w:hAnsi="宋体"/>
                <w:sz w:val="18"/>
                <w:szCs w:val="18"/>
              </w:rPr>
            </w:pPr>
            <w:r>
              <w:rPr>
                <w:rFonts w:hint="eastAsia" w:ascii="宋体" w:hAnsi="宋体"/>
                <w:sz w:val="18"/>
                <w:szCs w:val="18"/>
              </w:rPr>
              <w:t>粉性土</w:t>
            </w:r>
          </w:p>
        </w:tc>
        <w:tc>
          <w:tcPr>
            <w:tcW w:w="1704" w:type="dxa"/>
            <w:tcBorders>
              <w:top w:val="single" w:color="auto" w:sz="8" w:space="0"/>
              <w:bottom w:val="single" w:color="auto" w:sz="8" w:space="0"/>
            </w:tcBorders>
            <w:vAlign w:val="center"/>
          </w:tcPr>
          <w:p w14:paraId="6D8F2E6B">
            <w:pPr>
              <w:spacing w:line="240" w:lineRule="auto"/>
              <w:jc w:val="center"/>
              <w:rPr>
                <w:rFonts w:hint="eastAsia" w:ascii="宋体" w:hAnsi="宋体"/>
                <w:sz w:val="18"/>
                <w:szCs w:val="18"/>
              </w:rPr>
            </w:pPr>
            <w:r>
              <w:rPr>
                <w:rFonts w:hint="eastAsia" w:ascii="宋体" w:hAnsi="宋体"/>
                <w:sz w:val="18"/>
                <w:szCs w:val="18"/>
              </w:rPr>
              <w:t>粉细砂</w:t>
            </w:r>
          </w:p>
        </w:tc>
        <w:tc>
          <w:tcPr>
            <w:tcW w:w="1704" w:type="dxa"/>
            <w:tcBorders>
              <w:top w:val="single" w:color="auto" w:sz="8" w:space="0"/>
              <w:bottom w:val="single" w:color="auto" w:sz="8" w:space="0"/>
            </w:tcBorders>
            <w:vAlign w:val="center"/>
          </w:tcPr>
          <w:p w14:paraId="3392CC1B">
            <w:pPr>
              <w:spacing w:line="240" w:lineRule="auto"/>
              <w:jc w:val="center"/>
              <w:rPr>
                <w:rFonts w:hint="eastAsia" w:ascii="宋体" w:hAnsi="宋体"/>
                <w:sz w:val="18"/>
                <w:szCs w:val="18"/>
              </w:rPr>
            </w:pPr>
            <w:r>
              <w:rPr>
                <w:rFonts w:hint="eastAsia" w:ascii="宋体" w:hAnsi="宋体"/>
                <w:sz w:val="18"/>
                <w:szCs w:val="18"/>
              </w:rPr>
              <w:t>中粗砂</w:t>
            </w:r>
          </w:p>
        </w:tc>
      </w:tr>
      <w:tr w14:paraId="00656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 w:hRule="atLeast"/>
          <w:jc w:val="center"/>
        </w:trPr>
        <w:tc>
          <w:tcPr>
            <w:tcW w:w="1703" w:type="dxa"/>
            <w:tcBorders>
              <w:top w:val="single" w:color="auto" w:sz="8" w:space="0"/>
            </w:tcBorders>
            <w:vAlign w:val="center"/>
          </w:tcPr>
          <w:p w14:paraId="0AA725CE">
            <w:pPr>
              <w:spacing w:line="240" w:lineRule="auto"/>
              <w:jc w:val="center"/>
              <w:rPr>
                <w:rFonts w:hint="eastAsia" w:ascii="宋体" w:hAnsi="宋体"/>
                <w:sz w:val="18"/>
                <w:szCs w:val="18"/>
              </w:rPr>
            </w:pPr>
            <w:r>
              <w:rPr>
                <w:rFonts w:hint="eastAsia" w:ascii="宋体" w:hAnsi="宋体"/>
                <w:sz w:val="18"/>
                <w:szCs w:val="18"/>
              </w:rPr>
              <w:t>混凝土与土体</w:t>
            </w:r>
          </w:p>
        </w:tc>
        <w:tc>
          <w:tcPr>
            <w:tcW w:w="1703" w:type="dxa"/>
            <w:tcBorders>
              <w:top w:val="single" w:color="auto" w:sz="8" w:space="0"/>
            </w:tcBorders>
            <w:vAlign w:val="center"/>
          </w:tcPr>
          <w:p w14:paraId="2E3A07E7">
            <w:pPr>
              <w:spacing w:line="240" w:lineRule="auto"/>
              <w:jc w:val="center"/>
              <w:rPr>
                <w:rFonts w:hint="eastAsia" w:ascii="宋体" w:hAnsi="宋体"/>
                <w:sz w:val="18"/>
                <w:szCs w:val="18"/>
              </w:rPr>
            </w:pPr>
            <w:r>
              <w:rPr>
                <w:rFonts w:hint="eastAsia" w:ascii="宋体" w:hAnsi="宋体"/>
                <w:sz w:val="18"/>
                <w:szCs w:val="18"/>
              </w:rPr>
              <w:t>3.0-5.0</w:t>
            </w:r>
          </w:p>
        </w:tc>
        <w:tc>
          <w:tcPr>
            <w:tcW w:w="1704" w:type="dxa"/>
            <w:tcBorders>
              <w:top w:val="single" w:color="auto" w:sz="8" w:space="0"/>
            </w:tcBorders>
            <w:vAlign w:val="center"/>
          </w:tcPr>
          <w:p w14:paraId="253B516B">
            <w:pPr>
              <w:spacing w:line="240" w:lineRule="auto"/>
              <w:jc w:val="center"/>
              <w:rPr>
                <w:rFonts w:hint="eastAsia" w:ascii="宋体" w:hAnsi="宋体"/>
                <w:sz w:val="18"/>
                <w:szCs w:val="18"/>
              </w:rPr>
            </w:pPr>
            <w:r>
              <w:rPr>
                <w:rFonts w:hint="eastAsia" w:ascii="宋体" w:hAnsi="宋体"/>
                <w:sz w:val="18"/>
                <w:szCs w:val="18"/>
              </w:rPr>
              <w:t>5.0-8.0</w:t>
            </w:r>
          </w:p>
        </w:tc>
        <w:tc>
          <w:tcPr>
            <w:tcW w:w="1704" w:type="dxa"/>
            <w:tcBorders>
              <w:top w:val="single" w:color="auto" w:sz="8" w:space="0"/>
            </w:tcBorders>
            <w:vAlign w:val="center"/>
          </w:tcPr>
          <w:p w14:paraId="3E23D420">
            <w:pPr>
              <w:spacing w:line="240" w:lineRule="auto"/>
              <w:jc w:val="center"/>
              <w:rPr>
                <w:rFonts w:hint="eastAsia" w:ascii="宋体" w:hAnsi="宋体"/>
                <w:sz w:val="18"/>
                <w:szCs w:val="18"/>
              </w:rPr>
            </w:pPr>
            <w:r>
              <w:rPr>
                <w:rFonts w:hint="eastAsia" w:ascii="宋体" w:hAnsi="宋体"/>
                <w:sz w:val="18"/>
                <w:szCs w:val="18"/>
              </w:rPr>
              <w:t>8.0-11.0</w:t>
            </w:r>
          </w:p>
        </w:tc>
        <w:tc>
          <w:tcPr>
            <w:tcW w:w="1704" w:type="dxa"/>
            <w:tcBorders>
              <w:top w:val="single" w:color="auto" w:sz="8" w:space="0"/>
            </w:tcBorders>
            <w:vAlign w:val="center"/>
          </w:tcPr>
          <w:p w14:paraId="11FFC4EB">
            <w:pPr>
              <w:spacing w:line="240" w:lineRule="auto"/>
              <w:jc w:val="center"/>
              <w:rPr>
                <w:rFonts w:hint="eastAsia" w:ascii="宋体" w:hAnsi="宋体"/>
                <w:sz w:val="18"/>
                <w:szCs w:val="18"/>
              </w:rPr>
            </w:pPr>
            <w:r>
              <w:rPr>
                <w:rFonts w:hint="eastAsia" w:ascii="宋体" w:hAnsi="宋体"/>
                <w:sz w:val="18"/>
                <w:szCs w:val="18"/>
              </w:rPr>
              <w:t>11.0-16.0</w:t>
            </w:r>
          </w:p>
        </w:tc>
      </w:tr>
      <w:tr w14:paraId="6C7BA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 w:hRule="atLeast"/>
          <w:jc w:val="center"/>
        </w:trPr>
        <w:tc>
          <w:tcPr>
            <w:tcW w:w="1703" w:type="dxa"/>
            <w:vAlign w:val="center"/>
          </w:tcPr>
          <w:p w14:paraId="6127A195">
            <w:pPr>
              <w:spacing w:line="240" w:lineRule="auto"/>
              <w:jc w:val="center"/>
              <w:rPr>
                <w:rFonts w:hint="eastAsia" w:ascii="宋体" w:hAnsi="宋体"/>
                <w:sz w:val="18"/>
                <w:szCs w:val="18"/>
              </w:rPr>
            </w:pPr>
            <w:r>
              <w:rPr>
                <w:rFonts w:hint="eastAsia" w:ascii="宋体" w:hAnsi="宋体"/>
                <w:sz w:val="18"/>
                <w:szCs w:val="18"/>
              </w:rPr>
              <w:t>钢与土体</w:t>
            </w:r>
          </w:p>
        </w:tc>
        <w:tc>
          <w:tcPr>
            <w:tcW w:w="1703" w:type="dxa"/>
            <w:vAlign w:val="center"/>
          </w:tcPr>
          <w:p w14:paraId="2FF48FD7">
            <w:pPr>
              <w:spacing w:line="240" w:lineRule="auto"/>
              <w:jc w:val="center"/>
              <w:rPr>
                <w:rFonts w:hint="eastAsia" w:ascii="宋体" w:hAnsi="宋体"/>
                <w:sz w:val="18"/>
                <w:szCs w:val="18"/>
              </w:rPr>
            </w:pPr>
            <w:r>
              <w:rPr>
                <w:rFonts w:hint="eastAsia" w:ascii="宋体" w:hAnsi="宋体"/>
                <w:sz w:val="18"/>
                <w:szCs w:val="18"/>
              </w:rPr>
              <w:t>3.0-4.0</w:t>
            </w:r>
          </w:p>
        </w:tc>
        <w:tc>
          <w:tcPr>
            <w:tcW w:w="1704" w:type="dxa"/>
            <w:vAlign w:val="center"/>
          </w:tcPr>
          <w:p w14:paraId="049A7E61">
            <w:pPr>
              <w:spacing w:line="240" w:lineRule="auto"/>
              <w:jc w:val="center"/>
              <w:rPr>
                <w:rFonts w:hint="eastAsia" w:ascii="宋体" w:hAnsi="宋体"/>
                <w:sz w:val="18"/>
                <w:szCs w:val="18"/>
              </w:rPr>
            </w:pPr>
            <w:r>
              <w:rPr>
                <w:rFonts w:hint="eastAsia" w:ascii="宋体" w:hAnsi="宋体"/>
                <w:sz w:val="18"/>
                <w:szCs w:val="18"/>
              </w:rPr>
              <w:t>4.0-7.0</w:t>
            </w:r>
          </w:p>
        </w:tc>
        <w:tc>
          <w:tcPr>
            <w:tcW w:w="1704" w:type="dxa"/>
            <w:vAlign w:val="center"/>
          </w:tcPr>
          <w:p w14:paraId="2C18AC1C">
            <w:pPr>
              <w:spacing w:line="240" w:lineRule="auto"/>
              <w:jc w:val="center"/>
              <w:rPr>
                <w:rFonts w:hint="eastAsia" w:ascii="宋体" w:hAnsi="宋体"/>
                <w:sz w:val="18"/>
                <w:szCs w:val="18"/>
              </w:rPr>
            </w:pPr>
            <w:r>
              <w:rPr>
                <w:rFonts w:hint="eastAsia" w:ascii="宋体" w:hAnsi="宋体"/>
                <w:sz w:val="18"/>
                <w:szCs w:val="18"/>
              </w:rPr>
              <w:t>7.0-10.0</w:t>
            </w:r>
          </w:p>
        </w:tc>
        <w:tc>
          <w:tcPr>
            <w:tcW w:w="1704" w:type="dxa"/>
            <w:vAlign w:val="center"/>
          </w:tcPr>
          <w:p w14:paraId="44FE3E9B">
            <w:pPr>
              <w:spacing w:line="240" w:lineRule="auto"/>
              <w:jc w:val="center"/>
              <w:rPr>
                <w:rFonts w:hint="eastAsia" w:ascii="宋体" w:hAnsi="宋体"/>
                <w:sz w:val="18"/>
                <w:szCs w:val="18"/>
              </w:rPr>
            </w:pPr>
            <w:r>
              <w:rPr>
                <w:rFonts w:hint="eastAsia" w:ascii="宋体" w:hAnsi="宋体"/>
                <w:sz w:val="18"/>
                <w:szCs w:val="18"/>
              </w:rPr>
              <w:t>10.0-13.0</w:t>
            </w:r>
          </w:p>
        </w:tc>
      </w:tr>
    </w:tbl>
    <w:p w14:paraId="29FABC45">
      <w:pPr>
        <w:pStyle w:val="167"/>
      </w:pPr>
      <w:r>
        <w:rPr>
          <w:rFonts w:hint="eastAsia"/>
        </w:rPr>
        <w:t>施工顶力应综合考虑管节尺寸、材质、重量和水文地质与顶进长度等因素计算确定，施工设备的顶进能力应大于1</w:t>
      </w:r>
      <w:r>
        <w:t>.5</w:t>
      </w:r>
      <w:r>
        <w:rPr>
          <w:rFonts w:hint="eastAsia"/>
        </w:rPr>
        <w:t>倍顶进阻力。工作井后背墙和管节的允许顶力应按最大顶力进行设计。</w:t>
      </w:r>
    </w:p>
    <w:p w14:paraId="68E37928">
      <w:pPr>
        <w:pStyle w:val="167"/>
      </w:pPr>
      <w:r>
        <w:rPr>
          <w:rFonts w:hint="eastAsia"/>
        </w:rPr>
        <w:t>千斤顶的配置及安装应符合下列要求：</w:t>
      </w:r>
    </w:p>
    <w:p w14:paraId="34A6D2F4">
      <w:pPr>
        <w:pStyle w:val="176"/>
      </w:pPr>
      <w:r>
        <w:rPr>
          <w:rFonts w:hint="eastAsia"/>
        </w:rPr>
        <w:t>千斤顶的规格和数量应根据施工最大顶力确定，千斤顶的数量应为偶数；</w:t>
      </w:r>
    </w:p>
    <w:p w14:paraId="06E5C568">
      <w:pPr>
        <w:pStyle w:val="176"/>
      </w:pPr>
      <w:r>
        <w:rPr>
          <w:rFonts w:hint="eastAsia"/>
        </w:rPr>
        <w:t>顶管支架安装应使千斤顶的合力中心线与顶进管道中心的铅锤线重合；</w:t>
      </w:r>
    </w:p>
    <w:p w14:paraId="14CDAD6F">
      <w:pPr>
        <w:pStyle w:val="176"/>
      </w:pPr>
      <w:r>
        <w:rPr>
          <w:rFonts w:hint="eastAsia"/>
        </w:rPr>
        <w:t>千斤顶及配件应按照施工工艺要求安装，安装完成后应逐一调试。</w:t>
      </w:r>
    </w:p>
    <w:p w14:paraId="081FC16F">
      <w:pPr>
        <w:pStyle w:val="167"/>
      </w:pPr>
      <w:r>
        <w:rPr>
          <w:rFonts w:hint="eastAsia"/>
        </w:rPr>
        <w:t>液压泵站应符合下列要求：</w:t>
      </w:r>
    </w:p>
    <w:p w14:paraId="5C7FA351">
      <w:pPr>
        <w:pStyle w:val="176"/>
        <w:numPr>
          <w:ilvl w:val="0"/>
          <w:numId w:val="32"/>
        </w:numPr>
      </w:pPr>
      <w:r>
        <w:rPr>
          <w:rFonts w:hint="eastAsia"/>
        </w:rPr>
        <w:t>液压泵站应与千斤顶相配套，并应有备用油泵，油泵流量应满足顶进要求；</w:t>
      </w:r>
    </w:p>
    <w:p w14:paraId="48724D80">
      <w:pPr>
        <w:pStyle w:val="176"/>
      </w:pPr>
      <w:r>
        <w:rPr>
          <w:rFonts w:hint="eastAsia"/>
        </w:rPr>
        <w:t>液压泵站宜设置在千斤顶附近，油管应顺直；</w:t>
      </w:r>
    </w:p>
    <w:p w14:paraId="4E75FFF4">
      <w:pPr>
        <w:pStyle w:val="176"/>
      </w:pPr>
      <w:r>
        <w:rPr>
          <w:rFonts w:hint="eastAsia"/>
        </w:rPr>
        <w:t>液压泵站安装完毕应进行运转调试；</w:t>
      </w:r>
    </w:p>
    <w:p w14:paraId="773B6C7C">
      <w:pPr>
        <w:pStyle w:val="176"/>
      </w:pPr>
      <w:r>
        <w:rPr>
          <w:rFonts w:hint="eastAsia"/>
        </w:rPr>
        <w:t>液压泵站内应保证充足的润滑油，注油管路应畅通；</w:t>
      </w:r>
    </w:p>
    <w:p w14:paraId="5D9DB4FB">
      <w:pPr>
        <w:pStyle w:val="176"/>
      </w:pPr>
      <w:r>
        <w:rPr>
          <w:rFonts w:hint="eastAsia"/>
        </w:rPr>
        <w:t>液压泵及千斤顶应按规定保养维修。</w:t>
      </w:r>
    </w:p>
    <w:p w14:paraId="67E1DCF8">
      <w:pPr>
        <w:pStyle w:val="167"/>
      </w:pPr>
      <w:r>
        <w:rPr>
          <w:rFonts w:hint="eastAsia"/>
        </w:rPr>
        <w:t>顶铁配置应符合下列要求：</w:t>
      </w:r>
    </w:p>
    <w:p w14:paraId="30A24643">
      <w:pPr>
        <w:pStyle w:val="176"/>
        <w:numPr>
          <w:ilvl w:val="0"/>
          <w:numId w:val="33"/>
        </w:numPr>
      </w:pPr>
      <w:r>
        <w:rPr>
          <w:rFonts w:hint="eastAsia"/>
        </w:rPr>
        <w:t>顶铁应配置环形顶铁，并与管节直接接触，过渡顶铁宜选择“U”型顶铁；</w:t>
      </w:r>
    </w:p>
    <w:p w14:paraId="25C59D3F">
      <w:pPr>
        <w:pStyle w:val="176"/>
      </w:pPr>
      <w:r>
        <w:rPr>
          <w:rFonts w:hint="eastAsia"/>
        </w:rPr>
        <w:t>顶铁的宽度不宜超过管节宽度；</w:t>
      </w:r>
    </w:p>
    <w:p w14:paraId="18EC7791">
      <w:pPr>
        <w:pStyle w:val="176"/>
      </w:pPr>
      <w:r>
        <w:rPr>
          <w:rFonts w:hint="eastAsia"/>
        </w:rPr>
        <w:t>顶铁的刚度及稳定性应满足要求；</w:t>
      </w:r>
    </w:p>
    <w:p w14:paraId="480DF244">
      <w:pPr>
        <w:pStyle w:val="176"/>
      </w:pPr>
      <w:r>
        <w:rPr>
          <w:rFonts w:hint="eastAsia"/>
        </w:rPr>
        <w:t>顶铁与管口之间接触面应衬垫缓冲材料。</w:t>
      </w:r>
    </w:p>
    <w:p w14:paraId="2FF0849D">
      <w:pPr>
        <w:pStyle w:val="176"/>
      </w:pPr>
      <w:r>
        <w:rPr>
          <w:rFonts w:hint="eastAsia"/>
        </w:rPr>
        <w:t>顶铁轨道应定期检查测量，确保顶推精度及顶铁受力均匀。</w:t>
      </w:r>
    </w:p>
    <w:p w14:paraId="08E0EAE7">
      <w:pPr>
        <w:pStyle w:val="167"/>
      </w:pPr>
      <w:r>
        <w:rPr>
          <w:rFonts w:hint="eastAsia"/>
        </w:rPr>
        <w:t>顶进施工应符合下列规定：</w:t>
      </w:r>
    </w:p>
    <w:p w14:paraId="17986AC9">
      <w:pPr>
        <w:pStyle w:val="176"/>
        <w:numPr>
          <w:ilvl w:val="0"/>
          <w:numId w:val="34"/>
        </w:numPr>
      </w:pPr>
      <w:r>
        <w:rPr>
          <w:rFonts w:hint="eastAsia"/>
        </w:rPr>
        <w:t>施工前，应对顶进油缸进行检测和校准。顶进过程中，宜对顶进油缸和纠偏油缸分别进行合理编组，并依据地层条件控制油缸压力值。合理控制顶管顶进姿态，及时纠偏。</w:t>
      </w:r>
    </w:p>
    <w:p w14:paraId="7D3F1FE2">
      <w:pPr>
        <w:pStyle w:val="176"/>
      </w:pPr>
      <w:r>
        <w:rPr>
          <w:rFonts w:hint="eastAsia"/>
        </w:rPr>
        <w:t>顶进、开挖、出土的作业顺序和顶进参数应根据土质条件、周围环境控制要求、顶进方法、各项顶进参数、监控数据和顶管机工作性能等调整，严格控制施工参数。</w:t>
      </w:r>
    </w:p>
    <w:p w14:paraId="37C4C285">
      <w:pPr>
        <w:pStyle w:val="176"/>
      </w:pPr>
      <w:r>
        <w:rPr>
          <w:rFonts w:hint="eastAsia"/>
        </w:rPr>
        <w:t>顶进过程中，应保证顶管机及配套设备、注浆系统、通风设备、运输设备、供电系统和管节吊装等正常运转。顶进过程中应监控量测，实施信息化施工，确保开挖和顶进工作面的土体稳定和土（泥水）压力平衡，并控制顶进速度、切削土体和出土量，做到均衡施工，应避免在顶进中过长停歇，减少土体扰动和地层变形。</w:t>
      </w:r>
    </w:p>
    <w:p w14:paraId="3AA03C9B">
      <w:pPr>
        <w:pStyle w:val="176"/>
      </w:pPr>
      <w:r>
        <w:rPr>
          <w:rFonts w:hint="eastAsia"/>
        </w:rPr>
        <w:t>止退装置应与管节可靠连接，采取合理的止退技术措施，防止主顶油缸回缩时，机头和管节一起后退。</w:t>
      </w:r>
    </w:p>
    <w:p w14:paraId="05C6C957">
      <w:pPr>
        <w:pStyle w:val="176"/>
      </w:pPr>
      <w:r>
        <w:rPr>
          <w:rFonts w:hint="eastAsia"/>
        </w:rPr>
        <w:t>初始顶进阶段，应控制顶进的速度和方向，加强测量的频率和精度，减小轴线偏差，宜慢速顶进，逐渐增大正面土压力。</w:t>
      </w:r>
    </w:p>
    <w:p w14:paraId="605B1DF0">
      <w:pPr>
        <w:pStyle w:val="176"/>
      </w:pPr>
      <w:r>
        <w:rPr>
          <w:rFonts w:hint="eastAsia"/>
        </w:rPr>
        <w:t>管节顶进过程中，应遵循“勤测量、勤纠偏、微纠偏”的原则，控制顶管机前进方向和姿态，并应根据测量结果分析偏差产生的原因和发展趋势确定纠偏措施。</w:t>
      </w:r>
    </w:p>
    <w:p w14:paraId="57CC6951">
      <w:pPr>
        <w:pStyle w:val="176"/>
      </w:pPr>
      <w:r>
        <w:rPr>
          <w:rFonts w:hint="eastAsia"/>
        </w:rPr>
        <w:t>进入接收井前应提前进行顶管机位置和姿态测量，并根据进口位置进行调整。</w:t>
      </w:r>
    </w:p>
    <w:p w14:paraId="560B60FB">
      <w:pPr>
        <w:pStyle w:val="176"/>
      </w:pPr>
      <w:r>
        <w:rPr>
          <w:rFonts w:hint="eastAsia"/>
        </w:rPr>
        <w:t>在软土层顶进中，宜将前3</w:t>
      </w:r>
      <w:r>
        <w:rPr>
          <w:rFonts w:hint="eastAsia" w:hAnsi="宋体"/>
        </w:rPr>
        <w:t>～</w:t>
      </w:r>
      <w:r>
        <w:rPr>
          <w:rFonts w:hint="eastAsia"/>
        </w:rPr>
        <w:t>5节管节连成整体。</w:t>
      </w:r>
    </w:p>
    <w:p w14:paraId="79A105C5">
      <w:pPr>
        <w:pStyle w:val="167"/>
      </w:pPr>
      <w:r>
        <w:rPr>
          <w:rFonts w:hint="eastAsia"/>
        </w:rPr>
        <w:t>顶管施工应保证连续顶进，停机时间不宜过长；出现以下突发状况时应停止顶进，并采取相应的技术措施：</w:t>
      </w:r>
    </w:p>
    <w:p w14:paraId="01357D0F">
      <w:pPr>
        <w:pStyle w:val="176"/>
        <w:numPr>
          <w:ilvl w:val="0"/>
          <w:numId w:val="35"/>
        </w:numPr>
      </w:pPr>
      <w:r>
        <w:rPr>
          <w:rFonts w:hint="eastAsia"/>
        </w:rPr>
        <w:t>顶管机遇障碍物；</w:t>
      </w:r>
    </w:p>
    <w:p w14:paraId="1C341E7A">
      <w:pPr>
        <w:pStyle w:val="176"/>
        <w:rPr>
          <w:strike/>
        </w:rPr>
      </w:pPr>
      <w:r>
        <w:rPr>
          <w:rFonts w:hint="eastAsia"/>
        </w:rPr>
        <w:t>工作井后背墙相对变形超限；</w:t>
      </w:r>
    </w:p>
    <w:p w14:paraId="6EAC786A">
      <w:pPr>
        <w:pStyle w:val="176"/>
        <w:rPr>
          <w:strike/>
        </w:rPr>
      </w:pPr>
      <w:r>
        <w:rPr>
          <w:rFonts w:hint="eastAsia"/>
        </w:rPr>
        <w:t>设备出现故障或损坏；</w:t>
      </w:r>
    </w:p>
    <w:p w14:paraId="6E552006">
      <w:pPr>
        <w:pStyle w:val="176"/>
      </w:pPr>
      <w:r>
        <w:rPr>
          <w:rFonts w:hint="eastAsia"/>
        </w:rPr>
        <w:t>管节轴线偏差过大或纠偏无效；</w:t>
      </w:r>
    </w:p>
    <w:p w14:paraId="73FC46DE">
      <w:pPr>
        <w:pStyle w:val="176"/>
      </w:pPr>
      <w:r>
        <w:rPr>
          <w:rFonts w:hint="eastAsia"/>
        </w:rPr>
        <w:t>管节渗水严重或管节出现裂纹；</w:t>
      </w:r>
    </w:p>
    <w:p w14:paraId="3CD39177">
      <w:pPr>
        <w:pStyle w:val="176"/>
        <w:rPr>
          <w:strike/>
        </w:rPr>
      </w:pPr>
      <w:r>
        <w:rPr>
          <w:rFonts w:hint="eastAsia"/>
        </w:rPr>
        <w:t>地层、周边管线和建（构）筑物突然发生较大变形或变形量超过控制值；</w:t>
      </w:r>
    </w:p>
    <w:p w14:paraId="3F6ACF9F">
      <w:pPr>
        <w:pStyle w:val="176"/>
        <w:rPr>
          <w:strike/>
        </w:rPr>
      </w:pPr>
      <w:r>
        <w:rPr>
          <w:rFonts w:hint="eastAsia"/>
        </w:rPr>
        <w:t>顶铁发生扭曲现象；</w:t>
      </w:r>
    </w:p>
    <w:p w14:paraId="17C1E538">
      <w:pPr>
        <w:pStyle w:val="176"/>
      </w:pPr>
      <w:r>
        <w:rPr>
          <w:rFonts w:hint="eastAsia"/>
        </w:rPr>
        <w:t>顶力超过管端的允许顶力。</w:t>
      </w:r>
    </w:p>
    <w:p w14:paraId="1987E556">
      <w:pPr>
        <w:pStyle w:val="167"/>
      </w:pPr>
      <w:r>
        <w:rPr>
          <w:rFonts w:hint="eastAsia"/>
        </w:rPr>
        <w:t>在坚硬土质中顶进时，土压力不应小于最低的平衡值，防止突发停电等事故后刀盘难以再次转动。</w:t>
      </w:r>
    </w:p>
    <w:p w14:paraId="446EAB7A">
      <w:pPr>
        <w:pStyle w:val="167"/>
      </w:pPr>
      <w:r>
        <w:rPr>
          <w:rFonts w:hint="eastAsia"/>
        </w:rPr>
        <w:t>泥水平衡顶管机顶进应符合下列要求：</w:t>
      </w:r>
    </w:p>
    <w:p w14:paraId="7D85CF28">
      <w:pPr>
        <w:pStyle w:val="176"/>
        <w:numPr>
          <w:ilvl w:val="0"/>
          <w:numId w:val="36"/>
        </w:numPr>
      </w:pPr>
      <w:r>
        <w:rPr>
          <w:rFonts w:hint="eastAsia"/>
        </w:rPr>
        <w:t>泥水平衡式顶管机适用于淤泥质土、粉土、砂土、砾石层等地层；对于渗透系数大于1</w:t>
      </w:r>
      <w:r>
        <w:t>0</w:t>
      </w:r>
      <w:r>
        <w:rPr>
          <w:rFonts w:hint="eastAsia"/>
          <w:vertAlign w:val="superscript"/>
        </w:rPr>
        <w:t>-</w:t>
      </w:r>
      <w:r>
        <w:rPr>
          <w:vertAlign w:val="superscript"/>
        </w:rPr>
        <w:t>2</w:t>
      </w:r>
      <w:r>
        <w:rPr>
          <w:rFonts w:hint="eastAsia"/>
        </w:rPr>
        <w:t>cm/s的砂砾土或塑性指数</w:t>
      </w:r>
      <w:r>
        <w:t>I</w:t>
      </w:r>
      <w:r>
        <w:rPr>
          <w:vertAlign w:val="subscript"/>
        </w:rPr>
        <w:t>p</w:t>
      </w:r>
      <w:r>
        <w:rPr>
          <w:rFonts w:hint="eastAsia"/>
        </w:rPr>
        <w:t>大于2</w:t>
      </w:r>
      <w:r>
        <w:t>5</w:t>
      </w:r>
      <w:r>
        <w:rPr>
          <w:rFonts w:hint="eastAsia"/>
        </w:rPr>
        <w:t>的黏性土等地层，应论证其适用性；</w:t>
      </w:r>
    </w:p>
    <w:p w14:paraId="2CC5C449">
      <w:pPr>
        <w:pStyle w:val="176"/>
      </w:pPr>
      <w:r>
        <w:rPr>
          <w:rFonts w:hint="eastAsia"/>
        </w:rPr>
        <w:t>顶进时应定期检查循环泥浆黏度，应控制为22s~35s；</w:t>
      </w:r>
    </w:p>
    <w:p w14:paraId="48C20D0B">
      <w:pPr>
        <w:pStyle w:val="176"/>
      </w:pPr>
      <w:r>
        <w:rPr>
          <w:rFonts w:hint="eastAsia"/>
        </w:rPr>
        <w:t>顶进前应检查泥水压力，泥水压力应高出地下水土压力20kPa~40kPa；先内循环，微调泥水压力待稳定正常后，再外循环正常顶进；</w:t>
      </w:r>
    </w:p>
    <w:p w14:paraId="0DCB9DAA">
      <w:pPr>
        <w:pStyle w:val="176"/>
      </w:pPr>
      <w:r>
        <w:rPr>
          <w:rFonts w:hint="eastAsia"/>
        </w:rPr>
        <w:t>根据现场条件设置泥浆沉淀箱或泥浆沉淀池，宜使用泥水处理器对泥水进行分离；</w:t>
      </w:r>
    </w:p>
    <w:p w14:paraId="01D88FA8">
      <w:pPr>
        <w:pStyle w:val="176"/>
      </w:pPr>
      <w:r>
        <w:rPr>
          <w:rFonts w:hint="eastAsia"/>
        </w:rPr>
        <w:t>每段管节正常顶进完成后，在停机前宜泥水内循环2~3分钟。</w:t>
      </w:r>
    </w:p>
    <w:p w14:paraId="5CDAEFD0">
      <w:pPr>
        <w:pStyle w:val="167"/>
      </w:pPr>
      <w:r>
        <w:rPr>
          <w:rFonts w:hint="eastAsia"/>
        </w:rPr>
        <w:t>土压平衡顶管机顶进应符合下列要求：</w:t>
      </w:r>
    </w:p>
    <w:p w14:paraId="773C6F63">
      <w:pPr>
        <w:pStyle w:val="176"/>
        <w:numPr>
          <w:ilvl w:val="0"/>
          <w:numId w:val="37"/>
        </w:numPr>
      </w:pPr>
      <w:r>
        <w:rPr>
          <w:rFonts w:hint="eastAsia"/>
        </w:rPr>
        <w:t>土压平衡式顶管机适用于渗透性较差的淤泥质黏土、黏土、粉质黏土等黏性土地层；对于渗透性较好、高水压的粉土、砂性土等富水地层，应论证其适用性；</w:t>
      </w:r>
    </w:p>
    <w:p w14:paraId="08CCD70C">
      <w:pPr>
        <w:pStyle w:val="176"/>
      </w:pPr>
      <w:r>
        <w:rPr>
          <w:rFonts w:hint="eastAsia"/>
        </w:rPr>
        <w:t>土压平衡顶进时，严格控制出土量，保证顶管机前端土压力平衡；</w:t>
      </w:r>
    </w:p>
    <w:p w14:paraId="755C0E79">
      <w:pPr>
        <w:pStyle w:val="176"/>
      </w:pPr>
      <w:r>
        <w:rPr>
          <w:rFonts w:hint="eastAsia"/>
        </w:rPr>
        <w:t>在含水量少的土层顶进排泥困难时，应向泥土舱注水或加气，增加切削土体的流动性；</w:t>
      </w:r>
    </w:p>
    <w:p w14:paraId="31B8493D">
      <w:pPr>
        <w:pStyle w:val="176"/>
      </w:pPr>
      <w:r>
        <w:rPr>
          <w:rFonts w:hint="eastAsia"/>
        </w:rPr>
        <w:t>在黏性土层中顶进时，宜适量加入分散剂，降低土体的黏稠度；</w:t>
      </w:r>
    </w:p>
    <w:p w14:paraId="28E240C3">
      <w:pPr>
        <w:pStyle w:val="176"/>
      </w:pPr>
      <w:r>
        <w:rPr>
          <w:rFonts w:hint="eastAsia"/>
        </w:rPr>
        <w:t>每段管节顶进完成时，在停止顶进后应继续转动刀盘将泥土舱内土体搅拌均匀，防止后续顶进受力不均匀、方向致偏；</w:t>
      </w:r>
    </w:p>
    <w:p w14:paraId="01181457">
      <w:pPr>
        <w:pStyle w:val="176"/>
      </w:pPr>
      <w:r>
        <w:rPr>
          <w:rFonts w:hint="eastAsia"/>
        </w:rPr>
        <w:t>土压力值应设定在静止土压力值（或主动土压力）与被动土压力之间。</w:t>
      </w:r>
    </w:p>
    <w:p w14:paraId="3A6A7212">
      <w:pPr>
        <w:pStyle w:val="167"/>
      </w:pPr>
      <w:r>
        <w:rPr>
          <w:rFonts w:hint="eastAsia"/>
        </w:rPr>
        <w:t>施工最大顶力超过允许顶力时，应采取增设中继间等施工技术措施。</w:t>
      </w:r>
    </w:p>
    <w:p w14:paraId="42581DE6">
      <w:pPr>
        <w:pStyle w:val="167"/>
      </w:pPr>
      <w:r>
        <w:rPr>
          <w:rFonts w:hint="eastAsia"/>
        </w:rPr>
        <w:t>中继间的设置应根据估算总顶力、管节允许顶力、工作井允许顶力和主顶千斤顶的顶力确定。</w:t>
      </w:r>
    </w:p>
    <w:p w14:paraId="5BD25278">
      <w:pPr>
        <w:pStyle w:val="167"/>
      </w:pPr>
      <w:r>
        <w:rPr>
          <w:rFonts w:hint="eastAsia"/>
        </w:rPr>
        <w:t>中继间的构造应符合下列要求：</w:t>
      </w:r>
    </w:p>
    <w:p w14:paraId="72E6DB03">
      <w:pPr>
        <w:pStyle w:val="176"/>
        <w:numPr>
          <w:ilvl w:val="0"/>
          <w:numId w:val="38"/>
        </w:numPr>
      </w:pPr>
      <w:r>
        <w:rPr>
          <w:rFonts w:hint="eastAsia"/>
        </w:rPr>
        <w:t>中继间内部结构拆除后的结构强度不应低于管道的结构强度；</w:t>
      </w:r>
    </w:p>
    <w:p w14:paraId="4CEABE77">
      <w:pPr>
        <w:pStyle w:val="176"/>
      </w:pPr>
      <w:r>
        <w:rPr>
          <w:rFonts w:hint="eastAsia"/>
        </w:rPr>
        <w:t>中继间的外径应和管道外径相同；</w:t>
      </w:r>
    </w:p>
    <w:p w14:paraId="3B2402AE">
      <w:pPr>
        <w:pStyle w:val="176"/>
      </w:pPr>
      <w:r>
        <w:rPr>
          <w:rFonts w:hint="eastAsia"/>
        </w:rPr>
        <w:t>中继间千斤顶应予以固定，防止旋转；</w:t>
      </w:r>
    </w:p>
    <w:p w14:paraId="04240565">
      <w:pPr>
        <w:pStyle w:val="176"/>
      </w:pPr>
      <w:r>
        <w:rPr>
          <w:rFonts w:hint="eastAsia"/>
        </w:rPr>
        <w:t>中继间的止水橡胶圈应耐磨，止水橡胶圈还应方便更换。</w:t>
      </w:r>
    </w:p>
    <w:p w14:paraId="188233E9">
      <w:pPr>
        <w:pStyle w:val="167"/>
      </w:pPr>
      <w:r>
        <w:rPr>
          <w:rFonts w:hint="eastAsia"/>
        </w:rPr>
        <w:t>中继间密封装置应具有良好的密封性、耐磨性和较长的寿命，应避免浆液、地下水、砂子或者土颗粒等进入中继间外壳和其后部的管节之间，可通过注油管定期地向内外弹性密封环之间以及密封环的外部注入油脂润滑。</w:t>
      </w:r>
    </w:p>
    <w:p w14:paraId="0008AB73">
      <w:pPr>
        <w:pStyle w:val="167"/>
      </w:pPr>
      <w:r>
        <w:rPr>
          <w:rFonts w:hint="eastAsia"/>
        </w:rPr>
        <w:t>中继间宜采用组合式密封形式。中继间在进场时应进行检验，合格后方可进行安装, 安装完成并验收合格后方可使用。</w:t>
      </w:r>
    </w:p>
    <w:p w14:paraId="14A21E3E">
      <w:pPr>
        <w:pStyle w:val="167"/>
      </w:pPr>
      <w:r>
        <w:rPr>
          <w:rFonts w:hint="eastAsia"/>
        </w:rPr>
        <w:t>第一道中继间宜布置在顶管机后方</w:t>
      </w:r>
      <w:r>
        <w:t>30</w:t>
      </w:r>
      <w:r>
        <w:rPr>
          <w:rFonts w:hint="eastAsia" w:hAnsi="宋体"/>
        </w:rPr>
        <w:t>～</w:t>
      </w:r>
      <w:r>
        <w:t>50</w:t>
      </w:r>
      <w:r>
        <w:rPr>
          <w:rFonts w:hint="eastAsia"/>
        </w:rPr>
        <w:t>米处。</w:t>
      </w:r>
    </w:p>
    <w:p w14:paraId="60DF0408">
      <w:pPr>
        <w:pStyle w:val="167"/>
      </w:pPr>
      <w:r>
        <w:rPr>
          <w:rFonts w:hint="eastAsia"/>
        </w:rPr>
        <w:t>后续中继间的间隔距离宜按下式（2）计算确定：</w:t>
      </w:r>
    </w:p>
    <w:p w14:paraId="54EDEF62">
      <w:pPr>
        <w:pStyle w:val="115"/>
        <w:rPr>
          <w:rFonts w:hint="eastAsia"/>
        </w:rPr>
      </w:pPr>
      <w:r>
        <w:tab/>
      </w:r>
      <m:oMath>
        <m:r>
          <m:rPr/>
          <w:rPr>
            <w:rFonts w:ascii="Cambria Math" w:hAnsi="Cambria Math"/>
          </w:rPr>
          <m:t>L</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hint="eastAsia" w:ascii="Cambria Math" w:hAnsi="Cambria Math"/>
                  </w:rPr>
                  <m:t>1</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1</m:t>
                </m:r>
                <m:ctrlPr>
                  <w:rPr>
                    <w:rFonts w:ascii="Cambria Math" w:hAnsi="Cambria Math"/>
                    <w:i/>
                  </w:rPr>
                </m:ctrlPr>
              </m:sub>
            </m:sSub>
            <m:r>
              <m:rPr/>
              <w:rPr>
                <w:rFonts w:hint="eastAsia" w:ascii="微软雅黑" w:hAnsi="微软雅黑" w:eastAsia="微软雅黑" w:cs="微软雅黑"/>
              </w:rPr>
              <m:t>−</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2</m:t>
                </m:r>
                <m:ctrlPr>
                  <w:rPr>
                    <w:rFonts w:ascii="Cambria Math" w:hAnsi="Cambria Math"/>
                    <w:i/>
                  </w:rPr>
                </m:ctrlPr>
              </m:sub>
            </m:sSub>
            <m:r>
              <m:rPr/>
              <w:rPr>
                <w:rFonts w:hint="eastAsia" w:ascii="Cambria Math" w:hAnsi="Cambria Math"/>
              </w:rPr>
              <m:t>）</m:t>
            </m:r>
            <m:ctrlPr>
              <w:rPr>
                <w:rFonts w:ascii="Cambria Math" w:hAnsi="Cambria Math"/>
              </w:rPr>
            </m:ctrlPr>
          </m:num>
          <m:den>
            <m:r>
              <m:rPr/>
              <w:rPr>
                <w:rFonts w:hint="eastAsia" w:ascii="Cambria Math" w:hAnsi="Cambria Math"/>
              </w:rPr>
              <m:t>2</m:t>
            </m:r>
            <m:r>
              <m:rPr>
                <m:sty m:val="p"/>
              </m:rPr>
              <w:rPr>
                <w:rFonts w:ascii="Cambria Math" w:hAnsi="Cambria Math"/>
              </w:rPr>
              <m:t>q</m:t>
            </m:r>
            <m:r>
              <m:rPr>
                <m:sty m:val="p"/>
              </m:rPr>
              <w:rPr>
                <w:rFonts w:ascii="Cambria Math" w:hAnsi="Cambria Math"/>
                <w:vertAlign w:val="subscript"/>
              </w:rPr>
              <m:t>f</m:t>
            </m:r>
            <m:r>
              <m:rPr>
                <m:sty m:val="p"/>
              </m:rPr>
              <w:rPr>
                <w:rFonts w:hint="eastAsia" w:ascii="Cambria Math" w:hAnsi="Cambria Math"/>
                <w:vertAlign w:val="subscript"/>
              </w:rPr>
              <m:t>（</m:t>
            </m:r>
            <m:r>
              <m:rPr/>
              <w:rPr>
                <w:rFonts w:ascii="Cambria Math" w:hAnsi="Cambria Math"/>
              </w:rPr>
              <m:t>a</m:t>
            </m:r>
            <m:r>
              <m:rPr>
                <m:sty m:val="p"/>
              </m:rPr>
              <w:rPr>
                <w:rFonts w:ascii="Cambria Math" w:hAnsi="Cambria Math"/>
              </w:rPr>
              <m:t>+</m:t>
            </m:r>
            <m:r>
              <m:rPr/>
              <w:rPr>
                <w:rFonts w:ascii="Cambria Math" w:hAnsi="Cambria Math"/>
              </w:rPr>
              <m:t>b</m:t>
            </m:r>
            <m:r>
              <m:rPr/>
              <w:rPr>
                <w:rFonts w:hint="eastAsia" w:ascii="Cambria Math" w:hAnsi="Cambria Math"/>
              </w:rPr>
              <m:t>）</m:t>
            </m:r>
            <m:ctrlPr>
              <w:rPr>
                <w:rFonts w:ascii="Cambria Math" w:hAnsi="Cambria Math"/>
              </w:rPr>
            </m:ctrlPr>
          </m:den>
        </m:f>
      </m:oMath>
      <w:r>
        <w:rPr>
          <w:rFonts w:ascii="微软雅黑" w:hAnsi="微软雅黑" w:eastAsia="微软雅黑"/>
        </w:rPr>
        <w:tab/>
      </w:r>
      <w:r>
        <w:t>(</w:t>
      </w:r>
      <w:r>
        <w:fldChar w:fldCharType="begin"/>
      </w:r>
      <w:r>
        <w:instrText xml:space="preserve"> AUTONUM </w:instrText>
      </w:r>
      <w:r>
        <w:fldChar w:fldCharType="end"/>
      </w:r>
      <w:r>
        <w:t>)</w:t>
      </w:r>
    </w:p>
    <w:p w14:paraId="3DDF33B5">
      <w:pPr>
        <w:pStyle w:val="57"/>
        <w:ind w:firstLine="420"/>
      </w:pPr>
      <w:r>
        <w:rPr>
          <w:rFonts w:hint="eastAsia"/>
        </w:rPr>
        <w:t>式中：</w:t>
      </w:r>
    </w:p>
    <w:p w14:paraId="32DBBB6B">
      <w:pPr>
        <w:pStyle w:val="232"/>
        <w:rPr>
          <w:rFonts w:ascii="Times New Roman"/>
        </w:rPr>
      </w:pPr>
      <w:bookmarkStart w:id="100" w:name="_Hlk56502331"/>
      <w:r>
        <w:rPr>
          <w:rFonts w:ascii="Times New Roman"/>
          <w:i/>
          <w:iCs/>
        </w:rPr>
        <w:t>L'</w:t>
      </w:r>
      <w:r>
        <w:rPr>
          <w:rFonts w:ascii="Times New Roman"/>
        </w:rPr>
        <w:t>——中继间的间隔距离(m)；</w:t>
      </w:r>
    </w:p>
    <w:p w14:paraId="10613F41">
      <w:pPr>
        <w:pStyle w:val="232"/>
        <w:rPr>
          <w:rFonts w:ascii="Times New Roman"/>
        </w:rPr>
      </w:pPr>
      <w:r>
        <w:rPr>
          <w:rFonts w:ascii="Times New Roman"/>
          <w:i/>
          <w:iCs/>
        </w:rPr>
        <w:t>F</w:t>
      </w:r>
      <w:r>
        <w:rPr>
          <w:rFonts w:ascii="Times New Roman"/>
          <w:i/>
          <w:vertAlign w:val="subscript"/>
        </w:rPr>
        <w:t>1</w:t>
      </w:r>
      <w:r>
        <w:rPr>
          <w:rFonts w:ascii="Times New Roman"/>
        </w:rPr>
        <w:t>——设计允许顶力(kN)；</w:t>
      </w:r>
    </w:p>
    <w:p w14:paraId="40D364D1">
      <w:pPr>
        <w:pStyle w:val="232"/>
        <w:rPr>
          <w:rFonts w:ascii="Times New Roman"/>
        </w:rPr>
      </w:pPr>
      <w:r>
        <w:rPr>
          <w:rFonts w:ascii="Times New Roman"/>
          <w:i/>
          <w:iCs/>
        </w:rPr>
        <w:t>F</w:t>
      </w:r>
      <w:r>
        <w:rPr>
          <w:rFonts w:ascii="Times New Roman"/>
          <w:i/>
          <w:vertAlign w:val="subscript"/>
        </w:rPr>
        <w:t>2</w:t>
      </w:r>
      <w:r>
        <w:rPr>
          <w:rFonts w:ascii="Times New Roman"/>
        </w:rPr>
        <w:t>——顶管机的迎面阻力(kN)；</w:t>
      </w:r>
    </w:p>
    <w:p w14:paraId="04DA84B9">
      <w:pPr>
        <w:pStyle w:val="232"/>
        <w:rPr>
          <w:rFonts w:ascii="Times New Roman"/>
        </w:rPr>
      </w:pPr>
      <w:r>
        <w:rPr>
          <w:rFonts w:ascii="Times New Roman"/>
          <w:i/>
          <w:iCs/>
        </w:rPr>
        <w:t>a</w:t>
      </w:r>
      <w:r>
        <w:rPr>
          <w:rFonts w:ascii="Times New Roman"/>
        </w:rPr>
        <w:t>——管节长 (m)；</w:t>
      </w:r>
    </w:p>
    <w:p w14:paraId="5A2C467A">
      <w:pPr>
        <w:pStyle w:val="232"/>
        <w:rPr>
          <w:rFonts w:ascii="Times New Roman"/>
        </w:rPr>
      </w:pPr>
      <w:r>
        <w:rPr>
          <w:rFonts w:ascii="Times New Roman"/>
          <w:i/>
          <w:iCs/>
        </w:rPr>
        <w:t>b</w:t>
      </w:r>
      <w:r>
        <w:rPr>
          <w:rFonts w:ascii="Times New Roman"/>
        </w:rPr>
        <w:t>——管节宽 (m)；</w:t>
      </w:r>
    </w:p>
    <w:p w14:paraId="4395CA1D">
      <w:pPr>
        <w:pStyle w:val="232"/>
        <w:rPr>
          <w:rFonts w:ascii="Times New Roman"/>
        </w:rPr>
      </w:pPr>
      <w:r>
        <w:rPr>
          <w:rFonts w:ascii="Times New Roman"/>
          <w:i/>
          <w:iCs/>
        </w:rPr>
        <w:t>k</w:t>
      </w:r>
      <w:r>
        <w:rPr>
          <w:rFonts w:ascii="Times New Roman"/>
          <w:i/>
          <w:iCs/>
          <w:vertAlign w:val="subscript"/>
        </w:rPr>
        <w:t>1</w:t>
      </w:r>
      <w:r>
        <w:rPr>
          <w:rFonts w:ascii="Times New Roman"/>
        </w:rPr>
        <w:t>——顶力系数，宜取0.5~0.6。</w:t>
      </w:r>
    </w:p>
    <w:bookmarkEnd w:id="100"/>
    <w:p w14:paraId="3193975B">
      <w:pPr>
        <w:pStyle w:val="167"/>
      </w:pPr>
      <w:r>
        <w:rPr>
          <w:rFonts w:hint="eastAsia"/>
        </w:rPr>
        <w:t>中继间的闭合应按设计要求进行处理，中继间设置和启用应符合下列要求：</w:t>
      </w:r>
    </w:p>
    <w:p w14:paraId="57EDC37E">
      <w:pPr>
        <w:pStyle w:val="176"/>
        <w:numPr>
          <w:ilvl w:val="0"/>
          <w:numId w:val="39"/>
        </w:numPr>
      </w:pPr>
      <w:r>
        <w:rPr>
          <w:rFonts w:hint="eastAsia"/>
        </w:rPr>
        <w:t>当总推力达到中继间总推力40%-60%时，宜设置第一个中继间；</w:t>
      </w:r>
    </w:p>
    <w:p w14:paraId="7B44993D">
      <w:pPr>
        <w:pStyle w:val="176"/>
      </w:pPr>
      <w:r>
        <w:rPr>
          <w:rFonts w:hint="eastAsia"/>
        </w:rPr>
        <w:t>每当达到中继间总推力的70%-80%时，宜增设一个中继间；</w:t>
      </w:r>
    </w:p>
    <w:p w14:paraId="1A42F9B7">
      <w:pPr>
        <w:pStyle w:val="176"/>
      </w:pPr>
      <w:r>
        <w:rPr>
          <w:rFonts w:hint="eastAsia"/>
        </w:rPr>
        <w:t>当总推力达到中继间总推力的90%时，宜启用中继间。</w:t>
      </w:r>
    </w:p>
    <w:p w14:paraId="1C3CA8A1">
      <w:pPr>
        <w:pStyle w:val="167"/>
      </w:pPr>
      <w:r>
        <w:rPr>
          <w:rFonts w:hint="eastAsia"/>
        </w:rPr>
        <w:t>中继间的安装、运行、拆除应符合下列规定：</w:t>
      </w:r>
    </w:p>
    <w:p w14:paraId="7909B0B9">
      <w:pPr>
        <w:pStyle w:val="176"/>
        <w:numPr>
          <w:ilvl w:val="0"/>
          <w:numId w:val="40"/>
        </w:numPr>
      </w:pPr>
      <w:r>
        <w:rPr>
          <w:rFonts w:hint="eastAsia"/>
        </w:rPr>
        <w:t>中继间壳体应有足够的刚度，其千斤顶的数量应根据该段施工长度的顶力计算确定，并应沿周长均匀分布安装，其伸缩行程应满足施工和中继间结构受力的要求。</w:t>
      </w:r>
    </w:p>
    <w:p w14:paraId="75F0D904">
      <w:pPr>
        <w:pStyle w:val="176"/>
      </w:pPr>
      <w:r>
        <w:rPr>
          <w:rFonts w:hint="eastAsia"/>
        </w:rPr>
        <w:t>中继间外壳在伸缩时，滑动部分应具有止水性和耐磨性，且滑动时无阻滞。</w:t>
      </w:r>
    </w:p>
    <w:p w14:paraId="0DE11539">
      <w:pPr>
        <w:pStyle w:val="176"/>
      </w:pPr>
      <w:r>
        <w:rPr>
          <w:rFonts w:hint="eastAsia"/>
        </w:rPr>
        <w:t>中继间安装前应检查各部件，确认正常后方可安装；安装完毕应通过试运转检验后方可使用。</w:t>
      </w:r>
    </w:p>
    <w:p w14:paraId="141E5DD8">
      <w:pPr>
        <w:pStyle w:val="176"/>
      </w:pPr>
      <w:r>
        <w:rPr>
          <w:rFonts w:hint="eastAsia"/>
        </w:rPr>
        <w:t>中继间的启动和拆除应由前向后依次进行。</w:t>
      </w:r>
    </w:p>
    <w:p w14:paraId="0DEDD3E5">
      <w:pPr>
        <w:pStyle w:val="176"/>
      </w:pPr>
      <w:r>
        <w:rPr>
          <w:rFonts w:hint="eastAsia"/>
        </w:rPr>
        <w:t>拆除中继间时，应采取对接接头的措施；中继间的外壳应在安装前进行防腐处理。</w:t>
      </w:r>
    </w:p>
    <w:p w14:paraId="205FC2DB">
      <w:pPr>
        <w:pStyle w:val="167"/>
      </w:pPr>
      <w:r>
        <w:rPr>
          <w:rFonts w:hint="eastAsia"/>
        </w:rPr>
        <w:t>顶管机完成单次顶进后，应进行必要的检修和维保。</w:t>
      </w:r>
    </w:p>
    <w:p w14:paraId="37DFD972">
      <w:pPr>
        <w:pStyle w:val="107"/>
        <w:spacing w:before="156" w:after="156"/>
      </w:pPr>
      <w:bookmarkStart w:id="101" w:name="_Toc100145166"/>
      <w:bookmarkStart w:id="102" w:name="_Toc100142426"/>
      <w:r>
        <w:rPr>
          <w:rFonts w:hint="eastAsia"/>
        </w:rPr>
        <w:t>渣土改良及外运</w:t>
      </w:r>
      <w:bookmarkEnd w:id="101"/>
      <w:bookmarkEnd w:id="102"/>
    </w:p>
    <w:p w14:paraId="0B879B0C">
      <w:pPr>
        <w:pStyle w:val="167"/>
      </w:pPr>
      <w:r>
        <w:rPr>
          <w:rFonts w:hint="eastAsia"/>
        </w:rPr>
        <w:t>顶管机顶进时，可根据现场地质条件确定渣土改良添加剂类型；</w:t>
      </w:r>
    </w:p>
    <w:p w14:paraId="3DDBA35F">
      <w:pPr>
        <w:pStyle w:val="167"/>
      </w:pPr>
      <w:r>
        <w:rPr>
          <w:rFonts w:hint="eastAsia"/>
        </w:rPr>
        <w:t>土压平衡式顶管可采用轨道运泥车或采用转换装置形成泥浆并通过管道排泥，也可采用土砂泵直接管道出泥。</w:t>
      </w:r>
    </w:p>
    <w:p w14:paraId="3AE2AF96">
      <w:pPr>
        <w:pStyle w:val="167"/>
      </w:pPr>
      <w:r>
        <w:rPr>
          <w:rFonts w:hint="eastAsia"/>
        </w:rPr>
        <w:t>泥水平衡顶管宜使用管道输送泥水，并应按需要设置接力泵；泥水宜循环使用，节约用水。</w:t>
      </w:r>
    </w:p>
    <w:p w14:paraId="0A8AE997">
      <w:pPr>
        <w:pStyle w:val="167"/>
      </w:pPr>
      <w:r>
        <w:rPr>
          <w:rFonts w:hint="eastAsia"/>
        </w:rPr>
        <w:t>泥水平衡顶管排放泥浆时，应设置泥浆池或泥浆箱。</w:t>
      </w:r>
    </w:p>
    <w:p w14:paraId="1DF9BB67">
      <w:pPr>
        <w:pStyle w:val="167"/>
      </w:pPr>
      <w:r>
        <w:rPr>
          <w:rFonts w:hint="eastAsia"/>
        </w:rPr>
        <w:t>施工场地内应设置临时的渣土存放场地，场地存土量不宜小于顶进3节管节排土量，且存土场地满足环保要求，渣土及时外运。</w:t>
      </w:r>
    </w:p>
    <w:p w14:paraId="2167EC7F">
      <w:pPr>
        <w:pStyle w:val="167"/>
      </w:pPr>
      <w:r>
        <w:rPr>
          <w:rFonts w:hint="eastAsia"/>
        </w:rPr>
        <w:t>管内运土宜用轨道车，将渣土运送至工作井，通过履带式起重机或门式起重机吊等方式吊出工作井，倒入渣土坑或集中处理后外运。</w:t>
      </w:r>
    </w:p>
    <w:p w14:paraId="49B304EF">
      <w:pPr>
        <w:pStyle w:val="107"/>
        <w:spacing w:before="156" w:after="156"/>
      </w:pPr>
      <w:bookmarkStart w:id="103" w:name="_Toc97293125"/>
      <w:bookmarkStart w:id="104" w:name="_Toc100142427"/>
      <w:bookmarkStart w:id="105" w:name="_Toc100145167"/>
      <w:r>
        <w:rPr>
          <w:rFonts w:hint="eastAsia"/>
        </w:rPr>
        <w:t>顶管纠偏控制</w:t>
      </w:r>
      <w:bookmarkEnd w:id="103"/>
      <w:bookmarkEnd w:id="104"/>
      <w:bookmarkEnd w:id="105"/>
    </w:p>
    <w:p w14:paraId="42B53E5D">
      <w:pPr>
        <w:pStyle w:val="167"/>
      </w:pPr>
      <w:r>
        <w:rPr>
          <w:rFonts w:hint="eastAsia"/>
        </w:rPr>
        <w:t>顶管顶进时应采取抗扭措施，在顶管机上设置管道扭转指示针，管节扭转时，宜采取单侧压重、改变切削刀的切削方向或压浆等方式进行纠正。</w:t>
      </w:r>
    </w:p>
    <w:p w14:paraId="471A2408">
      <w:pPr>
        <w:pStyle w:val="167"/>
      </w:pPr>
      <w:r>
        <w:rPr>
          <w:rFonts w:hint="eastAsia"/>
        </w:rPr>
        <w:t>顶管在正常顶进过程中，应密切关注顶进轴线的控制，在每节管节顶进结束后，应进行机头的姿态测量，应增加测量频率，勤纠偏，微纠偏，以免土体出现较大扰动及管节出现张角。</w:t>
      </w:r>
    </w:p>
    <w:p w14:paraId="60A593CB">
      <w:pPr>
        <w:pStyle w:val="167"/>
      </w:pPr>
      <w:r>
        <w:rPr>
          <w:rFonts w:hint="eastAsia"/>
        </w:rPr>
        <w:t>顶进轴线控制应符合设计及相应规范的要求。</w:t>
      </w:r>
    </w:p>
    <w:p w14:paraId="76462402">
      <w:pPr>
        <w:pStyle w:val="167"/>
      </w:pPr>
      <w:r>
        <w:rPr>
          <w:rFonts w:hint="eastAsia"/>
        </w:rPr>
        <w:t>根据设计轴线、实测轴线、顶管机姿态及趋势结合测量数据变化进行纠偏。</w:t>
      </w:r>
    </w:p>
    <w:p w14:paraId="2A21FE26">
      <w:pPr>
        <w:pStyle w:val="167"/>
      </w:pPr>
      <w:r>
        <w:rPr>
          <w:rFonts w:hint="eastAsia"/>
        </w:rPr>
        <w:t xml:space="preserve">顶进过程中宜绘制顶管机水平与高程轨迹图、顶力变化曲线图。 </w:t>
      </w:r>
    </w:p>
    <w:p w14:paraId="0247D268">
      <w:pPr>
        <w:pStyle w:val="167"/>
      </w:pPr>
      <w:r>
        <w:rPr>
          <w:rFonts w:hint="eastAsia"/>
        </w:rPr>
        <w:t>顶进偏差稳定在±3mm/m时，应停止纠偏。</w:t>
      </w:r>
    </w:p>
    <w:p w14:paraId="23D5CA60">
      <w:pPr>
        <w:pStyle w:val="167"/>
      </w:pPr>
      <w:r>
        <w:rPr>
          <w:rFonts w:hint="eastAsia"/>
        </w:rPr>
        <w:t>顶进过程中可通过纠偏泵向管节外加注泥浆调整轴线偏差。</w:t>
      </w:r>
    </w:p>
    <w:p w14:paraId="62F17698">
      <w:pPr>
        <w:pStyle w:val="107"/>
        <w:spacing w:before="156" w:after="156"/>
      </w:pPr>
      <w:bookmarkStart w:id="106" w:name="_Toc100142428"/>
      <w:bookmarkStart w:id="107" w:name="_Toc100145168"/>
      <w:bookmarkStart w:id="108" w:name="_Toc97293126"/>
      <w:r>
        <w:rPr>
          <w:rFonts w:hint="eastAsia"/>
        </w:rPr>
        <w:t>地面隆沉控制</w:t>
      </w:r>
      <w:bookmarkEnd w:id="106"/>
      <w:bookmarkEnd w:id="107"/>
      <w:bookmarkEnd w:id="108"/>
    </w:p>
    <w:p w14:paraId="5418BC10">
      <w:pPr>
        <w:pStyle w:val="167"/>
      </w:pPr>
      <w:r>
        <w:rPr>
          <w:rFonts w:hint="eastAsia"/>
        </w:rPr>
        <w:t>施工过程中应进行实时监测和信息化施工，根据监测数据及时调整施工参数。</w:t>
      </w:r>
    </w:p>
    <w:p w14:paraId="16EFA23F">
      <w:pPr>
        <w:pStyle w:val="167"/>
      </w:pPr>
      <w:r>
        <w:rPr>
          <w:rFonts w:hint="eastAsia"/>
        </w:rPr>
        <w:t>顶管施工引起地表隆沉变形不应超过设计和相关规范的要求。</w:t>
      </w:r>
    </w:p>
    <w:p w14:paraId="02E87D2F">
      <w:pPr>
        <w:pStyle w:val="167"/>
      </w:pPr>
      <w:r>
        <w:rPr>
          <w:rFonts w:hint="eastAsia"/>
        </w:rPr>
        <w:t>顶管机尾部后方的管节压浆孔应及时有效的进行同步注浆，确保能形成完整的泥浆套；注浆时应遵循“先压后顶，边压边顶”的原则，管道内沿线的压浆孔应及时补浆，严格控制注浆压力及注浆量。</w:t>
      </w:r>
    </w:p>
    <w:p w14:paraId="73F926B1">
      <w:pPr>
        <w:pStyle w:val="167"/>
      </w:pPr>
      <w:r>
        <w:rPr>
          <w:rFonts w:hint="eastAsia"/>
        </w:rPr>
        <w:t>管道顶进时应严格控制管节渗漏。当出现渗漏时，应采取堵漏措施。</w:t>
      </w:r>
    </w:p>
    <w:p w14:paraId="0C5CEB44">
      <w:pPr>
        <w:pStyle w:val="167"/>
      </w:pPr>
      <w:r>
        <w:rPr>
          <w:rFonts w:hint="eastAsia"/>
        </w:rPr>
        <w:t>顶管停机后应保持机头前方土仓（泥仓）压力。</w:t>
      </w:r>
    </w:p>
    <w:p w14:paraId="45F49C5A">
      <w:pPr>
        <w:pStyle w:val="167"/>
      </w:pPr>
      <w:r>
        <w:rPr>
          <w:rFonts w:hint="eastAsia"/>
        </w:rPr>
        <w:t>定期检查和保养止退装置及油缸，避免因管道后退引起地面沉降。</w:t>
      </w:r>
    </w:p>
    <w:p w14:paraId="134A942A">
      <w:pPr>
        <w:pStyle w:val="167"/>
      </w:pPr>
      <w:r>
        <w:rPr>
          <w:rFonts w:hint="eastAsia"/>
        </w:rPr>
        <w:t>顶管结束后应采用水泥浆对泥浆套进行置换。</w:t>
      </w:r>
    </w:p>
    <w:p w14:paraId="6AA7EAA1">
      <w:pPr>
        <w:pStyle w:val="107"/>
        <w:spacing w:before="156" w:after="156"/>
      </w:pPr>
      <w:bookmarkStart w:id="109" w:name="_Toc100142429"/>
      <w:bookmarkStart w:id="110" w:name="_Toc100145169"/>
      <w:r>
        <w:rPr>
          <w:rFonts w:hint="eastAsia"/>
        </w:rPr>
        <w:t>顶管机接收</w:t>
      </w:r>
      <w:bookmarkEnd w:id="109"/>
      <w:bookmarkEnd w:id="110"/>
    </w:p>
    <w:p w14:paraId="6162D3B8">
      <w:pPr>
        <w:pStyle w:val="167"/>
      </w:pPr>
      <w:r>
        <w:rPr>
          <w:rFonts w:hint="eastAsia"/>
        </w:rPr>
        <w:t>洞口应预先进行处理，清除钢筋混凝土障碍物，并校核洞口的位置。</w:t>
      </w:r>
    </w:p>
    <w:p w14:paraId="5B268A77">
      <w:pPr>
        <w:pStyle w:val="167"/>
      </w:pPr>
      <w:r>
        <w:rPr>
          <w:rFonts w:hint="eastAsia"/>
        </w:rPr>
        <w:t>顶管接收基座应按设计轴线准确放样，宜井下拼装。接收轨道水平轴线的垂直方向与后靠架的夹角偏差＜±2‰，顶管姿态与设计轴线竖直趋势偏差＜2‰，水平趋势偏差＜±3‰。</w:t>
      </w:r>
    </w:p>
    <w:p w14:paraId="617DBEF0">
      <w:pPr>
        <w:pStyle w:val="167"/>
      </w:pPr>
      <w:r>
        <w:rPr>
          <w:rFonts w:hint="eastAsia"/>
        </w:rPr>
        <w:t>顶管机进入接收井洞口和加固区时，顶进速度不宜大于10mm/min。</w:t>
      </w:r>
    </w:p>
    <w:p w14:paraId="4D8C4C83">
      <w:pPr>
        <w:pStyle w:val="167"/>
      </w:pPr>
      <w:r>
        <w:rPr>
          <w:rFonts w:hint="eastAsia"/>
        </w:rPr>
        <w:t>顶管机和管节进入接收井后，应及时对顶管管道与洞口间的空隙进行填充止水处理。</w:t>
      </w:r>
    </w:p>
    <w:p w14:paraId="1E991F41">
      <w:pPr>
        <w:pStyle w:val="167"/>
      </w:pPr>
      <w:r>
        <w:rPr>
          <w:rFonts w:hint="eastAsia"/>
        </w:rPr>
        <w:t>顶管机解体前，应制定解体方案，准备相应的设备和工具。顶管机解体后，应对各部件进行检查，并对液压系统和电气系统进行标识，对已拆卸的零部件进行清理。</w:t>
      </w:r>
    </w:p>
    <w:p w14:paraId="1153FBE7">
      <w:pPr>
        <w:pStyle w:val="106"/>
        <w:spacing w:before="312" w:after="312"/>
      </w:pPr>
      <w:bookmarkStart w:id="111" w:name="_Toc100145170"/>
      <w:bookmarkStart w:id="112" w:name="_Toc100142430"/>
      <w:r>
        <w:rPr>
          <w:rFonts w:hint="eastAsia"/>
        </w:rPr>
        <w:t>特殊地段顶管施工</w:t>
      </w:r>
      <w:bookmarkEnd w:id="111"/>
      <w:bookmarkEnd w:id="112"/>
    </w:p>
    <w:p w14:paraId="0BB7B260">
      <w:pPr>
        <w:pStyle w:val="107"/>
        <w:spacing w:before="156" w:after="156"/>
      </w:pPr>
      <w:bookmarkStart w:id="113" w:name="_Toc100142431"/>
      <w:bookmarkStart w:id="114" w:name="_Toc100145171"/>
      <w:bookmarkStart w:id="115" w:name="_Toc97293129"/>
      <w:r>
        <w:rPr>
          <w:rFonts w:hint="eastAsia"/>
        </w:rPr>
        <w:t>一般规定</w:t>
      </w:r>
      <w:bookmarkEnd w:id="113"/>
      <w:bookmarkEnd w:id="114"/>
      <w:bookmarkEnd w:id="115"/>
    </w:p>
    <w:p w14:paraId="289A93B9">
      <w:pPr>
        <w:pStyle w:val="167"/>
      </w:pPr>
      <w:r>
        <w:rPr>
          <w:rFonts w:hint="eastAsia"/>
        </w:rPr>
        <w:t>本章节适用于特殊地段如浅覆土段施工、穿越建（构）筑物施工、突遇不明障碍物施工及特殊地层施工等工程。</w:t>
      </w:r>
    </w:p>
    <w:p w14:paraId="398B9665">
      <w:pPr>
        <w:pStyle w:val="167"/>
      </w:pPr>
      <w:r>
        <w:rPr>
          <w:rFonts w:hint="eastAsia"/>
        </w:rPr>
        <w:t>施工前应对现场进行踏勘，对建设单位提供的工程沿线的有关工程地质、水文地质和周围环境情况以及沿线的地下与地上管线，周边建（构）筑物、障碍物及其它设施的详细资料进行核实，必要时可采用地质雷达、人工探坑等手段进行勘探确定。</w:t>
      </w:r>
    </w:p>
    <w:p w14:paraId="7B1D6220">
      <w:pPr>
        <w:pStyle w:val="167"/>
      </w:pPr>
      <w:r>
        <w:rPr>
          <w:rFonts w:hint="eastAsia"/>
        </w:rPr>
        <w:t>施工前应编制专项施工方案，专项施工方案经相关单位审批通过后方可实施。</w:t>
      </w:r>
    </w:p>
    <w:p w14:paraId="4B933385">
      <w:pPr>
        <w:pStyle w:val="167"/>
      </w:pPr>
      <w:r>
        <w:rPr>
          <w:rFonts w:hint="eastAsia"/>
        </w:rPr>
        <w:t>根据现场实际情况和土质条件，合理选择施工工艺和施工方法。</w:t>
      </w:r>
    </w:p>
    <w:p w14:paraId="4549FA41">
      <w:pPr>
        <w:pStyle w:val="167"/>
      </w:pPr>
      <w:r>
        <w:rPr>
          <w:rFonts w:hint="eastAsia"/>
        </w:rPr>
        <w:t>施工前应根据工程水文地质条件、现场施工条件、周围环境等因素，进行安全风险评估；并制定防止事故发生以及事故处理的应急预案，备足应急抢险设备、器材等物资。</w:t>
      </w:r>
    </w:p>
    <w:p w14:paraId="535BB5A5">
      <w:pPr>
        <w:pStyle w:val="107"/>
        <w:spacing w:before="156" w:after="156"/>
      </w:pPr>
      <w:bookmarkStart w:id="116" w:name="_Toc100145172"/>
      <w:bookmarkStart w:id="117" w:name="_Toc100142432"/>
      <w:bookmarkStart w:id="118" w:name="_Toc97293130"/>
      <w:r>
        <w:rPr>
          <w:rFonts w:hint="eastAsia"/>
        </w:rPr>
        <w:t>浅覆土段施工</w:t>
      </w:r>
      <w:bookmarkEnd w:id="116"/>
      <w:bookmarkEnd w:id="117"/>
      <w:bookmarkEnd w:id="118"/>
    </w:p>
    <w:p w14:paraId="00A5A617">
      <w:pPr>
        <w:pStyle w:val="167"/>
      </w:pPr>
      <w:r>
        <w:rPr>
          <w:rFonts w:hint="eastAsia"/>
        </w:rPr>
        <w:t>浅覆土段矩形顶管顶进指矩形顶管上覆土层厚度小于1倍顶管管节高度的情况。</w:t>
      </w:r>
    </w:p>
    <w:p w14:paraId="6C434BA0">
      <w:pPr>
        <w:pStyle w:val="167"/>
      </w:pPr>
      <w:r>
        <w:rPr>
          <w:rFonts w:hint="eastAsia"/>
        </w:rPr>
        <w:t>浅覆土段矩形顶管施工可采取地面堆载等措施控制顶管机抬头和地面隆起；软弱土层中应适当减小注浆压力，避免出现地面冒浆等问题，必要时可进行土体加固处理。</w:t>
      </w:r>
    </w:p>
    <w:p w14:paraId="077BB9F1">
      <w:pPr>
        <w:pStyle w:val="167"/>
      </w:pPr>
      <w:r>
        <w:rPr>
          <w:rFonts w:hint="eastAsia"/>
        </w:rPr>
        <w:t>在顶进工作井中安装顶管机时，中线及高程偏差应控制在±10mm以内。</w:t>
      </w:r>
    </w:p>
    <w:p w14:paraId="5288E185">
      <w:pPr>
        <w:pStyle w:val="167"/>
      </w:pPr>
      <w:r>
        <w:rPr>
          <w:rFonts w:hint="eastAsia"/>
        </w:rPr>
        <w:t>矩形顶管机始发顶进前应做好姿态控制。</w:t>
      </w:r>
    </w:p>
    <w:p w14:paraId="10C1C5AD">
      <w:pPr>
        <w:pStyle w:val="167"/>
      </w:pPr>
      <w:r>
        <w:rPr>
          <w:rFonts w:hint="eastAsia"/>
        </w:rPr>
        <w:t>始发前应做好管节限位装置。</w:t>
      </w:r>
    </w:p>
    <w:p w14:paraId="7CAD40C0">
      <w:pPr>
        <w:pStyle w:val="167"/>
      </w:pPr>
      <w:r>
        <w:rPr>
          <w:rFonts w:hint="eastAsia"/>
        </w:rPr>
        <w:t>始发前应在管节外壁采取均匀刷蜡等减摩减阻措施。</w:t>
      </w:r>
    </w:p>
    <w:p w14:paraId="426D85BA">
      <w:pPr>
        <w:pStyle w:val="167"/>
      </w:pPr>
      <w:r>
        <w:rPr>
          <w:rFonts w:hint="eastAsia"/>
        </w:rPr>
        <w:t>始发前应做好沉降变形控制措施，如安装专用（土砂）泵等装置，如有沉降及时注泥填充，将沉降控制在允许范围以内。</w:t>
      </w:r>
    </w:p>
    <w:p w14:paraId="0BC07757">
      <w:pPr>
        <w:pStyle w:val="167"/>
      </w:pPr>
      <w:r>
        <w:rPr>
          <w:rFonts w:hint="eastAsia"/>
        </w:rPr>
        <w:t>初始顶进阶段，顶进速度不宜过快，宜控制在10mm</w:t>
      </w:r>
      <w:r>
        <w:t>/</w:t>
      </w:r>
      <w:r>
        <w:rPr>
          <w:rFonts w:hint="eastAsia"/>
        </w:rPr>
        <w:t>min以内；正常顶进时宜匀速顶进，速度宜控制在20mm</w:t>
      </w:r>
      <w:r>
        <w:t>/</w:t>
      </w:r>
      <w:r>
        <w:rPr>
          <w:rFonts w:hint="eastAsia"/>
        </w:rPr>
        <w:t>min~30mm</w:t>
      </w:r>
      <w:r>
        <w:t>/</w:t>
      </w:r>
      <w:r>
        <w:rPr>
          <w:rFonts w:hint="eastAsia"/>
        </w:rPr>
        <w:t>min以内。</w:t>
      </w:r>
    </w:p>
    <w:p w14:paraId="0413A4AB">
      <w:pPr>
        <w:pStyle w:val="167"/>
      </w:pPr>
      <w:r>
        <w:rPr>
          <w:rFonts w:hint="eastAsia"/>
        </w:rPr>
        <w:t>机头顶进后应与后面3~5节管节纵向连接。</w:t>
      </w:r>
    </w:p>
    <w:p w14:paraId="7B25C798">
      <w:pPr>
        <w:pStyle w:val="167"/>
      </w:pPr>
      <w:r>
        <w:rPr>
          <w:rFonts w:hint="eastAsia"/>
        </w:rPr>
        <w:t>顶进过程中应及时测量、控制沉降和方向。</w:t>
      </w:r>
    </w:p>
    <w:p w14:paraId="1424B884">
      <w:pPr>
        <w:pStyle w:val="167"/>
      </w:pPr>
      <w:r>
        <w:rPr>
          <w:rFonts w:hint="eastAsia"/>
        </w:rPr>
        <w:t>顶进完成后应及时对已完成管节进行整体刚性连接。</w:t>
      </w:r>
    </w:p>
    <w:p w14:paraId="408EEB68">
      <w:pPr>
        <w:pStyle w:val="167"/>
      </w:pPr>
      <w:r>
        <w:t>顶进</w:t>
      </w:r>
      <w:r>
        <w:rPr>
          <w:rFonts w:hint="eastAsia"/>
        </w:rPr>
        <w:t>完成</w:t>
      </w:r>
      <w:r>
        <w:t>后应及时施工两端洞门环梁</w:t>
      </w:r>
      <w:r>
        <w:rPr>
          <w:rFonts w:hint="eastAsia"/>
        </w:rPr>
        <w:t>。</w:t>
      </w:r>
    </w:p>
    <w:p w14:paraId="1B823940">
      <w:pPr>
        <w:pStyle w:val="107"/>
        <w:spacing w:before="156" w:after="156"/>
      </w:pPr>
      <w:bookmarkStart w:id="119" w:name="_Toc100142433"/>
      <w:bookmarkStart w:id="120" w:name="_Toc100145173"/>
      <w:bookmarkStart w:id="121" w:name="_Toc97293131"/>
      <w:r>
        <w:rPr>
          <w:rFonts w:hint="eastAsia"/>
        </w:rPr>
        <w:t>穿越建（构）筑物施工</w:t>
      </w:r>
      <w:bookmarkEnd w:id="119"/>
      <w:bookmarkEnd w:id="120"/>
      <w:bookmarkEnd w:id="121"/>
    </w:p>
    <w:p w14:paraId="5624C474">
      <w:pPr>
        <w:pStyle w:val="167"/>
      </w:pPr>
      <w:r>
        <w:rPr>
          <w:rFonts w:hint="eastAsia"/>
        </w:rPr>
        <w:t>在穿越建（构）筑物条件下顶进施工应满足相应的技术要求规定，并符合下列规定：</w:t>
      </w:r>
    </w:p>
    <w:p w14:paraId="04206ED4">
      <w:pPr>
        <w:pStyle w:val="176"/>
        <w:numPr>
          <w:ilvl w:val="0"/>
          <w:numId w:val="41"/>
        </w:numPr>
      </w:pPr>
      <w:r>
        <w:rPr>
          <w:rFonts w:hint="eastAsia"/>
        </w:rPr>
        <w:t>顶管下穿铁路或者公路时，应符合铁路或公路行业的相关安全技术规定；</w:t>
      </w:r>
    </w:p>
    <w:p w14:paraId="02B122A9">
      <w:pPr>
        <w:pStyle w:val="176"/>
      </w:pPr>
      <w:r>
        <w:rPr>
          <w:rFonts w:hint="eastAsia"/>
        </w:rPr>
        <w:t>顶管下穿沟渠时应防止冒顶和倒灌，合理控制土压、顶管姿态、顶进速度，严格控制注浆压力及时注浆，严防管节渗漏水；</w:t>
      </w:r>
    </w:p>
    <w:p w14:paraId="35FAD385">
      <w:pPr>
        <w:pStyle w:val="176"/>
      </w:pPr>
      <w:r>
        <w:rPr>
          <w:rFonts w:hint="eastAsia"/>
        </w:rPr>
        <w:t>顶管下穿桥梁、大型管网、建（构）筑物时，应制定专项的保护方案，报权属部门审批认可后采取相应的安全技术措施，满足相应的安全技术规定；</w:t>
      </w:r>
    </w:p>
    <w:p w14:paraId="4A69EB9D">
      <w:pPr>
        <w:pStyle w:val="176"/>
      </w:pPr>
      <w:r>
        <w:rPr>
          <w:rFonts w:hint="eastAsia"/>
        </w:rPr>
        <w:t>顶管穿越地铁隧道时，应符合轨道交通安全技术规定，并采取相应的保护方案，报权属部门审批认可，制定相应的应急措施；</w:t>
      </w:r>
    </w:p>
    <w:p w14:paraId="2A966C05">
      <w:pPr>
        <w:pStyle w:val="176"/>
      </w:pPr>
      <w:r>
        <w:rPr>
          <w:rFonts w:hint="eastAsia"/>
        </w:rPr>
        <w:t>顶管穿越水平定向钻的压力管或电力管线时，应调查清楚管线的空间形态，制定相应的安全施工措施，并满足相关安全技术规定。</w:t>
      </w:r>
    </w:p>
    <w:p w14:paraId="172FDC7F">
      <w:pPr>
        <w:pStyle w:val="167"/>
      </w:pPr>
      <w:r>
        <w:rPr>
          <w:rFonts w:hint="eastAsia"/>
        </w:rPr>
        <w:t>穿越前应对顶管机进行保养和维护。</w:t>
      </w:r>
    </w:p>
    <w:p w14:paraId="4D9D5C06">
      <w:pPr>
        <w:pStyle w:val="167"/>
      </w:pPr>
      <w:r>
        <w:rPr>
          <w:rFonts w:hint="eastAsia"/>
        </w:rPr>
        <w:t>穿越前应对建（构）筑物的基础高程进行核对，确认是否与管线有重叠部分。</w:t>
      </w:r>
    </w:p>
    <w:p w14:paraId="02D51E15">
      <w:pPr>
        <w:pStyle w:val="167"/>
      </w:pPr>
      <w:r>
        <w:rPr>
          <w:rFonts w:hint="eastAsia"/>
        </w:rPr>
        <w:t>穿越前应对地面建（构）筑物进行安全风险辨识，必要时应对重要的建（构）筑物进行加固保护处理。</w:t>
      </w:r>
    </w:p>
    <w:p w14:paraId="12F131A7">
      <w:pPr>
        <w:pStyle w:val="167"/>
      </w:pPr>
      <w:r>
        <w:rPr>
          <w:rFonts w:hint="eastAsia"/>
        </w:rPr>
        <w:t>应确保矩形顶管机与建（构）筑物的立体空间满足顶管施工要求。</w:t>
      </w:r>
    </w:p>
    <w:p w14:paraId="7AFC5B55">
      <w:pPr>
        <w:pStyle w:val="167"/>
      </w:pPr>
      <w:r>
        <w:rPr>
          <w:rFonts w:hint="eastAsia"/>
        </w:rPr>
        <w:t>穿越建（构）筑物时，应匀速顶进；速度应控制在10mm</w:t>
      </w:r>
      <w:r>
        <w:t>/</w:t>
      </w:r>
      <w:r>
        <w:rPr>
          <w:rFonts w:hint="eastAsia"/>
        </w:rPr>
        <w:t>min以内。</w:t>
      </w:r>
    </w:p>
    <w:p w14:paraId="3D6F41A8">
      <w:pPr>
        <w:pStyle w:val="167"/>
      </w:pPr>
      <w:r>
        <w:rPr>
          <w:rFonts w:hint="eastAsia"/>
        </w:rPr>
        <w:t>穿越建（构）筑物时，应加强四周地表及建（构）筑物监测，及时采取应对措施。</w:t>
      </w:r>
    </w:p>
    <w:p w14:paraId="511AFE51">
      <w:pPr>
        <w:pStyle w:val="167"/>
      </w:pPr>
      <w:r>
        <w:rPr>
          <w:rFonts w:hint="eastAsia"/>
        </w:rPr>
        <w:t>穿越建（构）筑物后，应持续监测直至变形稳定，且监测时间不少于3个月，必要时做好后期的加固工作。</w:t>
      </w:r>
    </w:p>
    <w:p w14:paraId="3A677A9E">
      <w:pPr>
        <w:pStyle w:val="107"/>
        <w:spacing w:before="156" w:after="156"/>
      </w:pPr>
      <w:bookmarkStart w:id="122" w:name="_Toc100142434"/>
      <w:bookmarkStart w:id="123" w:name="_Toc97293132"/>
      <w:bookmarkStart w:id="124" w:name="_Toc100145174"/>
      <w:r>
        <w:rPr>
          <w:rFonts w:hint="eastAsia"/>
        </w:rPr>
        <w:t>突遇不明障碍物施工</w:t>
      </w:r>
      <w:bookmarkEnd w:id="122"/>
      <w:bookmarkEnd w:id="123"/>
      <w:bookmarkEnd w:id="124"/>
    </w:p>
    <w:p w14:paraId="340573EA">
      <w:pPr>
        <w:pStyle w:val="167"/>
      </w:pPr>
      <w:r>
        <w:rPr>
          <w:rFonts w:hint="eastAsia"/>
        </w:rPr>
        <w:t>顶进过程中，若刀盘扭矩和电流出现异常，应立即停止顶进，查看刀盘前方是否存在障碍物。并综合顶进及刀盘试转情况，查明障碍物位置、性质及其它。</w:t>
      </w:r>
    </w:p>
    <w:p w14:paraId="1A8F2195">
      <w:pPr>
        <w:pStyle w:val="167"/>
      </w:pPr>
      <w:r>
        <w:rPr>
          <w:rFonts w:hint="eastAsia"/>
        </w:rPr>
        <w:t>可用仪器查明障碍物是否安全或对人体有害。</w:t>
      </w:r>
    </w:p>
    <w:p w14:paraId="14842D87">
      <w:pPr>
        <w:pStyle w:val="167"/>
      </w:pPr>
      <w:r>
        <w:rPr>
          <w:rFonts w:hint="eastAsia"/>
        </w:rPr>
        <w:t>对经过刀盘的多次运转已经进入螺旋输送口的较小障碍物，宜在搅笼口下方开口将障碍物移除。</w:t>
      </w:r>
    </w:p>
    <w:p w14:paraId="28728821">
      <w:pPr>
        <w:pStyle w:val="167"/>
      </w:pPr>
      <w:r>
        <w:t>在采取可靠的措施确保</w:t>
      </w:r>
      <w:r>
        <w:rPr>
          <w:rFonts w:hint="eastAsia"/>
        </w:rPr>
        <w:t>掌子</w:t>
      </w:r>
      <w:r>
        <w:t>面安全稳定的条件下</w:t>
      </w:r>
      <w:r>
        <w:rPr>
          <w:rFonts w:hint="eastAsia"/>
        </w:rPr>
        <w:t>，可从矩形顶管机两侧检查口进入泥仓，对障碍物进行处理，应注意前方土体的安全。</w:t>
      </w:r>
    </w:p>
    <w:p w14:paraId="589A743E">
      <w:pPr>
        <w:pStyle w:val="167"/>
      </w:pPr>
      <w:r>
        <w:rPr>
          <w:rFonts w:hint="eastAsia"/>
        </w:rPr>
        <w:t>对在泥仓内无法处理的障碍物，在确定其准确位置后，可采取开天窗等方案处理障碍物。顶进施工完后，应对天窗段进行加固处理。</w:t>
      </w:r>
    </w:p>
    <w:p w14:paraId="29C1D497">
      <w:pPr>
        <w:pStyle w:val="107"/>
        <w:spacing w:before="156" w:after="156"/>
      </w:pPr>
      <w:bookmarkStart w:id="125" w:name="_Toc100145175"/>
      <w:bookmarkStart w:id="126" w:name="_Toc100142435"/>
      <w:bookmarkStart w:id="127" w:name="_Toc97293133"/>
      <w:r>
        <w:rPr>
          <w:rFonts w:hint="eastAsia"/>
        </w:rPr>
        <w:t>特殊地层施工</w:t>
      </w:r>
      <w:bookmarkEnd w:id="125"/>
      <w:bookmarkEnd w:id="126"/>
      <w:bookmarkEnd w:id="127"/>
    </w:p>
    <w:p w14:paraId="39842C8C">
      <w:pPr>
        <w:pStyle w:val="167"/>
      </w:pPr>
      <w:r>
        <w:rPr>
          <w:rFonts w:hint="eastAsia"/>
        </w:rPr>
        <w:t>对于岩溶发育地域、红黏土层、渗透系数较大的砂层和砂砾层应视为特殊地层；</w:t>
      </w:r>
    </w:p>
    <w:p w14:paraId="14752495">
      <w:pPr>
        <w:pStyle w:val="167"/>
      </w:pPr>
      <w:r>
        <w:rPr>
          <w:rFonts w:hint="eastAsia"/>
        </w:rPr>
        <w:t>砂层采用土体改良方法，在刀盘前方注送添加剂泥浆，使砂层变成混合状态，从螺旋输送机排出；</w:t>
      </w:r>
    </w:p>
    <w:p w14:paraId="3DCCC413">
      <w:pPr>
        <w:pStyle w:val="167"/>
      </w:pPr>
      <w:r>
        <w:rPr>
          <w:rFonts w:hint="eastAsia"/>
        </w:rPr>
        <w:t>在地下水丰富的砂层中顶进施工时，应采取以下技术措施：</w:t>
      </w:r>
    </w:p>
    <w:p w14:paraId="07CF2B31">
      <w:pPr>
        <w:pStyle w:val="176"/>
        <w:numPr>
          <w:ilvl w:val="0"/>
          <w:numId w:val="42"/>
        </w:numPr>
      </w:pPr>
      <w:r>
        <w:rPr>
          <w:rFonts w:hint="eastAsia"/>
        </w:rPr>
        <w:t>在渗透系数大于10</w:t>
      </w:r>
      <w:r>
        <w:rPr>
          <w:vertAlign w:val="superscript"/>
        </w:rPr>
        <w:t>-2</w:t>
      </w:r>
      <w:r>
        <w:rPr>
          <w:rFonts w:hint="eastAsia"/>
        </w:rPr>
        <w:t>cm/s的粗砂和砂砾层中，宜采用高分子化学添加剂进行渣土改良；</w:t>
      </w:r>
    </w:p>
    <w:p w14:paraId="06C5E655">
      <w:pPr>
        <w:pStyle w:val="176"/>
      </w:pPr>
      <w:r>
        <w:rPr>
          <w:rFonts w:hint="eastAsia"/>
        </w:rPr>
        <w:t>触变泥浆中应加入化学添加剂，优化泥浆润滑性能；</w:t>
      </w:r>
    </w:p>
    <w:p w14:paraId="50268D81">
      <w:pPr>
        <w:pStyle w:val="176"/>
      </w:pPr>
      <w:r>
        <w:rPr>
          <w:rFonts w:hint="eastAsia"/>
        </w:rPr>
        <w:t>每节管节都应设置注浆孔，并进行管节减阻注浆；</w:t>
      </w:r>
    </w:p>
    <w:p w14:paraId="70EEB80A">
      <w:pPr>
        <w:pStyle w:val="176"/>
      </w:pPr>
      <w:r>
        <w:rPr>
          <w:rFonts w:hint="eastAsia"/>
        </w:rPr>
        <w:t>局部超挖部分，应及时采用土砂泵等注泥填充；</w:t>
      </w:r>
    </w:p>
    <w:p w14:paraId="5B8BAC22">
      <w:pPr>
        <w:pStyle w:val="176"/>
      </w:pPr>
      <w:r>
        <w:rPr>
          <w:rFonts w:hint="eastAsia"/>
        </w:rPr>
        <w:t>应做好砂层突涌等情况的应急预案，原则上应保持连续施工。</w:t>
      </w:r>
    </w:p>
    <w:p w14:paraId="0385CBF7">
      <w:pPr>
        <w:pStyle w:val="167"/>
      </w:pPr>
      <w:r>
        <w:rPr>
          <w:rFonts w:hint="eastAsia"/>
        </w:rPr>
        <w:t>岩溶发育区域顶进，应勘探顶进路径的溶洞发育情况，查明溶洞边界，对施工有影响的溶洞应进行加固处理。</w:t>
      </w:r>
    </w:p>
    <w:p w14:paraId="1BC17A76">
      <w:pPr>
        <w:pStyle w:val="167"/>
      </w:pPr>
      <w:r>
        <w:rPr>
          <w:rFonts w:hint="eastAsia"/>
        </w:rPr>
        <w:t>流塑状红黏土层顶进应控制顶进参数，防止机头下沉，必要时应对红黏土进行加固处理。</w:t>
      </w:r>
    </w:p>
    <w:p w14:paraId="34C48A4B">
      <w:pPr>
        <w:pStyle w:val="167"/>
        <w:rPr>
          <w:rFonts w:ascii="Times New Roman"/>
        </w:rPr>
      </w:pPr>
      <w:r>
        <w:rPr>
          <w:rFonts w:hint="eastAsia"/>
        </w:rPr>
        <w:t>对塑性指数Ip大于2</w:t>
      </w:r>
      <w:r>
        <w:t>5</w:t>
      </w:r>
      <w:r>
        <w:rPr>
          <w:rFonts w:hint="eastAsia"/>
        </w:rPr>
        <w:t>的黏土层，应制定防止结泥饼的措施。</w:t>
      </w:r>
    </w:p>
    <w:p w14:paraId="0595E73A">
      <w:pPr>
        <w:pStyle w:val="106"/>
        <w:spacing w:before="312" w:after="312"/>
      </w:pPr>
      <w:bookmarkStart w:id="128" w:name="_Toc100145176"/>
      <w:bookmarkStart w:id="129" w:name="_Toc100142436"/>
      <w:r>
        <w:rPr>
          <w:rFonts w:hint="eastAsia"/>
        </w:rPr>
        <w:t>管节注浆</w:t>
      </w:r>
      <w:bookmarkEnd w:id="128"/>
      <w:bookmarkEnd w:id="129"/>
    </w:p>
    <w:p w14:paraId="3800E065">
      <w:pPr>
        <w:pStyle w:val="107"/>
        <w:spacing w:before="156" w:after="156"/>
      </w:pPr>
      <w:bookmarkStart w:id="130" w:name="_Toc100145177"/>
      <w:bookmarkStart w:id="131" w:name="_Toc100142437"/>
      <w:bookmarkStart w:id="132" w:name="_Toc97293135"/>
      <w:r>
        <w:rPr>
          <w:rFonts w:hint="eastAsia"/>
        </w:rPr>
        <w:t>一般规定</w:t>
      </w:r>
      <w:bookmarkEnd w:id="130"/>
      <w:bookmarkEnd w:id="131"/>
      <w:bookmarkEnd w:id="132"/>
    </w:p>
    <w:p w14:paraId="6AB89783">
      <w:pPr>
        <w:pStyle w:val="167"/>
      </w:pPr>
      <w:r>
        <w:rPr>
          <w:rFonts w:hint="eastAsia"/>
        </w:rPr>
        <w:t>顶管管节壁后减阻</w:t>
      </w:r>
      <w:r>
        <w:t>注浆材料宜选取钠基膨润土，必要时可添加纯碱和高分子化学聚合物。</w:t>
      </w:r>
    </w:p>
    <w:p w14:paraId="01176CEE">
      <w:pPr>
        <w:pStyle w:val="167"/>
      </w:pPr>
      <w:r>
        <w:t>触变泥浆</w:t>
      </w:r>
      <w:r>
        <w:rPr>
          <w:rFonts w:hint="eastAsia"/>
        </w:rPr>
        <w:t>应</w:t>
      </w:r>
      <w:r>
        <w:t>在</w:t>
      </w:r>
      <w:r>
        <w:rPr>
          <w:rFonts w:hint="eastAsia"/>
        </w:rPr>
        <w:t>机头进入土体具备注浆条件后立即开始注浆。</w:t>
      </w:r>
    </w:p>
    <w:p w14:paraId="1BBF8EB8">
      <w:pPr>
        <w:pStyle w:val="167"/>
      </w:pPr>
      <w:r>
        <w:t>注浆压力应</w:t>
      </w:r>
      <w:r>
        <w:rPr>
          <w:rFonts w:hint="eastAsia"/>
        </w:rPr>
        <w:t>高出</w:t>
      </w:r>
      <w:r>
        <w:t>水</w:t>
      </w:r>
      <w:r>
        <w:rPr>
          <w:rFonts w:hint="eastAsia"/>
        </w:rPr>
        <w:t>土</w:t>
      </w:r>
      <w:r>
        <w:t>压力20kPa。</w:t>
      </w:r>
    </w:p>
    <w:p w14:paraId="4B7E2826">
      <w:pPr>
        <w:pStyle w:val="167"/>
      </w:pPr>
      <w:r>
        <w:rPr>
          <w:rFonts w:hint="eastAsia"/>
        </w:rPr>
        <w:t>顶管</w:t>
      </w:r>
      <w:r>
        <w:t>前</w:t>
      </w:r>
      <w:r>
        <w:rPr>
          <w:rFonts w:hint="eastAsia"/>
        </w:rPr>
        <w:t>3</w:t>
      </w:r>
      <w:r>
        <w:t>节保持顶进</w:t>
      </w:r>
      <w:r>
        <w:rPr>
          <w:rFonts w:hint="eastAsia"/>
        </w:rPr>
        <w:t>中应</w:t>
      </w:r>
      <w:r>
        <w:t>连续注浆，后</w:t>
      </w:r>
      <w:r>
        <w:rPr>
          <w:rFonts w:hint="eastAsia"/>
        </w:rPr>
        <w:t>节</w:t>
      </w:r>
      <w:r>
        <w:t>段可采取循环式补浆</w:t>
      </w:r>
      <w:r>
        <w:rPr>
          <w:rFonts w:hint="eastAsia"/>
        </w:rPr>
        <w:t>。</w:t>
      </w:r>
    </w:p>
    <w:p w14:paraId="71837760">
      <w:pPr>
        <w:pStyle w:val="107"/>
        <w:spacing w:before="156" w:after="156"/>
      </w:pPr>
      <w:bookmarkStart w:id="133" w:name="_Toc100142438"/>
      <w:bookmarkStart w:id="134" w:name="_Toc100145178"/>
      <w:bookmarkStart w:id="135" w:name="_Toc97293136"/>
      <w:r>
        <w:rPr>
          <w:rFonts w:hint="eastAsia"/>
        </w:rPr>
        <w:t>注浆减阻</w:t>
      </w:r>
      <w:bookmarkEnd w:id="133"/>
      <w:bookmarkEnd w:id="134"/>
      <w:bookmarkEnd w:id="135"/>
    </w:p>
    <w:p w14:paraId="44A95A17">
      <w:pPr>
        <w:pStyle w:val="167"/>
      </w:pPr>
      <w:r>
        <w:rPr>
          <w:rFonts w:hint="eastAsia"/>
        </w:rPr>
        <w:t>在管道外壁压注触变泥浆，使其四周形成一圈泥浆套以达到减阻效果，在施工期间应保证泥浆不失水、不沉淀、不固结</w:t>
      </w:r>
      <w:r>
        <w:t>；顶管施工所用触变泥浆的性能，主要由以下6个指标来控制：比重、静切力、黏度、失水量、稳定性、PH值。</w:t>
      </w:r>
    </w:p>
    <w:p w14:paraId="0BCECBAF">
      <w:pPr>
        <w:pStyle w:val="167"/>
      </w:pPr>
      <w:r>
        <w:t>触变泥浆压注管路布置应符合下列规定：</w:t>
      </w:r>
    </w:p>
    <w:p w14:paraId="2DCBDE0C">
      <w:pPr>
        <w:pStyle w:val="176"/>
        <w:numPr>
          <w:ilvl w:val="0"/>
          <w:numId w:val="43"/>
        </w:numPr>
      </w:pPr>
      <w:r>
        <w:t>压注浆管路应在每节独立控制，根据实际数据情况控制不同管节的压浆量</w:t>
      </w:r>
      <w:r>
        <w:rPr>
          <w:rFonts w:hint="eastAsia"/>
        </w:rPr>
        <w:t>；</w:t>
      </w:r>
    </w:p>
    <w:p w14:paraId="734A4D76">
      <w:pPr>
        <w:pStyle w:val="176"/>
      </w:pPr>
      <w:r>
        <w:t>长距离顶管宜采用两套压浆管路，配置两套不同配方的浆液；长距离顶管应在总管沿线设置中间接力泵站。</w:t>
      </w:r>
    </w:p>
    <w:p w14:paraId="44BB7B21">
      <w:pPr>
        <w:pStyle w:val="167"/>
      </w:pPr>
      <w:r>
        <w:t>顶管机尾部后方管节应设置不少于4个连续同步注浆断面，同步注浆量应根据实际情况确定。注浆压力控制应符合式</w:t>
      </w:r>
      <w:r>
        <w:rPr>
          <w:rFonts w:hint="eastAsia"/>
        </w:rPr>
        <w:t>（3）</w:t>
      </w:r>
      <w:r>
        <w:t>要求：</w:t>
      </w:r>
    </w:p>
    <w:p w14:paraId="0BE2152D">
      <w:pPr>
        <w:pStyle w:val="115"/>
        <w:jc w:val="center"/>
        <w:rPr>
          <w:rFonts w:hint="eastAsia"/>
        </w:rPr>
      </w:pPr>
      <m:oMath>
        <m:r>
          <m:rPr/>
          <w:rPr>
            <w:rFonts w:ascii="Cambria Math" w:hAnsi="Cambria Math"/>
          </w:rPr>
          <m:t>P</m:t>
        </m:r>
        <m:r>
          <m:rPr/>
          <w:rPr>
            <w:rFonts w:hint="eastAsia" w:ascii="Cambria Math" w:hAnsi="Cambria Math"/>
            <w:vertAlign w:val="subscript"/>
          </w:rPr>
          <m:t>z</m:t>
        </m:r>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hint="eastAsia" w:ascii="Cambria Math" w:hAnsi="Cambria Math"/>
              </w:rPr>
              <m:t>2</m:t>
            </m:r>
            <m:ctrlPr>
              <w:rPr>
                <w:rFonts w:ascii="Cambria Math" w:hAnsi="Cambria Math"/>
              </w:rPr>
            </m:ctrlPr>
          </m:sub>
        </m:sSub>
        <m:r>
          <m:rPr/>
          <w:rPr>
            <w:rFonts w:hint="eastAsia" w:ascii="Cambria Math" w:hAnsi="Cambria Math"/>
          </w:rPr>
          <m:t>γ</m:t>
        </m:r>
        <m:r>
          <m:rPr/>
          <w:rPr>
            <w:rFonts w:ascii="Cambria Math" w:hAnsi="Cambria Math"/>
          </w:rPr>
          <m:t>h</m:t>
        </m:r>
      </m:oMath>
      <w:r>
        <w:rPr>
          <w:rFonts w:ascii="微软雅黑" w:hAnsi="微软雅黑" w:eastAsia="微软雅黑"/>
        </w:rPr>
        <w:tab/>
      </w:r>
      <w:r>
        <w:t>(</w:t>
      </w:r>
      <w:r>
        <w:fldChar w:fldCharType="begin"/>
      </w:r>
      <w:r>
        <w:instrText xml:space="preserve"> AUTONUM </w:instrText>
      </w:r>
      <w:r>
        <w:fldChar w:fldCharType="end"/>
      </w:r>
      <w:r>
        <w:t>)</w:t>
      </w:r>
    </w:p>
    <w:p w14:paraId="2B9BDF76">
      <w:pPr>
        <w:pStyle w:val="57"/>
        <w:ind w:firstLine="420"/>
      </w:pPr>
      <w:r>
        <w:rPr>
          <w:rFonts w:hint="eastAsia"/>
        </w:rPr>
        <w:t>式中：</w:t>
      </w:r>
    </w:p>
    <w:p w14:paraId="673119F1">
      <w:pPr>
        <w:spacing w:line="240" w:lineRule="auto"/>
        <w:ind w:firstLine="420" w:firstLineChars="200"/>
      </w:pPr>
      <w:r>
        <w:rPr>
          <w:iCs/>
        </w:rPr>
        <w:t>P</w:t>
      </w:r>
      <w:r>
        <w:rPr>
          <w:iCs/>
          <w:vertAlign w:val="subscript"/>
        </w:rPr>
        <w:t>z</w:t>
      </w:r>
      <w:r>
        <w:rPr>
          <w:rFonts w:ascii="Times New Roman" w:hAnsi="Times New Roman"/>
        </w:rPr>
        <w:t>——注浆压力（kPa）；</w:t>
      </w:r>
    </w:p>
    <w:p w14:paraId="718B6A30">
      <w:pPr>
        <w:spacing w:line="240" w:lineRule="auto"/>
        <w:ind w:firstLine="420" w:firstLineChars="200"/>
      </w:pPr>
      <w:r>
        <w:rPr>
          <w:iCs/>
        </w:rPr>
        <w:t>k</w:t>
      </w:r>
      <w:r>
        <w:rPr>
          <w:iCs/>
          <w:vertAlign w:val="subscript"/>
        </w:rPr>
        <w:t>2</w:t>
      </w:r>
      <w:r>
        <w:rPr>
          <w:rFonts w:ascii="Times New Roman" w:hAnsi="Times New Roman"/>
        </w:rPr>
        <w:t>——</w:t>
      </w:r>
      <w:r>
        <w:rPr>
          <w:rFonts w:hint="eastAsia"/>
        </w:rPr>
        <w:t>注浆压力</w:t>
      </w:r>
      <w:r>
        <w:t>系数，</w:t>
      </w:r>
      <w:r>
        <w:rPr>
          <w:rFonts w:hint="eastAsia"/>
        </w:rPr>
        <w:t>宜</w:t>
      </w:r>
      <w:r>
        <w:rPr>
          <w:rFonts w:ascii="Times New Roman" w:hAnsi="Times New Roman"/>
        </w:rPr>
        <w:t>取0.8~1.2；</w:t>
      </w:r>
    </w:p>
    <w:p w14:paraId="4FBC65C7">
      <w:pPr>
        <w:spacing w:line="240" w:lineRule="auto"/>
        <w:ind w:firstLine="420" w:firstLineChars="200"/>
      </w:pPr>
      <w:r>
        <w:rPr>
          <w:rFonts w:hint="eastAsia"/>
        </w:rPr>
        <w:t>γ</w:t>
      </w:r>
      <w:r>
        <w:rPr>
          <w:rFonts w:ascii="Times New Roman" w:hAnsi="Times New Roman"/>
        </w:rPr>
        <w:t>——</w:t>
      </w:r>
      <w:r>
        <w:rPr>
          <w:rFonts w:hint="eastAsia"/>
        </w:rPr>
        <w:t>土的天然重</w:t>
      </w:r>
      <w:r>
        <w:rPr>
          <w:rFonts w:hint="eastAsia" w:ascii="Times New Roman" w:hAnsi="Times New Roman"/>
        </w:rPr>
        <w:t>度（</w:t>
      </w:r>
      <w:r>
        <w:rPr>
          <w:rFonts w:ascii="Times New Roman" w:hAnsi="Times New Roman"/>
        </w:rPr>
        <w:t>kN/m</w:t>
      </w:r>
      <w:r>
        <w:rPr>
          <w:rFonts w:hint="eastAsia" w:ascii="Times New Roman" w:hAnsi="Times New Roman"/>
          <w:vertAlign w:val="superscript"/>
        </w:rPr>
        <w:t>3</w:t>
      </w:r>
      <w:r>
        <w:rPr>
          <w:rFonts w:ascii="Times New Roman" w:hAnsi="Times New Roman"/>
        </w:rPr>
        <w:t>）；</w:t>
      </w:r>
    </w:p>
    <w:p w14:paraId="70196CEE">
      <w:pPr>
        <w:spacing w:line="240" w:lineRule="auto"/>
        <w:ind w:firstLine="420" w:firstLineChars="200"/>
      </w:pPr>
      <w:r>
        <w:rPr>
          <w:iCs/>
        </w:rPr>
        <w:t>h</w:t>
      </w:r>
      <w:r>
        <w:rPr>
          <w:rFonts w:ascii="Times New Roman" w:hAnsi="Times New Roman"/>
        </w:rPr>
        <w:t>——</w:t>
      </w:r>
      <w:r>
        <w:rPr>
          <w:rFonts w:hint="eastAsia"/>
        </w:rPr>
        <w:t>管道轴线</w:t>
      </w:r>
      <w:r>
        <w:t>埋深</w:t>
      </w:r>
      <w:r>
        <w:rPr>
          <w:rFonts w:ascii="Times New Roman" w:hAnsi="Times New Roman"/>
        </w:rPr>
        <w:t>（m）</w:t>
      </w:r>
      <w:r>
        <w:rPr>
          <w:rFonts w:hint="eastAsia" w:ascii="Times New Roman" w:hAnsi="Times New Roman"/>
        </w:rPr>
        <w:t>。</w:t>
      </w:r>
    </w:p>
    <w:p w14:paraId="0B0EEFD1">
      <w:pPr>
        <w:pStyle w:val="167"/>
      </w:pPr>
      <w:r>
        <w:t>注浆泵的压力和流量应满足顶管尺寸、埋深和顶进长度的要求，总管宜采用</w:t>
      </w:r>
      <w:r>
        <w:rPr>
          <w:rFonts w:hint="eastAsia"/>
        </w:rPr>
        <w:t>直径不小于</w:t>
      </w:r>
      <w:r>
        <w:t>50mm的钢管，支管宜采用直径</w:t>
      </w:r>
      <w:r>
        <w:rPr>
          <w:rFonts w:hint="eastAsia"/>
        </w:rPr>
        <w:t>不小于</w:t>
      </w:r>
      <w:r>
        <w:t>25mm的耐压橡胶管。每个注浆孔应设置球阀，并应在管道上设置压力表。</w:t>
      </w:r>
    </w:p>
    <w:p w14:paraId="45F358E0">
      <w:pPr>
        <w:pStyle w:val="167"/>
      </w:pPr>
      <w:r>
        <w:t>工作井、接收井洞口井壁宜预埋注浆管，用于补充注浆。</w:t>
      </w:r>
    </w:p>
    <w:p w14:paraId="0E77A138">
      <w:pPr>
        <w:pStyle w:val="167"/>
      </w:pPr>
      <w:r>
        <w:t>应根据注浆量和注浆压力控制同步注浆过程，注浆速度应根据注浆量和掘进速度确定。</w:t>
      </w:r>
    </w:p>
    <w:p w14:paraId="5B9FFA58">
      <w:pPr>
        <w:pStyle w:val="167"/>
      </w:pPr>
      <w:r>
        <w:t>注浆压力应根据地质条件、注浆方式、管</w:t>
      </w:r>
      <w:r>
        <w:rPr>
          <w:rFonts w:hint="eastAsia"/>
        </w:rPr>
        <w:t>节</w:t>
      </w:r>
      <w:r>
        <w:t>强度、设备性能、浆液特性和顶管埋深等因素确定。</w:t>
      </w:r>
    </w:p>
    <w:p w14:paraId="16410D65">
      <w:pPr>
        <w:pStyle w:val="167"/>
      </w:pPr>
      <w:r>
        <w:t>注浆前应对注浆设备进行调试，</w:t>
      </w:r>
      <w:r>
        <w:rPr>
          <w:rFonts w:hint="eastAsia"/>
        </w:rPr>
        <w:t>检查</w:t>
      </w:r>
      <w:r>
        <w:t>注浆孔和注浆管路。</w:t>
      </w:r>
    </w:p>
    <w:p w14:paraId="1434F9AD">
      <w:pPr>
        <w:pStyle w:val="167"/>
      </w:pPr>
      <w:r>
        <w:rPr>
          <w:rFonts w:hint="eastAsia"/>
        </w:rPr>
        <w:t>土压平衡式顶管若采用轨道运泥车出渣时，轨道前端管节底部注浆量要充分。</w:t>
      </w:r>
    </w:p>
    <w:p w14:paraId="6D6E18FD">
      <w:pPr>
        <w:pStyle w:val="107"/>
        <w:spacing w:before="156" w:after="156"/>
      </w:pPr>
      <w:bookmarkStart w:id="136" w:name="_Toc100145179"/>
      <w:bookmarkStart w:id="137" w:name="_Toc100142439"/>
      <w:bookmarkStart w:id="138" w:name="_Toc97293137"/>
      <w:r>
        <w:rPr>
          <w:rFonts w:hint="eastAsia"/>
        </w:rPr>
        <w:t>触变泥浆材料及配比</w:t>
      </w:r>
      <w:bookmarkEnd w:id="136"/>
      <w:bookmarkEnd w:id="137"/>
      <w:bookmarkEnd w:id="138"/>
    </w:p>
    <w:p w14:paraId="5CDB07CA">
      <w:pPr>
        <w:pStyle w:val="167"/>
        <w:rPr>
          <w:szCs w:val="21"/>
        </w:rPr>
      </w:pPr>
      <w:r>
        <w:rPr>
          <w:rFonts w:hint="eastAsia"/>
        </w:rPr>
        <w:t>注浆材料的强度、流动性、可填充性、凝结时间、收缩率和环保等满足施工要求。</w:t>
      </w:r>
    </w:p>
    <w:p w14:paraId="7C765F4A">
      <w:pPr>
        <w:pStyle w:val="167"/>
        <w:rPr>
          <w:szCs w:val="21"/>
        </w:rPr>
      </w:pPr>
      <w:r>
        <w:rPr>
          <w:szCs w:val="21"/>
        </w:rPr>
        <w:t>根据注浆要求，应通过</w:t>
      </w:r>
      <w:r>
        <w:rPr>
          <w:rFonts w:hint="eastAsia"/>
          <w:szCs w:val="21"/>
        </w:rPr>
        <w:t>试验</w:t>
      </w:r>
      <w:r>
        <w:rPr>
          <w:szCs w:val="21"/>
        </w:rPr>
        <w:t>确定注浆材料和配比；可按现场地质条件，工程环境等因素选用单液或双液注浆。泥浆应充分搅拌水化，泥浆搅拌完成宜放置24h后再行使用。</w:t>
      </w:r>
    </w:p>
    <w:p w14:paraId="6191CCA8">
      <w:pPr>
        <w:pStyle w:val="107"/>
        <w:spacing w:before="156" w:after="156"/>
      </w:pPr>
      <w:bookmarkStart w:id="139" w:name="_Toc100145180"/>
      <w:bookmarkStart w:id="140" w:name="_Toc100142440"/>
      <w:bookmarkStart w:id="141" w:name="_Toc97293138"/>
      <w:r>
        <w:rPr>
          <w:rFonts w:hint="eastAsia"/>
        </w:rPr>
        <w:t>浆液置换</w:t>
      </w:r>
      <w:bookmarkEnd w:id="139"/>
      <w:bookmarkEnd w:id="140"/>
      <w:bookmarkEnd w:id="141"/>
    </w:p>
    <w:p w14:paraId="30201D8D">
      <w:pPr>
        <w:pStyle w:val="167"/>
      </w:pPr>
      <w:r>
        <w:t>合理制定浆液置换的工艺，并根据注浆效果和沉降监测调整注浆参数。</w:t>
      </w:r>
    </w:p>
    <w:p w14:paraId="44AC6A6D">
      <w:pPr>
        <w:pStyle w:val="167"/>
      </w:pPr>
      <w:r>
        <w:t>置换</w:t>
      </w:r>
      <w:r>
        <w:rPr>
          <w:rFonts w:hint="eastAsia"/>
        </w:rPr>
        <w:t>浆液宜</w:t>
      </w:r>
      <w:r>
        <w:t>采用水泥浆，水泥浆比重应根据现场试验确定</w:t>
      </w:r>
      <w:r>
        <w:rPr>
          <w:rFonts w:hint="eastAsia"/>
        </w:rPr>
        <w:t>。</w:t>
      </w:r>
    </w:p>
    <w:p w14:paraId="488AE37E">
      <w:pPr>
        <w:pStyle w:val="167"/>
      </w:pPr>
      <w:r>
        <w:rPr>
          <w:rFonts w:hint="eastAsia"/>
        </w:rPr>
        <w:t>注浆设备</w:t>
      </w:r>
      <w:r>
        <w:t>宜配备</w:t>
      </w:r>
      <w:r>
        <w:rPr>
          <w:rFonts w:hint="eastAsia"/>
        </w:rPr>
        <w:t>可自动记录</w:t>
      </w:r>
      <w:r>
        <w:t>注浆量、注浆压力和注浆时间等参数的仪器。</w:t>
      </w:r>
    </w:p>
    <w:p w14:paraId="31C82BAD">
      <w:pPr>
        <w:pStyle w:val="167"/>
      </w:pPr>
      <w:r>
        <w:t>置换注浆应连续进行，作业后及时清洗注浆设备和管路。</w:t>
      </w:r>
    </w:p>
    <w:p w14:paraId="078F34BC">
      <w:pPr>
        <w:pStyle w:val="167"/>
      </w:pPr>
      <w:r>
        <w:rPr>
          <w:rFonts w:hint="eastAsia"/>
        </w:rPr>
        <w:t>置换注浆完成后，确认水泥浆凝固不漏水，拆除泥浆支管，封堵支管洞口。</w:t>
      </w:r>
    </w:p>
    <w:p w14:paraId="1DD4F595">
      <w:pPr>
        <w:pStyle w:val="107"/>
        <w:spacing w:before="156" w:after="156"/>
      </w:pPr>
      <w:bookmarkStart w:id="142" w:name="_Toc100142441"/>
      <w:bookmarkStart w:id="143" w:name="_Toc97293139"/>
      <w:bookmarkStart w:id="144" w:name="_Toc100145181"/>
      <w:r>
        <w:rPr>
          <w:rFonts w:hint="eastAsia"/>
        </w:rPr>
        <w:t>注浆质量控制</w:t>
      </w:r>
      <w:bookmarkEnd w:id="142"/>
      <w:bookmarkEnd w:id="143"/>
      <w:bookmarkEnd w:id="144"/>
    </w:p>
    <w:p w14:paraId="3B3E8F8E">
      <w:pPr>
        <w:pStyle w:val="167"/>
      </w:pPr>
      <w:r>
        <w:t>顶进时注浆要及时，确保形成完整的泥浆套，</w:t>
      </w:r>
      <w:r>
        <w:rPr>
          <w:rFonts w:hint="eastAsia"/>
        </w:rPr>
        <w:t>应</w:t>
      </w:r>
      <w:r>
        <w:t>遵循“先压后顶、</w:t>
      </w:r>
      <w:r>
        <w:rPr>
          <w:rFonts w:hint="eastAsia"/>
        </w:rPr>
        <w:t>边</w:t>
      </w:r>
      <w:r>
        <w:t>压边顶、及时补浆”的原则。</w:t>
      </w:r>
    </w:p>
    <w:p w14:paraId="7E5543C7">
      <w:pPr>
        <w:pStyle w:val="167"/>
      </w:pPr>
      <w:r>
        <w:t>根据施工程序，严把配料、注浆压力、注浆量关，每一道工序</w:t>
      </w:r>
      <w:r>
        <w:rPr>
          <w:rFonts w:hint="eastAsia"/>
        </w:rPr>
        <w:t>应</w:t>
      </w:r>
      <w:r>
        <w:t>安排专人负责，并记录每一道工序的原始数据。</w:t>
      </w:r>
    </w:p>
    <w:p w14:paraId="454DE8AD">
      <w:pPr>
        <w:pStyle w:val="167"/>
      </w:pPr>
      <w:r>
        <w:t>每次注浆前，</w:t>
      </w:r>
      <w:r>
        <w:rPr>
          <w:rFonts w:hint="eastAsia"/>
        </w:rPr>
        <w:t>应</w:t>
      </w:r>
      <w:r>
        <w:t>认真检查安全阀、压力表的灵敏度。</w:t>
      </w:r>
    </w:p>
    <w:p w14:paraId="063F9955">
      <w:pPr>
        <w:pStyle w:val="167"/>
      </w:pPr>
      <w:r>
        <w:t>安装</w:t>
      </w:r>
      <w:r>
        <w:rPr>
          <w:rFonts w:hint="eastAsia"/>
        </w:rPr>
        <w:t>注浆管路和配套部件时</w:t>
      </w:r>
      <w:r>
        <w:t>，</w:t>
      </w:r>
      <w:r>
        <w:rPr>
          <w:rFonts w:hint="eastAsia"/>
        </w:rPr>
        <w:t>应检查</w:t>
      </w:r>
      <w:r>
        <w:t>各丝扣的联接</w:t>
      </w:r>
      <w:r>
        <w:rPr>
          <w:rFonts w:hint="eastAsia"/>
        </w:rPr>
        <w:t>，</w:t>
      </w:r>
      <w:r>
        <w:t>确保联接拧紧。</w:t>
      </w:r>
    </w:p>
    <w:p w14:paraId="7FF69589">
      <w:pPr>
        <w:pStyle w:val="167"/>
      </w:pPr>
      <w:r>
        <w:t>注浆时不得随意停水停电。</w:t>
      </w:r>
    </w:p>
    <w:p w14:paraId="3F582140">
      <w:pPr>
        <w:pStyle w:val="167"/>
        <w:rPr>
          <w:rFonts w:ascii="Times New Roman"/>
        </w:rPr>
      </w:pPr>
      <w:r>
        <w:t>注浆施工期间，</w:t>
      </w:r>
      <w:r>
        <w:rPr>
          <w:rFonts w:hint="eastAsia"/>
        </w:rPr>
        <w:t>应</w:t>
      </w:r>
      <w:r>
        <w:t>有专门机电修理工，</w:t>
      </w:r>
      <w:r>
        <w:rPr>
          <w:rFonts w:hint="eastAsia"/>
        </w:rPr>
        <w:t>确保机械和电器出现故障时能及时处理</w:t>
      </w:r>
    </w:p>
    <w:p w14:paraId="7EE7A6BB">
      <w:pPr>
        <w:pStyle w:val="106"/>
        <w:spacing w:before="312" w:after="312"/>
      </w:pPr>
      <w:bookmarkStart w:id="145" w:name="_Toc100145182"/>
      <w:bookmarkStart w:id="146" w:name="_Toc100142442"/>
      <w:r>
        <w:rPr>
          <w:rFonts w:hint="eastAsia"/>
        </w:rPr>
        <w:t>管节防水</w:t>
      </w:r>
      <w:bookmarkEnd w:id="145"/>
      <w:bookmarkEnd w:id="146"/>
    </w:p>
    <w:p w14:paraId="1FECAA6B">
      <w:pPr>
        <w:pStyle w:val="107"/>
        <w:spacing w:before="156" w:after="156"/>
      </w:pPr>
      <w:bookmarkStart w:id="147" w:name="_Toc97293141"/>
      <w:bookmarkStart w:id="148" w:name="_Toc100145183"/>
      <w:bookmarkStart w:id="149" w:name="_Toc100142443"/>
      <w:r>
        <w:rPr>
          <w:rFonts w:hint="eastAsia"/>
        </w:rPr>
        <w:t>一般规定</w:t>
      </w:r>
      <w:bookmarkEnd w:id="147"/>
      <w:bookmarkEnd w:id="148"/>
      <w:bookmarkEnd w:id="149"/>
    </w:p>
    <w:p w14:paraId="16319707">
      <w:pPr>
        <w:pStyle w:val="167"/>
      </w:pPr>
      <w:r>
        <w:rPr>
          <w:rFonts w:hint="eastAsia"/>
        </w:rPr>
        <w:t>本章节适用于矩形钢筋混凝土管节承插口接口防水工程。</w:t>
      </w:r>
    </w:p>
    <w:p w14:paraId="164E731F">
      <w:pPr>
        <w:pStyle w:val="167"/>
      </w:pPr>
      <w:r>
        <w:rPr>
          <w:rFonts w:hint="eastAsia"/>
        </w:rPr>
        <w:t>预制管节所用混凝土等材料的强度等级、防渗等级应满足规范及设计要求。</w:t>
      </w:r>
    </w:p>
    <w:p w14:paraId="3349B128">
      <w:pPr>
        <w:pStyle w:val="167"/>
      </w:pPr>
      <w:r>
        <w:rPr>
          <w:rFonts w:hint="eastAsia"/>
        </w:rPr>
        <w:t>管节外观无蜂窝、麻面，表面平整。</w:t>
      </w:r>
    </w:p>
    <w:p w14:paraId="46EDAF67">
      <w:pPr>
        <w:pStyle w:val="167"/>
      </w:pPr>
      <w:r>
        <w:rPr>
          <w:rFonts w:hint="eastAsia"/>
        </w:rPr>
        <w:t>管节钢承口焊接接缝应平整饱满。</w:t>
      </w:r>
    </w:p>
    <w:p w14:paraId="1F7202F3">
      <w:pPr>
        <w:pStyle w:val="167"/>
      </w:pPr>
      <w:r>
        <w:rPr>
          <w:rFonts w:hint="eastAsia"/>
        </w:rPr>
        <w:t>管节接头使用的密封橡胶止水圈规格、型号应满足规范及设计要求。</w:t>
      </w:r>
    </w:p>
    <w:p w14:paraId="141943C9">
      <w:pPr>
        <w:pStyle w:val="167"/>
      </w:pPr>
      <w:r>
        <w:rPr>
          <w:rFonts w:hint="eastAsia"/>
        </w:rPr>
        <w:t>管节接头使用的木垫圈应采用有弹性的木板或胶合板。</w:t>
      </w:r>
    </w:p>
    <w:p w14:paraId="70D42B93">
      <w:pPr>
        <w:pStyle w:val="107"/>
        <w:spacing w:before="156" w:after="156"/>
      </w:pPr>
      <w:bookmarkStart w:id="150" w:name="_Toc97293142"/>
      <w:bookmarkStart w:id="151" w:name="_Toc100142444"/>
      <w:bookmarkStart w:id="152" w:name="_Toc100145184"/>
      <w:r>
        <w:rPr>
          <w:rFonts w:hint="eastAsia"/>
        </w:rPr>
        <w:t>管节接口防水要求</w:t>
      </w:r>
      <w:bookmarkEnd w:id="150"/>
      <w:bookmarkEnd w:id="151"/>
      <w:bookmarkEnd w:id="152"/>
    </w:p>
    <w:p w14:paraId="189BDF65">
      <w:pPr>
        <w:pStyle w:val="167"/>
      </w:pPr>
      <w:r>
        <w:rPr>
          <w:rFonts w:hint="eastAsia"/>
        </w:rPr>
        <w:t>管材钢承口坡口要满足接管要求。</w:t>
      </w:r>
    </w:p>
    <w:p w14:paraId="4F02B189">
      <w:pPr>
        <w:pStyle w:val="167"/>
      </w:pPr>
      <w:r>
        <w:rPr>
          <w:rFonts w:hint="eastAsia"/>
        </w:rPr>
        <w:t>钢套环的焊接应平整，表面应进行防腐处理。</w:t>
      </w:r>
    </w:p>
    <w:p w14:paraId="4AE1E0F5">
      <w:pPr>
        <w:pStyle w:val="167"/>
      </w:pPr>
      <w:r>
        <w:rPr>
          <w:rFonts w:hint="eastAsia"/>
        </w:rPr>
        <w:t>管节接口处应表面平整，无蜂窝、麻面、气孔、裂缝，缺棱掉角等现象，接口尺寸满足设计及规范要求。</w:t>
      </w:r>
    </w:p>
    <w:p w14:paraId="257DEA64">
      <w:pPr>
        <w:pStyle w:val="167"/>
      </w:pPr>
      <w:r>
        <w:rPr>
          <w:rFonts w:hint="eastAsia"/>
        </w:rPr>
        <w:t>橡胶圈应采用天然橡胶制作，严禁使用再生胶产品。</w:t>
      </w:r>
    </w:p>
    <w:p w14:paraId="60A25973">
      <w:pPr>
        <w:pStyle w:val="167"/>
      </w:pPr>
      <w:r>
        <w:rPr>
          <w:rFonts w:hint="eastAsia"/>
        </w:rPr>
        <w:t>橡胶圈外形尺寸应符合设计要求，外观致密、均匀，无裂缝、空隙或凹痕等缺陷。</w:t>
      </w:r>
    </w:p>
    <w:p w14:paraId="6FA30622">
      <w:pPr>
        <w:pStyle w:val="167"/>
      </w:pPr>
      <w:r>
        <w:rPr>
          <w:rFonts w:hint="eastAsia"/>
        </w:rPr>
        <w:t>橡胶圈应保持清洁，表面无油污、泥砂等，不得在阳光下曝晒。</w:t>
      </w:r>
    </w:p>
    <w:p w14:paraId="6B6DE319">
      <w:pPr>
        <w:pStyle w:val="167"/>
      </w:pPr>
      <w:r>
        <w:rPr>
          <w:rFonts w:hint="eastAsia"/>
        </w:rPr>
        <w:t>密封橡胶圈材料应符合《橡胶密封件给、排水管及污水管道用接口密封圈》GB</w:t>
      </w:r>
      <w:r>
        <w:t>/</w:t>
      </w:r>
      <w:r>
        <w:rPr>
          <w:rFonts w:hint="eastAsia"/>
        </w:rPr>
        <w:t>T21873规范的要求。</w:t>
      </w:r>
    </w:p>
    <w:p w14:paraId="4C201759">
      <w:pPr>
        <w:pStyle w:val="167"/>
      </w:pPr>
      <w:r>
        <w:rPr>
          <w:rFonts w:hint="eastAsia"/>
        </w:rPr>
        <w:t>富水地段应采用双排密封橡胶圈。</w:t>
      </w:r>
    </w:p>
    <w:p w14:paraId="7647D946">
      <w:pPr>
        <w:pStyle w:val="167"/>
      </w:pPr>
      <w:r>
        <w:rPr>
          <w:rFonts w:hint="eastAsia"/>
        </w:rPr>
        <w:t>遇有含油地下水时，宜选用丁腈橡胶圈；遇有弱酸、弱碱地下水，宜选用氯丁橡胶圈；遇有霉菌侵蚀时，宜选用防霉等级达二级或二级以上的橡胶圈。</w:t>
      </w:r>
    </w:p>
    <w:p w14:paraId="1D9253E5">
      <w:pPr>
        <w:pStyle w:val="167"/>
      </w:pPr>
      <w:r>
        <w:rPr>
          <w:rFonts w:hint="eastAsia"/>
        </w:rPr>
        <w:t>地下水丰富的地段，应在承口内侧底部混凝土管端头处增加一道遇水膨胀止水条。</w:t>
      </w:r>
    </w:p>
    <w:p w14:paraId="15C1B89C">
      <w:pPr>
        <w:pStyle w:val="167"/>
      </w:pPr>
      <w:r>
        <w:rPr>
          <w:rFonts w:hint="eastAsia"/>
        </w:rPr>
        <w:t>管道对接时，橡胶圈表面应使用润滑材料，润滑材料宜使用白油或洗洁精等。为防止密封橡胶圈接口老化，不得使用黄油或机油。</w:t>
      </w:r>
    </w:p>
    <w:p w14:paraId="18C0EB16">
      <w:pPr>
        <w:pStyle w:val="167"/>
      </w:pPr>
      <w:r>
        <w:rPr>
          <w:rFonts w:hint="eastAsia"/>
        </w:rPr>
        <w:t>缓冲木垫圈材质应满足施工要求，选用有弹性的松木、杉木或胶合板。大小、长短、厚度根据管节确定。</w:t>
      </w:r>
    </w:p>
    <w:p w14:paraId="44B3BA0D">
      <w:pPr>
        <w:pStyle w:val="167"/>
      </w:pPr>
      <w:r>
        <w:rPr>
          <w:rFonts w:hint="eastAsia"/>
        </w:rPr>
        <w:t>缓冲木垫圈的压缩模量不应大于140MPa。</w:t>
      </w:r>
    </w:p>
    <w:p w14:paraId="04F22349">
      <w:pPr>
        <w:pStyle w:val="167"/>
        <w:rPr>
          <w:rFonts w:ascii="Times New Roman"/>
        </w:rPr>
      </w:pPr>
      <w:r>
        <w:rPr>
          <w:rFonts w:hint="eastAsia"/>
        </w:rPr>
        <w:t>管道贯通后，应对接口进行密封防水处理</w:t>
      </w:r>
    </w:p>
    <w:p w14:paraId="34F3A35A">
      <w:pPr>
        <w:pStyle w:val="106"/>
        <w:spacing w:before="312" w:after="312"/>
      </w:pPr>
      <w:bookmarkStart w:id="153" w:name="_Toc100145185"/>
      <w:bookmarkStart w:id="154" w:name="_Toc100142445"/>
      <w:r>
        <w:rPr>
          <w:rFonts w:hint="eastAsia"/>
        </w:rPr>
        <w:t>施工测量</w:t>
      </w:r>
      <w:bookmarkEnd w:id="153"/>
      <w:bookmarkEnd w:id="154"/>
    </w:p>
    <w:p w14:paraId="1B2FCBD7">
      <w:pPr>
        <w:pStyle w:val="107"/>
        <w:spacing w:before="156" w:after="156"/>
      </w:pPr>
      <w:bookmarkStart w:id="155" w:name="_Toc97293144"/>
      <w:bookmarkStart w:id="156" w:name="_Toc100142446"/>
      <w:bookmarkStart w:id="157" w:name="_Toc100145186"/>
      <w:r>
        <w:rPr>
          <w:rFonts w:hint="eastAsia"/>
        </w:rPr>
        <w:t>一般规定</w:t>
      </w:r>
      <w:bookmarkEnd w:id="155"/>
      <w:bookmarkEnd w:id="156"/>
      <w:bookmarkEnd w:id="157"/>
    </w:p>
    <w:p w14:paraId="49D51B2D">
      <w:pPr>
        <w:pStyle w:val="167"/>
      </w:pPr>
      <w:r>
        <w:rPr>
          <w:rFonts w:hint="eastAsia"/>
        </w:rPr>
        <w:t>顶进施工测量应采用基于2000国家大地坐标系的湖北省平面坐标和高程系统。</w:t>
      </w:r>
    </w:p>
    <w:p w14:paraId="09AC32C5">
      <w:pPr>
        <w:pStyle w:val="167"/>
      </w:pPr>
      <w:r>
        <w:rPr>
          <w:rFonts w:hint="eastAsia"/>
        </w:rPr>
        <w:t>测量作业的人员资格和仪器应当满足相关规定、设计要求和相关测量技术标准。</w:t>
      </w:r>
    </w:p>
    <w:p w14:paraId="1B026A6E">
      <w:pPr>
        <w:pStyle w:val="167"/>
      </w:pPr>
      <w:r>
        <w:rPr>
          <w:rFonts w:hint="eastAsia"/>
        </w:rPr>
        <w:t>测量作业使用的仪器和工具应根据国家行业有关标准进行校准和检定，作业前应对仪器和工具进行检查，作业中仪器状态应满足作业要求。</w:t>
      </w:r>
    </w:p>
    <w:p w14:paraId="069B5E04">
      <w:pPr>
        <w:pStyle w:val="167"/>
      </w:pPr>
      <w:r>
        <w:rPr>
          <w:rFonts w:hint="eastAsia"/>
        </w:rPr>
        <w:t>施工前应编制施工测量方案，明确测量范围、内容、方法和精度要求。</w:t>
      </w:r>
    </w:p>
    <w:p w14:paraId="0E1AC87A">
      <w:pPr>
        <w:pStyle w:val="167"/>
      </w:pPr>
      <w:r>
        <w:rPr>
          <w:rFonts w:hint="eastAsia"/>
        </w:rPr>
        <w:t>施工前，应对控制测量结果进行复测，施工过程中对已建成的顶进施工测量控制网应适时进行复测。</w:t>
      </w:r>
      <w:bookmarkStart w:id="158" w:name="_Hlk78804740"/>
    </w:p>
    <w:p w14:paraId="53088F45">
      <w:pPr>
        <w:pStyle w:val="107"/>
        <w:spacing w:before="156" w:after="156"/>
      </w:pPr>
      <w:bookmarkStart w:id="159" w:name="_Toc100145187"/>
      <w:bookmarkStart w:id="160" w:name="_Toc100142447"/>
      <w:bookmarkStart w:id="161" w:name="_Toc97293145"/>
      <w:r>
        <w:rPr>
          <w:rFonts w:hint="eastAsia"/>
        </w:rPr>
        <w:t>施工测量</w:t>
      </w:r>
      <w:bookmarkEnd w:id="159"/>
      <w:bookmarkEnd w:id="160"/>
      <w:bookmarkEnd w:id="161"/>
    </w:p>
    <w:p w14:paraId="45D2D0CF">
      <w:pPr>
        <w:pStyle w:val="167"/>
      </w:pPr>
      <w:r>
        <w:t>顶管施工建立</w:t>
      </w:r>
      <w:r>
        <w:rPr>
          <w:rFonts w:hint="eastAsia"/>
        </w:rPr>
        <w:t>的</w:t>
      </w:r>
      <w:r>
        <w:t>地面</w:t>
      </w:r>
      <w:r>
        <w:rPr>
          <w:rFonts w:hint="eastAsia"/>
        </w:rPr>
        <w:t>和</w:t>
      </w:r>
      <w:r>
        <w:t>地下测量控制系统</w:t>
      </w:r>
      <w:r>
        <w:rPr>
          <w:rFonts w:hint="eastAsia"/>
        </w:rPr>
        <w:t>应符合下列规定：</w:t>
      </w:r>
    </w:p>
    <w:p w14:paraId="0DC2662E">
      <w:pPr>
        <w:pStyle w:val="176"/>
        <w:numPr>
          <w:ilvl w:val="0"/>
          <w:numId w:val="44"/>
        </w:numPr>
      </w:pPr>
      <w:r>
        <w:t>控制点应设</w:t>
      </w:r>
      <w:r>
        <w:rPr>
          <w:rFonts w:hint="eastAsia"/>
        </w:rPr>
        <w:t>置</w:t>
      </w:r>
      <w:r>
        <w:t>在不易扰动、视线清楚、方便校核的位置，并应采取保护措施</w:t>
      </w:r>
      <w:r>
        <w:rPr>
          <w:rFonts w:hint="eastAsia"/>
        </w:rPr>
        <w:t>；</w:t>
      </w:r>
    </w:p>
    <w:p w14:paraId="01B30EE7">
      <w:pPr>
        <w:pStyle w:val="176"/>
      </w:pPr>
      <w:r>
        <w:t>测量使用的仪器应检查校正，精度应符合</w:t>
      </w:r>
      <w:r>
        <w:rPr>
          <w:rFonts w:hint="eastAsia"/>
        </w:rPr>
        <w:t>现行国家标准；</w:t>
      </w:r>
    </w:p>
    <w:p w14:paraId="041AB743">
      <w:pPr>
        <w:pStyle w:val="176"/>
      </w:pPr>
      <w:r>
        <w:t>施工中应对掘进方向的</w:t>
      </w:r>
      <w:r>
        <w:rPr>
          <w:rFonts w:hint="eastAsia"/>
        </w:rPr>
        <w:t>高程</w:t>
      </w:r>
      <w:r>
        <w:t>偏差</w:t>
      </w:r>
      <w:r>
        <w:rPr>
          <w:rFonts w:hint="eastAsia"/>
        </w:rPr>
        <w:t>、轴线</w:t>
      </w:r>
      <w:r>
        <w:t>偏差</w:t>
      </w:r>
      <w:r>
        <w:rPr>
          <w:rFonts w:hint="eastAsia"/>
        </w:rPr>
        <w:t>、</w:t>
      </w:r>
      <w:r>
        <w:t>顶管</w:t>
      </w:r>
      <w:r>
        <w:rPr>
          <w:rFonts w:hint="eastAsia"/>
        </w:rPr>
        <w:t>掘</w:t>
      </w:r>
      <w:r>
        <w:t>进的姿态</w:t>
      </w:r>
      <w:r>
        <w:rPr>
          <w:rFonts w:hint="eastAsia"/>
        </w:rPr>
        <w:t>与</w:t>
      </w:r>
      <w:r>
        <w:t>掘进长度</w:t>
      </w:r>
      <w:r>
        <w:rPr>
          <w:rFonts w:hint="eastAsia"/>
        </w:rPr>
        <w:t>等参数</w:t>
      </w:r>
      <w:r>
        <w:t>进行测量</w:t>
      </w:r>
      <w:r>
        <w:rPr>
          <w:rFonts w:hint="eastAsia"/>
        </w:rPr>
        <w:t>。</w:t>
      </w:r>
    </w:p>
    <w:p w14:paraId="3DF5C213">
      <w:pPr>
        <w:pStyle w:val="167"/>
      </w:pPr>
      <w:r>
        <w:t>顶管定向测量应采用激光指向法，必要时应在管内设置测站，采用导线法转站测量</w:t>
      </w:r>
      <w:r>
        <w:rPr>
          <w:rFonts w:hint="eastAsia"/>
        </w:rPr>
        <w:t>。</w:t>
      </w:r>
    </w:p>
    <w:p w14:paraId="441C2C3B">
      <w:pPr>
        <w:pStyle w:val="167"/>
      </w:pPr>
      <w:r>
        <w:t>顶管高程测量</w:t>
      </w:r>
      <w:r>
        <w:rPr>
          <w:rFonts w:hint="eastAsia"/>
        </w:rPr>
        <w:t>精度应符合下列规定</w:t>
      </w:r>
      <w:r>
        <w:t>：</w:t>
      </w:r>
    </w:p>
    <w:p w14:paraId="2B16427B">
      <w:pPr>
        <w:pStyle w:val="176"/>
        <w:numPr>
          <w:ilvl w:val="0"/>
          <w:numId w:val="45"/>
        </w:numPr>
      </w:pPr>
      <w:r>
        <w:t>水准测量，应达到四等水准测量的精度</w:t>
      </w:r>
      <w:r>
        <w:rPr>
          <w:rFonts w:hint="eastAsia"/>
        </w:rPr>
        <w:t>；</w:t>
      </w:r>
    </w:p>
    <w:p w14:paraId="404A080E">
      <w:pPr>
        <w:pStyle w:val="176"/>
      </w:pPr>
      <w:r>
        <w:t>水准仪配合吊钢尺，每次应独立观测三测回，每测回均应变动仪器高度，三测回测得井上和井下水准点的高差应小于3mm</w:t>
      </w:r>
      <w:r>
        <w:rPr>
          <w:rFonts w:hint="eastAsia"/>
        </w:rPr>
        <w:t>；</w:t>
      </w:r>
    </w:p>
    <w:p w14:paraId="0A4E1DF7">
      <w:pPr>
        <w:pStyle w:val="176"/>
      </w:pPr>
      <w:r>
        <w:t>三角高程测量，应达到四等水准测量的精度。</w:t>
      </w:r>
    </w:p>
    <w:p w14:paraId="6E72FB22">
      <w:pPr>
        <w:pStyle w:val="167"/>
      </w:pPr>
      <w:r>
        <w:rPr>
          <w:rFonts w:hint="eastAsia"/>
        </w:rPr>
        <w:t>顶管</w:t>
      </w:r>
      <w:r>
        <w:t>掘进过程中，应遵循“勤测量、勤纠偏、微纠偏”的原则，控制</w:t>
      </w:r>
      <w:r>
        <w:rPr>
          <w:rFonts w:hint="eastAsia"/>
        </w:rPr>
        <w:t>矩形</w:t>
      </w:r>
      <w:r>
        <w:t>顶管机前进方</w:t>
      </w:r>
      <w:r>
        <w:rPr>
          <w:rFonts w:hint="eastAsia"/>
        </w:rPr>
        <w:t>向</w:t>
      </w:r>
      <w:r>
        <w:t>和姿态，并应根据测量结果分析偏差产生的原因和发展趋势，确定纠偏措施。</w:t>
      </w:r>
    </w:p>
    <w:p w14:paraId="1FA01216">
      <w:pPr>
        <w:pStyle w:val="167"/>
      </w:pPr>
      <w:r>
        <w:t>顶管</w:t>
      </w:r>
      <w:r>
        <w:rPr>
          <w:rFonts w:hint="eastAsia"/>
        </w:rPr>
        <w:t>掘进</w:t>
      </w:r>
      <w:r>
        <w:t>姿态控制应符合下列规定：</w:t>
      </w:r>
    </w:p>
    <w:p w14:paraId="02570BC6">
      <w:pPr>
        <w:pStyle w:val="176"/>
        <w:numPr>
          <w:ilvl w:val="0"/>
          <w:numId w:val="46"/>
        </w:numPr>
      </w:pPr>
      <w:r>
        <w:t>掘进施工过程中应对</w:t>
      </w:r>
      <w:r>
        <w:rPr>
          <w:rFonts w:hint="eastAsia"/>
        </w:rPr>
        <w:t>顶管</w:t>
      </w:r>
      <w:r>
        <w:t>水平轴线</w:t>
      </w:r>
      <w:r>
        <w:rPr>
          <w:rFonts w:hint="eastAsia"/>
        </w:rPr>
        <w:t>、</w:t>
      </w:r>
      <w:r>
        <w:t>高程、</w:t>
      </w:r>
      <w:r>
        <w:rPr>
          <w:rFonts w:hint="eastAsia"/>
        </w:rPr>
        <w:t>偏转、</w:t>
      </w:r>
      <w:r>
        <w:t>顶管机姿态等进行测量，并</w:t>
      </w:r>
      <w:r>
        <w:rPr>
          <w:rFonts w:hint="eastAsia"/>
        </w:rPr>
        <w:t>应</w:t>
      </w:r>
      <w:r>
        <w:t>及时对测量控制基准点进行复核，发生偏差时应及时纠正</w:t>
      </w:r>
      <w:r>
        <w:rPr>
          <w:rFonts w:hint="eastAsia"/>
        </w:rPr>
        <w:t>；</w:t>
      </w:r>
    </w:p>
    <w:p w14:paraId="77D5C60C">
      <w:pPr>
        <w:pStyle w:val="176"/>
      </w:pPr>
      <w:r>
        <w:t>掘</w:t>
      </w:r>
      <w:r>
        <w:rPr>
          <w:rFonts w:hint="eastAsia"/>
        </w:rPr>
        <w:t>进</w:t>
      </w:r>
      <w:r>
        <w:t>结束后应全线复测、绘制管道掘进轨迹图（含高程、方向、顶力曲线），并由施工技术人员检查复核</w:t>
      </w:r>
      <w:r>
        <w:rPr>
          <w:rFonts w:hint="eastAsia"/>
        </w:rPr>
        <w:t>；</w:t>
      </w:r>
    </w:p>
    <w:p w14:paraId="728224DF">
      <w:pPr>
        <w:pStyle w:val="176"/>
      </w:pPr>
      <w:r>
        <w:rPr>
          <w:rFonts w:hint="eastAsia"/>
        </w:rPr>
        <w:t>长</w:t>
      </w:r>
      <w:r>
        <w:t>距离</w:t>
      </w:r>
      <w:r>
        <w:rPr>
          <w:rFonts w:hint="eastAsia"/>
        </w:rPr>
        <w:t>矩形</w:t>
      </w:r>
      <w:r>
        <w:t>顶管，宜采用计算机辅助导线法（自动测量导向系统）进行测量；在</w:t>
      </w:r>
      <w:r>
        <w:rPr>
          <w:rFonts w:hint="eastAsia"/>
        </w:rPr>
        <w:t>矩形顶管</w:t>
      </w:r>
      <w:r>
        <w:t>内增设中间测站进行常规人工测量时，宜采用少设测站的长导线法，每次测量</w:t>
      </w:r>
      <w:r>
        <w:rPr>
          <w:rFonts w:hint="eastAsia"/>
        </w:rPr>
        <w:t>前</w:t>
      </w:r>
      <w:r>
        <w:t>均应对中间测站进行复核</w:t>
      </w:r>
      <w:r>
        <w:rPr>
          <w:rFonts w:hint="eastAsia"/>
        </w:rPr>
        <w:t>。</w:t>
      </w:r>
    </w:p>
    <w:p w14:paraId="09D759BE">
      <w:pPr>
        <w:pStyle w:val="167"/>
      </w:pPr>
      <w:r>
        <w:t>进入接收井前应提前进行</w:t>
      </w:r>
      <w:r>
        <w:rPr>
          <w:rFonts w:hint="eastAsia"/>
        </w:rPr>
        <w:t>矩形</w:t>
      </w:r>
      <w:r>
        <w:t>顶管机位置和姿态测量，并</w:t>
      </w:r>
      <w:r>
        <w:rPr>
          <w:rFonts w:hint="eastAsia"/>
        </w:rPr>
        <w:t>应</w:t>
      </w:r>
      <w:r>
        <w:t>根据进口位置提前进行调整。</w:t>
      </w:r>
    </w:p>
    <w:p w14:paraId="1D2A1E63">
      <w:pPr>
        <w:pStyle w:val="167"/>
      </w:pPr>
      <w:r>
        <w:t>顶管施工的测量应符合下列规定：</w:t>
      </w:r>
    </w:p>
    <w:p w14:paraId="61FA6987">
      <w:pPr>
        <w:pStyle w:val="176"/>
        <w:numPr>
          <w:ilvl w:val="0"/>
          <w:numId w:val="47"/>
        </w:numPr>
      </w:pPr>
      <w:r>
        <w:t>掘进施工过程中，每次测量前应对井内的测量控制基准点进行复核，发生工作井位移、沉降、变形时应及时对基准点进行调整</w:t>
      </w:r>
      <w:r>
        <w:rPr>
          <w:rFonts w:hint="eastAsia"/>
        </w:rPr>
        <w:t>；</w:t>
      </w:r>
    </w:p>
    <w:p w14:paraId="63FABF34">
      <w:pPr>
        <w:pStyle w:val="176"/>
      </w:pPr>
      <w:r>
        <w:rPr>
          <w:rFonts w:hint="eastAsia"/>
        </w:rPr>
        <w:t>掘进</w:t>
      </w:r>
      <w:r>
        <w:t>测量控制应符合下列规定：</w:t>
      </w:r>
    </w:p>
    <w:p w14:paraId="7CCD6BC1">
      <w:pPr>
        <w:pStyle w:val="111"/>
      </w:pPr>
      <w:r>
        <w:t>矩形顶管机</w:t>
      </w:r>
      <w:r>
        <w:rPr>
          <w:rFonts w:hint="eastAsia"/>
        </w:rPr>
        <w:t>始发</w:t>
      </w:r>
      <w:r>
        <w:t>前应认真测定顶管机切口的轴线和标高，与洞口数值校核。掘进中原始数据、表格应连续真实填写清楚。</w:t>
      </w:r>
    </w:p>
    <w:p w14:paraId="7461D648">
      <w:pPr>
        <w:pStyle w:val="111"/>
      </w:pPr>
      <w:r>
        <w:t>交接班时应交清测量记录，将仪器对中，并交清管道轨迹和纠偏措施。</w:t>
      </w:r>
    </w:p>
    <w:p w14:paraId="0B8C8831">
      <w:pPr>
        <w:pStyle w:val="111"/>
      </w:pPr>
      <w:r>
        <w:t>在</w:t>
      </w:r>
      <w:r>
        <w:rPr>
          <w:rFonts w:hint="eastAsia"/>
        </w:rPr>
        <w:t>穿越</w:t>
      </w:r>
      <w:r>
        <w:t>道路时，应按建设单位的要求在指定地段进行施工监测</w:t>
      </w:r>
      <w:r>
        <w:rPr>
          <w:rFonts w:hint="eastAsia"/>
        </w:rPr>
        <w:t>点的</w:t>
      </w:r>
      <w:r>
        <w:t>布置，观测掘进过程中地表变形和土体位移情况，以便采取预防措施，避免影响道路正常运行。掘进结束后应绘制施工过程和竣工后的地面变形图。</w:t>
      </w:r>
    </w:p>
    <w:p w14:paraId="76273C62">
      <w:pPr>
        <w:pStyle w:val="176"/>
      </w:pPr>
      <w:r>
        <w:rPr>
          <w:rFonts w:hint="eastAsia"/>
        </w:rPr>
        <w:t>顶管</w:t>
      </w:r>
      <w:r>
        <w:t>水平轴线和高程测量应符合下列规定：</w:t>
      </w:r>
    </w:p>
    <w:p w14:paraId="6E0F8D37">
      <w:pPr>
        <w:pStyle w:val="111"/>
      </w:pPr>
      <w:r>
        <w:t>顶管机</w:t>
      </w:r>
      <w:r>
        <w:rPr>
          <w:rFonts w:hint="eastAsia"/>
        </w:rPr>
        <w:t>始发</w:t>
      </w:r>
      <w:r>
        <w:t>出洞后进入土层时</w:t>
      </w:r>
      <w:r>
        <w:rPr>
          <w:rFonts w:hint="eastAsia"/>
        </w:rPr>
        <w:t>，</w:t>
      </w:r>
      <w:r>
        <w:t>每掘进</w:t>
      </w:r>
      <w:r>
        <w:rPr>
          <w:rFonts w:hint="eastAsia"/>
        </w:rPr>
        <w:t>300mm，测量不应少于1次；正常掘进时，每掘进1000mm，测量不应少于1次。</w:t>
      </w:r>
    </w:p>
    <w:p w14:paraId="0DABFEA5">
      <w:pPr>
        <w:pStyle w:val="111"/>
      </w:pPr>
      <w:r>
        <w:rPr>
          <w:rFonts w:hint="eastAsia"/>
        </w:rPr>
        <w:t>顶管</w:t>
      </w:r>
      <w:r>
        <w:t>机进入接收井前</w:t>
      </w:r>
      <w:r>
        <w:rPr>
          <w:rFonts w:hint="eastAsia"/>
        </w:rPr>
        <w:t>30m应增加测量，每掘进300mm，测量不应少于1次</w:t>
      </w:r>
      <w:r>
        <w:t>。</w:t>
      </w:r>
    </w:p>
    <w:p w14:paraId="4B915E33">
      <w:pPr>
        <w:pStyle w:val="111"/>
      </w:pPr>
      <w:r>
        <w:rPr>
          <w:rFonts w:hint="eastAsia"/>
        </w:rPr>
        <w:t>每节</w:t>
      </w:r>
      <w:r>
        <w:t>管道掘进结束后</w:t>
      </w:r>
      <w:r>
        <w:rPr>
          <w:rFonts w:hint="eastAsia"/>
        </w:rPr>
        <w:t>，</w:t>
      </w:r>
      <w:r>
        <w:t>应进行复测。</w:t>
      </w:r>
    </w:p>
    <w:p w14:paraId="06EC8F1A">
      <w:pPr>
        <w:pStyle w:val="111"/>
      </w:pPr>
      <w:r>
        <w:rPr>
          <w:rFonts w:hint="eastAsia"/>
        </w:rPr>
        <w:t>纠偏量</w:t>
      </w:r>
      <w:r>
        <w:t>较大或频繁纠偏时应增加测量次数。</w:t>
      </w:r>
    </w:p>
    <w:bookmarkEnd w:id="158"/>
    <w:p w14:paraId="571FAD57">
      <w:pPr>
        <w:pStyle w:val="106"/>
        <w:spacing w:before="312" w:after="312"/>
      </w:pPr>
      <w:bookmarkStart w:id="162" w:name="_Toc100145188"/>
      <w:bookmarkStart w:id="163" w:name="_Toc100142448"/>
      <w:r>
        <w:rPr>
          <w:rFonts w:hint="eastAsia"/>
        </w:rPr>
        <w:t>工程监测</w:t>
      </w:r>
      <w:bookmarkEnd w:id="162"/>
      <w:bookmarkEnd w:id="163"/>
    </w:p>
    <w:p w14:paraId="677AD1CE">
      <w:pPr>
        <w:pStyle w:val="107"/>
        <w:spacing w:before="156" w:after="156"/>
      </w:pPr>
      <w:bookmarkStart w:id="164" w:name="_Toc97293147"/>
      <w:bookmarkStart w:id="165" w:name="_Toc100145189"/>
      <w:bookmarkStart w:id="166" w:name="_Toc100142449"/>
      <w:r>
        <w:rPr>
          <w:rFonts w:hint="eastAsia"/>
        </w:rPr>
        <w:t>一般规定</w:t>
      </w:r>
      <w:bookmarkEnd w:id="164"/>
      <w:bookmarkEnd w:id="165"/>
      <w:bookmarkEnd w:id="166"/>
    </w:p>
    <w:p w14:paraId="4FCD196A">
      <w:pPr>
        <w:pStyle w:val="167"/>
      </w:pPr>
      <w:r>
        <w:rPr>
          <w:rFonts w:hint="eastAsia"/>
        </w:rPr>
        <w:t>顶管工程施工应根据设计要求和建设工程及工程环境特点，对工程结构自身及其周边环境进行变形监测。</w:t>
      </w:r>
    </w:p>
    <w:p w14:paraId="5125E705">
      <w:pPr>
        <w:pStyle w:val="167"/>
      </w:pPr>
      <w:r>
        <w:rPr>
          <w:rFonts w:hint="eastAsia"/>
        </w:rPr>
        <w:t>对每个单体建筑和监测对象进行不同周期变形监测时，应在基本相同的环境下采用相同的观测线路和观测方法，使用相同的经校准的仪器和设备，并应固定观测人员。</w:t>
      </w:r>
    </w:p>
    <w:p w14:paraId="6D53B1D5">
      <w:pPr>
        <w:pStyle w:val="167"/>
      </w:pPr>
      <w:r>
        <w:rPr>
          <w:rFonts w:hint="eastAsia"/>
        </w:rPr>
        <w:t>变形监测可采用几何测量、物理传感器测量方法。</w:t>
      </w:r>
    </w:p>
    <w:p w14:paraId="1DCEEB5D">
      <w:pPr>
        <w:pStyle w:val="167"/>
      </w:pPr>
      <w:r>
        <w:rPr>
          <w:rFonts w:hint="eastAsia"/>
        </w:rPr>
        <w:t>变形监测网应分为平面监测网和高程监测网，并分别由基准点、工作基点和变形监测点组成。</w:t>
      </w:r>
    </w:p>
    <w:p w14:paraId="14D5C79C">
      <w:pPr>
        <w:pStyle w:val="167"/>
      </w:pPr>
      <w:r>
        <w:rPr>
          <w:rFonts w:hint="eastAsia"/>
        </w:rPr>
        <w:t>变形测量应以中误差作为衡量精度的指标，并以二倍中误差作为极限误差。</w:t>
      </w:r>
    </w:p>
    <w:p w14:paraId="45FE44DE">
      <w:pPr>
        <w:pStyle w:val="167"/>
      </w:pPr>
      <w:r>
        <w:rPr>
          <w:rFonts w:hint="eastAsia"/>
        </w:rPr>
        <w:t>变形监测的等级划分、精度要求和主要使用范围应符合表2的要求。</w:t>
      </w:r>
    </w:p>
    <w:p w14:paraId="3966D5A7">
      <w:pPr>
        <w:pStyle w:val="114"/>
        <w:spacing w:before="156" w:after="156"/>
      </w:pPr>
      <w:r>
        <w:rPr>
          <w:rFonts w:hint="eastAsia"/>
        </w:rPr>
        <w:t>变形监测的等级划分、精度要求和使用范围</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00"/>
        <w:gridCol w:w="1485"/>
        <w:gridCol w:w="1695"/>
        <w:gridCol w:w="3360"/>
      </w:tblGrid>
      <w:tr w14:paraId="5951D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14:paraId="3C0ED168">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变形监测等级</w:t>
            </w:r>
          </w:p>
        </w:tc>
        <w:tc>
          <w:tcPr>
            <w:tcW w:w="2985" w:type="dxa"/>
            <w:gridSpan w:val="2"/>
            <w:vAlign w:val="center"/>
          </w:tcPr>
          <w:p w14:paraId="2E53B111">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垂直位移监测</w:t>
            </w:r>
          </w:p>
        </w:tc>
        <w:tc>
          <w:tcPr>
            <w:tcW w:w="1695" w:type="dxa"/>
            <w:vAlign w:val="center"/>
          </w:tcPr>
          <w:p w14:paraId="6689C0A4">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水平位移监测</w:t>
            </w:r>
          </w:p>
        </w:tc>
        <w:tc>
          <w:tcPr>
            <w:tcW w:w="3360" w:type="dxa"/>
            <w:vMerge w:val="restart"/>
            <w:vAlign w:val="center"/>
          </w:tcPr>
          <w:p w14:paraId="4ED21F32">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主要使用范围</w:t>
            </w:r>
          </w:p>
        </w:tc>
      </w:tr>
      <w:tr w14:paraId="63D61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14:paraId="4FC71E69">
            <w:pPr>
              <w:snapToGrid w:val="0"/>
              <w:spacing w:line="240" w:lineRule="auto"/>
              <w:jc w:val="center"/>
              <w:rPr>
                <w:rFonts w:hint="eastAsia" w:ascii="宋体" w:hAnsi="宋体" w:cs="仿宋_GB2312"/>
                <w:kern w:val="0"/>
                <w:sz w:val="18"/>
                <w:szCs w:val="18"/>
              </w:rPr>
            </w:pPr>
          </w:p>
        </w:tc>
        <w:tc>
          <w:tcPr>
            <w:tcW w:w="1500" w:type="dxa"/>
            <w:vAlign w:val="center"/>
          </w:tcPr>
          <w:p w14:paraId="5BD051FC">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变形监测点的高程中误差（mm）</w:t>
            </w:r>
          </w:p>
        </w:tc>
        <w:tc>
          <w:tcPr>
            <w:tcW w:w="1485" w:type="dxa"/>
            <w:vAlign w:val="center"/>
          </w:tcPr>
          <w:p w14:paraId="5CD5015C">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相邻变形监测点高差中误差（mm）</w:t>
            </w:r>
          </w:p>
        </w:tc>
        <w:tc>
          <w:tcPr>
            <w:tcW w:w="1695" w:type="dxa"/>
            <w:vAlign w:val="center"/>
          </w:tcPr>
          <w:p w14:paraId="050BE412">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变形监测点的点位中误差（mm）</w:t>
            </w:r>
          </w:p>
        </w:tc>
        <w:tc>
          <w:tcPr>
            <w:tcW w:w="3360" w:type="dxa"/>
            <w:vMerge w:val="continue"/>
            <w:vAlign w:val="center"/>
          </w:tcPr>
          <w:p w14:paraId="5984CF70">
            <w:pPr>
              <w:snapToGrid w:val="0"/>
              <w:spacing w:line="240" w:lineRule="auto"/>
              <w:jc w:val="center"/>
              <w:rPr>
                <w:rFonts w:hint="eastAsia" w:ascii="宋体" w:hAnsi="宋体" w:cs="仿宋_GB2312"/>
                <w:kern w:val="0"/>
                <w:sz w:val="18"/>
                <w:szCs w:val="18"/>
              </w:rPr>
            </w:pPr>
          </w:p>
        </w:tc>
      </w:tr>
      <w:tr w14:paraId="6AA81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0C46169D">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Ⅰ</w:t>
            </w:r>
          </w:p>
        </w:tc>
        <w:tc>
          <w:tcPr>
            <w:tcW w:w="1500" w:type="dxa"/>
            <w:vAlign w:val="center"/>
          </w:tcPr>
          <w:p w14:paraId="2D4FCFD9">
            <w:pPr>
              <w:snapToGrid w:val="0"/>
              <w:spacing w:line="240" w:lineRule="auto"/>
              <w:jc w:val="center"/>
              <w:rPr>
                <w:rFonts w:hint="eastAsia" w:ascii="宋体" w:hAnsi="宋体"/>
                <w:kern w:val="0"/>
                <w:sz w:val="18"/>
                <w:szCs w:val="18"/>
              </w:rPr>
            </w:pPr>
            <w:r>
              <w:rPr>
                <w:rFonts w:ascii="宋体" w:hAnsi="宋体"/>
                <w:kern w:val="0"/>
                <w:sz w:val="18"/>
                <w:szCs w:val="18"/>
              </w:rPr>
              <w:t>±0.3</w:t>
            </w:r>
          </w:p>
        </w:tc>
        <w:tc>
          <w:tcPr>
            <w:tcW w:w="1485" w:type="dxa"/>
            <w:vAlign w:val="center"/>
          </w:tcPr>
          <w:p w14:paraId="32EC84FD">
            <w:pPr>
              <w:snapToGrid w:val="0"/>
              <w:spacing w:line="240" w:lineRule="auto"/>
              <w:jc w:val="center"/>
              <w:rPr>
                <w:rFonts w:hint="eastAsia" w:ascii="宋体" w:hAnsi="宋体"/>
                <w:kern w:val="0"/>
                <w:sz w:val="18"/>
                <w:szCs w:val="18"/>
              </w:rPr>
            </w:pPr>
            <w:r>
              <w:rPr>
                <w:rFonts w:ascii="宋体" w:hAnsi="宋体"/>
                <w:kern w:val="0"/>
                <w:sz w:val="18"/>
                <w:szCs w:val="18"/>
              </w:rPr>
              <w:t>±0.1</w:t>
            </w:r>
          </w:p>
        </w:tc>
        <w:tc>
          <w:tcPr>
            <w:tcW w:w="1695" w:type="dxa"/>
            <w:vAlign w:val="center"/>
          </w:tcPr>
          <w:p w14:paraId="1A06A9C7">
            <w:pPr>
              <w:snapToGrid w:val="0"/>
              <w:spacing w:line="240" w:lineRule="auto"/>
              <w:jc w:val="center"/>
              <w:rPr>
                <w:rFonts w:hint="eastAsia" w:ascii="宋体" w:hAnsi="宋体"/>
                <w:kern w:val="0"/>
                <w:sz w:val="18"/>
                <w:szCs w:val="18"/>
              </w:rPr>
            </w:pPr>
            <w:r>
              <w:rPr>
                <w:rFonts w:ascii="宋体" w:hAnsi="宋体"/>
                <w:kern w:val="0"/>
                <w:sz w:val="18"/>
                <w:szCs w:val="18"/>
              </w:rPr>
              <w:t>±1.5</w:t>
            </w:r>
          </w:p>
        </w:tc>
        <w:tc>
          <w:tcPr>
            <w:tcW w:w="3360" w:type="dxa"/>
            <w:vAlign w:val="center"/>
          </w:tcPr>
          <w:p w14:paraId="482E61EB">
            <w:pPr>
              <w:snapToGrid w:val="0"/>
              <w:spacing w:line="240" w:lineRule="auto"/>
              <w:rPr>
                <w:rFonts w:hint="eastAsia" w:ascii="宋体" w:hAnsi="宋体" w:cs="仿宋_GB2312"/>
                <w:kern w:val="0"/>
                <w:sz w:val="18"/>
                <w:szCs w:val="18"/>
              </w:rPr>
            </w:pPr>
            <w:r>
              <w:rPr>
                <w:rFonts w:hint="eastAsia" w:ascii="宋体" w:hAnsi="宋体" w:cs="仿宋_GB2312"/>
                <w:kern w:val="0"/>
                <w:sz w:val="18"/>
                <w:szCs w:val="18"/>
              </w:rPr>
              <w:t>精度要求较高，复杂地质条件的公共交通、市政运营结构；对变形特别敏感的超高层建筑、精密工程设施、古建筑等监测对象</w:t>
            </w:r>
          </w:p>
        </w:tc>
      </w:tr>
      <w:tr w14:paraId="052F3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7F2D1458">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Ⅱ</w:t>
            </w:r>
          </w:p>
        </w:tc>
        <w:tc>
          <w:tcPr>
            <w:tcW w:w="1500" w:type="dxa"/>
            <w:vAlign w:val="center"/>
          </w:tcPr>
          <w:p w14:paraId="29BB980B">
            <w:pPr>
              <w:snapToGrid w:val="0"/>
              <w:spacing w:line="240" w:lineRule="auto"/>
              <w:jc w:val="center"/>
              <w:rPr>
                <w:rFonts w:hint="eastAsia" w:ascii="宋体" w:hAnsi="宋体"/>
                <w:kern w:val="0"/>
                <w:sz w:val="18"/>
                <w:szCs w:val="18"/>
              </w:rPr>
            </w:pPr>
            <w:r>
              <w:rPr>
                <w:rFonts w:ascii="宋体" w:hAnsi="宋体"/>
                <w:kern w:val="0"/>
                <w:sz w:val="18"/>
                <w:szCs w:val="18"/>
              </w:rPr>
              <w:t>±0.5</w:t>
            </w:r>
          </w:p>
        </w:tc>
        <w:tc>
          <w:tcPr>
            <w:tcW w:w="1485" w:type="dxa"/>
            <w:vAlign w:val="center"/>
          </w:tcPr>
          <w:p w14:paraId="332FC9A9">
            <w:pPr>
              <w:snapToGrid w:val="0"/>
              <w:spacing w:line="240" w:lineRule="auto"/>
              <w:jc w:val="center"/>
              <w:rPr>
                <w:rFonts w:hint="eastAsia" w:ascii="宋体" w:hAnsi="宋体"/>
                <w:kern w:val="0"/>
                <w:sz w:val="18"/>
                <w:szCs w:val="18"/>
              </w:rPr>
            </w:pPr>
            <w:r>
              <w:rPr>
                <w:rFonts w:ascii="宋体" w:hAnsi="宋体"/>
                <w:kern w:val="0"/>
                <w:sz w:val="18"/>
                <w:szCs w:val="18"/>
              </w:rPr>
              <w:t>±0.3</w:t>
            </w:r>
          </w:p>
        </w:tc>
        <w:tc>
          <w:tcPr>
            <w:tcW w:w="1695" w:type="dxa"/>
            <w:vAlign w:val="center"/>
          </w:tcPr>
          <w:p w14:paraId="008F006E">
            <w:pPr>
              <w:snapToGrid w:val="0"/>
              <w:spacing w:line="240" w:lineRule="auto"/>
              <w:jc w:val="center"/>
              <w:rPr>
                <w:rFonts w:hint="eastAsia" w:ascii="宋体" w:hAnsi="宋体"/>
                <w:kern w:val="0"/>
                <w:sz w:val="18"/>
                <w:szCs w:val="18"/>
              </w:rPr>
            </w:pPr>
            <w:r>
              <w:rPr>
                <w:rFonts w:ascii="宋体" w:hAnsi="宋体"/>
                <w:kern w:val="0"/>
                <w:sz w:val="18"/>
                <w:szCs w:val="18"/>
              </w:rPr>
              <w:t>±3.0</w:t>
            </w:r>
          </w:p>
        </w:tc>
        <w:tc>
          <w:tcPr>
            <w:tcW w:w="3360" w:type="dxa"/>
            <w:vAlign w:val="center"/>
          </w:tcPr>
          <w:p w14:paraId="436EF33F">
            <w:pPr>
              <w:snapToGrid w:val="0"/>
              <w:spacing w:line="240" w:lineRule="auto"/>
              <w:rPr>
                <w:rFonts w:hint="eastAsia" w:ascii="宋体" w:hAnsi="宋体" w:cs="仿宋_GB2312"/>
                <w:kern w:val="0"/>
                <w:sz w:val="18"/>
                <w:szCs w:val="18"/>
              </w:rPr>
            </w:pPr>
            <w:r>
              <w:rPr>
                <w:rFonts w:hint="eastAsia" w:ascii="宋体" w:hAnsi="宋体" w:cs="仿宋_GB2312"/>
                <w:kern w:val="0"/>
                <w:sz w:val="18"/>
                <w:szCs w:val="18"/>
              </w:rPr>
              <w:t>市政运营结构工程；施工中的工程结构，对变形比较敏感的高程建筑及中等精度要求的监测对象</w:t>
            </w:r>
          </w:p>
        </w:tc>
      </w:tr>
      <w:tr w14:paraId="411C4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425A0AE4">
            <w:pPr>
              <w:snapToGrid w:val="0"/>
              <w:spacing w:line="240" w:lineRule="auto"/>
              <w:jc w:val="center"/>
              <w:rPr>
                <w:rFonts w:hint="eastAsia" w:ascii="宋体" w:hAnsi="宋体" w:cs="仿宋_GB2312"/>
                <w:kern w:val="0"/>
                <w:sz w:val="18"/>
                <w:szCs w:val="18"/>
              </w:rPr>
            </w:pPr>
            <w:r>
              <w:rPr>
                <w:rFonts w:ascii="宋体" w:hAnsi="宋体"/>
                <w:kern w:val="0"/>
                <w:sz w:val="18"/>
                <w:szCs w:val="18"/>
              </w:rPr>
              <w:t>Ш</w:t>
            </w:r>
          </w:p>
        </w:tc>
        <w:tc>
          <w:tcPr>
            <w:tcW w:w="1500" w:type="dxa"/>
            <w:vAlign w:val="center"/>
          </w:tcPr>
          <w:p w14:paraId="1A3394B5">
            <w:pPr>
              <w:snapToGrid w:val="0"/>
              <w:spacing w:line="240" w:lineRule="auto"/>
              <w:jc w:val="center"/>
              <w:rPr>
                <w:rFonts w:hint="eastAsia" w:ascii="宋体" w:hAnsi="宋体"/>
                <w:kern w:val="0"/>
                <w:sz w:val="18"/>
                <w:szCs w:val="18"/>
              </w:rPr>
            </w:pPr>
            <w:r>
              <w:rPr>
                <w:rFonts w:ascii="宋体" w:hAnsi="宋体"/>
                <w:kern w:val="0"/>
                <w:sz w:val="18"/>
                <w:szCs w:val="18"/>
              </w:rPr>
              <w:t>±1.0</w:t>
            </w:r>
          </w:p>
        </w:tc>
        <w:tc>
          <w:tcPr>
            <w:tcW w:w="1485" w:type="dxa"/>
            <w:vAlign w:val="center"/>
          </w:tcPr>
          <w:p w14:paraId="735525C7">
            <w:pPr>
              <w:snapToGrid w:val="0"/>
              <w:spacing w:line="240" w:lineRule="auto"/>
              <w:jc w:val="center"/>
              <w:rPr>
                <w:rFonts w:hint="eastAsia" w:ascii="宋体" w:hAnsi="宋体"/>
                <w:kern w:val="0"/>
                <w:sz w:val="18"/>
                <w:szCs w:val="18"/>
              </w:rPr>
            </w:pPr>
            <w:r>
              <w:rPr>
                <w:rFonts w:ascii="宋体" w:hAnsi="宋体"/>
                <w:kern w:val="0"/>
                <w:sz w:val="18"/>
                <w:szCs w:val="18"/>
              </w:rPr>
              <w:t>±0.5</w:t>
            </w:r>
          </w:p>
        </w:tc>
        <w:tc>
          <w:tcPr>
            <w:tcW w:w="1695" w:type="dxa"/>
            <w:vAlign w:val="center"/>
          </w:tcPr>
          <w:p w14:paraId="714E5493">
            <w:pPr>
              <w:snapToGrid w:val="0"/>
              <w:spacing w:line="240" w:lineRule="auto"/>
              <w:jc w:val="center"/>
              <w:rPr>
                <w:rFonts w:hint="eastAsia" w:ascii="宋体" w:hAnsi="宋体"/>
                <w:kern w:val="0"/>
                <w:sz w:val="18"/>
                <w:szCs w:val="18"/>
              </w:rPr>
            </w:pPr>
            <w:r>
              <w:rPr>
                <w:rFonts w:ascii="宋体" w:hAnsi="宋体"/>
                <w:kern w:val="0"/>
                <w:sz w:val="18"/>
                <w:szCs w:val="18"/>
              </w:rPr>
              <w:t>±6.0</w:t>
            </w:r>
          </w:p>
        </w:tc>
        <w:tc>
          <w:tcPr>
            <w:tcW w:w="3360" w:type="dxa"/>
            <w:vAlign w:val="center"/>
          </w:tcPr>
          <w:p w14:paraId="1197B6CE">
            <w:pPr>
              <w:snapToGrid w:val="0"/>
              <w:spacing w:line="240" w:lineRule="auto"/>
              <w:rPr>
                <w:rFonts w:hint="eastAsia" w:ascii="宋体" w:hAnsi="宋体" w:cs="仿宋_GB2312"/>
                <w:kern w:val="0"/>
                <w:sz w:val="18"/>
                <w:szCs w:val="18"/>
              </w:rPr>
            </w:pPr>
            <w:r>
              <w:rPr>
                <w:rFonts w:hint="eastAsia" w:ascii="宋体" w:hAnsi="宋体" w:cs="仿宋_GB2312"/>
                <w:kern w:val="0"/>
                <w:sz w:val="18"/>
                <w:szCs w:val="18"/>
              </w:rPr>
              <w:t>受施工影响的一般多层建筑；地表及基坑周边和支护结构；低等精度要求的监测对象</w:t>
            </w:r>
          </w:p>
        </w:tc>
      </w:tr>
    </w:tbl>
    <w:p w14:paraId="74DD372F">
      <w:pPr>
        <w:pStyle w:val="107"/>
        <w:spacing w:before="156" w:after="156"/>
      </w:pPr>
      <w:bookmarkStart w:id="167" w:name="_Toc97293148"/>
      <w:bookmarkStart w:id="168" w:name="_Toc100142450"/>
      <w:bookmarkStart w:id="169" w:name="_Toc100145190"/>
      <w:r>
        <w:rPr>
          <w:rFonts w:hint="eastAsia"/>
        </w:rPr>
        <w:t>监测项目</w:t>
      </w:r>
      <w:bookmarkEnd w:id="167"/>
      <w:bookmarkEnd w:id="168"/>
      <w:bookmarkEnd w:id="169"/>
    </w:p>
    <w:p w14:paraId="2D5B28F0">
      <w:pPr>
        <w:pStyle w:val="167"/>
      </w:pPr>
      <w:r>
        <w:rPr>
          <w:rFonts w:hint="eastAsia"/>
        </w:rPr>
        <w:t>施工阶段变形监测的项目应包括对工程的支护结构、结构自身以及周边变形区域内的铁路、高等级公路、轨道交通等交通设施和地表道路、建筑、管线等既有市政工程等的变形监测。</w:t>
      </w:r>
    </w:p>
    <w:p w14:paraId="78364C5A">
      <w:pPr>
        <w:pStyle w:val="167"/>
      </w:pPr>
      <w:r>
        <w:rPr>
          <w:rFonts w:hint="eastAsia"/>
        </w:rPr>
        <w:t>变形监测过程中发生下列情况之一时，应立即实施安全预案，同时应提高观测频率或增加观测内容：</w:t>
      </w:r>
    </w:p>
    <w:p w14:paraId="58E820CD">
      <w:pPr>
        <w:pStyle w:val="176"/>
        <w:numPr>
          <w:ilvl w:val="0"/>
          <w:numId w:val="48"/>
        </w:numPr>
      </w:pPr>
      <w:r>
        <w:rPr>
          <w:rFonts w:hint="eastAsia"/>
        </w:rPr>
        <w:t>变形量或变形速率出现异常变化；</w:t>
      </w:r>
    </w:p>
    <w:p w14:paraId="5DDCCFB6">
      <w:pPr>
        <w:pStyle w:val="176"/>
      </w:pPr>
      <w:r>
        <w:rPr>
          <w:rFonts w:hint="eastAsia"/>
        </w:rPr>
        <w:t>变形量或变形速率达到或超出变形预警值；</w:t>
      </w:r>
    </w:p>
    <w:p w14:paraId="4384D934">
      <w:pPr>
        <w:pStyle w:val="176"/>
      </w:pPr>
      <w:r>
        <w:rPr>
          <w:rFonts w:hint="eastAsia"/>
        </w:rPr>
        <w:t>开挖面或周边出现塌陷、滑坡；</w:t>
      </w:r>
    </w:p>
    <w:p w14:paraId="5FAD694B">
      <w:pPr>
        <w:pStyle w:val="176"/>
      </w:pPr>
      <w:r>
        <w:rPr>
          <w:rFonts w:hint="eastAsia"/>
        </w:rPr>
        <w:t>建筑本身或周边环境出现异常。</w:t>
      </w:r>
    </w:p>
    <w:p w14:paraId="20C6BCF8">
      <w:pPr>
        <w:pStyle w:val="176"/>
      </w:pPr>
      <w:r>
        <w:rPr>
          <w:rFonts w:hint="eastAsia"/>
        </w:rPr>
        <w:t>由于地震、暴雨、冻融等自然灾害引起的其他变形异常情况。</w:t>
      </w:r>
    </w:p>
    <w:p w14:paraId="0BB1A2D1">
      <w:pPr>
        <w:pStyle w:val="167"/>
      </w:pPr>
      <w:r>
        <w:rPr>
          <w:rFonts w:hint="eastAsia"/>
        </w:rPr>
        <w:t>建筑物主要监测内容为水平位移和垂直位移，地表主要监测内容为垂直位移，管线、市政工程主体主要监测内容为水平位移和垂直位移。</w:t>
      </w:r>
    </w:p>
    <w:p w14:paraId="2D900492">
      <w:pPr>
        <w:pStyle w:val="107"/>
        <w:spacing w:before="156" w:after="156"/>
      </w:pPr>
      <w:bookmarkStart w:id="170" w:name="_Toc100145191"/>
      <w:bookmarkStart w:id="171" w:name="_Toc97293149"/>
      <w:bookmarkStart w:id="172" w:name="_Toc100142451"/>
      <w:r>
        <w:rPr>
          <w:rFonts w:hint="eastAsia"/>
        </w:rPr>
        <w:t>监测布点</w:t>
      </w:r>
      <w:bookmarkEnd w:id="170"/>
      <w:bookmarkEnd w:id="171"/>
      <w:bookmarkEnd w:id="172"/>
    </w:p>
    <w:p w14:paraId="0D7E5604">
      <w:pPr>
        <w:pStyle w:val="67"/>
        <w:spacing w:before="156" w:after="156"/>
      </w:pPr>
      <w:r>
        <w:rPr>
          <w:rFonts w:hint="eastAsia"/>
        </w:rPr>
        <w:t>监</w:t>
      </w:r>
      <w:r>
        <w:t>测点</w:t>
      </w:r>
      <w:r>
        <w:rPr>
          <w:rFonts w:hint="eastAsia"/>
        </w:rPr>
        <w:t>布设</w:t>
      </w:r>
    </w:p>
    <w:p w14:paraId="13534F9B">
      <w:pPr>
        <w:pStyle w:val="166"/>
      </w:pPr>
      <w:r>
        <w:rPr>
          <w:rFonts w:hint="eastAsia"/>
        </w:rPr>
        <w:t>路面沉降观测点的横向布设应按顶管机刀盘切削面的</w:t>
      </w:r>
      <w:r>
        <w:t>45</w:t>
      </w:r>
      <w:r>
        <w:rPr>
          <w:rFonts w:hint="eastAsia"/>
        </w:rPr>
        <w:t>º角切线延伸到地面的范围进行布点，管道中心线正上方布设一点，</w:t>
      </w:r>
      <w:r>
        <w:t>45</w:t>
      </w:r>
      <w:r>
        <w:rPr>
          <w:rFonts w:hint="eastAsia"/>
        </w:rPr>
        <w:t>º角延伸切线与地平线交叉点布设一点，在其两点中间布设一点，共</w:t>
      </w:r>
      <w:r>
        <w:t>5</w:t>
      </w:r>
      <w:r>
        <w:rPr>
          <w:rFonts w:hint="eastAsia"/>
        </w:rPr>
        <w:t>点为一排监测点；</w:t>
      </w:r>
    </w:p>
    <w:p w14:paraId="4BE9D295">
      <w:pPr>
        <w:pStyle w:val="58"/>
        <w:ind w:firstLine="420"/>
        <w:jc w:val="center"/>
      </w:pPr>
      <w:r>
        <w:drawing>
          <wp:inline distT="0" distB="0" distL="0" distR="0">
            <wp:extent cx="3783330" cy="14592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2034" r="2824"/>
                    <a:stretch>
                      <a:fillRect/>
                    </a:stretch>
                  </pic:blipFill>
                  <pic:spPr>
                    <a:xfrm>
                      <a:off x="0" y="0"/>
                      <a:ext cx="3792963" cy="1463189"/>
                    </a:xfrm>
                    <a:prstGeom prst="rect">
                      <a:avLst/>
                    </a:prstGeom>
                    <a:noFill/>
                    <a:ln>
                      <a:noFill/>
                    </a:ln>
                  </pic:spPr>
                </pic:pic>
              </a:graphicData>
            </a:graphic>
          </wp:inline>
        </w:drawing>
      </w:r>
    </w:p>
    <w:p w14:paraId="7CF0AE1F">
      <w:pPr>
        <w:pStyle w:val="116"/>
        <w:spacing w:before="156" w:after="156"/>
      </w:pPr>
      <w:r>
        <w:rPr>
          <w:rFonts w:hint="eastAsia"/>
        </w:rPr>
        <w:t>监测点横向布置示意图</w:t>
      </w:r>
    </w:p>
    <w:p w14:paraId="7167DC08">
      <w:pPr>
        <w:pStyle w:val="166"/>
        <w:rPr>
          <w:szCs w:val="21"/>
        </w:rPr>
      </w:pPr>
      <w:r>
        <w:rPr>
          <w:rFonts w:hint="eastAsia"/>
          <w:szCs w:val="21"/>
        </w:rPr>
        <w:t>路面沉降测量点的纵向布设应按掘进方向在距离始发井</w:t>
      </w:r>
      <w:r>
        <w:rPr>
          <w:szCs w:val="21"/>
        </w:rPr>
        <w:t>1m</w:t>
      </w:r>
      <w:r>
        <w:rPr>
          <w:rFonts w:hint="eastAsia"/>
          <w:szCs w:val="21"/>
        </w:rPr>
        <w:t>布设一排深度为</w:t>
      </w:r>
      <w:r>
        <w:rPr>
          <w:szCs w:val="21"/>
        </w:rPr>
        <w:t>0.5m</w:t>
      </w:r>
      <w:r>
        <w:rPr>
          <w:rFonts w:hint="eastAsia"/>
          <w:szCs w:val="21"/>
        </w:rPr>
        <w:t>深、且进入原状土的沉降监测点，按</w:t>
      </w:r>
      <w:r>
        <w:rPr>
          <w:szCs w:val="21"/>
        </w:rPr>
        <w:t>2m</w:t>
      </w:r>
      <w:r>
        <w:rPr>
          <w:rFonts w:hint="eastAsia"/>
          <w:szCs w:val="21"/>
        </w:rPr>
        <w:t>间距依次往接收井方向布设沉降监测点</w:t>
      </w:r>
      <w:r>
        <w:rPr>
          <w:rFonts w:hint="eastAsia"/>
        </w:rPr>
        <w:t>；</w:t>
      </w:r>
    </w:p>
    <w:p w14:paraId="3B07C662">
      <w:pPr>
        <w:pStyle w:val="166"/>
        <w:rPr>
          <w:szCs w:val="21"/>
        </w:rPr>
      </w:pPr>
      <w:r>
        <w:rPr>
          <w:rFonts w:hint="eastAsia"/>
          <w:szCs w:val="21"/>
        </w:rPr>
        <w:t>掘进施工时，应在顶管机的中部按45º角往前延伸线与监测点交汇时开始监测</w:t>
      </w:r>
      <w:r>
        <w:rPr>
          <w:rFonts w:hint="eastAsia"/>
        </w:rPr>
        <w:t>；</w:t>
      </w:r>
    </w:p>
    <w:p w14:paraId="69932BE3">
      <w:pPr>
        <w:pStyle w:val="166"/>
      </w:pPr>
      <w:r>
        <w:rPr>
          <w:rFonts w:hint="eastAsia"/>
        </w:rPr>
        <w:t>监测预警标准和预警等级应根据工程特点、监测项目控制值及当地施工经验等确定，同时应满足设计要求和国家相关规范要求。</w:t>
      </w:r>
    </w:p>
    <w:p w14:paraId="248E2439">
      <w:pPr>
        <w:pStyle w:val="167"/>
      </w:pPr>
      <w:r>
        <w:rPr>
          <w:rFonts w:hint="eastAsia"/>
        </w:rPr>
        <w:t>顶管机</w:t>
      </w:r>
      <w:r>
        <w:t>掘进中对地层变形的控制应符合下列</w:t>
      </w:r>
      <w:r>
        <w:rPr>
          <w:rFonts w:hint="eastAsia"/>
        </w:rPr>
        <w:t>规定</w:t>
      </w:r>
      <w:r>
        <w:t>：</w:t>
      </w:r>
    </w:p>
    <w:p w14:paraId="6784AD06">
      <w:pPr>
        <w:pStyle w:val="176"/>
        <w:numPr>
          <w:ilvl w:val="0"/>
          <w:numId w:val="49"/>
        </w:numPr>
      </w:pPr>
      <w:r>
        <w:t>进行实时监测和信息化施工，发生偏差应及时纠偏，优化掘进的控制参数，使地层变形最小</w:t>
      </w:r>
      <w:r>
        <w:rPr>
          <w:rFonts w:hint="eastAsia"/>
        </w:rPr>
        <w:t>；</w:t>
      </w:r>
    </w:p>
    <w:p w14:paraId="0A233124">
      <w:pPr>
        <w:pStyle w:val="176"/>
      </w:pPr>
      <w:r>
        <w:t>采用同步注浆和补浆，</w:t>
      </w:r>
      <w:r>
        <w:rPr>
          <w:rFonts w:hint="eastAsia"/>
        </w:rPr>
        <w:t>应</w:t>
      </w:r>
      <w:r>
        <w:t>及时填充管外壁与土体之间的施工间隙，避免</w:t>
      </w:r>
      <w:r>
        <w:rPr>
          <w:rFonts w:hint="eastAsia"/>
        </w:rPr>
        <w:t>顶管</w:t>
      </w:r>
      <w:r>
        <w:t>外壁土体扰动</w:t>
      </w:r>
      <w:r>
        <w:rPr>
          <w:rFonts w:hint="eastAsia"/>
        </w:rPr>
        <w:t>；</w:t>
      </w:r>
    </w:p>
    <w:p w14:paraId="590C701E">
      <w:pPr>
        <w:pStyle w:val="176"/>
      </w:pPr>
      <w:r>
        <w:t>避免管节接口、中继间、工作井洞口及顶管机尾部等部位的水土流失和泥浆渗漏，并</w:t>
      </w:r>
      <w:r>
        <w:rPr>
          <w:rFonts w:hint="eastAsia"/>
        </w:rPr>
        <w:t>应</w:t>
      </w:r>
      <w:r>
        <w:t>确保管节接口端面完好</w:t>
      </w:r>
      <w:r>
        <w:rPr>
          <w:rFonts w:hint="eastAsia"/>
        </w:rPr>
        <w:t>；</w:t>
      </w:r>
    </w:p>
    <w:p w14:paraId="1CB785A0">
      <w:pPr>
        <w:pStyle w:val="176"/>
      </w:pPr>
      <w:r>
        <w:t>保持开挖量与</w:t>
      </w:r>
      <w:r>
        <w:rPr>
          <w:rFonts w:hint="eastAsia"/>
        </w:rPr>
        <w:t>出渣量</w:t>
      </w:r>
      <w:r>
        <w:t>的平衡</w:t>
      </w:r>
      <w:r>
        <w:rPr>
          <w:rFonts w:hint="eastAsia"/>
        </w:rPr>
        <w:t>；</w:t>
      </w:r>
    </w:p>
    <w:p w14:paraId="63997D19">
      <w:pPr>
        <w:pStyle w:val="176"/>
      </w:pPr>
      <w:r>
        <w:t>通过控制土压、水压平衡力来控制地面变形。</w:t>
      </w:r>
    </w:p>
    <w:p w14:paraId="3C70FCEF">
      <w:pPr>
        <w:pStyle w:val="167"/>
      </w:pPr>
      <w:r>
        <w:t>地面</w:t>
      </w:r>
      <w:r>
        <w:rPr>
          <w:rFonts w:hint="eastAsia"/>
        </w:rPr>
        <w:t>变形</w:t>
      </w:r>
      <w:r>
        <w:t>控制</w:t>
      </w:r>
      <w:r>
        <w:rPr>
          <w:rFonts w:hint="eastAsia"/>
        </w:rPr>
        <w:t>应符合下列规定</w:t>
      </w:r>
      <w:r>
        <w:t>：</w:t>
      </w:r>
    </w:p>
    <w:p w14:paraId="70CBD6CD">
      <w:pPr>
        <w:pStyle w:val="176"/>
        <w:numPr>
          <w:ilvl w:val="0"/>
          <w:numId w:val="50"/>
        </w:numPr>
      </w:pPr>
      <w:r>
        <w:rPr>
          <w:rFonts w:hint="eastAsia"/>
        </w:rPr>
        <w:t>应根据监测数据及时调整注浆量与注浆压力；</w:t>
      </w:r>
    </w:p>
    <w:p w14:paraId="14A3BCDC">
      <w:pPr>
        <w:pStyle w:val="176"/>
      </w:pPr>
      <w:r>
        <w:rPr>
          <w:rFonts w:hint="eastAsia"/>
        </w:rPr>
        <w:t>应</w:t>
      </w:r>
      <w:r>
        <w:t>严格遵守操作规程，及时进行测量，避免大</w:t>
      </w:r>
      <w:r>
        <w:rPr>
          <w:rFonts w:hint="eastAsia"/>
        </w:rPr>
        <w:t>幅度</w:t>
      </w:r>
      <w:r>
        <w:t>纠偏</w:t>
      </w:r>
      <w:r>
        <w:rPr>
          <w:rFonts w:hint="eastAsia"/>
        </w:rPr>
        <w:t>；</w:t>
      </w:r>
    </w:p>
    <w:p w14:paraId="06BF98E5">
      <w:pPr>
        <w:pStyle w:val="176"/>
      </w:pPr>
      <w:r>
        <w:rPr>
          <w:rFonts w:hint="eastAsia"/>
        </w:rPr>
        <w:t>应</w:t>
      </w:r>
      <w:r>
        <w:t>严格控制</w:t>
      </w:r>
      <w:r>
        <w:rPr>
          <w:rFonts w:hint="eastAsia"/>
        </w:rPr>
        <w:t>出渣量</w:t>
      </w:r>
      <w:r>
        <w:t>，不可</w:t>
      </w:r>
      <w:r>
        <w:rPr>
          <w:rFonts w:hint="eastAsia"/>
        </w:rPr>
        <w:t>超出设计出渣量范围；</w:t>
      </w:r>
    </w:p>
    <w:p w14:paraId="6413FB7C">
      <w:pPr>
        <w:pStyle w:val="176"/>
      </w:pPr>
      <w:r>
        <w:t>在掘进时</w:t>
      </w:r>
      <w:r>
        <w:rPr>
          <w:rFonts w:hint="eastAsia"/>
        </w:rPr>
        <w:t>，</w:t>
      </w:r>
      <w:r>
        <w:t>应加强地面</w:t>
      </w:r>
      <w:r>
        <w:rPr>
          <w:rFonts w:hint="eastAsia"/>
        </w:rPr>
        <w:t>变形</w:t>
      </w:r>
      <w:r>
        <w:t>观测并做好记录</w:t>
      </w:r>
      <w:r>
        <w:rPr>
          <w:rFonts w:hint="eastAsia"/>
        </w:rPr>
        <w:t>；</w:t>
      </w:r>
    </w:p>
    <w:p w14:paraId="08B22BE6">
      <w:pPr>
        <w:pStyle w:val="176"/>
      </w:pPr>
      <w:r>
        <w:t>顶管结束后应采用水泥浆置换减阻泥浆。</w:t>
      </w:r>
    </w:p>
    <w:p w14:paraId="1D85006F">
      <w:pPr>
        <w:pStyle w:val="164"/>
      </w:pPr>
      <w:bookmarkStart w:id="173" w:name="_Toc97293150"/>
      <w:r>
        <w:rPr>
          <w:rFonts w:hint="eastAsia"/>
        </w:rPr>
        <w:t>监测频率及报警值</w:t>
      </w:r>
      <w:bookmarkEnd w:id="173"/>
    </w:p>
    <w:p w14:paraId="1D0F7574">
      <w:pPr>
        <w:pStyle w:val="167"/>
      </w:pPr>
      <w:r>
        <w:rPr>
          <w:rFonts w:hint="eastAsia"/>
        </w:rPr>
        <w:t>变形监测项目的监测频率，应根据监测点与开挖面距离、变形速率和变形量变化关系以及施工进程确定，顶管顶进施工时宜按表3要求进行。</w:t>
      </w:r>
    </w:p>
    <w:p w14:paraId="051F289D">
      <w:pPr>
        <w:pStyle w:val="114"/>
        <w:spacing w:before="156" w:after="156"/>
      </w:pPr>
      <w:r>
        <w:rPr>
          <w:rFonts w:hint="eastAsia"/>
        </w:rPr>
        <w:t>顶进施工监测频率</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2782"/>
        <w:gridCol w:w="1410"/>
        <w:gridCol w:w="1410"/>
        <w:gridCol w:w="1410"/>
        <w:gridCol w:w="1453"/>
      </w:tblGrid>
      <w:tr w14:paraId="7F6E35A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7" w:hRule="atLeast"/>
          <w:jc w:val="center"/>
        </w:trPr>
        <w:tc>
          <w:tcPr>
            <w:tcW w:w="2782" w:type="dxa"/>
            <w:vAlign w:val="center"/>
          </w:tcPr>
          <w:p w14:paraId="37B0EDC9">
            <w:pPr>
              <w:snapToGrid w:val="0"/>
              <w:spacing w:line="240" w:lineRule="auto"/>
              <w:jc w:val="center"/>
              <w:rPr>
                <w:rFonts w:cs="仿宋_GB2312"/>
                <w:kern w:val="0"/>
                <w:sz w:val="18"/>
              </w:rPr>
            </w:pPr>
            <w:r>
              <w:rPr>
                <w:rFonts w:hint="eastAsia" w:cs="仿宋_GB2312"/>
                <w:kern w:val="0"/>
                <w:sz w:val="18"/>
              </w:rPr>
              <w:t>变形速度</w:t>
            </w:r>
            <w:r>
              <w:rPr>
                <w:rFonts w:cs="仿宋_GB2312"/>
                <w:kern w:val="0"/>
                <w:sz w:val="18"/>
              </w:rPr>
              <w:t>w</w:t>
            </w:r>
            <w:r>
              <w:rPr>
                <w:rFonts w:hint="eastAsia" w:cs="仿宋_GB2312"/>
                <w:kern w:val="0"/>
                <w:sz w:val="18"/>
              </w:rPr>
              <w:t>（mm/d）</w:t>
            </w:r>
          </w:p>
        </w:tc>
        <w:tc>
          <w:tcPr>
            <w:tcW w:w="1410" w:type="dxa"/>
            <w:vAlign w:val="center"/>
          </w:tcPr>
          <w:p w14:paraId="7D7CAF19">
            <w:pPr>
              <w:snapToGrid w:val="0"/>
              <w:spacing w:line="240" w:lineRule="auto"/>
              <w:jc w:val="center"/>
              <w:rPr>
                <w:kern w:val="0"/>
                <w:sz w:val="18"/>
              </w:rPr>
            </w:pPr>
            <w:r>
              <w:rPr>
                <w:kern w:val="0"/>
                <w:sz w:val="18"/>
              </w:rPr>
              <w:t>w˃10</w:t>
            </w:r>
          </w:p>
        </w:tc>
        <w:tc>
          <w:tcPr>
            <w:tcW w:w="1410" w:type="dxa"/>
            <w:vAlign w:val="center"/>
          </w:tcPr>
          <w:p w14:paraId="512FA344">
            <w:pPr>
              <w:snapToGrid w:val="0"/>
              <w:spacing w:line="240" w:lineRule="auto"/>
              <w:jc w:val="center"/>
              <w:rPr>
                <w:kern w:val="0"/>
                <w:sz w:val="18"/>
              </w:rPr>
            </w:pPr>
            <w:r>
              <w:rPr>
                <w:kern w:val="0"/>
                <w:sz w:val="18"/>
              </w:rPr>
              <w:t>5&lt;w≤10</w:t>
            </w:r>
          </w:p>
        </w:tc>
        <w:tc>
          <w:tcPr>
            <w:tcW w:w="1410" w:type="dxa"/>
            <w:vAlign w:val="center"/>
          </w:tcPr>
          <w:p w14:paraId="5C793A8E">
            <w:pPr>
              <w:snapToGrid w:val="0"/>
              <w:spacing w:line="240" w:lineRule="auto"/>
              <w:jc w:val="center"/>
              <w:rPr>
                <w:kern w:val="0"/>
                <w:sz w:val="18"/>
              </w:rPr>
            </w:pPr>
            <w:r>
              <w:rPr>
                <w:kern w:val="0"/>
                <w:sz w:val="18"/>
              </w:rPr>
              <w:t>1&lt;w≤5</w:t>
            </w:r>
          </w:p>
        </w:tc>
        <w:tc>
          <w:tcPr>
            <w:tcW w:w="1453" w:type="dxa"/>
            <w:vAlign w:val="center"/>
          </w:tcPr>
          <w:p w14:paraId="0AC8AD07">
            <w:pPr>
              <w:snapToGrid w:val="0"/>
              <w:spacing w:line="240" w:lineRule="auto"/>
              <w:jc w:val="center"/>
              <w:rPr>
                <w:kern w:val="0"/>
                <w:sz w:val="18"/>
              </w:rPr>
            </w:pPr>
            <w:r>
              <w:rPr>
                <w:kern w:val="0"/>
                <w:sz w:val="18"/>
              </w:rPr>
              <w:t>w≤1</w:t>
            </w:r>
          </w:p>
        </w:tc>
      </w:tr>
      <w:tr w14:paraId="79AAE95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7" w:hRule="atLeast"/>
          <w:jc w:val="center"/>
        </w:trPr>
        <w:tc>
          <w:tcPr>
            <w:tcW w:w="2782" w:type="dxa"/>
            <w:tcBorders>
              <w:bottom w:val="single" w:color="auto" w:sz="8" w:space="0"/>
            </w:tcBorders>
            <w:vAlign w:val="center"/>
          </w:tcPr>
          <w:p w14:paraId="5A24F95D">
            <w:pPr>
              <w:snapToGrid w:val="0"/>
              <w:spacing w:line="240" w:lineRule="auto"/>
              <w:jc w:val="center"/>
              <w:rPr>
                <w:rFonts w:cs="仿宋_GB2312"/>
                <w:kern w:val="0"/>
                <w:sz w:val="18"/>
              </w:rPr>
            </w:pPr>
            <w:r>
              <w:rPr>
                <w:rFonts w:hint="eastAsia" w:cs="仿宋_GB2312"/>
                <w:kern w:val="0"/>
                <w:sz w:val="18"/>
              </w:rPr>
              <w:t>监测频率(次/d)</w:t>
            </w:r>
          </w:p>
        </w:tc>
        <w:tc>
          <w:tcPr>
            <w:tcW w:w="1410" w:type="dxa"/>
            <w:tcBorders>
              <w:bottom w:val="single" w:color="auto" w:sz="8" w:space="0"/>
            </w:tcBorders>
            <w:vAlign w:val="center"/>
          </w:tcPr>
          <w:p w14:paraId="6253D99F">
            <w:pPr>
              <w:snapToGrid w:val="0"/>
              <w:spacing w:line="240" w:lineRule="auto"/>
              <w:jc w:val="center"/>
              <w:rPr>
                <w:kern w:val="0"/>
                <w:sz w:val="18"/>
              </w:rPr>
            </w:pPr>
            <w:r>
              <w:rPr>
                <w:kern w:val="0"/>
                <w:sz w:val="18"/>
              </w:rPr>
              <w:t>2/1d</w:t>
            </w:r>
          </w:p>
        </w:tc>
        <w:tc>
          <w:tcPr>
            <w:tcW w:w="1410" w:type="dxa"/>
            <w:tcBorders>
              <w:bottom w:val="single" w:color="auto" w:sz="8" w:space="0"/>
            </w:tcBorders>
            <w:vAlign w:val="center"/>
          </w:tcPr>
          <w:p w14:paraId="24A8E913">
            <w:pPr>
              <w:snapToGrid w:val="0"/>
              <w:spacing w:line="240" w:lineRule="auto"/>
              <w:jc w:val="center"/>
              <w:rPr>
                <w:kern w:val="0"/>
                <w:sz w:val="18"/>
              </w:rPr>
            </w:pPr>
            <w:r>
              <w:rPr>
                <w:kern w:val="0"/>
                <w:sz w:val="18"/>
              </w:rPr>
              <w:t>1/1d</w:t>
            </w:r>
          </w:p>
        </w:tc>
        <w:tc>
          <w:tcPr>
            <w:tcW w:w="1410" w:type="dxa"/>
            <w:tcBorders>
              <w:bottom w:val="single" w:color="auto" w:sz="8" w:space="0"/>
            </w:tcBorders>
            <w:vAlign w:val="center"/>
          </w:tcPr>
          <w:p w14:paraId="543CFA70">
            <w:pPr>
              <w:snapToGrid w:val="0"/>
              <w:spacing w:line="240" w:lineRule="auto"/>
              <w:jc w:val="center"/>
              <w:rPr>
                <w:kern w:val="0"/>
                <w:sz w:val="18"/>
              </w:rPr>
            </w:pPr>
            <w:r>
              <w:rPr>
                <w:kern w:val="0"/>
                <w:sz w:val="18"/>
              </w:rPr>
              <w:t>1/2d</w:t>
            </w:r>
          </w:p>
        </w:tc>
        <w:tc>
          <w:tcPr>
            <w:tcW w:w="1453" w:type="dxa"/>
            <w:tcBorders>
              <w:bottom w:val="single" w:color="auto" w:sz="8" w:space="0"/>
            </w:tcBorders>
            <w:vAlign w:val="center"/>
          </w:tcPr>
          <w:p w14:paraId="0DE53F9A">
            <w:pPr>
              <w:snapToGrid w:val="0"/>
              <w:spacing w:line="240" w:lineRule="auto"/>
              <w:jc w:val="center"/>
              <w:rPr>
                <w:kern w:val="0"/>
                <w:sz w:val="18"/>
              </w:rPr>
            </w:pPr>
            <w:r>
              <w:rPr>
                <w:kern w:val="0"/>
                <w:sz w:val="18"/>
              </w:rPr>
              <w:t>1/˃7d</w:t>
            </w:r>
          </w:p>
        </w:tc>
      </w:tr>
      <w:tr w14:paraId="26475B6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7" w:hRule="atLeast"/>
          <w:jc w:val="center"/>
        </w:trPr>
        <w:tc>
          <w:tcPr>
            <w:tcW w:w="8465" w:type="dxa"/>
            <w:gridSpan w:val="5"/>
            <w:tcBorders>
              <w:bottom w:val="single" w:color="auto" w:sz="8" w:space="0"/>
            </w:tcBorders>
            <w:vAlign w:val="center"/>
          </w:tcPr>
          <w:p w14:paraId="7EA19E9A">
            <w:pPr>
              <w:pStyle w:val="181"/>
            </w:pPr>
            <w:r>
              <w:rPr>
                <w:rFonts w:hint="eastAsia"/>
              </w:rPr>
              <w:t>d为天。</w:t>
            </w:r>
          </w:p>
        </w:tc>
      </w:tr>
    </w:tbl>
    <w:p w14:paraId="7803BB8A">
      <w:pPr>
        <w:pStyle w:val="167"/>
      </w:pPr>
      <w:r>
        <w:rPr>
          <w:rFonts w:hint="eastAsia"/>
        </w:rPr>
        <w:t>顶管井周边变形监测宜按表4要求进行。</w:t>
      </w:r>
    </w:p>
    <w:p w14:paraId="23F57DCE">
      <w:pPr>
        <w:pStyle w:val="114"/>
        <w:spacing w:before="156" w:after="156"/>
      </w:pPr>
      <w:r>
        <w:rPr>
          <w:rFonts w:hint="eastAsia"/>
        </w:rPr>
        <w:t>顶管井施工监测频率</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94"/>
        <w:gridCol w:w="1594"/>
        <w:gridCol w:w="1596"/>
        <w:gridCol w:w="1597"/>
        <w:gridCol w:w="1595"/>
      </w:tblGrid>
      <w:tr w14:paraId="188C8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restart"/>
            <w:vAlign w:val="center"/>
          </w:tcPr>
          <w:p w14:paraId="5439662C">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开挖深度（m）</w:t>
            </w:r>
          </w:p>
        </w:tc>
        <w:tc>
          <w:tcPr>
            <w:tcW w:w="4167" w:type="pct"/>
            <w:gridSpan w:val="5"/>
            <w:vAlign w:val="center"/>
          </w:tcPr>
          <w:p w14:paraId="05ABD3E6">
            <w:pPr>
              <w:snapToGrid w:val="0"/>
              <w:spacing w:line="240" w:lineRule="auto"/>
              <w:jc w:val="center"/>
              <w:rPr>
                <w:rFonts w:hint="eastAsia" w:ascii="宋体" w:hAnsi="宋体" w:cs="仿宋_GB2312"/>
                <w:kern w:val="0"/>
                <w:sz w:val="18"/>
                <w:szCs w:val="18"/>
              </w:rPr>
            </w:pPr>
            <w:r>
              <w:rPr>
                <w:rFonts w:hint="eastAsia" w:ascii="宋体" w:hAnsi="宋体" w:cs="仿宋_GB2312"/>
                <w:kern w:val="0"/>
                <w:sz w:val="18"/>
                <w:szCs w:val="18"/>
              </w:rPr>
              <w:t>顶管井设计深度（m）</w:t>
            </w:r>
          </w:p>
        </w:tc>
      </w:tr>
      <w:tr w14:paraId="232C0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vAlign w:val="center"/>
          </w:tcPr>
          <w:p w14:paraId="483A740D">
            <w:pPr>
              <w:snapToGrid w:val="0"/>
              <w:spacing w:line="240" w:lineRule="auto"/>
              <w:jc w:val="center"/>
              <w:rPr>
                <w:rFonts w:hint="eastAsia" w:ascii="宋体" w:hAnsi="宋体" w:cs="仿宋_GB2312"/>
                <w:kern w:val="0"/>
                <w:sz w:val="18"/>
                <w:szCs w:val="18"/>
              </w:rPr>
            </w:pPr>
          </w:p>
        </w:tc>
        <w:tc>
          <w:tcPr>
            <w:tcW w:w="833" w:type="pct"/>
            <w:vAlign w:val="center"/>
          </w:tcPr>
          <w:p w14:paraId="36043590">
            <w:pPr>
              <w:snapToGrid w:val="0"/>
              <w:spacing w:line="240" w:lineRule="auto"/>
              <w:jc w:val="center"/>
              <w:rPr>
                <w:rFonts w:hint="eastAsia" w:ascii="宋体" w:hAnsi="宋体"/>
                <w:kern w:val="0"/>
                <w:sz w:val="18"/>
                <w:szCs w:val="18"/>
              </w:rPr>
            </w:pPr>
            <w:r>
              <w:rPr>
                <w:rFonts w:ascii="宋体" w:hAnsi="宋体"/>
                <w:kern w:val="0"/>
                <w:sz w:val="18"/>
                <w:szCs w:val="18"/>
              </w:rPr>
              <w:t>≤5</w:t>
            </w:r>
          </w:p>
        </w:tc>
        <w:tc>
          <w:tcPr>
            <w:tcW w:w="833" w:type="pct"/>
            <w:vAlign w:val="center"/>
          </w:tcPr>
          <w:p w14:paraId="619DA48C">
            <w:pPr>
              <w:snapToGrid w:val="0"/>
              <w:spacing w:line="240" w:lineRule="auto"/>
              <w:jc w:val="center"/>
              <w:rPr>
                <w:rFonts w:hint="eastAsia" w:ascii="宋体" w:hAnsi="宋体"/>
                <w:kern w:val="0"/>
                <w:sz w:val="18"/>
                <w:szCs w:val="18"/>
              </w:rPr>
            </w:pPr>
            <w:r>
              <w:rPr>
                <w:rFonts w:ascii="宋体" w:hAnsi="宋体"/>
                <w:kern w:val="0"/>
                <w:sz w:val="18"/>
                <w:szCs w:val="18"/>
              </w:rPr>
              <w:t>5～10</w:t>
            </w:r>
          </w:p>
        </w:tc>
        <w:tc>
          <w:tcPr>
            <w:tcW w:w="834" w:type="pct"/>
            <w:vAlign w:val="center"/>
          </w:tcPr>
          <w:p w14:paraId="7FD1B0A2">
            <w:pPr>
              <w:snapToGrid w:val="0"/>
              <w:spacing w:line="240" w:lineRule="auto"/>
              <w:jc w:val="center"/>
              <w:rPr>
                <w:rFonts w:hint="eastAsia" w:ascii="宋体" w:hAnsi="宋体"/>
                <w:kern w:val="0"/>
                <w:sz w:val="18"/>
                <w:szCs w:val="18"/>
              </w:rPr>
            </w:pPr>
            <w:r>
              <w:rPr>
                <w:rFonts w:ascii="宋体" w:hAnsi="宋体"/>
                <w:kern w:val="0"/>
                <w:sz w:val="18"/>
                <w:szCs w:val="18"/>
              </w:rPr>
              <w:t>10～15</w:t>
            </w:r>
          </w:p>
        </w:tc>
        <w:tc>
          <w:tcPr>
            <w:tcW w:w="834" w:type="pct"/>
            <w:vAlign w:val="center"/>
          </w:tcPr>
          <w:p w14:paraId="722EE118">
            <w:pPr>
              <w:snapToGrid w:val="0"/>
              <w:spacing w:line="240" w:lineRule="auto"/>
              <w:jc w:val="center"/>
              <w:rPr>
                <w:rFonts w:hint="eastAsia" w:ascii="宋体" w:hAnsi="宋体"/>
                <w:kern w:val="0"/>
                <w:sz w:val="18"/>
                <w:szCs w:val="18"/>
              </w:rPr>
            </w:pPr>
            <w:r>
              <w:rPr>
                <w:rFonts w:ascii="宋体" w:hAnsi="宋体"/>
                <w:kern w:val="0"/>
                <w:sz w:val="18"/>
                <w:szCs w:val="18"/>
              </w:rPr>
              <w:t>15～20</w:t>
            </w:r>
          </w:p>
        </w:tc>
        <w:tc>
          <w:tcPr>
            <w:tcW w:w="833" w:type="pct"/>
            <w:vAlign w:val="center"/>
          </w:tcPr>
          <w:p w14:paraId="6ACD6B79">
            <w:pPr>
              <w:snapToGrid w:val="0"/>
              <w:spacing w:line="240" w:lineRule="auto"/>
              <w:jc w:val="center"/>
              <w:rPr>
                <w:rFonts w:hint="eastAsia" w:ascii="宋体" w:hAnsi="宋体"/>
                <w:kern w:val="0"/>
                <w:sz w:val="18"/>
                <w:szCs w:val="18"/>
              </w:rPr>
            </w:pPr>
            <w:r>
              <w:rPr>
                <w:rFonts w:ascii="Times New Roman" w:hAnsi="Times New Roman"/>
                <w:kern w:val="0"/>
                <w:sz w:val="18"/>
                <w:szCs w:val="18"/>
              </w:rPr>
              <w:t>˃</w:t>
            </w:r>
            <w:r>
              <w:rPr>
                <w:rFonts w:ascii="宋体" w:hAnsi="宋体"/>
                <w:kern w:val="0"/>
                <w:sz w:val="18"/>
                <w:szCs w:val="18"/>
              </w:rPr>
              <w:t>20</w:t>
            </w:r>
          </w:p>
        </w:tc>
      </w:tr>
      <w:tr w14:paraId="601FB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507AEF04">
            <w:pPr>
              <w:snapToGrid w:val="0"/>
              <w:spacing w:line="240" w:lineRule="auto"/>
              <w:jc w:val="center"/>
              <w:rPr>
                <w:rFonts w:hint="eastAsia" w:ascii="宋体" w:hAnsi="宋体"/>
                <w:kern w:val="0"/>
                <w:sz w:val="18"/>
                <w:szCs w:val="18"/>
              </w:rPr>
            </w:pPr>
            <w:r>
              <w:rPr>
                <w:rFonts w:ascii="宋体" w:hAnsi="宋体"/>
                <w:kern w:val="0"/>
                <w:sz w:val="18"/>
                <w:szCs w:val="18"/>
              </w:rPr>
              <w:t>≤5</w:t>
            </w:r>
          </w:p>
        </w:tc>
        <w:tc>
          <w:tcPr>
            <w:tcW w:w="833" w:type="pct"/>
            <w:vAlign w:val="center"/>
          </w:tcPr>
          <w:p w14:paraId="0EB32E5F">
            <w:pPr>
              <w:snapToGrid w:val="0"/>
              <w:spacing w:line="240" w:lineRule="auto"/>
              <w:jc w:val="center"/>
              <w:rPr>
                <w:rFonts w:hint="eastAsia" w:ascii="宋体" w:hAnsi="宋体"/>
                <w:kern w:val="0"/>
                <w:sz w:val="18"/>
                <w:szCs w:val="18"/>
              </w:rPr>
            </w:pPr>
            <w:r>
              <w:rPr>
                <w:rFonts w:ascii="宋体" w:hAnsi="宋体"/>
                <w:kern w:val="0"/>
                <w:sz w:val="18"/>
                <w:szCs w:val="18"/>
              </w:rPr>
              <w:t>1次/1d</w:t>
            </w:r>
          </w:p>
        </w:tc>
        <w:tc>
          <w:tcPr>
            <w:tcW w:w="833" w:type="pct"/>
            <w:vAlign w:val="center"/>
          </w:tcPr>
          <w:p w14:paraId="601B05C3">
            <w:pPr>
              <w:snapToGrid w:val="0"/>
              <w:spacing w:line="240" w:lineRule="auto"/>
              <w:jc w:val="center"/>
              <w:rPr>
                <w:rFonts w:hint="eastAsia" w:ascii="宋体" w:hAnsi="宋体"/>
                <w:kern w:val="0"/>
                <w:sz w:val="18"/>
                <w:szCs w:val="18"/>
              </w:rPr>
            </w:pPr>
            <w:r>
              <w:rPr>
                <w:rFonts w:ascii="宋体" w:hAnsi="宋体"/>
                <w:kern w:val="0"/>
                <w:sz w:val="18"/>
                <w:szCs w:val="18"/>
              </w:rPr>
              <w:t>1次/2d</w:t>
            </w:r>
          </w:p>
        </w:tc>
        <w:tc>
          <w:tcPr>
            <w:tcW w:w="834" w:type="pct"/>
            <w:vAlign w:val="center"/>
          </w:tcPr>
          <w:p w14:paraId="2B3F214F">
            <w:pPr>
              <w:snapToGrid w:val="0"/>
              <w:spacing w:line="240" w:lineRule="auto"/>
              <w:jc w:val="center"/>
              <w:rPr>
                <w:rFonts w:hint="eastAsia" w:ascii="宋体" w:hAnsi="宋体"/>
                <w:kern w:val="0"/>
                <w:sz w:val="18"/>
                <w:szCs w:val="18"/>
              </w:rPr>
            </w:pPr>
            <w:r>
              <w:rPr>
                <w:rFonts w:ascii="宋体" w:hAnsi="宋体"/>
                <w:kern w:val="0"/>
                <w:sz w:val="18"/>
                <w:szCs w:val="18"/>
              </w:rPr>
              <w:t>1次/2d</w:t>
            </w:r>
          </w:p>
        </w:tc>
        <w:tc>
          <w:tcPr>
            <w:tcW w:w="834" w:type="pct"/>
            <w:vAlign w:val="center"/>
          </w:tcPr>
          <w:p w14:paraId="63AC1610">
            <w:pPr>
              <w:snapToGrid w:val="0"/>
              <w:spacing w:line="240" w:lineRule="auto"/>
              <w:jc w:val="center"/>
              <w:rPr>
                <w:rFonts w:hint="eastAsia" w:ascii="宋体" w:hAnsi="宋体"/>
                <w:kern w:val="0"/>
                <w:sz w:val="18"/>
                <w:szCs w:val="18"/>
              </w:rPr>
            </w:pPr>
            <w:r>
              <w:rPr>
                <w:rFonts w:ascii="宋体" w:hAnsi="宋体"/>
                <w:kern w:val="0"/>
                <w:sz w:val="18"/>
                <w:szCs w:val="18"/>
              </w:rPr>
              <w:t>1次/2d</w:t>
            </w:r>
          </w:p>
        </w:tc>
        <w:tc>
          <w:tcPr>
            <w:tcW w:w="834" w:type="pct"/>
            <w:vAlign w:val="center"/>
          </w:tcPr>
          <w:p w14:paraId="07D42FEC">
            <w:pPr>
              <w:snapToGrid w:val="0"/>
              <w:spacing w:line="240" w:lineRule="auto"/>
              <w:jc w:val="center"/>
              <w:rPr>
                <w:rFonts w:hint="eastAsia" w:ascii="宋体" w:hAnsi="宋体"/>
                <w:kern w:val="0"/>
                <w:sz w:val="18"/>
                <w:szCs w:val="18"/>
              </w:rPr>
            </w:pPr>
            <w:r>
              <w:rPr>
                <w:rFonts w:ascii="宋体" w:hAnsi="宋体"/>
                <w:kern w:val="0"/>
                <w:sz w:val="18"/>
                <w:szCs w:val="18"/>
              </w:rPr>
              <w:t>1次/3d</w:t>
            </w:r>
          </w:p>
        </w:tc>
      </w:tr>
      <w:tr w14:paraId="11140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617E61C7">
            <w:pPr>
              <w:snapToGrid w:val="0"/>
              <w:spacing w:line="240" w:lineRule="auto"/>
              <w:jc w:val="center"/>
              <w:rPr>
                <w:rFonts w:hint="eastAsia" w:ascii="宋体" w:hAnsi="宋体"/>
                <w:kern w:val="0"/>
                <w:sz w:val="18"/>
                <w:szCs w:val="18"/>
              </w:rPr>
            </w:pPr>
            <w:r>
              <w:rPr>
                <w:rFonts w:ascii="宋体" w:hAnsi="宋体"/>
                <w:kern w:val="0"/>
                <w:sz w:val="18"/>
                <w:szCs w:val="18"/>
              </w:rPr>
              <w:t>5～10</w:t>
            </w:r>
          </w:p>
        </w:tc>
        <w:tc>
          <w:tcPr>
            <w:tcW w:w="833" w:type="pct"/>
            <w:vAlign w:val="center"/>
          </w:tcPr>
          <w:p w14:paraId="10421D0B">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3" w:type="pct"/>
            <w:vAlign w:val="center"/>
          </w:tcPr>
          <w:p w14:paraId="6A11C627">
            <w:pPr>
              <w:snapToGrid w:val="0"/>
              <w:spacing w:line="240" w:lineRule="auto"/>
              <w:jc w:val="center"/>
              <w:rPr>
                <w:rFonts w:hint="eastAsia" w:ascii="宋体" w:hAnsi="宋体"/>
                <w:kern w:val="0"/>
                <w:sz w:val="18"/>
                <w:szCs w:val="18"/>
              </w:rPr>
            </w:pPr>
            <w:r>
              <w:rPr>
                <w:rFonts w:ascii="宋体" w:hAnsi="宋体"/>
                <w:kern w:val="0"/>
                <w:sz w:val="18"/>
                <w:szCs w:val="18"/>
              </w:rPr>
              <w:t>1次/1d</w:t>
            </w:r>
          </w:p>
        </w:tc>
        <w:tc>
          <w:tcPr>
            <w:tcW w:w="834" w:type="pct"/>
            <w:vAlign w:val="center"/>
          </w:tcPr>
          <w:p w14:paraId="4367E96D">
            <w:pPr>
              <w:snapToGrid w:val="0"/>
              <w:spacing w:line="240" w:lineRule="auto"/>
              <w:jc w:val="center"/>
              <w:rPr>
                <w:rFonts w:hint="eastAsia" w:ascii="宋体" w:hAnsi="宋体"/>
                <w:kern w:val="0"/>
                <w:sz w:val="18"/>
                <w:szCs w:val="18"/>
              </w:rPr>
            </w:pPr>
            <w:r>
              <w:rPr>
                <w:rFonts w:ascii="宋体" w:hAnsi="宋体"/>
                <w:kern w:val="0"/>
                <w:sz w:val="18"/>
                <w:szCs w:val="18"/>
              </w:rPr>
              <w:t>1次/1d</w:t>
            </w:r>
          </w:p>
        </w:tc>
        <w:tc>
          <w:tcPr>
            <w:tcW w:w="834" w:type="pct"/>
            <w:vAlign w:val="center"/>
          </w:tcPr>
          <w:p w14:paraId="13DB5781">
            <w:pPr>
              <w:snapToGrid w:val="0"/>
              <w:spacing w:line="240" w:lineRule="auto"/>
              <w:jc w:val="center"/>
              <w:rPr>
                <w:rFonts w:hint="eastAsia" w:ascii="宋体" w:hAnsi="宋体"/>
                <w:kern w:val="0"/>
                <w:sz w:val="18"/>
                <w:szCs w:val="18"/>
              </w:rPr>
            </w:pPr>
            <w:r>
              <w:rPr>
                <w:rFonts w:ascii="宋体" w:hAnsi="宋体"/>
                <w:kern w:val="0"/>
                <w:sz w:val="18"/>
                <w:szCs w:val="18"/>
              </w:rPr>
              <w:t>1次/1d</w:t>
            </w:r>
          </w:p>
        </w:tc>
        <w:tc>
          <w:tcPr>
            <w:tcW w:w="834" w:type="pct"/>
            <w:vAlign w:val="center"/>
          </w:tcPr>
          <w:p w14:paraId="63A2924C">
            <w:pPr>
              <w:snapToGrid w:val="0"/>
              <w:spacing w:line="240" w:lineRule="auto"/>
              <w:jc w:val="center"/>
              <w:rPr>
                <w:rFonts w:hint="eastAsia" w:ascii="宋体" w:hAnsi="宋体"/>
                <w:kern w:val="0"/>
                <w:sz w:val="18"/>
                <w:szCs w:val="18"/>
              </w:rPr>
            </w:pPr>
            <w:r>
              <w:rPr>
                <w:rFonts w:ascii="宋体" w:hAnsi="宋体"/>
                <w:kern w:val="0"/>
                <w:sz w:val="18"/>
                <w:szCs w:val="18"/>
              </w:rPr>
              <w:t>1次/2d</w:t>
            </w:r>
          </w:p>
        </w:tc>
      </w:tr>
      <w:tr w14:paraId="13255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0051600D">
            <w:pPr>
              <w:snapToGrid w:val="0"/>
              <w:spacing w:line="240" w:lineRule="auto"/>
              <w:jc w:val="center"/>
              <w:rPr>
                <w:rFonts w:hint="eastAsia" w:ascii="宋体" w:hAnsi="宋体"/>
                <w:kern w:val="0"/>
                <w:sz w:val="18"/>
                <w:szCs w:val="18"/>
              </w:rPr>
            </w:pPr>
            <w:r>
              <w:rPr>
                <w:rFonts w:ascii="宋体" w:hAnsi="宋体"/>
                <w:kern w:val="0"/>
                <w:sz w:val="18"/>
                <w:szCs w:val="18"/>
              </w:rPr>
              <w:t>10～15</w:t>
            </w:r>
          </w:p>
        </w:tc>
        <w:tc>
          <w:tcPr>
            <w:tcW w:w="833" w:type="pct"/>
            <w:vAlign w:val="center"/>
          </w:tcPr>
          <w:p w14:paraId="69C20781">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3" w:type="pct"/>
            <w:vAlign w:val="center"/>
          </w:tcPr>
          <w:p w14:paraId="0B9B5429">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4" w:type="pct"/>
            <w:vAlign w:val="center"/>
          </w:tcPr>
          <w:p w14:paraId="592A1FD5">
            <w:pPr>
              <w:snapToGrid w:val="0"/>
              <w:spacing w:line="240" w:lineRule="auto"/>
              <w:jc w:val="center"/>
              <w:rPr>
                <w:rFonts w:hint="eastAsia" w:ascii="宋体" w:hAnsi="宋体"/>
                <w:kern w:val="0"/>
                <w:sz w:val="18"/>
                <w:szCs w:val="18"/>
              </w:rPr>
            </w:pPr>
            <w:r>
              <w:rPr>
                <w:rFonts w:ascii="宋体" w:hAnsi="宋体"/>
                <w:kern w:val="0"/>
                <w:sz w:val="18"/>
                <w:szCs w:val="18"/>
              </w:rPr>
              <w:t>2次/1d</w:t>
            </w:r>
          </w:p>
        </w:tc>
        <w:tc>
          <w:tcPr>
            <w:tcW w:w="834" w:type="pct"/>
            <w:vAlign w:val="center"/>
          </w:tcPr>
          <w:p w14:paraId="345B1E5D">
            <w:pPr>
              <w:snapToGrid w:val="0"/>
              <w:spacing w:line="240" w:lineRule="auto"/>
              <w:jc w:val="center"/>
              <w:rPr>
                <w:rFonts w:hint="eastAsia" w:ascii="宋体" w:hAnsi="宋体"/>
                <w:kern w:val="0"/>
                <w:sz w:val="18"/>
                <w:szCs w:val="18"/>
              </w:rPr>
            </w:pPr>
            <w:r>
              <w:rPr>
                <w:rFonts w:ascii="宋体" w:hAnsi="宋体"/>
                <w:kern w:val="0"/>
                <w:sz w:val="18"/>
                <w:szCs w:val="18"/>
              </w:rPr>
              <w:t>2次/1d</w:t>
            </w:r>
          </w:p>
        </w:tc>
        <w:tc>
          <w:tcPr>
            <w:tcW w:w="834" w:type="pct"/>
            <w:vAlign w:val="center"/>
          </w:tcPr>
          <w:p w14:paraId="1A104D92">
            <w:pPr>
              <w:snapToGrid w:val="0"/>
              <w:spacing w:line="240" w:lineRule="auto"/>
              <w:jc w:val="center"/>
              <w:rPr>
                <w:rFonts w:hint="eastAsia" w:ascii="宋体" w:hAnsi="宋体"/>
                <w:kern w:val="0"/>
                <w:sz w:val="18"/>
                <w:szCs w:val="18"/>
              </w:rPr>
            </w:pPr>
            <w:r>
              <w:rPr>
                <w:rFonts w:ascii="宋体" w:hAnsi="宋体"/>
                <w:kern w:val="0"/>
                <w:sz w:val="18"/>
                <w:szCs w:val="18"/>
              </w:rPr>
              <w:t>2次/1d</w:t>
            </w:r>
          </w:p>
        </w:tc>
      </w:tr>
      <w:tr w14:paraId="208BF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6BDC5377">
            <w:pPr>
              <w:snapToGrid w:val="0"/>
              <w:spacing w:line="240" w:lineRule="auto"/>
              <w:jc w:val="center"/>
              <w:rPr>
                <w:rFonts w:hint="eastAsia" w:ascii="宋体" w:hAnsi="宋体"/>
                <w:kern w:val="0"/>
                <w:sz w:val="18"/>
                <w:szCs w:val="18"/>
              </w:rPr>
            </w:pPr>
            <w:r>
              <w:rPr>
                <w:rFonts w:ascii="宋体" w:hAnsi="宋体"/>
                <w:kern w:val="0"/>
                <w:sz w:val="18"/>
                <w:szCs w:val="18"/>
              </w:rPr>
              <w:t>15～20</w:t>
            </w:r>
          </w:p>
        </w:tc>
        <w:tc>
          <w:tcPr>
            <w:tcW w:w="833" w:type="pct"/>
            <w:vAlign w:val="center"/>
          </w:tcPr>
          <w:p w14:paraId="7D4CA422">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3" w:type="pct"/>
            <w:vAlign w:val="center"/>
          </w:tcPr>
          <w:p w14:paraId="42452D70">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4" w:type="pct"/>
            <w:vAlign w:val="center"/>
          </w:tcPr>
          <w:p w14:paraId="22A0DB56">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4" w:type="pct"/>
            <w:vAlign w:val="center"/>
          </w:tcPr>
          <w:p w14:paraId="19769CEB">
            <w:pPr>
              <w:snapToGrid w:val="0"/>
              <w:spacing w:line="240" w:lineRule="auto"/>
              <w:jc w:val="center"/>
              <w:rPr>
                <w:rFonts w:hint="eastAsia" w:ascii="宋体" w:hAnsi="宋体"/>
                <w:kern w:val="0"/>
                <w:sz w:val="18"/>
                <w:szCs w:val="18"/>
              </w:rPr>
            </w:pPr>
            <w:r>
              <w:rPr>
                <w:rFonts w:ascii="宋体" w:hAnsi="宋体"/>
                <w:kern w:val="0"/>
                <w:sz w:val="18"/>
                <w:szCs w:val="18"/>
              </w:rPr>
              <w:t>2次/1d</w:t>
            </w:r>
          </w:p>
        </w:tc>
        <w:tc>
          <w:tcPr>
            <w:tcW w:w="834" w:type="pct"/>
            <w:vAlign w:val="center"/>
          </w:tcPr>
          <w:p w14:paraId="4C8D902C">
            <w:pPr>
              <w:snapToGrid w:val="0"/>
              <w:spacing w:line="240" w:lineRule="auto"/>
              <w:jc w:val="center"/>
              <w:rPr>
                <w:rFonts w:hint="eastAsia" w:ascii="宋体" w:hAnsi="宋体"/>
                <w:kern w:val="0"/>
                <w:sz w:val="18"/>
                <w:szCs w:val="18"/>
              </w:rPr>
            </w:pPr>
            <w:r>
              <w:rPr>
                <w:rFonts w:ascii="宋体" w:hAnsi="宋体"/>
                <w:kern w:val="0"/>
                <w:sz w:val="18"/>
                <w:szCs w:val="18"/>
              </w:rPr>
              <w:t>2次/1d</w:t>
            </w:r>
          </w:p>
        </w:tc>
      </w:tr>
      <w:tr w14:paraId="0EA1C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19A96956">
            <w:pPr>
              <w:snapToGrid w:val="0"/>
              <w:spacing w:line="240" w:lineRule="auto"/>
              <w:jc w:val="center"/>
              <w:rPr>
                <w:rFonts w:hint="eastAsia" w:ascii="宋体" w:hAnsi="宋体"/>
                <w:kern w:val="0"/>
                <w:sz w:val="18"/>
                <w:szCs w:val="18"/>
              </w:rPr>
            </w:pPr>
            <w:r>
              <w:rPr>
                <w:rFonts w:ascii="Times New Roman" w:hAnsi="Times New Roman"/>
                <w:kern w:val="0"/>
                <w:sz w:val="18"/>
                <w:szCs w:val="18"/>
              </w:rPr>
              <w:t>˃</w:t>
            </w:r>
            <w:r>
              <w:rPr>
                <w:rFonts w:ascii="宋体" w:hAnsi="宋体"/>
                <w:kern w:val="0"/>
                <w:sz w:val="18"/>
                <w:szCs w:val="18"/>
              </w:rPr>
              <w:t>20</w:t>
            </w:r>
          </w:p>
        </w:tc>
        <w:tc>
          <w:tcPr>
            <w:tcW w:w="833" w:type="pct"/>
            <w:vAlign w:val="center"/>
          </w:tcPr>
          <w:p w14:paraId="2FAE0180">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3" w:type="pct"/>
            <w:vAlign w:val="center"/>
          </w:tcPr>
          <w:p w14:paraId="38C88B74">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4" w:type="pct"/>
            <w:vAlign w:val="center"/>
          </w:tcPr>
          <w:p w14:paraId="449FF9FA">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4" w:type="pct"/>
            <w:vAlign w:val="center"/>
          </w:tcPr>
          <w:p w14:paraId="428B3DC5">
            <w:pPr>
              <w:snapToGrid w:val="0"/>
              <w:spacing w:line="240" w:lineRule="auto"/>
              <w:jc w:val="center"/>
              <w:rPr>
                <w:rFonts w:hint="eastAsia" w:ascii="宋体" w:hAnsi="宋体"/>
                <w:kern w:val="0"/>
                <w:sz w:val="18"/>
                <w:szCs w:val="18"/>
              </w:rPr>
            </w:pPr>
            <w:r>
              <w:rPr>
                <w:rFonts w:ascii="宋体" w:hAnsi="宋体"/>
                <w:kern w:val="0"/>
                <w:sz w:val="18"/>
                <w:szCs w:val="18"/>
              </w:rPr>
              <w:t>-</w:t>
            </w:r>
          </w:p>
        </w:tc>
        <w:tc>
          <w:tcPr>
            <w:tcW w:w="834" w:type="pct"/>
            <w:vAlign w:val="center"/>
          </w:tcPr>
          <w:p w14:paraId="487700F8">
            <w:pPr>
              <w:snapToGrid w:val="0"/>
              <w:spacing w:line="240" w:lineRule="auto"/>
              <w:jc w:val="center"/>
              <w:rPr>
                <w:rFonts w:hint="eastAsia" w:ascii="宋体" w:hAnsi="宋体"/>
                <w:kern w:val="0"/>
                <w:sz w:val="18"/>
                <w:szCs w:val="18"/>
              </w:rPr>
            </w:pPr>
            <w:r>
              <w:rPr>
                <w:rFonts w:ascii="宋体" w:hAnsi="宋体"/>
                <w:kern w:val="0"/>
                <w:sz w:val="18"/>
                <w:szCs w:val="18"/>
              </w:rPr>
              <w:t>2次/1d</w:t>
            </w:r>
          </w:p>
        </w:tc>
      </w:tr>
      <w:tr w14:paraId="4900A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 w:type="pct"/>
            <w:gridSpan w:val="6"/>
            <w:vAlign w:val="center"/>
          </w:tcPr>
          <w:p w14:paraId="75A11A8B">
            <w:pPr>
              <w:pStyle w:val="181"/>
              <w:rPr>
                <w:rFonts w:ascii="Calibri" w:hAnsi="Calibri"/>
                <w:kern w:val="2"/>
                <w:sz w:val="21"/>
              </w:rPr>
            </w:pPr>
            <w:r>
              <w:rPr>
                <w:rFonts w:hint="eastAsia"/>
              </w:rPr>
              <w:t>d为天。</w:t>
            </w:r>
          </w:p>
        </w:tc>
      </w:tr>
    </w:tbl>
    <w:p w14:paraId="11DDB8C2">
      <w:pPr>
        <w:pStyle w:val="167"/>
      </w:pPr>
      <w:r>
        <w:rPr>
          <w:rFonts w:hint="eastAsia"/>
        </w:rPr>
        <w:t>变形监测应根据顶进施工地段岩土条件，监测对象特征，监测对象本身的允许变形值以及设计和相关规范要求制定预警标准，当实测变形值大于预警标准的2/3时，应及时上报，并启动应急预案。</w:t>
      </w:r>
    </w:p>
    <w:p w14:paraId="7F5D9AB8">
      <w:pPr>
        <w:pStyle w:val="107"/>
        <w:spacing w:before="156" w:after="156"/>
      </w:pPr>
      <w:bookmarkStart w:id="174" w:name="_Toc100142452"/>
      <w:bookmarkStart w:id="175" w:name="_Toc97293151"/>
      <w:bookmarkStart w:id="176" w:name="_Toc100145192"/>
      <w:r>
        <w:rPr>
          <w:rFonts w:hint="eastAsia"/>
        </w:rPr>
        <w:t>信息化施工</w:t>
      </w:r>
      <w:bookmarkEnd w:id="174"/>
      <w:bookmarkEnd w:id="175"/>
      <w:bookmarkEnd w:id="176"/>
    </w:p>
    <w:p w14:paraId="1C07CFE4">
      <w:pPr>
        <w:pStyle w:val="167"/>
      </w:pPr>
      <w:r>
        <w:rPr>
          <w:rFonts w:hint="eastAsia"/>
        </w:rPr>
        <w:t>顶管工程施工监测应建立变形监测信息反馈体系，根据变形体变形程度和可能产生的安全隐患，应建立不同等级监测信息的信息化反馈渠道</w:t>
      </w:r>
    </w:p>
    <w:p w14:paraId="27908B60">
      <w:pPr>
        <w:pStyle w:val="167"/>
      </w:pPr>
      <w:r>
        <w:rPr>
          <w:rFonts w:hint="eastAsia"/>
        </w:rPr>
        <w:t>监测信息化平台应能进行变形监测信息数据处理和管理，宜实行监测数据采集、处理、分析、查询管理等一体化。</w:t>
      </w:r>
    </w:p>
    <w:p w14:paraId="1617C2EA">
      <w:pPr>
        <w:pStyle w:val="106"/>
        <w:spacing w:before="312" w:after="312"/>
      </w:pPr>
      <w:bookmarkStart w:id="177" w:name="_Toc100145193"/>
      <w:bookmarkStart w:id="178" w:name="_Toc100142453"/>
      <w:r>
        <w:t>质量验收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177"/>
      <w:bookmarkEnd w:id="178"/>
    </w:p>
    <w:p w14:paraId="1E7C8A4D">
      <w:pPr>
        <w:pStyle w:val="107"/>
        <w:spacing w:before="156" w:after="156"/>
      </w:pPr>
      <w:bookmarkStart w:id="179" w:name="_Toc100142454"/>
      <w:bookmarkStart w:id="180" w:name="_Toc472961566"/>
      <w:bookmarkStart w:id="181" w:name="_Toc97293153"/>
      <w:bookmarkStart w:id="182" w:name="_Toc100145194"/>
      <w:bookmarkStart w:id="183" w:name="_Toc100138100"/>
      <w:bookmarkStart w:id="184" w:name="_Toc458279613"/>
      <w:bookmarkStart w:id="185" w:name="_Toc484503872"/>
      <w:bookmarkStart w:id="186" w:name="_Toc474229847"/>
      <w:bookmarkStart w:id="187" w:name="_Toc472351215"/>
      <w:bookmarkStart w:id="188" w:name="_Toc339208962"/>
      <w:bookmarkStart w:id="189" w:name="_Toc339213458"/>
      <w:bookmarkStart w:id="190" w:name="_Toc472351307"/>
      <w:bookmarkStart w:id="191" w:name="_Toc472961779"/>
      <w:r>
        <w:t>基本规定</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1026A568">
      <w:pPr>
        <w:pStyle w:val="167"/>
      </w:pPr>
      <w:r>
        <w:t>所有顶管设备</w:t>
      </w:r>
      <w:r>
        <w:rPr>
          <w:rFonts w:hint="eastAsia"/>
        </w:rPr>
        <w:t>应</w:t>
      </w:r>
      <w:r>
        <w:t>经检验合格后方可进入施工现场，并应进行单机、整机联动调试。</w:t>
      </w:r>
    </w:p>
    <w:p w14:paraId="0FDE69BE">
      <w:pPr>
        <w:pStyle w:val="167"/>
      </w:pPr>
      <w:r>
        <w:rPr>
          <w:rFonts w:hint="eastAsia"/>
          <w:bCs/>
        </w:rPr>
        <w:t>施工单位应会同建设单位、监理单位将工程划分为</w:t>
      </w:r>
      <w:r>
        <w:t>单位工程、分部工程、分项工程和</w:t>
      </w:r>
      <w:r>
        <w:rPr>
          <w:rFonts w:hint="eastAsia"/>
        </w:rPr>
        <w:t>检验批，作为施工质量检查、验收的依据。</w:t>
      </w:r>
    </w:p>
    <w:p w14:paraId="4C0B8C84">
      <w:pPr>
        <w:pStyle w:val="167"/>
      </w:pPr>
      <w:r>
        <w:t>顶管工程施工质量验收应在施工单位自检基础上，按</w:t>
      </w:r>
      <w:r>
        <w:rPr>
          <w:rFonts w:hint="eastAsia"/>
        </w:rPr>
        <w:t>检验批</w:t>
      </w:r>
      <w:r>
        <w:t>、分项工程、分部工程、单位</w:t>
      </w:r>
      <w:r>
        <w:rPr>
          <w:rFonts w:hint="eastAsia"/>
        </w:rPr>
        <w:t>（子单位）</w:t>
      </w:r>
      <w:r>
        <w:t>工程的顺序进行，并应符合下列规定：</w:t>
      </w:r>
    </w:p>
    <w:p w14:paraId="1D20E3D7">
      <w:pPr>
        <w:pStyle w:val="176"/>
      </w:pPr>
      <w:r>
        <w:t>工程施工质量应符合本规程和国家</w:t>
      </w:r>
      <w:r>
        <w:rPr>
          <w:rFonts w:hint="eastAsia"/>
        </w:rPr>
        <w:t>与</w:t>
      </w:r>
      <w:r>
        <w:t>地方相关验收规范的规定；</w:t>
      </w:r>
    </w:p>
    <w:p w14:paraId="4D23FB2D">
      <w:pPr>
        <w:pStyle w:val="176"/>
      </w:pPr>
      <w:r>
        <w:t>工程施工质量应符合工程勘察、设计文件的要求；</w:t>
      </w:r>
    </w:p>
    <w:p w14:paraId="6C049BD5">
      <w:pPr>
        <w:pStyle w:val="176"/>
      </w:pPr>
      <w:r>
        <w:t>参加工程施工质量验收的各方人员应具备相应的资格；</w:t>
      </w:r>
    </w:p>
    <w:p w14:paraId="1FC568AE">
      <w:pPr>
        <w:pStyle w:val="176"/>
      </w:pPr>
      <w:r>
        <w:t>涉及结构安全和使用功能的试块、试件和现场检测项目，应按规定进行平行检测或见证取样检测；</w:t>
      </w:r>
    </w:p>
    <w:p w14:paraId="02A6E35D">
      <w:pPr>
        <w:pStyle w:val="176"/>
      </w:pPr>
      <w:r>
        <w:rPr>
          <w:rFonts w:hint="eastAsia"/>
        </w:rPr>
        <w:t>检验批</w:t>
      </w:r>
      <w:r>
        <w:t>的质量应按主控项目和一般项目进行验收；</w:t>
      </w:r>
    </w:p>
    <w:p w14:paraId="095F1ED7">
      <w:pPr>
        <w:pStyle w:val="176"/>
      </w:pPr>
      <w:r>
        <w:t>承担检测的单位应具有相应的资质；</w:t>
      </w:r>
    </w:p>
    <w:p w14:paraId="1D61A3F2">
      <w:pPr>
        <w:pStyle w:val="176"/>
      </w:pPr>
      <w:r>
        <w:t>外观质量由质量验收人员现场检查共同确认。</w:t>
      </w:r>
    </w:p>
    <w:p w14:paraId="74369BD5">
      <w:pPr>
        <w:pStyle w:val="167"/>
      </w:pPr>
      <w:r>
        <w:rPr>
          <w:rFonts w:hint="eastAsia"/>
        </w:rPr>
        <w:t>检验批</w:t>
      </w:r>
      <w:r>
        <w:t>质量验收应符合下列规定：</w:t>
      </w:r>
    </w:p>
    <w:p w14:paraId="50315253">
      <w:pPr>
        <w:pStyle w:val="176"/>
        <w:numPr>
          <w:ilvl w:val="0"/>
          <w:numId w:val="51"/>
        </w:numPr>
      </w:pPr>
      <w:r>
        <w:t>主控项目的质量经抽样检验合格；</w:t>
      </w:r>
    </w:p>
    <w:p w14:paraId="2F248583">
      <w:pPr>
        <w:pStyle w:val="176"/>
      </w:pPr>
      <w:r>
        <w:t>一般项目中的实</w:t>
      </w:r>
      <w:r>
        <w:rPr>
          <w:rFonts w:hint="eastAsia"/>
        </w:rPr>
        <w:t>测</w:t>
      </w:r>
      <w:r>
        <w:t>（允许偏差）项目抽样检验的合格率应达到80%</w:t>
      </w:r>
      <w:r>
        <w:rPr>
          <w:rFonts w:hint="eastAsia"/>
        </w:rPr>
        <w:t>以上</w:t>
      </w:r>
      <w:r>
        <w:t>，且超差点的最大偏差值应在允许偏差值的1.5倍范围内；</w:t>
      </w:r>
    </w:p>
    <w:p w14:paraId="124B1053">
      <w:pPr>
        <w:pStyle w:val="176"/>
      </w:pPr>
      <w:r>
        <w:t>主要工程材料的进场验收和复验合格，试块、试件检验合格；</w:t>
      </w:r>
    </w:p>
    <w:p w14:paraId="11116C7B">
      <w:pPr>
        <w:pStyle w:val="176"/>
      </w:pPr>
      <w:r>
        <w:t>主要工程材料的质量保证资料以及相关试验检测资料齐全、正确；具有完整的施工操作依据和质量检查记录。</w:t>
      </w:r>
    </w:p>
    <w:p w14:paraId="19846594">
      <w:pPr>
        <w:pStyle w:val="167"/>
      </w:pPr>
      <w:r>
        <w:t>分项工程质量验收应符合下列规定：</w:t>
      </w:r>
    </w:p>
    <w:p w14:paraId="34428E06">
      <w:pPr>
        <w:pStyle w:val="176"/>
        <w:numPr>
          <w:ilvl w:val="0"/>
          <w:numId w:val="52"/>
        </w:numPr>
      </w:pPr>
      <w:r>
        <w:t>分项工程所含的</w:t>
      </w:r>
      <w:r>
        <w:rPr>
          <w:rFonts w:hint="eastAsia"/>
        </w:rPr>
        <w:t>检验批</w:t>
      </w:r>
      <w:r>
        <w:t>的质量验收全部合格；</w:t>
      </w:r>
    </w:p>
    <w:p w14:paraId="0B08EC88">
      <w:pPr>
        <w:pStyle w:val="176"/>
      </w:pPr>
      <w:r>
        <w:t>分项工程所含的</w:t>
      </w:r>
      <w:r>
        <w:rPr>
          <w:rFonts w:hint="eastAsia"/>
        </w:rPr>
        <w:t>检验批</w:t>
      </w:r>
      <w:r>
        <w:t>的质量验收记录应完整、正确；有关质量保证资料和试验检测资料应齐全、正确。</w:t>
      </w:r>
    </w:p>
    <w:p w14:paraId="585ABA8C">
      <w:pPr>
        <w:pStyle w:val="167"/>
      </w:pPr>
      <w:r>
        <w:t>分部工程质量验收应符合下列规定：</w:t>
      </w:r>
    </w:p>
    <w:p w14:paraId="6DB335EC">
      <w:pPr>
        <w:pStyle w:val="176"/>
        <w:numPr>
          <w:ilvl w:val="0"/>
          <w:numId w:val="53"/>
        </w:numPr>
      </w:pPr>
      <w:r>
        <w:t>分部工程所含分项工程的质量验收全部合格；</w:t>
      </w:r>
    </w:p>
    <w:p w14:paraId="676BBE30">
      <w:pPr>
        <w:pStyle w:val="176"/>
      </w:pPr>
      <w:r>
        <w:t>质量控制资料应完整</w:t>
      </w:r>
      <w:r>
        <w:rPr>
          <w:rFonts w:hint="eastAsia"/>
        </w:rPr>
        <w:t>。</w:t>
      </w:r>
    </w:p>
    <w:p w14:paraId="1B8853CC">
      <w:pPr>
        <w:pStyle w:val="167"/>
      </w:pPr>
      <w:r>
        <w:t>单位工程质量验收应符合下列规定：</w:t>
      </w:r>
    </w:p>
    <w:p w14:paraId="75AA7367">
      <w:pPr>
        <w:pStyle w:val="176"/>
        <w:numPr>
          <w:ilvl w:val="0"/>
          <w:numId w:val="54"/>
        </w:numPr>
      </w:pPr>
      <w:r>
        <w:t>单位工程所含分部工程质量验收全部合格；</w:t>
      </w:r>
    </w:p>
    <w:p w14:paraId="5571A93D">
      <w:pPr>
        <w:pStyle w:val="176"/>
      </w:pPr>
      <w:r>
        <w:t>质量控制资料应完整；</w:t>
      </w:r>
    </w:p>
    <w:p w14:paraId="5531043C">
      <w:pPr>
        <w:pStyle w:val="176"/>
      </w:pPr>
      <w:r>
        <w:t>单位工程所含分部工程有关安全及使用功能的检测资料应完整；</w:t>
      </w:r>
    </w:p>
    <w:p w14:paraId="6A8DE229">
      <w:pPr>
        <w:pStyle w:val="176"/>
      </w:pPr>
      <w:r>
        <w:t>外观质量验收应符合要求。</w:t>
      </w:r>
    </w:p>
    <w:p w14:paraId="6F8EE943">
      <w:pPr>
        <w:pStyle w:val="167"/>
      </w:pPr>
      <w:r>
        <w:t>顶管工程质量验收不合格时，应按下列规定处理：</w:t>
      </w:r>
    </w:p>
    <w:p w14:paraId="595D6278">
      <w:pPr>
        <w:pStyle w:val="176"/>
        <w:numPr>
          <w:ilvl w:val="0"/>
          <w:numId w:val="55"/>
        </w:numPr>
      </w:pPr>
      <w:r>
        <w:t>经返工</w:t>
      </w:r>
      <w:r>
        <w:rPr>
          <w:rFonts w:hint="eastAsia"/>
        </w:rPr>
        <w:t>、返修或更换构件、部件的</w:t>
      </w:r>
      <w:r>
        <w:t>，应重新进行验收；</w:t>
      </w:r>
    </w:p>
    <w:p w14:paraId="4AD827A3">
      <w:pPr>
        <w:pStyle w:val="176"/>
      </w:pPr>
      <w:r>
        <w:t>经有相应资质的检测</w:t>
      </w:r>
      <w:r>
        <w:rPr>
          <w:rFonts w:hint="eastAsia"/>
        </w:rPr>
        <w:t>机构</w:t>
      </w:r>
      <w:r>
        <w:t>检测鉴定能够达到设计要求的，应予以验收；</w:t>
      </w:r>
    </w:p>
    <w:p w14:paraId="1512867E">
      <w:pPr>
        <w:pStyle w:val="176"/>
      </w:pPr>
      <w:r>
        <w:t>经有相应资质的检测</w:t>
      </w:r>
      <w:r>
        <w:rPr>
          <w:rFonts w:hint="eastAsia"/>
        </w:rPr>
        <w:t>机构</w:t>
      </w:r>
      <w:r>
        <w:t>检测鉴定达不到设计要求，但经原设计单位验算认可，能够满足结构安全和使用功能要求的，可予以验收；</w:t>
      </w:r>
    </w:p>
    <w:p w14:paraId="189A26B5">
      <w:pPr>
        <w:pStyle w:val="176"/>
      </w:pPr>
      <w:r>
        <w:t>经返修或加固处理能满足结构安全和使用功能要求，可按技术处理方案和协商文件验收。</w:t>
      </w:r>
    </w:p>
    <w:p w14:paraId="731EEC21">
      <w:pPr>
        <w:pStyle w:val="167"/>
      </w:pPr>
      <w:r>
        <w:t>通过返修或加固处理仍不能满足结构安全或使用功能要求的，不得通过验收。</w:t>
      </w:r>
    </w:p>
    <w:p w14:paraId="110A1D1F">
      <w:pPr>
        <w:pStyle w:val="167"/>
      </w:pPr>
      <w:r>
        <w:t>单位工程经施工单位自行检验合格后，应由施工单位向建设单位提出验收申请。对符合竣工验收条件的单位工程，应由建设单位按规定组织验收。勘察、设计、施工、监理等单位以及该工程的管理或使用单位有关人员应参加验收。</w:t>
      </w:r>
    </w:p>
    <w:p w14:paraId="73D667D7">
      <w:pPr>
        <w:pStyle w:val="107"/>
        <w:spacing w:before="156" w:after="156"/>
      </w:pPr>
      <w:bookmarkStart w:id="192" w:name="_Toc484503873"/>
      <w:bookmarkStart w:id="193" w:name="_Toc339208963"/>
      <w:bookmarkStart w:id="194" w:name="_Toc474229848"/>
      <w:bookmarkStart w:id="195" w:name="_Toc339213459"/>
      <w:bookmarkStart w:id="196" w:name="_Toc472351308"/>
      <w:bookmarkStart w:id="197" w:name="_Toc100142455"/>
      <w:bookmarkStart w:id="198" w:name="_Toc472961780"/>
      <w:bookmarkStart w:id="199" w:name="_Toc100145195"/>
      <w:bookmarkStart w:id="200" w:name="_Toc472961567"/>
      <w:bookmarkStart w:id="201" w:name="_Toc472351216"/>
      <w:bookmarkStart w:id="202" w:name="_Toc458279614"/>
      <w:bookmarkStart w:id="203" w:name="_Toc97293154"/>
      <w:r>
        <w:t>质量验收</w:t>
      </w:r>
      <w:bookmarkEnd w:id="192"/>
      <w:bookmarkEnd w:id="193"/>
      <w:bookmarkEnd w:id="194"/>
      <w:bookmarkEnd w:id="195"/>
      <w:bookmarkEnd w:id="196"/>
      <w:bookmarkEnd w:id="197"/>
      <w:bookmarkEnd w:id="198"/>
      <w:bookmarkEnd w:id="199"/>
      <w:bookmarkEnd w:id="200"/>
      <w:bookmarkEnd w:id="201"/>
      <w:bookmarkEnd w:id="202"/>
      <w:bookmarkEnd w:id="203"/>
    </w:p>
    <w:p w14:paraId="390F8C02">
      <w:pPr>
        <w:pStyle w:val="167"/>
      </w:pPr>
      <w:r>
        <w:t>工作井的围护结构、井内结构施工质量验收标准应按现行国家标准《建筑地基基础工程施工质量验收</w:t>
      </w:r>
      <w:r>
        <w:rPr>
          <w:rFonts w:hint="eastAsia"/>
        </w:rPr>
        <w:t>标准</w:t>
      </w:r>
      <w:r>
        <w:t>》GB50202、《</w:t>
      </w:r>
      <w:r>
        <w:rPr>
          <w:rFonts w:hint="eastAsia"/>
        </w:rPr>
        <w:t>混凝土结构工程施工质量验收规范</w:t>
      </w:r>
      <w:r>
        <w:t>》GB50</w:t>
      </w:r>
      <w:r>
        <w:rPr>
          <w:rFonts w:hint="eastAsia"/>
        </w:rPr>
        <w:t>204</w:t>
      </w:r>
      <w:r>
        <w:t>的相关规定执行。</w:t>
      </w:r>
    </w:p>
    <w:p w14:paraId="2805DF8B">
      <w:pPr>
        <w:pStyle w:val="167"/>
      </w:pPr>
      <w:r>
        <w:t>工作井应符合下列规定：</w:t>
      </w:r>
    </w:p>
    <w:p w14:paraId="5365F8DB">
      <w:pPr>
        <w:pStyle w:val="176"/>
        <w:numPr>
          <w:ilvl w:val="0"/>
          <w:numId w:val="56"/>
        </w:numPr>
      </w:pPr>
      <w:r>
        <w:t>主控项目</w:t>
      </w:r>
    </w:p>
    <w:p w14:paraId="3C17216E">
      <w:pPr>
        <w:pStyle w:val="111"/>
      </w:pPr>
      <w:r>
        <w:t>工程原材料、成品</w:t>
      </w:r>
      <w:r>
        <w:rPr>
          <w:rFonts w:hint="eastAsia"/>
        </w:rPr>
        <w:t>和</w:t>
      </w:r>
      <w:r>
        <w:t>半成品的产品质量应符合国家相关标准规定和设计要求；</w:t>
      </w:r>
    </w:p>
    <w:p w14:paraId="56129509">
      <w:pPr>
        <w:pStyle w:val="111"/>
      </w:pPr>
      <w:r>
        <w:t>工作井结构的强度、刚度和尺寸应满足设计要求；</w:t>
      </w:r>
    </w:p>
    <w:p w14:paraId="604D43A6">
      <w:pPr>
        <w:pStyle w:val="111"/>
      </w:pPr>
      <w:r>
        <w:t>混凝土结构的抗压强度等级、抗渗等级</w:t>
      </w:r>
      <w:r>
        <w:rPr>
          <w:rFonts w:hint="eastAsia"/>
        </w:rPr>
        <w:t>应</w:t>
      </w:r>
      <w:r>
        <w:t>符合设计要求</w:t>
      </w:r>
      <w:r>
        <w:rPr>
          <w:rFonts w:hint="eastAsia"/>
        </w:rPr>
        <w:t>。</w:t>
      </w:r>
    </w:p>
    <w:p w14:paraId="533D9864">
      <w:pPr>
        <w:pStyle w:val="176"/>
      </w:pPr>
      <w:r>
        <w:t>一般项目</w:t>
      </w:r>
    </w:p>
    <w:p w14:paraId="78B18F71">
      <w:pPr>
        <w:pStyle w:val="111"/>
      </w:pPr>
      <w:r>
        <w:t>结构无明显渗水现象；</w:t>
      </w:r>
    </w:p>
    <w:p w14:paraId="0882E061">
      <w:pPr>
        <w:pStyle w:val="111"/>
      </w:pPr>
      <w:r>
        <w:t>顶管顶进工作井的后背墙应坚实、平整</w:t>
      </w:r>
      <w:r>
        <w:rPr>
          <w:rFonts w:hint="eastAsia"/>
        </w:rPr>
        <w:t>，</w:t>
      </w:r>
      <w:r>
        <w:t>后座与井壁后背墙联系紧密；</w:t>
      </w:r>
    </w:p>
    <w:p w14:paraId="067B8A48">
      <w:pPr>
        <w:pStyle w:val="111"/>
      </w:pPr>
      <w:r>
        <w:t>工作井施工的允许偏差应符合表</w:t>
      </w:r>
      <w:r>
        <w:rPr>
          <w:rFonts w:hint="eastAsia"/>
        </w:rPr>
        <w:t>5</w:t>
      </w:r>
      <w:r>
        <w:t>的规定。</w:t>
      </w:r>
    </w:p>
    <w:p w14:paraId="18F14A4B">
      <w:pPr>
        <w:pStyle w:val="114"/>
        <w:spacing w:before="156" w:after="156"/>
      </w:pPr>
      <w:r>
        <w:rPr>
          <w:rFonts w:hint="eastAsia"/>
        </w:rPr>
        <w:t>顶管</w:t>
      </w:r>
      <w:r>
        <w:t>井施工的允许偏差</w:t>
      </w:r>
    </w:p>
    <w:tbl>
      <w:tblPr>
        <w:tblStyle w:val="28"/>
        <w:tblW w:w="89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25"/>
        <w:gridCol w:w="1275"/>
        <w:gridCol w:w="1711"/>
        <w:gridCol w:w="983"/>
        <w:gridCol w:w="1695"/>
        <w:gridCol w:w="1701"/>
      </w:tblGrid>
      <w:tr w14:paraId="55B21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2825" w:type="dxa"/>
            <w:gridSpan w:val="3"/>
            <w:vMerge w:val="restart"/>
            <w:vAlign w:val="center"/>
          </w:tcPr>
          <w:p w14:paraId="1105B3AB">
            <w:pPr>
              <w:snapToGrid w:val="0"/>
              <w:spacing w:line="240" w:lineRule="auto"/>
              <w:jc w:val="center"/>
              <w:rPr>
                <w:rFonts w:hint="eastAsia" w:ascii="宋体" w:hAnsi="宋体"/>
                <w:sz w:val="18"/>
                <w:szCs w:val="18"/>
              </w:rPr>
            </w:pPr>
            <w:r>
              <w:rPr>
                <w:rFonts w:ascii="宋体" w:hAnsi="宋体"/>
                <w:sz w:val="18"/>
                <w:szCs w:val="18"/>
              </w:rPr>
              <w:t>检查项目</w:t>
            </w:r>
          </w:p>
        </w:tc>
        <w:tc>
          <w:tcPr>
            <w:tcW w:w="1711" w:type="dxa"/>
            <w:vMerge w:val="restart"/>
            <w:vAlign w:val="center"/>
          </w:tcPr>
          <w:p w14:paraId="762A3856">
            <w:pPr>
              <w:snapToGrid w:val="0"/>
              <w:spacing w:line="240" w:lineRule="auto"/>
              <w:jc w:val="center"/>
              <w:rPr>
                <w:rFonts w:hint="eastAsia" w:ascii="宋体" w:hAnsi="宋体"/>
                <w:sz w:val="18"/>
                <w:szCs w:val="18"/>
              </w:rPr>
            </w:pPr>
            <w:r>
              <w:rPr>
                <w:rFonts w:ascii="宋体" w:hAnsi="宋体"/>
                <w:sz w:val="18"/>
                <w:szCs w:val="18"/>
              </w:rPr>
              <w:t>允许偏差（mm）</w:t>
            </w:r>
          </w:p>
        </w:tc>
        <w:tc>
          <w:tcPr>
            <w:tcW w:w="2678" w:type="dxa"/>
            <w:gridSpan w:val="2"/>
            <w:vAlign w:val="center"/>
          </w:tcPr>
          <w:p w14:paraId="0F917485">
            <w:pPr>
              <w:snapToGrid w:val="0"/>
              <w:spacing w:line="240" w:lineRule="auto"/>
              <w:jc w:val="center"/>
              <w:rPr>
                <w:rFonts w:hint="eastAsia" w:ascii="宋体" w:hAnsi="宋体"/>
                <w:sz w:val="18"/>
                <w:szCs w:val="18"/>
              </w:rPr>
            </w:pPr>
            <w:r>
              <w:rPr>
                <w:rFonts w:ascii="宋体" w:hAnsi="宋体"/>
                <w:sz w:val="18"/>
                <w:szCs w:val="18"/>
              </w:rPr>
              <w:t>检查数量</w:t>
            </w:r>
          </w:p>
        </w:tc>
        <w:tc>
          <w:tcPr>
            <w:tcW w:w="1701" w:type="dxa"/>
            <w:vMerge w:val="restart"/>
            <w:vAlign w:val="center"/>
          </w:tcPr>
          <w:p w14:paraId="15923335">
            <w:pPr>
              <w:snapToGrid w:val="0"/>
              <w:spacing w:line="240" w:lineRule="auto"/>
              <w:jc w:val="center"/>
              <w:rPr>
                <w:rFonts w:hint="eastAsia" w:ascii="宋体" w:hAnsi="宋体"/>
                <w:sz w:val="18"/>
                <w:szCs w:val="18"/>
              </w:rPr>
            </w:pPr>
            <w:r>
              <w:rPr>
                <w:rFonts w:ascii="宋体" w:hAnsi="宋体"/>
                <w:sz w:val="18"/>
                <w:szCs w:val="18"/>
              </w:rPr>
              <w:t>检查方法</w:t>
            </w:r>
          </w:p>
        </w:tc>
      </w:tr>
      <w:tr w14:paraId="05F0B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825" w:type="dxa"/>
            <w:gridSpan w:val="3"/>
            <w:vMerge w:val="continue"/>
            <w:tcBorders>
              <w:bottom w:val="single" w:color="auto" w:sz="8" w:space="0"/>
            </w:tcBorders>
            <w:vAlign w:val="center"/>
          </w:tcPr>
          <w:p w14:paraId="4DF16DB0">
            <w:pPr>
              <w:snapToGrid w:val="0"/>
              <w:spacing w:line="240" w:lineRule="auto"/>
              <w:jc w:val="center"/>
              <w:rPr>
                <w:rFonts w:hint="eastAsia" w:ascii="宋体" w:hAnsi="宋体"/>
                <w:sz w:val="18"/>
                <w:szCs w:val="18"/>
              </w:rPr>
            </w:pPr>
          </w:p>
        </w:tc>
        <w:tc>
          <w:tcPr>
            <w:tcW w:w="1711" w:type="dxa"/>
            <w:vMerge w:val="continue"/>
            <w:tcBorders>
              <w:bottom w:val="single" w:color="auto" w:sz="8" w:space="0"/>
            </w:tcBorders>
            <w:vAlign w:val="center"/>
          </w:tcPr>
          <w:p w14:paraId="7E79CF24">
            <w:pPr>
              <w:snapToGrid w:val="0"/>
              <w:spacing w:line="240" w:lineRule="auto"/>
              <w:jc w:val="center"/>
              <w:rPr>
                <w:rFonts w:hint="eastAsia" w:ascii="宋体" w:hAnsi="宋体"/>
                <w:sz w:val="18"/>
                <w:szCs w:val="18"/>
              </w:rPr>
            </w:pPr>
          </w:p>
        </w:tc>
        <w:tc>
          <w:tcPr>
            <w:tcW w:w="983" w:type="dxa"/>
            <w:tcBorders>
              <w:bottom w:val="single" w:color="auto" w:sz="8" w:space="0"/>
            </w:tcBorders>
            <w:vAlign w:val="center"/>
          </w:tcPr>
          <w:p w14:paraId="1E3464E2">
            <w:pPr>
              <w:snapToGrid w:val="0"/>
              <w:spacing w:line="240" w:lineRule="auto"/>
              <w:jc w:val="center"/>
              <w:rPr>
                <w:rFonts w:hint="eastAsia" w:ascii="宋体" w:hAnsi="宋体"/>
                <w:sz w:val="18"/>
                <w:szCs w:val="18"/>
              </w:rPr>
            </w:pPr>
            <w:r>
              <w:rPr>
                <w:rFonts w:ascii="宋体" w:hAnsi="宋体"/>
                <w:sz w:val="18"/>
                <w:szCs w:val="18"/>
              </w:rPr>
              <w:t>范围</w:t>
            </w:r>
          </w:p>
        </w:tc>
        <w:tc>
          <w:tcPr>
            <w:tcW w:w="1695" w:type="dxa"/>
            <w:tcBorders>
              <w:bottom w:val="single" w:color="auto" w:sz="8" w:space="0"/>
            </w:tcBorders>
            <w:vAlign w:val="center"/>
          </w:tcPr>
          <w:p w14:paraId="542EC1BA">
            <w:pPr>
              <w:snapToGrid w:val="0"/>
              <w:spacing w:line="240" w:lineRule="auto"/>
              <w:jc w:val="center"/>
              <w:rPr>
                <w:rFonts w:hint="eastAsia" w:ascii="宋体" w:hAnsi="宋体"/>
                <w:sz w:val="18"/>
                <w:szCs w:val="18"/>
              </w:rPr>
            </w:pPr>
            <w:r>
              <w:rPr>
                <w:rFonts w:ascii="宋体" w:hAnsi="宋体"/>
                <w:sz w:val="18"/>
                <w:szCs w:val="18"/>
              </w:rPr>
              <w:t>点数</w:t>
            </w:r>
          </w:p>
        </w:tc>
        <w:tc>
          <w:tcPr>
            <w:tcW w:w="1701" w:type="dxa"/>
            <w:vMerge w:val="continue"/>
            <w:tcBorders>
              <w:bottom w:val="single" w:color="auto" w:sz="8" w:space="0"/>
            </w:tcBorders>
            <w:vAlign w:val="center"/>
          </w:tcPr>
          <w:p w14:paraId="58940A02">
            <w:pPr>
              <w:snapToGrid w:val="0"/>
              <w:spacing w:line="240" w:lineRule="auto"/>
              <w:jc w:val="center"/>
              <w:rPr>
                <w:rFonts w:hint="eastAsia" w:ascii="宋体" w:hAnsi="宋体"/>
                <w:sz w:val="18"/>
                <w:szCs w:val="18"/>
              </w:rPr>
            </w:pPr>
          </w:p>
        </w:tc>
      </w:tr>
      <w:tr w14:paraId="1B3C5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25" w:type="dxa"/>
            <w:tcBorders>
              <w:top w:val="single" w:color="auto" w:sz="8" w:space="0"/>
              <w:bottom w:val="single" w:color="auto" w:sz="4" w:space="0"/>
            </w:tcBorders>
            <w:vAlign w:val="center"/>
          </w:tcPr>
          <w:p w14:paraId="32D6B682">
            <w:pPr>
              <w:snapToGrid w:val="0"/>
              <w:spacing w:line="240" w:lineRule="auto"/>
              <w:jc w:val="center"/>
              <w:rPr>
                <w:rFonts w:hint="eastAsia" w:ascii="宋体" w:hAnsi="宋体"/>
                <w:sz w:val="18"/>
                <w:szCs w:val="18"/>
              </w:rPr>
            </w:pPr>
            <w:r>
              <w:rPr>
                <w:rFonts w:hint="eastAsia" w:ascii="宋体" w:hAnsi="宋体"/>
                <w:sz w:val="18"/>
                <w:szCs w:val="18"/>
              </w:rPr>
              <w:t>1</w:t>
            </w:r>
          </w:p>
        </w:tc>
        <w:tc>
          <w:tcPr>
            <w:tcW w:w="1125" w:type="dxa"/>
            <w:tcBorders>
              <w:top w:val="single" w:color="auto" w:sz="8" w:space="0"/>
              <w:bottom w:val="single" w:color="auto" w:sz="4" w:space="0"/>
            </w:tcBorders>
            <w:vAlign w:val="center"/>
          </w:tcPr>
          <w:p w14:paraId="125DF6AB">
            <w:pPr>
              <w:snapToGrid w:val="0"/>
              <w:spacing w:line="240" w:lineRule="auto"/>
              <w:jc w:val="center"/>
              <w:rPr>
                <w:rFonts w:hint="eastAsia" w:ascii="宋体" w:hAnsi="宋体"/>
                <w:sz w:val="18"/>
                <w:szCs w:val="18"/>
              </w:rPr>
            </w:pPr>
            <w:r>
              <w:rPr>
                <w:rFonts w:ascii="宋体" w:hAnsi="宋体"/>
                <w:sz w:val="18"/>
                <w:szCs w:val="18"/>
              </w:rPr>
              <w:t>井尺寸</w:t>
            </w:r>
          </w:p>
        </w:tc>
        <w:tc>
          <w:tcPr>
            <w:tcW w:w="1275" w:type="dxa"/>
            <w:tcBorders>
              <w:top w:val="single" w:color="auto" w:sz="8" w:space="0"/>
              <w:bottom w:val="single" w:color="auto" w:sz="4" w:space="0"/>
            </w:tcBorders>
            <w:vAlign w:val="center"/>
          </w:tcPr>
          <w:p w14:paraId="3FCBF590">
            <w:pPr>
              <w:snapToGrid w:val="0"/>
              <w:spacing w:line="240" w:lineRule="auto"/>
              <w:jc w:val="center"/>
              <w:rPr>
                <w:rFonts w:hint="eastAsia" w:ascii="宋体" w:hAnsi="宋体"/>
                <w:sz w:val="18"/>
                <w:szCs w:val="18"/>
              </w:rPr>
            </w:pPr>
            <w:r>
              <w:rPr>
                <w:rFonts w:ascii="宋体" w:hAnsi="宋体"/>
                <w:sz w:val="18"/>
                <w:szCs w:val="18"/>
              </w:rPr>
              <w:t>每侧长、宽</w:t>
            </w:r>
          </w:p>
        </w:tc>
        <w:tc>
          <w:tcPr>
            <w:tcW w:w="1711" w:type="dxa"/>
            <w:tcBorders>
              <w:top w:val="single" w:color="auto" w:sz="8" w:space="0"/>
              <w:bottom w:val="single" w:color="auto" w:sz="4" w:space="0"/>
            </w:tcBorders>
            <w:vAlign w:val="center"/>
          </w:tcPr>
          <w:p w14:paraId="1721B072">
            <w:pPr>
              <w:snapToGrid w:val="0"/>
              <w:spacing w:line="240" w:lineRule="auto"/>
              <w:jc w:val="center"/>
              <w:rPr>
                <w:rFonts w:hint="eastAsia" w:ascii="宋体" w:hAnsi="宋体"/>
                <w:sz w:val="18"/>
                <w:szCs w:val="18"/>
              </w:rPr>
            </w:pPr>
            <w:r>
              <w:rPr>
                <w:rFonts w:ascii="宋体" w:hAnsi="宋体"/>
                <w:sz w:val="18"/>
                <w:szCs w:val="18"/>
              </w:rPr>
              <w:t>不小于设计要求</w:t>
            </w:r>
          </w:p>
        </w:tc>
        <w:tc>
          <w:tcPr>
            <w:tcW w:w="983" w:type="dxa"/>
            <w:tcBorders>
              <w:top w:val="single" w:color="auto" w:sz="8" w:space="0"/>
              <w:bottom w:val="single" w:color="auto" w:sz="4" w:space="0"/>
            </w:tcBorders>
            <w:vAlign w:val="center"/>
          </w:tcPr>
          <w:p w14:paraId="73A25A42">
            <w:pPr>
              <w:snapToGrid w:val="0"/>
              <w:spacing w:line="240" w:lineRule="auto"/>
              <w:jc w:val="center"/>
              <w:rPr>
                <w:rFonts w:hint="eastAsia" w:ascii="宋体" w:hAnsi="宋体"/>
                <w:sz w:val="18"/>
                <w:szCs w:val="18"/>
              </w:rPr>
            </w:pPr>
            <w:r>
              <w:rPr>
                <w:rFonts w:ascii="宋体" w:hAnsi="宋体"/>
                <w:sz w:val="18"/>
                <w:szCs w:val="18"/>
              </w:rPr>
              <w:t>每座</w:t>
            </w:r>
          </w:p>
        </w:tc>
        <w:tc>
          <w:tcPr>
            <w:tcW w:w="1695" w:type="dxa"/>
            <w:tcBorders>
              <w:top w:val="single" w:color="auto" w:sz="8" w:space="0"/>
              <w:bottom w:val="single" w:color="auto" w:sz="4" w:space="0"/>
            </w:tcBorders>
            <w:vAlign w:val="center"/>
          </w:tcPr>
          <w:p w14:paraId="37577BEA">
            <w:pPr>
              <w:snapToGrid w:val="0"/>
              <w:spacing w:line="240" w:lineRule="auto"/>
              <w:jc w:val="center"/>
              <w:rPr>
                <w:rFonts w:hint="eastAsia" w:ascii="宋体" w:hAnsi="宋体"/>
                <w:sz w:val="18"/>
                <w:szCs w:val="18"/>
              </w:rPr>
            </w:pPr>
            <w:r>
              <w:rPr>
                <w:rFonts w:hint="eastAsia" w:ascii="宋体" w:hAnsi="宋体"/>
                <w:sz w:val="18"/>
                <w:szCs w:val="18"/>
              </w:rPr>
              <w:t>4</w:t>
            </w:r>
            <w:r>
              <w:rPr>
                <w:rFonts w:ascii="宋体" w:hAnsi="宋体"/>
                <w:sz w:val="18"/>
                <w:szCs w:val="18"/>
              </w:rPr>
              <w:t>点</w:t>
            </w:r>
          </w:p>
        </w:tc>
        <w:tc>
          <w:tcPr>
            <w:tcW w:w="1701" w:type="dxa"/>
            <w:tcBorders>
              <w:top w:val="single" w:color="auto" w:sz="8" w:space="0"/>
              <w:bottom w:val="single" w:color="auto" w:sz="4" w:space="0"/>
            </w:tcBorders>
            <w:vAlign w:val="center"/>
          </w:tcPr>
          <w:p w14:paraId="24641D3B">
            <w:pPr>
              <w:snapToGrid w:val="0"/>
              <w:spacing w:line="240" w:lineRule="auto"/>
              <w:jc w:val="center"/>
              <w:rPr>
                <w:rFonts w:hint="eastAsia" w:ascii="宋体" w:hAnsi="宋体"/>
                <w:sz w:val="18"/>
                <w:szCs w:val="18"/>
              </w:rPr>
            </w:pPr>
            <w:r>
              <w:rPr>
                <w:rFonts w:ascii="宋体" w:hAnsi="宋体"/>
                <w:sz w:val="18"/>
                <w:szCs w:val="18"/>
              </w:rPr>
              <w:t>挂中线用尺量测</w:t>
            </w:r>
          </w:p>
        </w:tc>
      </w:tr>
      <w:tr w14:paraId="3F0CE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25" w:type="dxa"/>
            <w:vMerge w:val="restart"/>
            <w:tcBorders>
              <w:top w:val="single" w:color="auto" w:sz="4" w:space="0"/>
            </w:tcBorders>
            <w:vAlign w:val="center"/>
          </w:tcPr>
          <w:p w14:paraId="179B255D">
            <w:pPr>
              <w:snapToGrid w:val="0"/>
              <w:spacing w:line="240" w:lineRule="auto"/>
              <w:jc w:val="center"/>
              <w:rPr>
                <w:rFonts w:hint="eastAsia" w:ascii="宋体" w:hAnsi="宋体"/>
                <w:sz w:val="18"/>
                <w:szCs w:val="18"/>
              </w:rPr>
            </w:pPr>
            <w:r>
              <w:rPr>
                <w:rFonts w:hint="eastAsia" w:ascii="宋体" w:hAnsi="宋体"/>
                <w:sz w:val="18"/>
                <w:szCs w:val="18"/>
              </w:rPr>
              <w:t>2</w:t>
            </w:r>
          </w:p>
        </w:tc>
        <w:tc>
          <w:tcPr>
            <w:tcW w:w="1125" w:type="dxa"/>
            <w:vMerge w:val="restart"/>
            <w:tcBorders>
              <w:top w:val="single" w:color="auto" w:sz="4" w:space="0"/>
            </w:tcBorders>
            <w:vAlign w:val="center"/>
          </w:tcPr>
          <w:p w14:paraId="774AC3EF">
            <w:pPr>
              <w:snapToGrid w:val="0"/>
              <w:spacing w:line="240" w:lineRule="auto"/>
              <w:jc w:val="center"/>
              <w:rPr>
                <w:rFonts w:hint="eastAsia" w:ascii="宋体" w:hAnsi="宋体"/>
                <w:sz w:val="18"/>
                <w:szCs w:val="18"/>
              </w:rPr>
            </w:pPr>
            <w:r>
              <w:rPr>
                <w:rFonts w:ascii="宋体" w:hAnsi="宋体"/>
                <w:sz w:val="18"/>
                <w:szCs w:val="18"/>
              </w:rPr>
              <w:t>接收井预留</w:t>
            </w:r>
          </w:p>
          <w:p w14:paraId="28604E4F">
            <w:pPr>
              <w:snapToGrid w:val="0"/>
              <w:spacing w:line="240" w:lineRule="auto"/>
              <w:jc w:val="center"/>
              <w:rPr>
                <w:rFonts w:hint="eastAsia" w:ascii="宋体" w:hAnsi="宋体"/>
                <w:sz w:val="18"/>
                <w:szCs w:val="18"/>
              </w:rPr>
            </w:pPr>
            <w:r>
              <w:rPr>
                <w:rFonts w:ascii="宋体" w:hAnsi="宋体"/>
                <w:sz w:val="18"/>
                <w:szCs w:val="18"/>
              </w:rPr>
              <w:t>洞口</w:t>
            </w:r>
          </w:p>
        </w:tc>
        <w:tc>
          <w:tcPr>
            <w:tcW w:w="1275" w:type="dxa"/>
            <w:tcBorders>
              <w:top w:val="single" w:color="auto" w:sz="4" w:space="0"/>
            </w:tcBorders>
            <w:vAlign w:val="center"/>
          </w:tcPr>
          <w:p w14:paraId="0A57E974">
            <w:pPr>
              <w:snapToGrid w:val="0"/>
              <w:spacing w:line="240" w:lineRule="auto"/>
              <w:jc w:val="center"/>
              <w:rPr>
                <w:rFonts w:hint="eastAsia" w:ascii="宋体" w:hAnsi="宋体"/>
                <w:sz w:val="18"/>
                <w:szCs w:val="18"/>
              </w:rPr>
            </w:pPr>
            <w:r>
              <w:rPr>
                <w:rFonts w:ascii="宋体" w:hAnsi="宋体"/>
                <w:sz w:val="18"/>
                <w:szCs w:val="18"/>
              </w:rPr>
              <w:t>中心位置</w:t>
            </w:r>
          </w:p>
        </w:tc>
        <w:tc>
          <w:tcPr>
            <w:tcW w:w="1711" w:type="dxa"/>
            <w:tcBorders>
              <w:top w:val="single" w:color="auto" w:sz="4" w:space="0"/>
            </w:tcBorders>
            <w:vAlign w:val="center"/>
          </w:tcPr>
          <w:p w14:paraId="39DFE5DD">
            <w:pPr>
              <w:snapToGrid w:val="0"/>
              <w:spacing w:line="240" w:lineRule="auto"/>
              <w:jc w:val="center"/>
              <w:rPr>
                <w:rFonts w:hint="eastAsia" w:ascii="宋体" w:hAnsi="宋体"/>
                <w:sz w:val="18"/>
                <w:szCs w:val="18"/>
              </w:rPr>
            </w:pPr>
            <w:r>
              <w:rPr>
                <w:rFonts w:ascii="宋体" w:hAnsi="宋体"/>
                <w:sz w:val="18"/>
                <w:szCs w:val="18"/>
              </w:rPr>
              <w:t>20</w:t>
            </w:r>
          </w:p>
        </w:tc>
        <w:tc>
          <w:tcPr>
            <w:tcW w:w="983" w:type="dxa"/>
            <w:vMerge w:val="restart"/>
            <w:tcBorders>
              <w:top w:val="single" w:color="auto" w:sz="4" w:space="0"/>
            </w:tcBorders>
            <w:vAlign w:val="center"/>
          </w:tcPr>
          <w:p w14:paraId="7567589B">
            <w:pPr>
              <w:snapToGrid w:val="0"/>
              <w:spacing w:line="240" w:lineRule="auto"/>
              <w:jc w:val="center"/>
              <w:rPr>
                <w:rFonts w:hint="eastAsia" w:ascii="宋体" w:hAnsi="宋体"/>
                <w:sz w:val="18"/>
                <w:szCs w:val="18"/>
              </w:rPr>
            </w:pPr>
            <w:r>
              <w:rPr>
                <w:rFonts w:ascii="宋体" w:hAnsi="宋体"/>
                <w:sz w:val="18"/>
                <w:szCs w:val="18"/>
              </w:rPr>
              <w:t>每个</w:t>
            </w:r>
          </w:p>
        </w:tc>
        <w:tc>
          <w:tcPr>
            <w:tcW w:w="1695" w:type="dxa"/>
            <w:tcBorders>
              <w:top w:val="single" w:color="auto" w:sz="4" w:space="0"/>
            </w:tcBorders>
            <w:vAlign w:val="center"/>
          </w:tcPr>
          <w:p w14:paraId="392B6D5C">
            <w:pPr>
              <w:snapToGrid w:val="0"/>
              <w:spacing w:line="240" w:lineRule="auto"/>
              <w:jc w:val="center"/>
              <w:rPr>
                <w:rFonts w:hint="eastAsia" w:ascii="宋体" w:hAnsi="宋体"/>
                <w:sz w:val="18"/>
                <w:szCs w:val="18"/>
              </w:rPr>
            </w:pPr>
            <w:r>
              <w:rPr>
                <w:rFonts w:ascii="宋体" w:hAnsi="宋体"/>
                <w:sz w:val="18"/>
                <w:szCs w:val="18"/>
              </w:rPr>
              <w:t>竖、水平各1点</w:t>
            </w:r>
          </w:p>
        </w:tc>
        <w:tc>
          <w:tcPr>
            <w:tcW w:w="1701" w:type="dxa"/>
            <w:tcBorders>
              <w:top w:val="single" w:color="auto" w:sz="4" w:space="0"/>
            </w:tcBorders>
            <w:vAlign w:val="center"/>
          </w:tcPr>
          <w:p w14:paraId="659D8D76">
            <w:pPr>
              <w:snapToGrid w:val="0"/>
              <w:spacing w:line="240" w:lineRule="auto"/>
              <w:jc w:val="center"/>
              <w:rPr>
                <w:rFonts w:hint="eastAsia" w:ascii="宋体" w:hAnsi="宋体"/>
                <w:sz w:val="18"/>
                <w:szCs w:val="18"/>
              </w:rPr>
            </w:pPr>
            <w:r>
              <w:rPr>
                <w:rFonts w:ascii="宋体" w:hAnsi="宋体"/>
                <w:sz w:val="18"/>
                <w:szCs w:val="18"/>
              </w:rPr>
              <w:t>用经纬仪测量</w:t>
            </w:r>
          </w:p>
        </w:tc>
      </w:tr>
      <w:tr w14:paraId="3000B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425" w:type="dxa"/>
            <w:vMerge w:val="continue"/>
            <w:vAlign w:val="center"/>
          </w:tcPr>
          <w:p w14:paraId="2E24960F">
            <w:pPr>
              <w:snapToGrid w:val="0"/>
              <w:spacing w:line="240" w:lineRule="auto"/>
              <w:jc w:val="center"/>
              <w:rPr>
                <w:rFonts w:hint="eastAsia" w:ascii="宋体" w:hAnsi="宋体"/>
                <w:sz w:val="18"/>
                <w:szCs w:val="18"/>
              </w:rPr>
            </w:pPr>
          </w:p>
        </w:tc>
        <w:tc>
          <w:tcPr>
            <w:tcW w:w="1125" w:type="dxa"/>
            <w:vMerge w:val="continue"/>
            <w:vAlign w:val="center"/>
          </w:tcPr>
          <w:p w14:paraId="345C407E">
            <w:pPr>
              <w:snapToGrid w:val="0"/>
              <w:spacing w:line="240" w:lineRule="auto"/>
              <w:jc w:val="center"/>
              <w:rPr>
                <w:rFonts w:hint="eastAsia" w:ascii="宋体" w:hAnsi="宋体"/>
                <w:sz w:val="18"/>
                <w:szCs w:val="18"/>
              </w:rPr>
            </w:pPr>
          </w:p>
        </w:tc>
        <w:tc>
          <w:tcPr>
            <w:tcW w:w="1275" w:type="dxa"/>
            <w:vAlign w:val="center"/>
          </w:tcPr>
          <w:p w14:paraId="642ED17C">
            <w:pPr>
              <w:snapToGrid w:val="0"/>
              <w:spacing w:line="240" w:lineRule="auto"/>
              <w:jc w:val="center"/>
              <w:rPr>
                <w:rFonts w:hint="eastAsia" w:ascii="宋体" w:hAnsi="宋体"/>
                <w:sz w:val="18"/>
                <w:szCs w:val="18"/>
              </w:rPr>
            </w:pPr>
            <w:r>
              <w:rPr>
                <w:rFonts w:hint="eastAsia" w:ascii="宋体" w:hAnsi="宋体"/>
                <w:sz w:val="18"/>
                <w:szCs w:val="18"/>
              </w:rPr>
              <w:t>每侧长、宽</w:t>
            </w:r>
          </w:p>
        </w:tc>
        <w:tc>
          <w:tcPr>
            <w:tcW w:w="1711" w:type="dxa"/>
            <w:vAlign w:val="center"/>
          </w:tcPr>
          <w:p w14:paraId="4A0F5C39">
            <w:pPr>
              <w:snapToGrid w:val="0"/>
              <w:spacing w:line="240" w:lineRule="auto"/>
              <w:jc w:val="center"/>
              <w:rPr>
                <w:rFonts w:hint="eastAsia" w:ascii="宋体" w:hAnsi="宋体"/>
                <w:sz w:val="18"/>
                <w:szCs w:val="18"/>
              </w:rPr>
            </w:pPr>
            <w:r>
              <w:rPr>
                <w:rFonts w:ascii="宋体" w:hAnsi="宋体"/>
                <w:sz w:val="18"/>
                <w:szCs w:val="18"/>
              </w:rPr>
              <w:t>±20</w:t>
            </w:r>
          </w:p>
        </w:tc>
        <w:tc>
          <w:tcPr>
            <w:tcW w:w="983" w:type="dxa"/>
            <w:vMerge w:val="continue"/>
            <w:vAlign w:val="center"/>
          </w:tcPr>
          <w:p w14:paraId="3DE1FB69">
            <w:pPr>
              <w:snapToGrid w:val="0"/>
              <w:spacing w:line="240" w:lineRule="auto"/>
              <w:jc w:val="center"/>
              <w:rPr>
                <w:rFonts w:hint="eastAsia" w:ascii="宋体" w:hAnsi="宋体"/>
                <w:sz w:val="18"/>
                <w:szCs w:val="18"/>
              </w:rPr>
            </w:pPr>
          </w:p>
        </w:tc>
        <w:tc>
          <w:tcPr>
            <w:tcW w:w="1695" w:type="dxa"/>
            <w:vAlign w:val="center"/>
          </w:tcPr>
          <w:p w14:paraId="601E9A98">
            <w:pPr>
              <w:snapToGrid w:val="0"/>
              <w:spacing w:line="240" w:lineRule="auto"/>
              <w:jc w:val="center"/>
              <w:rPr>
                <w:rFonts w:hint="eastAsia" w:ascii="宋体" w:hAnsi="宋体"/>
                <w:sz w:val="18"/>
                <w:szCs w:val="18"/>
              </w:rPr>
            </w:pPr>
            <w:r>
              <w:rPr>
                <w:rFonts w:ascii="宋体" w:hAnsi="宋体"/>
                <w:sz w:val="18"/>
                <w:szCs w:val="18"/>
              </w:rPr>
              <w:t>垂直向各1点</w:t>
            </w:r>
          </w:p>
        </w:tc>
        <w:tc>
          <w:tcPr>
            <w:tcW w:w="1701" w:type="dxa"/>
            <w:vAlign w:val="center"/>
          </w:tcPr>
          <w:p w14:paraId="2172E92A">
            <w:pPr>
              <w:snapToGrid w:val="0"/>
              <w:spacing w:line="240" w:lineRule="auto"/>
              <w:jc w:val="center"/>
              <w:rPr>
                <w:rFonts w:hint="eastAsia" w:ascii="宋体" w:hAnsi="宋体"/>
                <w:sz w:val="18"/>
                <w:szCs w:val="18"/>
              </w:rPr>
            </w:pPr>
            <w:r>
              <w:rPr>
                <w:rFonts w:ascii="宋体" w:hAnsi="宋体"/>
                <w:sz w:val="18"/>
                <w:szCs w:val="18"/>
              </w:rPr>
              <w:t>用钢尺量测</w:t>
            </w:r>
          </w:p>
        </w:tc>
      </w:tr>
      <w:tr w14:paraId="6F1FB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25" w:type="dxa"/>
            <w:vAlign w:val="center"/>
          </w:tcPr>
          <w:p w14:paraId="54FE24F4">
            <w:pPr>
              <w:snapToGrid w:val="0"/>
              <w:spacing w:line="240" w:lineRule="auto"/>
              <w:jc w:val="center"/>
              <w:rPr>
                <w:rFonts w:hint="eastAsia" w:ascii="宋体" w:hAnsi="宋体"/>
                <w:sz w:val="18"/>
                <w:szCs w:val="18"/>
              </w:rPr>
            </w:pPr>
            <w:r>
              <w:rPr>
                <w:rFonts w:hint="eastAsia" w:ascii="宋体" w:hAnsi="宋体"/>
                <w:sz w:val="18"/>
                <w:szCs w:val="18"/>
              </w:rPr>
              <w:t>3</w:t>
            </w:r>
          </w:p>
        </w:tc>
        <w:tc>
          <w:tcPr>
            <w:tcW w:w="2400" w:type="dxa"/>
            <w:gridSpan w:val="2"/>
            <w:vAlign w:val="center"/>
          </w:tcPr>
          <w:p w14:paraId="111A8723">
            <w:pPr>
              <w:snapToGrid w:val="0"/>
              <w:spacing w:line="240" w:lineRule="auto"/>
              <w:jc w:val="center"/>
              <w:rPr>
                <w:rFonts w:hint="eastAsia" w:ascii="宋体" w:hAnsi="宋体"/>
                <w:sz w:val="18"/>
                <w:szCs w:val="18"/>
              </w:rPr>
            </w:pPr>
            <w:r>
              <w:rPr>
                <w:rFonts w:ascii="宋体" w:hAnsi="宋体"/>
                <w:sz w:val="18"/>
                <w:szCs w:val="18"/>
              </w:rPr>
              <w:t>井底板高程</w:t>
            </w:r>
          </w:p>
        </w:tc>
        <w:tc>
          <w:tcPr>
            <w:tcW w:w="1711" w:type="dxa"/>
            <w:vAlign w:val="center"/>
          </w:tcPr>
          <w:p w14:paraId="442DAB82">
            <w:pPr>
              <w:snapToGrid w:val="0"/>
              <w:spacing w:line="240" w:lineRule="auto"/>
              <w:jc w:val="center"/>
              <w:rPr>
                <w:rFonts w:hint="eastAsia" w:ascii="宋体" w:hAnsi="宋体"/>
                <w:sz w:val="18"/>
                <w:szCs w:val="18"/>
              </w:rPr>
            </w:pPr>
            <w:r>
              <w:rPr>
                <w:rFonts w:ascii="宋体" w:hAnsi="宋体"/>
                <w:sz w:val="18"/>
                <w:szCs w:val="18"/>
              </w:rPr>
              <w:t>±30</w:t>
            </w:r>
          </w:p>
        </w:tc>
        <w:tc>
          <w:tcPr>
            <w:tcW w:w="983" w:type="dxa"/>
            <w:vAlign w:val="center"/>
          </w:tcPr>
          <w:p w14:paraId="5FB63D06">
            <w:pPr>
              <w:snapToGrid w:val="0"/>
              <w:spacing w:line="240" w:lineRule="auto"/>
              <w:jc w:val="center"/>
              <w:rPr>
                <w:rFonts w:hint="eastAsia" w:ascii="宋体" w:hAnsi="宋体"/>
                <w:sz w:val="18"/>
                <w:szCs w:val="18"/>
              </w:rPr>
            </w:pPr>
            <w:r>
              <w:rPr>
                <w:rFonts w:ascii="宋体" w:hAnsi="宋体"/>
                <w:sz w:val="18"/>
                <w:szCs w:val="18"/>
              </w:rPr>
              <w:t>每座</w:t>
            </w:r>
          </w:p>
        </w:tc>
        <w:tc>
          <w:tcPr>
            <w:tcW w:w="1695" w:type="dxa"/>
            <w:vAlign w:val="center"/>
          </w:tcPr>
          <w:p w14:paraId="3C99D033">
            <w:pPr>
              <w:snapToGrid w:val="0"/>
              <w:spacing w:line="240" w:lineRule="auto"/>
              <w:jc w:val="center"/>
              <w:rPr>
                <w:rFonts w:hint="eastAsia" w:ascii="宋体" w:hAnsi="宋体"/>
                <w:sz w:val="18"/>
                <w:szCs w:val="18"/>
              </w:rPr>
            </w:pPr>
            <w:r>
              <w:rPr>
                <w:rFonts w:ascii="宋体" w:hAnsi="宋体"/>
                <w:sz w:val="18"/>
                <w:szCs w:val="18"/>
              </w:rPr>
              <w:t>4点</w:t>
            </w:r>
          </w:p>
        </w:tc>
        <w:tc>
          <w:tcPr>
            <w:tcW w:w="1701" w:type="dxa"/>
            <w:vAlign w:val="center"/>
          </w:tcPr>
          <w:p w14:paraId="3859F8A1">
            <w:pPr>
              <w:snapToGrid w:val="0"/>
              <w:spacing w:line="240" w:lineRule="auto"/>
              <w:jc w:val="center"/>
              <w:rPr>
                <w:rFonts w:hint="eastAsia" w:ascii="宋体" w:hAnsi="宋体"/>
                <w:sz w:val="18"/>
                <w:szCs w:val="18"/>
              </w:rPr>
            </w:pPr>
            <w:r>
              <w:rPr>
                <w:rFonts w:ascii="宋体" w:hAnsi="宋体"/>
                <w:sz w:val="18"/>
                <w:szCs w:val="18"/>
              </w:rPr>
              <w:t>用水准仪测量</w:t>
            </w:r>
          </w:p>
        </w:tc>
      </w:tr>
      <w:tr w14:paraId="51F79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25" w:type="dxa"/>
            <w:vMerge w:val="restart"/>
            <w:vAlign w:val="center"/>
          </w:tcPr>
          <w:p w14:paraId="30E3293A">
            <w:pPr>
              <w:snapToGrid w:val="0"/>
              <w:spacing w:line="240" w:lineRule="auto"/>
              <w:jc w:val="center"/>
              <w:rPr>
                <w:rFonts w:hint="eastAsia" w:ascii="宋体" w:hAnsi="宋体"/>
                <w:sz w:val="18"/>
                <w:szCs w:val="18"/>
              </w:rPr>
            </w:pPr>
            <w:r>
              <w:rPr>
                <w:rFonts w:hint="eastAsia" w:ascii="宋体" w:hAnsi="宋体"/>
                <w:sz w:val="18"/>
                <w:szCs w:val="18"/>
              </w:rPr>
              <w:t>4</w:t>
            </w:r>
          </w:p>
        </w:tc>
        <w:tc>
          <w:tcPr>
            <w:tcW w:w="1125" w:type="dxa"/>
            <w:vMerge w:val="restart"/>
            <w:vAlign w:val="center"/>
          </w:tcPr>
          <w:p w14:paraId="460530BB">
            <w:pPr>
              <w:snapToGrid w:val="0"/>
              <w:spacing w:line="240" w:lineRule="auto"/>
              <w:jc w:val="center"/>
              <w:rPr>
                <w:rFonts w:hint="eastAsia" w:ascii="宋体" w:hAnsi="宋体"/>
                <w:sz w:val="18"/>
                <w:szCs w:val="18"/>
              </w:rPr>
            </w:pPr>
            <w:r>
              <w:rPr>
                <w:rFonts w:ascii="宋体" w:hAnsi="宋体"/>
                <w:sz w:val="18"/>
                <w:szCs w:val="18"/>
              </w:rPr>
              <w:t>工作井后背墙</w:t>
            </w:r>
          </w:p>
        </w:tc>
        <w:tc>
          <w:tcPr>
            <w:tcW w:w="1275" w:type="dxa"/>
            <w:vAlign w:val="center"/>
          </w:tcPr>
          <w:p w14:paraId="312C3C88">
            <w:pPr>
              <w:snapToGrid w:val="0"/>
              <w:spacing w:line="240" w:lineRule="auto"/>
              <w:jc w:val="center"/>
              <w:rPr>
                <w:rFonts w:hint="eastAsia" w:ascii="宋体" w:hAnsi="宋体"/>
                <w:sz w:val="18"/>
                <w:szCs w:val="18"/>
              </w:rPr>
            </w:pPr>
            <w:r>
              <w:rPr>
                <w:rFonts w:ascii="宋体" w:hAnsi="宋体"/>
                <w:sz w:val="18"/>
                <w:szCs w:val="18"/>
              </w:rPr>
              <w:t>垂直度</w:t>
            </w:r>
          </w:p>
        </w:tc>
        <w:tc>
          <w:tcPr>
            <w:tcW w:w="1711" w:type="dxa"/>
            <w:vAlign w:val="center"/>
          </w:tcPr>
          <w:p w14:paraId="1E3E6FAB">
            <w:pPr>
              <w:snapToGrid w:val="0"/>
              <w:spacing w:line="240" w:lineRule="auto"/>
              <w:jc w:val="center"/>
              <w:rPr>
                <w:rFonts w:hint="eastAsia" w:ascii="宋体" w:hAnsi="宋体"/>
                <w:sz w:val="18"/>
                <w:szCs w:val="18"/>
                <w:vertAlign w:val="subscript"/>
              </w:rPr>
            </w:pPr>
            <w:r>
              <w:rPr>
                <w:rFonts w:ascii="宋体" w:hAnsi="宋体"/>
                <w:sz w:val="18"/>
                <w:szCs w:val="18"/>
              </w:rPr>
              <w:t>0.1%</w:t>
            </w:r>
            <w:r>
              <w:rPr>
                <w:rFonts w:ascii="宋体" w:hAnsi="宋体"/>
                <w:i/>
                <w:iCs/>
                <w:sz w:val="18"/>
                <w:szCs w:val="18"/>
              </w:rPr>
              <w:t>h</w:t>
            </w:r>
            <w:r>
              <w:rPr>
                <w:rFonts w:ascii="宋体" w:hAnsi="宋体"/>
                <w:i/>
                <w:iCs/>
                <w:sz w:val="18"/>
                <w:szCs w:val="18"/>
                <w:vertAlign w:val="subscript"/>
              </w:rPr>
              <w:t>1</w:t>
            </w:r>
          </w:p>
        </w:tc>
        <w:tc>
          <w:tcPr>
            <w:tcW w:w="983" w:type="dxa"/>
            <w:vMerge w:val="restart"/>
            <w:vAlign w:val="center"/>
          </w:tcPr>
          <w:p w14:paraId="5F321DD0">
            <w:pPr>
              <w:snapToGrid w:val="0"/>
              <w:spacing w:line="240" w:lineRule="auto"/>
              <w:jc w:val="center"/>
              <w:rPr>
                <w:rFonts w:hint="eastAsia" w:ascii="宋体" w:hAnsi="宋体"/>
                <w:sz w:val="18"/>
                <w:szCs w:val="18"/>
              </w:rPr>
            </w:pPr>
            <w:r>
              <w:rPr>
                <w:rFonts w:ascii="宋体" w:hAnsi="宋体"/>
                <w:sz w:val="18"/>
                <w:szCs w:val="18"/>
              </w:rPr>
              <w:t>每座</w:t>
            </w:r>
          </w:p>
        </w:tc>
        <w:tc>
          <w:tcPr>
            <w:tcW w:w="1695" w:type="dxa"/>
            <w:vMerge w:val="restart"/>
            <w:vAlign w:val="center"/>
          </w:tcPr>
          <w:p w14:paraId="286BCCDA">
            <w:pPr>
              <w:snapToGrid w:val="0"/>
              <w:spacing w:line="240" w:lineRule="auto"/>
              <w:jc w:val="center"/>
              <w:rPr>
                <w:rFonts w:hint="eastAsia" w:ascii="宋体" w:hAnsi="宋体"/>
                <w:sz w:val="18"/>
                <w:szCs w:val="18"/>
              </w:rPr>
            </w:pPr>
            <w:r>
              <w:rPr>
                <w:rFonts w:ascii="宋体" w:hAnsi="宋体"/>
                <w:sz w:val="18"/>
                <w:szCs w:val="18"/>
              </w:rPr>
              <w:t>1</w:t>
            </w:r>
          </w:p>
        </w:tc>
        <w:tc>
          <w:tcPr>
            <w:tcW w:w="1701" w:type="dxa"/>
            <w:vMerge w:val="restart"/>
            <w:vAlign w:val="center"/>
          </w:tcPr>
          <w:p w14:paraId="242B469B">
            <w:pPr>
              <w:snapToGrid w:val="0"/>
              <w:spacing w:line="240" w:lineRule="auto"/>
              <w:jc w:val="center"/>
              <w:rPr>
                <w:rFonts w:hint="eastAsia" w:ascii="宋体" w:hAnsi="宋体"/>
                <w:sz w:val="18"/>
                <w:szCs w:val="18"/>
              </w:rPr>
            </w:pPr>
            <w:r>
              <w:rPr>
                <w:rFonts w:ascii="宋体" w:hAnsi="宋体"/>
                <w:sz w:val="18"/>
                <w:szCs w:val="18"/>
              </w:rPr>
              <w:t>用垂线、角尺量测</w:t>
            </w:r>
          </w:p>
        </w:tc>
      </w:tr>
      <w:tr w14:paraId="21D37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25" w:type="dxa"/>
            <w:vMerge w:val="continue"/>
          </w:tcPr>
          <w:p w14:paraId="7E9F77DC">
            <w:pPr>
              <w:snapToGrid w:val="0"/>
              <w:spacing w:line="240" w:lineRule="auto"/>
              <w:rPr>
                <w:sz w:val="18"/>
                <w:szCs w:val="18"/>
              </w:rPr>
            </w:pPr>
          </w:p>
        </w:tc>
        <w:tc>
          <w:tcPr>
            <w:tcW w:w="1125" w:type="dxa"/>
            <w:vMerge w:val="continue"/>
          </w:tcPr>
          <w:p w14:paraId="1AC77F5D">
            <w:pPr>
              <w:snapToGrid w:val="0"/>
              <w:spacing w:line="240" w:lineRule="auto"/>
              <w:rPr>
                <w:sz w:val="18"/>
                <w:szCs w:val="18"/>
              </w:rPr>
            </w:pPr>
          </w:p>
        </w:tc>
        <w:tc>
          <w:tcPr>
            <w:tcW w:w="1275" w:type="dxa"/>
            <w:vAlign w:val="center"/>
          </w:tcPr>
          <w:p w14:paraId="07E33086">
            <w:pPr>
              <w:snapToGrid w:val="0"/>
              <w:spacing w:line="240" w:lineRule="auto"/>
              <w:jc w:val="center"/>
              <w:rPr>
                <w:rFonts w:hint="eastAsia" w:ascii="宋体" w:hAnsi="宋体"/>
                <w:sz w:val="18"/>
                <w:szCs w:val="18"/>
              </w:rPr>
            </w:pPr>
            <w:r>
              <w:rPr>
                <w:rFonts w:ascii="宋体" w:hAnsi="宋体"/>
                <w:sz w:val="18"/>
                <w:szCs w:val="18"/>
              </w:rPr>
              <w:t>水平扭转度</w:t>
            </w:r>
          </w:p>
        </w:tc>
        <w:tc>
          <w:tcPr>
            <w:tcW w:w="1711" w:type="dxa"/>
            <w:vAlign w:val="center"/>
          </w:tcPr>
          <w:p w14:paraId="00116C77">
            <w:pPr>
              <w:snapToGrid w:val="0"/>
              <w:spacing w:line="240" w:lineRule="auto"/>
              <w:jc w:val="center"/>
              <w:rPr>
                <w:rFonts w:hint="eastAsia" w:ascii="宋体" w:hAnsi="宋体"/>
                <w:sz w:val="18"/>
                <w:szCs w:val="18"/>
              </w:rPr>
            </w:pPr>
            <w:r>
              <w:rPr>
                <w:rFonts w:ascii="宋体" w:hAnsi="宋体"/>
                <w:sz w:val="18"/>
                <w:szCs w:val="18"/>
              </w:rPr>
              <w:t>0.1%</w:t>
            </w:r>
            <w:r>
              <w:rPr>
                <w:rFonts w:ascii="宋体" w:hAnsi="宋体"/>
                <w:i/>
                <w:iCs/>
                <w:sz w:val="18"/>
                <w:szCs w:val="18"/>
              </w:rPr>
              <w:t>L</w:t>
            </w:r>
            <w:r>
              <w:rPr>
                <w:rFonts w:ascii="宋体" w:hAnsi="宋体"/>
                <w:i/>
                <w:iCs/>
                <w:sz w:val="18"/>
                <w:szCs w:val="18"/>
                <w:vertAlign w:val="subscript"/>
              </w:rPr>
              <w:t>h</w:t>
            </w:r>
          </w:p>
        </w:tc>
        <w:tc>
          <w:tcPr>
            <w:tcW w:w="983" w:type="dxa"/>
            <w:vMerge w:val="continue"/>
          </w:tcPr>
          <w:p w14:paraId="35CC34AD">
            <w:pPr>
              <w:snapToGrid w:val="0"/>
              <w:spacing w:line="240" w:lineRule="auto"/>
              <w:rPr>
                <w:sz w:val="18"/>
                <w:szCs w:val="18"/>
              </w:rPr>
            </w:pPr>
          </w:p>
        </w:tc>
        <w:tc>
          <w:tcPr>
            <w:tcW w:w="1695" w:type="dxa"/>
            <w:vMerge w:val="continue"/>
          </w:tcPr>
          <w:p w14:paraId="548951D6">
            <w:pPr>
              <w:snapToGrid w:val="0"/>
              <w:spacing w:line="240" w:lineRule="auto"/>
              <w:rPr>
                <w:sz w:val="18"/>
                <w:szCs w:val="18"/>
              </w:rPr>
            </w:pPr>
          </w:p>
        </w:tc>
        <w:tc>
          <w:tcPr>
            <w:tcW w:w="1701" w:type="dxa"/>
            <w:vMerge w:val="continue"/>
          </w:tcPr>
          <w:p w14:paraId="08DE5642">
            <w:pPr>
              <w:snapToGrid w:val="0"/>
              <w:spacing w:line="240" w:lineRule="auto"/>
              <w:rPr>
                <w:sz w:val="18"/>
                <w:szCs w:val="18"/>
              </w:rPr>
            </w:pPr>
          </w:p>
        </w:tc>
      </w:tr>
      <w:tr w14:paraId="5CDAE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15" w:type="dxa"/>
            <w:gridSpan w:val="7"/>
          </w:tcPr>
          <w:p w14:paraId="7CDBF10F">
            <w:pPr>
              <w:pStyle w:val="181"/>
            </w:pPr>
            <w:r>
              <w:rPr>
                <w:i/>
                <w:iCs/>
              </w:rPr>
              <w:t>h</w:t>
            </w:r>
            <w:r>
              <w:rPr>
                <w:i/>
                <w:iCs/>
                <w:vertAlign w:val="subscript"/>
              </w:rPr>
              <w:t>1</w:t>
            </w:r>
            <w:r>
              <w:t>为后背墙的高度（mm）</w:t>
            </w:r>
            <w:r>
              <w:rPr>
                <w:rFonts w:hint="eastAsia"/>
              </w:rPr>
              <w:t>，</w:t>
            </w:r>
            <w:r>
              <w:rPr>
                <w:i/>
                <w:iCs/>
              </w:rPr>
              <w:t>L</w:t>
            </w:r>
            <w:r>
              <w:rPr>
                <w:i/>
                <w:iCs/>
                <w:vertAlign w:val="subscript"/>
              </w:rPr>
              <w:t>h</w:t>
            </w:r>
            <w:r>
              <w:t>为后背墙的宽度（mm）。</w:t>
            </w:r>
          </w:p>
        </w:tc>
      </w:tr>
    </w:tbl>
    <w:p w14:paraId="27FBCF85">
      <w:pPr>
        <w:pStyle w:val="167"/>
      </w:pPr>
      <w:r>
        <w:t>顶管</w:t>
      </w:r>
      <w:r>
        <w:rPr>
          <w:rFonts w:hint="eastAsia"/>
        </w:rPr>
        <w:t>管节</w:t>
      </w:r>
      <w:r>
        <w:t>应符合下列规定：</w:t>
      </w:r>
    </w:p>
    <w:p w14:paraId="6C44D524">
      <w:pPr>
        <w:pStyle w:val="176"/>
        <w:numPr>
          <w:ilvl w:val="0"/>
          <w:numId w:val="57"/>
        </w:numPr>
      </w:pPr>
      <w:r>
        <w:t>主控项目</w:t>
      </w:r>
    </w:p>
    <w:p w14:paraId="5257BAE7">
      <w:pPr>
        <w:pStyle w:val="111"/>
      </w:pPr>
      <w:r>
        <w:t>管节及附件等工程材料的产品质量应符合国家有关标准的规定和设计要求；</w:t>
      </w:r>
    </w:p>
    <w:p w14:paraId="4F2AAED5">
      <w:pPr>
        <w:pStyle w:val="111"/>
      </w:pPr>
      <w:r>
        <w:t>混凝土结构的抗压强度等级、抗渗等级</w:t>
      </w:r>
      <w:r>
        <w:rPr>
          <w:rFonts w:hint="eastAsia"/>
        </w:rPr>
        <w:t>应</w:t>
      </w:r>
      <w:r>
        <w:t>符合设计要求</w:t>
      </w:r>
      <w:r>
        <w:rPr>
          <w:rFonts w:hint="eastAsia"/>
        </w:rPr>
        <w:t>；</w:t>
      </w:r>
    </w:p>
    <w:p w14:paraId="1C7F5A80">
      <w:pPr>
        <w:pStyle w:val="111"/>
      </w:pPr>
      <w:r>
        <w:rPr>
          <w:rFonts w:hint="eastAsia"/>
        </w:rPr>
        <w:t>管节结构表面应无贯穿裂纹。</w:t>
      </w:r>
    </w:p>
    <w:p w14:paraId="73DD050E">
      <w:pPr>
        <w:pStyle w:val="176"/>
      </w:pPr>
      <w:r>
        <w:t>一般项目</w:t>
      </w:r>
    </w:p>
    <w:p w14:paraId="2C29261E">
      <w:pPr>
        <w:pStyle w:val="111"/>
      </w:pPr>
      <w:r>
        <w:t>管道内应线形平顺</w:t>
      </w:r>
      <w:r>
        <w:rPr>
          <w:rFonts w:hint="eastAsia"/>
        </w:rPr>
        <w:t>，</w:t>
      </w:r>
      <w:r>
        <w:t>无突变</w:t>
      </w:r>
      <w:r>
        <w:rPr>
          <w:rFonts w:hint="eastAsia"/>
        </w:rPr>
        <w:t>和</w:t>
      </w:r>
      <w:r>
        <w:t>变形现象；缺陷部位应修补密实、表面光洁；管道无明显渗水和水珠现象；</w:t>
      </w:r>
    </w:p>
    <w:p w14:paraId="0EF36A5A">
      <w:pPr>
        <w:pStyle w:val="111"/>
      </w:pPr>
      <w:r>
        <w:t>管道与</w:t>
      </w:r>
      <w:r>
        <w:rPr>
          <w:rFonts w:hint="eastAsia"/>
        </w:rPr>
        <w:t>顶管井</w:t>
      </w:r>
      <w:r>
        <w:t>洞口的间隙连接牢固，洞口无渗漏水；</w:t>
      </w:r>
    </w:p>
    <w:p w14:paraId="339017ED">
      <w:pPr>
        <w:pStyle w:val="111"/>
      </w:pPr>
      <w:r>
        <w:t>顶进贯通后的管道允许偏差应符合</w:t>
      </w:r>
      <w:r>
        <w:rPr>
          <w:rFonts w:hint="eastAsia"/>
        </w:rPr>
        <w:t>设计要求，如无设计要求，可参考</w:t>
      </w:r>
      <w:r>
        <w:t>表13.2.3的规定。</w:t>
      </w:r>
    </w:p>
    <w:p w14:paraId="75375084">
      <w:pPr>
        <w:pStyle w:val="114"/>
        <w:spacing w:before="156" w:after="156"/>
      </w:pPr>
      <w:r>
        <w:rPr>
          <w:rFonts w:hint="eastAsia"/>
        </w:rPr>
        <w:t>成型管道</w:t>
      </w:r>
      <w:r>
        <w:t>的允许偏差</w:t>
      </w:r>
    </w:p>
    <w:tbl>
      <w:tblPr>
        <w:tblStyle w:val="28"/>
        <w:tblW w:w="86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2372"/>
        <w:gridCol w:w="1276"/>
        <w:gridCol w:w="2126"/>
        <w:gridCol w:w="2218"/>
      </w:tblGrid>
      <w:tr w14:paraId="43BB7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3071" w:type="dxa"/>
            <w:gridSpan w:val="2"/>
            <w:tcBorders>
              <w:top w:val="single" w:color="auto" w:sz="8" w:space="0"/>
              <w:bottom w:val="single" w:color="auto" w:sz="8" w:space="0"/>
            </w:tcBorders>
            <w:vAlign w:val="center"/>
          </w:tcPr>
          <w:p w14:paraId="5859499B">
            <w:pPr>
              <w:snapToGrid w:val="0"/>
              <w:spacing w:line="240" w:lineRule="auto"/>
              <w:jc w:val="center"/>
              <w:rPr>
                <w:rFonts w:hint="eastAsia" w:ascii="宋体" w:hAnsi="宋体"/>
                <w:sz w:val="18"/>
              </w:rPr>
            </w:pPr>
            <w:r>
              <w:rPr>
                <w:rFonts w:ascii="宋体" w:hAnsi="宋体"/>
                <w:sz w:val="18"/>
              </w:rPr>
              <w:t>检查项目</w:t>
            </w:r>
          </w:p>
        </w:tc>
        <w:tc>
          <w:tcPr>
            <w:tcW w:w="1276" w:type="dxa"/>
            <w:tcBorders>
              <w:top w:val="single" w:color="auto" w:sz="8" w:space="0"/>
              <w:bottom w:val="single" w:color="auto" w:sz="8" w:space="0"/>
            </w:tcBorders>
            <w:vAlign w:val="center"/>
          </w:tcPr>
          <w:p w14:paraId="01082BC7">
            <w:pPr>
              <w:snapToGrid w:val="0"/>
              <w:spacing w:line="240" w:lineRule="auto"/>
              <w:jc w:val="center"/>
              <w:rPr>
                <w:rFonts w:hint="eastAsia" w:ascii="宋体" w:hAnsi="宋体"/>
                <w:sz w:val="18"/>
              </w:rPr>
            </w:pPr>
            <w:r>
              <w:rPr>
                <w:rFonts w:ascii="宋体" w:hAnsi="宋体"/>
                <w:sz w:val="18"/>
              </w:rPr>
              <w:t>允许偏差（mm）</w:t>
            </w:r>
          </w:p>
        </w:tc>
        <w:tc>
          <w:tcPr>
            <w:tcW w:w="2126" w:type="dxa"/>
            <w:tcBorders>
              <w:top w:val="single" w:color="auto" w:sz="8" w:space="0"/>
              <w:bottom w:val="single" w:color="auto" w:sz="8" w:space="0"/>
            </w:tcBorders>
            <w:vAlign w:val="center"/>
          </w:tcPr>
          <w:p w14:paraId="3C828F5E">
            <w:pPr>
              <w:snapToGrid w:val="0"/>
              <w:spacing w:line="240" w:lineRule="auto"/>
              <w:jc w:val="center"/>
              <w:rPr>
                <w:rFonts w:hint="eastAsia" w:ascii="宋体" w:hAnsi="宋体"/>
                <w:sz w:val="18"/>
              </w:rPr>
            </w:pPr>
            <w:r>
              <w:rPr>
                <w:rFonts w:ascii="宋体" w:hAnsi="宋体"/>
                <w:sz w:val="18"/>
              </w:rPr>
              <w:t>检查数量</w:t>
            </w:r>
          </w:p>
        </w:tc>
        <w:tc>
          <w:tcPr>
            <w:tcW w:w="2218" w:type="dxa"/>
            <w:tcBorders>
              <w:top w:val="single" w:color="auto" w:sz="8" w:space="0"/>
              <w:bottom w:val="single" w:color="auto" w:sz="8" w:space="0"/>
            </w:tcBorders>
            <w:vAlign w:val="center"/>
          </w:tcPr>
          <w:p w14:paraId="198E3B94">
            <w:pPr>
              <w:snapToGrid w:val="0"/>
              <w:spacing w:line="240" w:lineRule="auto"/>
              <w:jc w:val="center"/>
              <w:rPr>
                <w:rFonts w:hint="eastAsia" w:ascii="宋体" w:hAnsi="宋体"/>
                <w:sz w:val="18"/>
              </w:rPr>
            </w:pPr>
            <w:r>
              <w:rPr>
                <w:rFonts w:ascii="宋体" w:hAnsi="宋体"/>
                <w:sz w:val="18"/>
              </w:rPr>
              <w:t>检查方法</w:t>
            </w:r>
          </w:p>
        </w:tc>
      </w:tr>
      <w:tr w14:paraId="639F2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699" w:type="dxa"/>
            <w:tcBorders>
              <w:top w:val="single" w:color="auto" w:sz="8" w:space="0"/>
            </w:tcBorders>
            <w:vAlign w:val="center"/>
          </w:tcPr>
          <w:p w14:paraId="657DA4B7">
            <w:pPr>
              <w:snapToGrid w:val="0"/>
              <w:spacing w:line="240" w:lineRule="auto"/>
              <w:jc w:val="center"/>
              <w:rPr>
                <w:rFonts w:hint="eastAsia" w:ascii="宋体" w:hAnsi="宋体"/>
                <w:sz w:val="18"/>
              </w:rPr>
            </w:pPr>
            <w:r>
              <w:rPr>
                <w:rFonts w:hint="eastAsia" w:ascii="宋体" w:hAnsi="宋体"/>
                <w:sz w:val="18"/>
              </w:rPr>
              <w:t>1</w:t>
            </w:r>
          </w:p>
        </w:tc>
        <w:tc>
          <w:tcPr>
            <w:tcW w:w="2372" w:type="dxa"/>
            <w:tcBorders>
              <w:top w:val="single" w:color="auto" w:sz="8" w:space="0"/>
            </w:tcBorders>
            <w:vAlign w:val="center"/>
          </w:tcPr>
          <w:p w14:paraId="2BF7B576">
            <w:pPr>
              <w:snapToGrid w:val="0"/>
              <w:spacing w:line="240" w:lineRule="auto"/>
              <w:jc w:val="center"/>
              <w:rPr>
                <w:rFonts w:hint="eastAsia" w:ascii="宋体" w:hAnsi="宋体"/>
                <w:sz w:val="18"/>
              </w:rPr>
            </w:pPr>
            <w:r>
              <w:rPr>
                <w:rFonts w:hint="eastAsia" w:ascii="宋体" w:hAnsi="宋体"/>
                <w:sz w:val="18"/>
              </w:rPr>
              <w:t>轴线平面位置</w:t>
            </w:r>
          </w:p>
        </w:tc>
        <w:tc>
          <w:tcPr>
            <w:tcW w:w="1276" w:type="dxa"/>
            <w:tcBorders>
              <w:top w:val="single" w:color="auto" w:sz="8" w:space="0"/>
            </w:tcBorders>
            <w:vAlign w:val="center"/>
          </w:tcPr>
          <w:p w14:paraId="734FEC71">
            <w:pPr>
              <w:snapToGrid w:val="0"/>
              <w:spacing w:line="240" w:lineRule="auto"/>
              <w:jc w:val="center"/>
              <w:rPr>
                <w:rFonts w:hint="eastAsia" w:ascii="宋体" w:hAnsi="宋体"/>
                <w:sz w:val="18"/>
              </w:rPr>
            </w:pPr>
            <w:r>
              <w:rPr>
                <w:rFonts w:hint="eastAsia" w:ascii="宋体" w:hAnsi="宋体"/>
                <w:sz w:val="18"/>
              </w:rPr>
              <w:t>±100</w:t>
            </w:r>
          </w:p>
        </w:tc>
        <w:tc>
          <w:tcPr>
            <w:tcW w:w="2126" w:type="dxa"/>
            <w:tcBorders>
              <w:top w:val="single" w:color="auto" w:sz="8" w:space="0"/>
            </w:tcBorders>
            <w:vAlign w:val="center"/>
          </w:tcPr>
          <w:p w14:paraId="0140587B">
            <w:pPr>
              <w:snapToGrid w:val="0"/>
              <w:spacing w:line="240" w:lineRule="auto"/>
              <w:jc w:val="center"/>
              <w:rPr>
                <w:rFonts w:hint="eastAsia" w:ascii="宋体" w:hAnsi="宋体"/>
                <w:sz w:val="18"/>
              </w:rPr>
            </w:pPr>
            <w:r>
              <w:rPr>
                <w:rFonts w:hint="eastAsia" w:ascii="宋体" w:hAnsi="宋体"/>
                <w:sz w:val="18"/>
              </w:rPr>
              <w:t>5个管节/次</w:t>
            </w:r>
          </w:p>
        </w:tc>
        <w:tc>
          <w:tcPr>
            <w:tcW w:w="2218" w:type="dxa"/>
            <w:tcBorders>
              <w:top w:val="single" w:color="auto" w:sz="8" w:space="0"/>
            </w:tcBorders>
            <w:vAlign w:val="center"/>
          </w:tcPr>
          <w:p w14:paraId="16CE9D44">
            <w:pPr>
              <w:snapToGrid w:val="0"/>
              <w:spacing w:line="240" w:lineRule="auto"/>
              <w:jc w:val="center"/>
              <w:rPr>
                <w:rFonts w:hint="eastAsia" w:ascii="宋体" w:hAnsi="宋体"/>
                <w:sz w:val="18"/>
              </w:rPr>
            </w:pPr>
            <w:r>
              <w:rPr>
                <w:rFonts w:hint="eastAsia" w:ascii="宋体" w:hAnsi="宋体"/>
                <w:sz w:val="18"/>
              </w:rPr>
              <w:t>全站仪或经纬仪测量</w:t>
            </w:r>
          </w:p>
        </w:tc>
      </w:tr>
      <w:tr w14:paraId="2716B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699" w:type="dxa"/>
            <w:vAlign w:val="center"/>
          </w:tcPr>
          <w:p w14:paraId="6870EF7F">
            <w:pPr>
              <w:snapToGrid w:val="0"/>
              <w:spacing w:line="240" w:lineRule="auto"/>
              <w:jc w:val="center"/>
              <w:rPr>
                <w:rFonts w:hint="eastAsia" w:ascii="宋体" w:hAnsi="宋体"/>
                <w:sz w:val="18"/>
              </w:rPr>
            </w:pPr>
            <w:r>
              <w:rPr>
                <w:rFonts w:hint="eastAsia" w:ascii="宋体" w:hAnsi="宋体"/>
                <w:sz w:val="18"/>
              </w:rPr>
              <w:t>2</w:t>
            </w:r>
          </w:p>
        </w:tc>
        <w:tc>
          <w:tcPr>
            <w:tcW w:w="2372" w:type="dxa"/>
            <w:vAlign w:val="center"/>
          </w:tcPr>
          <w:p w14:paraId="17A79022">
            <w:pPr>
              <w:snapToGrid w:val="0"/>
              <w:spacing w:line="240" w:lineRule="auto"/>
              <w:jc w:val="center"/>
              <w:rPr>
                <w:rFonts w:hint="eastAsia" w:ascii="宋体" w:hAnsi="宋体"/>
                <w:sz w:val="18"/>
              </w:rPr>
            </w:pPr>
            <w:r>
              <w:rPr>
                <w:rFonts w:hint="eastAsia" w:ascii="宋体" w:hAnsi="宋体"/>
                <w:sz w:val="18"/>
              </w:rPr>
              <w:t>轴线高程</w:t>
            </w:r>
          </w:p>
        </w:tc>
        <w:tc>
          <w:tcPr>
            <w:tcW w:w="1276" w:type="dxa"/>
            <w:vAlign w:val="center"/>
          </w:tcPr>
          <w:p w14:paraId="462F334D">
            <w:pPr>
              <w:snapToGrid w:val="0"/>
              <w:spacing w:line="240" w:lineRule="auto"/>
              <w:jc w:val="center"/>
              <w:rPr>
                <w:rFonts w:hint="eastAsia" w:ascii="宋体" w:hAnsi="宋体"/>
                <w:sz w:val="18"/>
              </w:rPr>
            </w:pPr>
            <w:r>
              <w:rPr>
                <w:rFonts w:hint="eastAsia" w:ascii="宋体" w:hAnsi="宋体"/>
                <w:sz w:val="18"/>
              </w:rPr>
              <w:t>±100</w:t>
            </w:r>
          </w:p>
        </w:tc>
        <w:tc>
          <w:tcPr>
            <w:tcW w:w="2126" w:type="dxa"/>
            <w:vAlign w:val="center"/>
          </w:tcPr>
          <w:p w14:paraId="0D592E93">
            <w:pPr>
              <w:snapToGrid w:val="0"/>
              <w:spacing w:line="240" w:lineRule="auto"/>
              <w:jc w:val="center"/>
              <w:rPr>
                <w:rFonts w:hint="eastAsia" w:ascii="宋体" w:hAnsi="宋体"/>
                <w:sz w:val="18"/>
              </w:rPr>
            </w:pPr>
            <w:r>
              <w:rPr>
                <w:rFonts w:hint="eastAsia" w:ascii="宋体" w:hAnsi="宋体"/>
                <w:sz w:val="18"/>
              </w:rPr>
              <w:t>5个管节/次</w:t>
            </w:r>
          </w:p>
        </w:tc>
        <w:tc>
          <w:tcPr>
            <w:tcW w:w="2218" w:type="dxa"/>
            <w:vAlign w:val="center"/>
          </w:tcPr>
          <w:p w14:paraId="42DDA4F9">
            <w:pPr>
              <w:snapToGrid w:val="0"/>
              <w:spacing w:line="240" w:lineRule="auto"/>
              <w:jc w:val="center"/>
              <w:rPr>
                <w:rFonts w:hint="eastAsia" w:ascii="宋体" w:hAnsi="宋体"/>
                <w:sz w:val="18"/>
              </w:rPr>
            </w:pPr>
            <w:r>
              <w:rPr>
                <w:rFonts w:hint="eastAsia" w:ascii="宋体" w:hAnsi="宋体"/>
                <w:sz w:val="18"/>
              </w:rPr>
              <w:t>全站仪或经纬仪测量</w:t>
            </w:r>
          </w:p>
        </w:tc>
      </w:tr>
      <w:tr w14:paraId="0D1C2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699" w:type="dxa"/>
            <w:vAlign w:val="center"/>
          </w:tcPr>
          <w:p w14:paraId="209A39BF">
            <w:pPr>
              <w:snapToGrid w:val="0"/>
              <w:spacing w:line="240" w:lineRule="auto"/>
              <w:jc w:val="center"/>
              <w:rPr>
                <w:rFonts w:hint="eastAsia" w:ascii="宋体" w:hAnsi="宋体"/>
                <w:sz w:val="18"/>
              </w:rPr>
            </w:pPr>
            <w:r>
              <w:rPr>
                <w:rFonts w:hint="eastAsia" w:ascii="宋体" w:hAnsi="宋体"/>
                <w:sz w:val="18"/>
              </w:rPr>
              <w:t>3</w:t>
            </w:r>
          </w:p>
        </w:tc>
        <w:tc>
          <w:tcPr>
            <w:tcW w:w="2372" w:type="dxa"/>
            <w:vAlign w:val="center"/>
          </w:tcPr>
          <w:p w14:paraId="29A532AF">
            <w:pPr>
              <w:snapToGrid w:val="0"/>
              <w:spacing w:line="240" w:lineRule="auto"/>
              <w:jc w:val="center"/>
              <w:rPr>
                <w:rFonts w:hint="eastAsia" w:ascii="宋体" w:hAnsi="宋体"/>
                <w:sz w:val="18"/>
              </w:rPr>
            </w:pPr>
            <w:r>
              <w:rPr>
                <w:rFonts w:hint="eastAsia" w:ascii="宋体" w:hAnsi="宋体"/>
                <w:sz w:val="18"/>
              </w:rPr>
              <w:t>管节间错台</w:t>
            </w:r>
          </w:p>
        </w:tc>
        <w:tc>
          <w:tcPr>
            <w:tcW w:w="1276" w:type="dxa"/>
            <w:vAlign w:val="center"/>
          </w:tcPr>
          <w:p w14:paraId="1C52FD87">
            <w:pPr>
              <w:snapToGrid w:val="0"/>
              <w:spacing w:line="240" w:lineRule="auto"/>
              <w:jc w:val="center"/>
              <w:rPr>
                <w:rFonts w:hint="eastAsia" w:ascii="宋体" w:hAnsi="宋体"/>
                <w:sz w:val="18"/>
              </w:rPr>
            </w:pPr>
            <w:r>
              <w:rPr>
                <w:rFonts w:hint="eastAsia" w:ascii="宋体" w:hAnsi="宋体"/>
                <w:sz w:val="18"/>
              </w:rPr>
              <w:t>10</w:t>
            </w:r>
          </w:p>
        </w:tc>
        <w:tc>
          <w:tcPr>
            <w:tcW w:w="2126" w:type="dxa"/>
            <w:vAlign w:val="center"/>
          </w:tcPr>
          <w:p w14:paraId="48F3B80F">
            <w:pPr>
              <w:snapToGrid w:val="0"/>
              <w:spacing w:line="240" w:lineRule="auto"/>
              <w:jc w:val="center"/>
              <w:rPr>
                <w:rFonts w:hint="eastAsia" w:ascii="宋体" w:hAnsi="宋体"/>
                <w:sz w:val="18"/>
              </w:rPr>
            </w:pPr>
            <w:r>
              <w:rPr>
                <w:rFonts w:hint="eastAsia" w:ascii="宋体" w:hAnsi="宋体"/>
                <w:sz w:val="18"/>
              </w:rPr>
              <w:t>4点/管节</w:t>
            </w:r>
          </w:p>
        </w:tc>
        <w:tc>
          <w:tcPr>
            <w:tcW w:w="2218" w:type="dxa"/>
            <w:vAlign w:val="center"/>
          </w:tcPr>
          <w:p w14:paraId="43349008">
            <w:pPr>
              <w:snapToGrid w:val="0"/>
              <w:spacing w:line="240" w:lineRule="auto"/>
              <w:jc w:val="center"/>
              <w:rPr>
                <w:rFonts w:hint="eastAsia" w:ascii="宋体" w:hAnsi="宋体"/>
                <w:sz w:val="18"/>
              </w:rPr>
            </w:pPr>
            <w:r>
              <w:rPr>
                <w:rFonts w:hint="eastAsia" w:ascii="宋体" w:hAnsi="宋体"/>
                <w:sz w:val="18"/>
              </w:rPr>
              <w:t>钢尺测量</w:t>
            </w:r>
          </w:p>
        </w:tc>
      </w:tr>
    </w:tbl>
    <w:p w14:paraId="622DF6DD">
      <w:pPr>
        <w:autoSpaceDE w:val="0"/>
        <w:autoSpaceDN w:val="0"/>
        <w:snapToGrid w:val="0"/>
        <w:ind w:firstLine="476"/>
        <w:rPr>
          <w:spacing w:val="-1"/>
          <w:kern w:val="0"/>
        </w:rPr>
      </w:pPr>
    </w:p>
    <w:p w14:paraId="571BA1B6">
      <w:pPr>
        <w:pStyle w:val="58"/>
        <w:ind w:firstLine="420"/>
      </w:pPr>
    </w:p>
    <w:p w14:paraId="39F1A52A">
      <w:pPr>
        <w:pStyle w:val="58"/>
        <w:ind w:firstLine="420"/>
      </w:pPr>
    </w:p>
    <w:p w14:paraId="43CD3B7D">
      <w:pPr>
        <w:pStyle w:val="58"/>
        <w:ind w:firstLine="420"/>
      </w:pPr>
    </w:p>
    <w:p w14:paraId="64F360E4">
      <w:pPr>
        <w:pStyle w:val="58"/>
        <w:ind w:firstLine="420"/>
      </w:pPr>
    </w:p>
    <w:p w14:paraId="79D1E421">
      <w:pPr>
        <w:pStyle w:val="58"/>
        <w:ind w:firstLine="420"/>
      </w:pPr>
    </w:p>
    <w:p w14:paraId="0CCDD5F5">
      <w:pPr>
        <w:pStyle w:val="58"/>
        <w:ind w:firstLine="420"/>
      </w:pPr>
    </w:p>
    <w:p w14:paraId="6633FBC9">
      <w:pPr>
        <w:pStyle w:val="58"/>
        <w:ind w:firstLine="420"/>
      </w:pPr>
    </w:p>
    <w:p w14:paraId="6A9A8C7F">
      <w:pPr>
        <w:pStyle w:val="58"/>
        <w:ind w:firstLine="420"/>
      </w:pPr>
    </w:p>
    <w:p w14:paraId="338B60FA">
      <w:pPr>
        <w:pStyle w:val="58"/>
        <w:ind w:firstLine="420"/>
      </w:pPr>
    </w:p>
    <w:p w14:paraId="3CB693EB">
      <w:pPr>
        <w:pStyle w:val="58"/>
        <w:ind w:firstLine="420"/>
      </w:pPr>
    </w:p>
    <w:p w14:paraId="7AE18BB9">
      <w:pPr>
        <w:pStyle w:val="58"/>
        <w:ind w:firstLine="420"/>
      </w:pPr>
    </w:p>
    <w:p w14:paraId="062B4775">
      <w:pPr>
        <w:pStyle w:val="58"/>
        <w:ind w:firstLine="420"/>
      </w:pPr>
    </w:p>
    <w:p w14:paraId="3C3E1050">
      <w:pPr>
        <w:pStyle w:val="58"/>
        <w:ind w:firstLine="420"/>
      </w:pPr>
    </w:p>
    <w:p w14:paraId="5865F353">
      <w:pPr>
        <w:pStyle w:val="58"/>
        <w:ind w:firstLine="420"/>
      </w:pPr>
    </w:p>
    <w:p w14:paraId="52901467">
      <w:pPr>
        <w:pStyle w:val="58"/>
        <w:ind w:firstLine="420"/>
      </w:pPr>
    </w:p>
    <w:p w14:paraId="2333C50D">
      <w:pPr>
        <w:pStyle w:val="58"/>
        <w:ind w:firstLine="420"/>
      </w:pPr>
    </w:p>
    <w:p w14:paraId="6A8301B5">
      <w:pPr>
        <w:pStyle w:val="58"/>
        <w:ind w:firstLine="420"/>
      </w:pPr>
    </w:p>
    <w:p w14:paraId="4D7615E2">
      <w:pPr>
        <w:pStyle w:val="58"/>
        <w:ind w:firstLine="420"/>
      </w:pPr>
    </w:p>
    <w:p w14:paraId="49984EAE">
      <w:pPr>
        <w:pStyle w:val="58"/>
        <w:ind w:firstLine="420"/>
      </w:pPr>
    </w:p>
    <w:p w14:paraId="0E6D8718">
      <w:pPr>
        <w:pStyle w:val="58"/>
        <w:ind w:firstLine="420"/>
      </w:pPr>
    </w:p>
    <w:p w14:paraId="260823F8">
      <w:pPr>
        <w:pStyle w:val="58"/>
        <w:ind w:firstLine="420"/>
      </w:pPr>
    </w:p>
    <w:p w14:paraId="6A2A4391">
      <w:pPr>
        <w:pStyle w:val="58"/>
        <w:ind w:firstLine="420"/>
      </w:pPr>
    </w:p>
    <w:p w14:paraId="1360B234">
      <w:pPr>
        <w:pStyle w:val="58"/>
        <w:ind w:firstLine="420"/>
      </w:pPr>
    </w:p>
    <w:p w14:paraId="1D86393E">
      <w:pPr>
        <w:pStyle w:val="58"/>
        <w:ind w:firstLine="420"/>
      </w:pPr>
    </w:p>
    <w:p w14:paraId="401B28B1">
      <w:pPr>
        <w:pStyle w:val="58"/>
        <w:ind w:firstLine="420"/>
      </w:pPr>
    </w:p>
    <w:p w14:paraId="4B8C3BCC">
      <w:pPr>
        <w:pStyle w:val="58"/>
        <w:ind w:firstLine="420"/>
      </w:pPr>
    </w:p>
    <w:p w14:paraId="6374A4FF">
      <w:pPr>
        <w:pStyle w:val="58"/>
        <w:ind w:firstLine="420"/>
      </w:pPr>
    </w:p>
    <w:p w14:paraId="60132640">
      <w:pPr>
        <w:pStyle w:val="58"/>
        <w:ind w:firstLine="420"/>
      </w:pPr>
    </w:p>
    <w:p w14:paraId="1BEF9142">
      <w:pPr>
        <w:pStyle w:val="58"/>
        <w:ind w:firstLine="420"/>
      </w:pPr>
    </w:p>
    <w:p w14:paraId="625415A6">
      <w:pPr>
        <w:pStyle w:val="58"/>
        <w:ind w:firstLine="420"/>
      </w:pPr>
    </w:p>
    <w:p w14:paraId="1E76E1F1">
      <w:pPr>
        <w:pStyle w:val="58"/>
        <w:ind w:firstLine="420"/>
      </w:pPr>
    </w:p>
    <w:p w14:paraId="1235F339">
      <w:pPr>
        <w:pStyle w:val="58"/>
        <w:ind w:firstLine="420"/>
      </w:pPr>
    </w:p>
    <w:p w14:paraId="4F229D90">
      <w:pPr>
        <w:pStyle w:val="58"/>
        <w:ind w:firstLine="420"/>
      </w:pPr>
    </w:p>
    <w:p w14:paraId="65832DBA">
      <w:pPr>
        <w:pStyle w:val="58"/>
        <w:ind w:firstLine="420"/>
      </w:pPr>
    </w:p>
    <w:p w14:paraId="0525492C">
      <w:pPr>
        <w:pStyle w:val="58"/>
        <w:ind w:firstLine="420"/>
      </w:pPr>
    </w:p>
    <w:p w14:paraId="06E9C36B">
      <w:pPr>
        <w:pStyle w:val="58"/>
        <w:ind w:firstLine="420"/>
      </w:pPr>
    </w:p>
    <w:p w14:paraId="14653B30">
      <w:pPr>
        <w:pStyle w:val="58"/>
        <w:ind w:firstLine="420"/>
      </w:pPr>
    </w:p>
    <w:p w14:paraId="4B21C720">
      <w:pPr>
        <w:pStyle w:val="58"/>
        <w:ind w:firstLine="420"/>
      </w:pPr>
    </w:p>
    <w:p w14:paraId="7958D232">
      <w:pPr>
        <w:pStyle w:val="58"/>
        <w:ind w:firstLine="420"/>
      </w:pPr>
    </w:p>
    <w:p w14:paraId="29F04575">
      <w:pPr>
        <w:pStyle w:val="58"/>
        <w:ind w:firstLine="420"/>
      </w:pPr>
    </w:p>
    <w:p w14:paraId="7934A922">
      <w:pPr>
        <w:pStyle w:val="58"/>
        <w:ind w:firstLine="420"/>
      </w:pPr>
    </w:p>
    <w:p w14:paraId="7B4F9210">
      <w:pPr>
        <w:pStyle w:val="58"/>
        <w:ind w:firstLine="420"/>
      </w:pPr>
    </w:p>
    <w:p w14:paraId="0E677212">
      <w:pPr>
        <w:pStyle w:val="58"/>
        <w:ind w:firstLine="420"/>
      </w:pPr>
    </w:p>
    <w:p w14:paraId="480922B4">
      <w:pPr>
        <w:pStyle w:val="58"/>
        <w:ind w:firstLine="420"/>
      </w:pPr>
    </w:p>
    <w:p w14:paraId="08E9CBB9">
      <w:pPr>
        <w:pStyle w:val="58"/>
        <w:ind w:firstLine="880"/>
        <w:jc w:val="center"/>
        <w:rPr>
          <w:sz w:val="44"/>
          <w:szCs w:val="44"/>
        </w:rPr>
      </w:pPr>
      <w:r>
        <w:rPr>
          <w:sz w:val="44"/>
          <w:szCs w:val="44"/>
        </w:rPr>
        <w:t>矩形顶管施工技术规程</w:t>
      </w:r>
    </w:p>
    <w:p w14:paraId="3C45677D">
      <w:pPr>
        <w:pStyle w:val="58"/>
        <w:ind w:firstLine="420"/>
      </w:pPr>
    </w:p>
    <w:p w14:paraId="35EBA2C8">
      <w:pPr>
        <w:pStyle w:val="58"/>
        <w:ind w:firstLine="420"/>
      </w:pPr>
    </w:p>
    <w:p w14:paraId="4B450E06">
      <w:pPr>
        <w:pStyle w:val="58"/>
        <w:ind w:firstLine="560"/>
        <w:jc w:val="center"/>
        <w:rPr>
          <w:sz w:val="28"/>
          <w:szCs w:val="28"/>
        </w:rPr>
      </w:pPr>
      <w:bookmarkStart w:id="204" w:name="_Toc97293155"/>
      <w:r>
        <w:rPr>
          <w:sz w:val="28"/>
          <w:szCs w:val="28"/>
        </w:rPr>
        <w:t>条文说明</w:t>
      </w:r>
      <w:bookmarkEnd w:id="204"/>
    </w:p>
    <w:p w14:paraId="5A5387AA">
      <w:pPr>
        <w:pStyle w:val="58"/>
        <w:ind w:firstLine="560"/>
        <w:jc w:val="center"/>
        <w:rPr>
          <w:sz w:val="28"/>
          <w:szCs w:val="28"/>
        </w:rPr>
      </w:pPr>
    </w:p>
    <w:p w14:paraId="67D721BC">
      <w:pPr>
        <w:pStyle w:val="58"/>
        <w:ind w:firstLine="560"/>
        <w:jc w:val="center"/>
        <w:rPr>
          <w:sz w:val="28"/>
          <w:szCs w:val="28"/>
        </w:rPr>
      </w:pPr>
    </w:p>
    <w:p w14:paraId="11F130C5">
      <w:pPr>
        <w:pStyle w:val="58"/>
        <w:ind w:firstLine="560"/>
        <w:jc w:val="center"/>
        <w:rPr>
          <w:sz w:val="28"/>
          <w:szCs w:val="28"/>
        </w:rPr>
      </w:pPr>
    </w:p>
    <w:p w14:paraId="4D0EF224">
      <w:pPr>
        <w:pStyle w:val="58"/>
        <w:ind w:firstLine="560"/>
        <w:jc w:val="center"/>
        <w:rPr>
          <w:sz w:val="28"/>
          <w:szCs w:val="28"/>
        </w:rPr>
      </w:pPr>
    </w:p>
    <w:p w14:paraId="0E4A73C3">
      <w:pPr>
        <w:pStyle w:val="58"/>
        <w:ind w:firstLine="560"/>
        <w:jc w:val="center"/>
        <w:rPr>
          <w:sz w:val="28"/>
          <w:szCs w:val="28"/>
        </w:rPr>
      </w:pPr>
    </w:p>
    <w:p w14:paraId="572915DC">
      <w:pPr>
        <w:pStyle w:val="58"/>
        <w:ind w:firstLine="560"/>
        <w:jc w:val="center"/>
        <w:rPr>
          <w:sz w:val="28"/>
          <w:szCs w:val="28"/>
        </w:rPr>
      </w:pPr>
    </w:p>
    <w:p w14:paraId="426FDEF0">
      <w:pPr>
        <w:pStyle w:val="58"/>
        <w:ind w:firstLine="560"/>
        <w:jc w:val="center"/>
        <w:rPr>
          <w:sz w:val="28"/>
          <w:szCs w:val="28"/>
        </w:rPr>
      </w:pPr>
    </w:p>
    <w:p w14:paraId="0BEED422">
      <w:pPr>
        <w:pStyle w:val="58"/>
        <w:ind w:firstLine="560"/>
        <w:jc w:val="center"/>
        <w:outlineLvl w:val="0"/>
        <w:rPr>
          <w:sz w:val="28"/>
          <w:szCs w:val="28"/>
        </w:rPr>
      </w:pPr>
    </w:p>
    <w:p w14:paraId="7D4D9457">
      <w:pPr>
        <w:pStyle w:val="58"/>
        <w:ind w:firstLine="560"/>
        <w:jc w:val="center"/>
        <w:rPr>
          <w:sz w:val="28"/>
          <w:szCs w:val="28"/>
        </w:rPr>
      </w:pPr>
    </w:p>
    <w:p w14:paraId="116AF5EA">
      <w:pPr>
        <w:pStyle w:val="58"/>
        <w:ind w:firstLine="560"/>
        <w:jc w:val="center"/>
        <w:rPr>
          <w:sz w:val="28"/>
          <w:szCs w:val="28"/>
        </w:rPr>
      </w:pPr>
    </w:p>
    <w:p w14:paraId="69869027">
      <w:pPr>
        <w:pStyle w:val="3"/>
        <w:spacing w:before="312" w:beforeLines="100" w:after="312" w:afterLines="100" w:line="240" w:lineRule="auto"/>
        <w:rPr>
          <w:rFonts w:hint="eastAsia" w:ascii="黑体" w:hAnsi="黑体"/>
          <w:b w:val="0"/>
          <w:sz w:val="21"/>
          <w:szCs w:val="21"/>
        </w:rPr>
      </w:pPr>
      <w:bookmarkStart w:id="205" w:name="_Toc56514497"/>
      <w:bookmarkStart w:id="206" w:name="_Toc97293156"/>
      <w:bookmarkStart w:id="207" w:name="_Toc81679062"/>
      <w:r>
        <w:rPr>
          <w:rFonts w:ascii="黑体" w:hAnsi="黑体"/>
          <w:b w:val="0"/>
          <w:sz w:val="21"/>
          <w:szCs w:val="21"/>
        </w:rPr>
        <w:t xml:space="preserve">1 </w:t>
      </w:r>
      <w:bookmarkEnd w:id="205"/>
      <w:r>
        <w:rPr>
          <w:rFonts w:hint="eastAsia" w:ascii="黑体" w:hAnsi="黑体"/>
          <w:b w:val="0"/>
          <w:sz w:val="21"/>
          <w:szCs w:val="21"/>
        </w:rPr>
        <w:t>范围</w:t>
      </w:r>
      <w:bookmarkEnd w:id="206"/>
      <w:bookmarkEnd w:id="207"/>
    </w:p>
    <w:p w14:paraId="28586DFD">
      <w:pPr>
        <w:spacing w:line="240" w:lineRule="auto"/>
        <w:rPr>
          <w:rFonts w:hint="eastAsia" w:ascii="宋体" w:hAnsi="宋体"/>
        </w:rPr>
      </w:pPr>
      <w:r>
        <w:rPr>
          <w:rFonts w:ascii="宋体" w:hAnsi="宋体"/>
        </w:rPr>
        <w:t>1.1 矩形顶管施工在</w:t>
      </w:r>
      <w:r>
        <w:rPr>
          <w:rFonts w:hint="eastAsia" w:ascii="宋体" w:hAnsi="宋体"/>
        </w:rPr>
        <w:t>湖北省</w:t>
      </w:r>
      <w:r>
        <w:rPr>
          <w:rFonts w:ascii="宋体" w:hAnsi="宋体"/>
        </w:rPr>
        <w:t>运用的越来越广泛，施工技术逐渐成熟，但是目前尚无相关施工规范对矩形顶管施工</w:t>
      </w:r>
      <w:r>
        <w:rPr>
          <w:rFonts w:hint="eastAsia" w:ascii="宋体" w:hAnsi="宋体"/>
        </w:rPr>
        <w:t>给予</w:t>
      </w:r>
      <w:r>
        <w:rPr>
          <w:rFonts w:ascii="宋体" w:hAnsi="宋体"/>
        </w:rPr>
        <w:t>统一的指导及明确的质量目标，因此制定本规程是非常迫切的。</w:t>
      </w:r>
    </w:p>
    <w:p w14:paraId="370B8F5B">
      <w:pPr>
        <w:pStyle w:val="3"/>
        <w:spacing w:before="312" w:beforeLines="100" w:after="312" w:afterLines="100" w:line="240" w:lineRule="auto"/>
        <w:rPr>
          <w:rFonts w:hint="eastAsia" w:ascii="黑体" w:hAnsi="黑体"/>
          <w:b w:val="0"/>
          <w:sz w:val="21"/>
          <w:szCs w:val="21"/>
        </w:rPr>
      </w:pPr>
      <w:bookmarkStart w:id="208" w:name="_Toc56514498"/>
      <w:bookmarkStart w:id="209" w:name="_Toc81679063"/>
      <w:bookmarkStart w:id="210" w:name="_Toc97293157"/>
      <w:r>
        <w:rPr>
          <w:rFonts w:ascii="黑体" w:hAnsi="黑体"/>
          <w:b w:val="0"/>
          <w:sz w:val="21"/>
          <w:szCs w:val="21"/>
        </w:rPr>
        <w:t>3 术语</w:t>
      </w:r>
      <w:bookmarkEnd w:id="208"/>
      <w:bookmarkEnd w:id="209"/>
      <w:bookmarkEnd w:id="210"/>
    </w:p>
    <w:p w14:paraId="6B74FC0C">
      <w:pPr>
        <w:spacing w:line="240" w:lineRule="auto"/>
        <w:rPr>
          <w:rFonts w:hint="eastAsia" w:ascii="宋体" w:hAnsi="宋体"/>
        </w:rPr>
      </w:pPr>
      <w:r>
        <w:rPr>
          <w:rFonts w:ascii="宋体" w:hAnsi="宋体"/>
        </w:rPr>
        <w:t xml:space="preserve">3.6 </w:t>
      </w:r>
      <w:r>
        <w:rPr>
          <w:rFonts w:hint="eastAsia" w:ascii="宋体" w:hAnsi="宋体"/>
        </w:rPr>
        <w:t>导轨也可称为轨道</w:t>
      </w:r>
    </w:p>
    <w:p w14:paraId="26336C5D">
      <w:pPr>
        <w:spacing w:line="240" w:lineRule="auto"/>
        <w:rPr>
          <w:rFonts w:hint="eastAsia" w:ascii="宋体" w:hAnsi="宋体"/>
        </w:rPr>
      </w:pPr>
      <w:r>
        <w:rPr>
          <w:rFonts w:ascii="宋体" w:hAnsi="宋体"/>
        </w:rPr>
        <w:t>3</w:t>
      </w:r>
      <w:r>
        <w:rPr>
          <w:rFonts w:hint="eastAsia" w:ascii="宋体" w:hAnsi="宋体"/>
        </w:rPr>
        <w:t>.1</w:t>
      </w:r>
      <w:r>
        <w:rPr>
          <w:rFonts w:ascii="宋体" w:hAnsi="宋体"/>
        </w:rPr>
        <w:t>3 土压平衡式矩形顶管</w:t>
      </w:r>
    </w:p>
    <w:p w14:paraId="0A8E27FA">
      <w:pPr>
        <w:spacing w:line="240" w:lineRule="auto"/>
        <w:rPr>
          <w:rFonts w:hint="eastAsia" w:ascii="宋体" w:hAnsi="宋体"/>
        </w:rPr>
      </w:pPr>
      <w:r>
        <w:rPr>
          <w:rFonts w:hint="eastAsia" w:ascii="宋体" w:hAnsi="宋体"/>
        </w:rPr>
        <w:t>外形尺寸为矩形断面，一种全断面切削土体，通过螺旋机出土，并以螺旋机搅拌土产生的土体压力来平衡水土压力的顶管施工方法。</w:t>
      </w:r>
    </w:p>
    <w:p w14:paraId="25E98375">
      <w:pPr>
        <w:pStyle w:val="3"/>
        <w:spacing w:before="312" w:beforeLines="100" w:after="312" w:afterLines="100" w:line="240" w:lineRule="auto"/>
        <w:rPr>
          <w:rFonts w:hint="eastAsia" w:ascii="黑体" w:hAnsi="黑体"/>
          <w:b w:val="0"/>
          <w:sz w:val="21"/>
          <w:szCs w:val="21"/>
        </w:rPr>
      </w:pPr>
      <w:bookmarkStart w:id="211" w:name="_Toc97293158"/>
      <w:bookmarkStart w:id="212" w:name="_Toc81679064"/>
      <w:r>
        <w:rPr>
          <w:rFonts w:hint="eastAsia" w:ascii="黑体" w:hAnsi="黑体"/>
          <w:b w:val="0"/>
          <w:sz w:val="21"/>
          <w:szCs w:val="21"/>
        </w:rPr>
        <w:t>5总则</w:t>
      </w:r>
      <w:bookmarkEnd w:id="211"/>
      <w:bookmarkEnd w:id="212"/>
    </w:p>
    <w:p w14:paraId="1764763E">
      <w:pPr>
        <w:spacing w:line="240" w:lineRule="auto"/>
        <w:rPr>
          <w:rFonts w:hint="eastAsia" w:ascii="宋体" w:hAnsi="宋体"/>
        </w:rPr>
      </w:pPr>
      <w:r>
        <w:rPr>
          <w:rFonts w:ascii="宋体" w:hAnsi="宋体"/>
        </w:rPr>
        <w:t>5.2 此条说明本规程只针对矩形顶管施工，未将圆形顶管施工等归纳至本规程</w:t>
      </w:r>
    </w:p>
    <w:p w14:paraId="0253F846">
      <w:pPr>
        <w:spacing w:line="240" w:lineRule="auto"/>
        <w:rPr>
          <w:rFonts w:hint="eastAsia" w:ascii="宋体" w:hAnsi="宋体"/>
        </w:rPr>
      </w:pPr>
      <w:r>
        <w:rPr>
          <w:rFonts w:ascii="宋体" w:hAnsi="宋体"/>
        </w:rPr>
        <w:t>5.3矩形顶管施工往往应用于截面尺寸较大的工程，</w:t>
      </w:r>
      <w:r>
        <w:rPr>
          <w:rFonts w:hint="eastAsia" w:ascii="宋体" w:hAnsi="宋体"/>
        </w:rPr>
        <w:t>应</w:t>
      </w:r>
      <w:r>
        <w:rPr>
          <w:rFonts w:ascii="宋体" w:hAnsi="宋体"/>
        </w:rPr>
        <w:t>针对</w:t>
      </w:r>
      <w:r>
        <w:rPr>
          <w:rFonts w:hint="eastAsia" w:ascii="宋体" w:hAnsi="宋体"/>
        </w:rPr>
        <w:t>湖北省</w:t>
      </w:r>
      <w:r>
        <w:rPr>
          <w:rFonts w:ascii="宋体" w:hAnsi="宋体"/>
        </w:rPr>
        <w:t>的工程水文地质条件</w:t>
      </w:r>
      <w:r>
        <w:rPr>
          <w:rFonts w:hint="eastAsia" w:ascii="宋体" w:hAnsi="宋体"/>
        </w:rPr>
        <w:t>、周边环境</w:t>
      </w:r>
      <w:r>
        <w:rPr>
          <w:rFonts w:ascii="宋体" w:hAnsi="宋体"/>
        </w:rPr>
        <w:t>等因素合理选择施工设备及工艺。</w:t>
      </w:r>
    </w:p>
    <w:p w14:paraId="5BF24323">
      <w:pPr>
        <w:pStyle w:val="3"/>
        <w:spacing w:before="312" w:beforeLines="100" w:after="312" w:afterLines="100" w:line="240" w:lineRule="auto"/>
        <w:rPr>
          <w:rFonts w:hint="eastAsia" w:ascii="黑体" w:hAnsi="黑体"/>
          <w:b w:val="0"/>
          <w:sz w:val="21"/>
          <w:szCs w:val="21"/>
        </w:rPr>
      </w:pPr>
      <w:bookmarkStart w:id="213" w:name="_Toc81679065"/>
      <w:bookmarkStart w:id="214" w:name="_Toc97293159"/>
      <w:bookmarkStart w:id="215" w:name="_Toc56514499"/>
      <w:r>
        <w:rPr>
          <w:rFonts w:ascii="黑体" w:hAnsi="黑体"/>
          <w:b w:val="0"/>
          <w:sz w:val="21"/>
          <w:szCs w:val="21"/>
        </w:rPr>
        <w:t>6 基本规定</w:t>
      </w:r>
      <w:bookmarkEnd w:id="213"/>
      <w:bookmarkEnd w:id="214"/>
      <w:bookmarkEnd w:id="215"/>
    </w:p>
    <w:p w14:paraId="2BD0F1BB">
      <w:pPr>
        <w:spacing w:line="240" w:lineRule="auto"/>
        <w:rPr>
          <w:rFonts w:hint="eastAsia" w:ascii="宋体" w:hAnsi="宋体"/>
        </w:rPr>
      </w:pPr>
      <w:r>
        <w:rPr>
          <w:rFonts w:ascii="宋体" w:hAnsi="宋体"/>
        </w:rPr>
        <w:t>6.1 本条要求对矩形顶管施工经过的沿线周边环境了解清楚，便于采取有效的保护措施。</w:t>
      </w:r>
      <w:r>
        <w:rPr>
          <w:rFonts w:hint="eastAsia" w:ascii="宋体" w:hAnsi="宋体"/>
        </w:rPr>
        <w:t>已查明的顶管施工路径上的障碍物应当在施工前进行清除，以免施工过程中遇到障碍物，造成停机等问题。在下穿重要建筑物时，采用水平定向钻等措施可以提前探测顶管顶进路径是否存在未知的障碍物，以保证顶进施工安全顺利进行。</w:t>
      </w:r>
    </w:p>
    <w:p w14:paraId="333CCEAE">
      <w:pPr>
        <w:spacing w:line="240" w:lineRule="auto"/>
        <w:rPr>
          <w:rFonts w:hint="eastAsia"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 xml:space="preserve"> 由于顶管工程属于地下工程，存在诸多不可预见的状况，同时施工不可避免的会产生地面隆起、沉降，影响周边建构筑物或管线，须采取监测措施。</w:t>
      </w:r>
    </w:p>
    <w:p w14:paraId="42CEDF59">
      <w:pPr>
        <w:spacing w:line="240" w:lineRule="auto"/>
        <w:rPr>
          <w:rFonts w:hint="eastAsia" w:ascii="宋体" w:hAnsi="宋体"/>
        </w:rPr>
      </w:pPr>
      <w:r>
        <w:rPr>
          <w:rFonts w:ascii="宋体" w:hAnsi="宋体"/>
        </w:rPr>
        <w:t>6.</w:t>
      </w:r>
      <w:r>
        <w:rPr>
          <w:rFonts w:hint="eastAsia" w:ascii="宋体" w:hAnsi="宋体"/>
        </w:rPr>
        <w:t>4</w:t>
      </w:r>
      <w:r>
        <w:rPr>
          <w:rFonts w:ascii="宋体" w:hAnsi="宋体"/>
        </w:rPr>
        <w:t xml:space="preserve"> 本条规定顶管施工所需主要原材料等</w:t>
      </w:r>
      <w:r>
        <w:rPr>
          <w:rFonts w:hint="eastAsia" w:ascii="宋体" w:hAnsi="宋体"/>
        </w:rPr>
        <w:t>应</w:t>
      </w:r>
      <w:r>
        <w:rPr>
          <w:rFonts w:ascii="宋体" w:hAnsi="宋体"/>
        </w:rPr>
        <w:t>符合国家有关标准的规定，同时要有检验和验收程序。</w:t>
      </w:r>
    </w:p>
    <w:p w14:paraId="5A2524C0">
      <w:pPr>
        <w:spacing w:line="240" w:lineRule="auto"/>
        <w:rPr>
          <w:rFonts w:hint="eastAsia" w:ascii="宋体" w:hAnsi="宋体"/>
        </w:rPr>
      </w:pPr>
      <w:r>
        <w:rPr>
          <w:rFonts w:hint="eastAsia" w:ascii="宋体" w:hAnsi="宋体"/>
        </w:rPr>
        <w:t>6</w:t>
      </w:r>
      <w:r>
        <w:rPr>
          <w:rFonts w:ascii="宋体" w:hAnsi="宋体"/>
        </w:rPr>
        <w:t>.</w:t>
      </w:r>
      <w:r>
        <w:rPr>
          <w:rFonts w:hint="eastAsia" w:ascii="宋体" w:hAnsi="宋体"/>
        </w:rPr>
        <w:t>7应对顶管管道成型的管节和成型后的管道分别复核抗浮安全；按河床冲刷深度复核抗浮安全，管道应布置在河床冲刷深度以下不宜小于1</w:t>
      </w:r>
      <w:r>
        <w:rPr>
          <w:rFonts w:ascii="宋体" w:hAnsi="宋体"/>
        </w:rPr>
        <w:t>.1</w:t>
      </w:r>
      <w:r>
        <w:rPr>
          <w:rFonts w:hint="eastAsia" w:ascii="宋体" w:hAnsi="宋体"/>
        </w:rPr>
        <w:t>倍净高，且不小于3m。</w:t>
      </w:r>
    </w:p>
    <w:p w14:paraId="0C85B423">
      <w:pPr>
        <w:spacing w:line="240" w:lineRule="auto"/>
        <w:rPr>
          <w:rFonts w:hint="eastAsia" w:ascii="宋体" w:hAnsi="宋体"/>
        </w:rPr>
      </w:pPr>
      <w:r>
        <w:rPr>
          <w:rFonts w:ascii="宋体" w:hAnsi="宋体"/>
        </w:rPr>
        <w:t>6.</w:t>
      </w:r>
      <w:r>
        <w:rPr>
          <w:rFonts w:hint="eastAsia" w:ascii="宋体" w:hAnsi="宋体"/>
        </w:rPr>
        <w:t>11</w:t>
      </w:r>
      <w:r>
        <w:rPr>
          <w:rFonts w:ascii="宋体" w:hAnsi="宋体"/>
        </w:rPr>
        <w:t>本条针对施工中测量系统的建立做了说明，须建立地面及地下测量系统，保证顶管机从安装到顶进完成期间管道轴线</w:t>
      </w:r>
      <w:r>
        <w:rPr>
          <w:rFonts w:hint="eastAsia" w:ascii="宋体" w:hAnsi="宋体"/>
        </w:rPr>
        <w:t>符合</w:t>
      </w:r>
      <w:r>
        <w:rPr>
          <w:rFonts w:ascii="宋体" w:hAnsi="宋体"/>
        </w:rPr>
        <w:t>设计规范要求。由于铅锤测量轴线误差太大，会严重影响顶管</w:t>
      </w:r>
      <w:r>
        <w:rPr>
          <w:rFonts w:hint="eastAsia" w:ascii="宋体" w:hAnsi="宋体"/>
        </w:rPr>
        <w:t>施工精度</w:t>
      </w:r>
      <w:r>
        <w:rPr>
          <w:rFonts w:ascii="宋体" w:hAnsi="宋体"/>
        </w:rPr>
        <w:t>，所以地下测量系统不得使用铅锤法放线。</w:t>
      </w:r>
    </w:p>
    <w:p w14:paraId="24CAA26B">
      <w:pPr>
        <w:pStyle w:val="3"/>
        <w:spacing w:before="312" w:beforeLines="100" w:after="312" w:afterLines="100" w:line="240" w:lineRule="auto"/>
        <w:rPr>
          <w:rFonts w:hint="eastAsia" w:ascii="黑体" w:hAnsi="黑体"/>
          <w:b w:val="0"/>
          <w:sz w:val="21"/>
          <w:szCs w:val="21"/>
        </w:rPr>
      </w:pPr>
      <w:bookmarkStart w:id="216" w:name="_Toc97293160"/>
      <w:bookmarkStart w:id="217" w:name="_Toc56514517"/>
      <w:bookmarkStart w:id="218" w:name="_Toc81679066"/>
      <w:r>
        <w:rPr>
          <w:rFonts w:ascii="黑体" w:hAnsi="黑体"/>
          <w:b w:val="0"/>
          <w:sz w:val="21"/>
          <w:szCs w:val="21"/>
        </w:rPr>
        <w:t>7 管节顶进施工</w:t>
      </w:r>
      <w:bookmarkEnd w:id="216"/>
      <w:bookmarkEnd w:id="217"/>
      <w:bookmarkEnd w:id="218"/>
    </w:p>
    <w:p w14:paraId="21774BD2">
      <w:pPr>
        <w:pStyle w:val="3"/>
        <w:spacing w:before="156" w:beforeLines="50" w:after="156" w:afterLines="50" w:line="240" w:lineRule="auto"/>
        <w:rPr>
          <w:rFonts w:hint="eastAsia" w:ascii="黑体" w:hAnsi="黑体"/>
          <w:b w:val="0"/>
          <w:sz w:val="21"/>
          <w:szCs w:val="21"/>
        </w:rPr>
      </w:pPr>
      <w:bookmarkStart w:id="219" w:name="_Toc56514518"/>
      <w:bookmarkStart w:id="220" w:name="_Toc97293161"/>
      <w:bookmarkStart w:id="221" w:name="_Toc81679067"/>
      <w:r>
        <w:rPr>
          <w:rFonts w:ascii="黑体" w:hAnsi="黑体"/>
          <w:b w:val="0"/>
          <w:sz w:val="21"/>
          <w:szCs w:val="21"/>
        </w:rPr>
        <w:t>7.1 一般规定</w:t>
      </w:r>
      <w:bookmarkEnd w:id="219"/>
      <w:bookmarkEnd w:id="220"/>
      <w:bookmarkEnd w:id="221"/>
    </w:p>
    <w:p w14:paraId="78A026BA">
      <w:pPr>
        <w:spacing w:line="240" w:lineRule="auto"/>
        <w:rPr>
          <w:rFonts w:hint="eastAsia" w:ascii="宋体" w:hAnsi="宋体"/>
        </w:rPr>
      </w:pPr>
      <w:r>
        <w:rPr>
          <w:rFonts w:ascii="宋体" w:hAnsi="宋体"/>
        </w:rPr>
        <w:t>7.1.2 始发时达到</w:t>
      </w:r>
      <w:r>
        <w:rPr>
          <w:rFonts w:hint="eastAsia" w:ascii="宋体" w:hAnsi="宋体"/>
        </w:rPr>
        <w:t>设计</w:t>
      </w:r>
      <w:r>
        <w:rPr>
          <w:rFonts w:ascii="宋体" w:hAnsi="宋体"/>
        </w:rPr>
        <w:t>强度的管节数量不宜小于总管节数量的70%，充分保证顶管顶进需求，避免顶进中因为管节不足导致停机，增加顶管的风险</w:t>
      </w:r>
      <w:r>
        <w:rPr>
          <w:rFonts w:hint="eastAsia" w:ascii="宋体" w:hAnsi="宋体"/>
        </w:rPr>
        <w:t>;</w:t>
      </w:r>
      <w:r>
        <w:rPr>
          <w:rFonts w:ascii="宋体" w:hAnsi="宋体"/>
        </w:rPr>
        <w:t>顶管管节</w:t>
      </w:r>
      <w:r>
        <w:rPr>
          <w:rFonts w:hint="eastAsia" w:ascii="宋体" w:hAnsi="宋体"/>
        </w:rPr>
        <w:t>宜</w:t>
      </w:r>
      <w:r>
        <w:rPr>
          <w:rFonts w:ascii="宋体" w:hAnsi="宋体"/>
        </w:rPr>
        <w:t>平放于坚实的地面，</w:t>
      </w:r>
      <w:r>
        <w:rPr>
          <w:rFonts w:hint="eastAsia" w:ascii="宋体" w:hAnsi="宋体"/>
        </w:rPr>
        <w:t>并</w:t>
      </w:r>
      <w:r>
        <w:rPr>
          <w:rFonts w:ascii="宋体" w:hAnsi="宋体"/>
        </w:rPr>
        <w:t>选用缓冲材料下垫，不宜多层叠放，避免损坏管节承插口</w:t>
      </w:r>
      <w:r>
        <w:rPr>
          <w:rFonts w:hint="eastAsia" w:ascii="宋体" w:hAnsi="宋体"/>
        </w:rPr>
        <w:t>。</w:t>
      </w:r>
    </w:p>
    <w:p w14:paraId="336B4AF8">
      <w:pPr>
        <w:spacing w:line="240" w:lineRule="auto"/>
        <w:rPr>
          <w:rFonts w:hint="eastAsia" w:ascii="宋体" w:hAnsi="宋体"/>
        </w:rPr>
      </w:pPr>
      <w:r>
        <w:rPr>
          <w:rFonts w:ascii="宋体" w:hAnsi="宋体"/>
        </w:rPr>
        <w:t>7.1.3基坑内设置排水沟和集水井进行集水明排，并在基坑外设置连通的截水沟</w:t>
      </w:r>
      <w:r>
        <w:rPr>
          <w:rFonts w:hint="eastAsia" w:ascii="宋体" w:hAnsi="宋体"/>
        </w:rPr>
        <w:t>和挡水坎</w:t>
      </w:r>
      <w:r>
        <w:rPr>
          <w:rFonts w:ascii="宋体" w:hAnsi="宋体"/>
        </w:rPr>
        <w:t>。</w:t>
      </w:r>
    </w:p>
    <w:p w14:paraId="50AAF536">
      <w:pPr>
        <w:pStyle w:val="176"/>
        <w:numPr>
          <w:ilvl w:val="0"/>
          <w:numId w:val="58"/>
        </w:numPr>
      </w:pPr>
      <w:r>
        <w:rPr>
          <w:rFonts w:hint="eastAsia"/>
        </w:rPr>
        <w:t>截水沟（挡水坎）：基坑顶外侧设置截水沟和挡水坎截断外界地表水、雨水，基坑开挖面内以集水明排的方法排除坑内渗出的地下水。</w:t>
      </w:r>
    </w:p>
    <w:p w14:paraId="0D82DD1B">
      <w:pPr>
        <w:pStyle w:val="176"/>
      </w:pPr>
      <w:r>
        <w:t>集水明排：在基坑的四周设置排水明沟，基坑对角</w:t>
      </w:r>
      <w:r>
        <w:rPr>
          <w:rFonts w:hint="eastAsia"/>
        </w:rPr>
        <w:t>两</w:t>
      </w:r>
      <w:r>
        <w:t>处设置集水井，使基坑渗出的地下水通过排水明沟汇集于集水井内，然后用水泵排</w:t>
      </w:r>
      <w:r>
        <w:rPr>
          <w:rFonts w:hint="eastAsia"/>
        </w:rPr>
        <w:t>出</w:t>
      </w:r>
      <w:r>
        <w:t>基坑以外。</w:t>
      </w:r>
    </w:p>
    <w:p w14:paraId="60A1E62C">
      <w:pPr>
        <w:pStyle w:val="176"/>
      </w:pPr>
      <w:r>
        <w:t>水泵：每个集水井内放置1台</w:t>
      </w:r>
      <w:r>
        <w:rPr>
          <w:rFonts w:hint="eastAsia"/>
        </w:rPr>
        <w:t>高扬程</w:t>
      </w:r>
      <w:r>
        <w:t>潜水水泵，保证及时排出坑内积水，确保基坑稳定（现场另备1台高</w:t>
      </w:r>
      <w:r>
        <w:rPr>
          <w:rFonts w:hint="eastAsia"/>
        </w:rPr>
        <w:t>扬程</w:t>
      </w:r>
      <w:r>
        <w:t>潜水水泵，防止因水泵故障中断基坑排水）。</w:t>
      </w:r>
    </w:p>
    <w:p w14:paraId="71596C3D">
      <w:pPr>
        <w:pStyle w:val="176"/>
      </w:pPr>
      <w:r>
        <w:t>排水注意事项</w:t>
      </w:r>
    </w:p>
    <w:p w14:paraId="6C5170D2">
      <w:pPr>
        <w:pStyle w:val="111"/>
      </w:pPr>
      <w:r>
        <w:t>根据开挖分段进展情况，排水沟及集水井要随开挖随施工，并随基坑开挖深度的加深同步进行保证基坑内有水随时能抽到地面。</w:t>
      </w:r>
    </w:p>
    <w:p w14:paraId="5ED08F0F">
      <w:pPr>
        <w:pStyle w:val="111"/>
      </w:pPr>
      <w:r>
        <w:t>排水泵接电严格按照施工临时用电规范要求操作，严禁无证操作、违章操作，以免造成触电事故。</w:t>
      </w:r>
    </w:p>
    <w:p w14:paraId="0A37792E">
      <w:pPr>
        <w:pStyle w:val="111"/>
      </w:pPr>
      <w:r>
        <w:t>排水沟内淤泥、杂物要安排专人及时清理，以免水泵抽水时堵泵烧坏水泵。</w:t>
      </w:r>
    </w:p>
    <w:p w14:paraId="65A36032">
      <w:pPr>
        <w:pStyle w:val="111"/>
      </w:pPr>
      <w:r>
        <w:t>如基坑内部分水无法汇入主排水沟，可采用小沟引流的方法引至主排水沟再汇入集水井。</w:t>
      </w:r>
    </w:p>
    <w:p w14:paraId="35DD9449">
      <w:pPr>
        <w:spacing w:line="240" w:lineRule="auto"/>
        <w:rPr>
          <w:rFonts w:hint="eastAsia" w:ascii="宋体" w:hAnsi="宋体"/>
        </w:rPr>
      </w:pPr>
      <w:r>
        <w:rPr>
          <w:rFonts w:ascii="宋体" w:hAnsi="宋体"/>
        </w:rPr>
        <w:t>7.1.4 照明变压器应使用双绕组型安全隔离变压器，严禁使用自耦变压器，特别潮湿环境下，电源电压不应大于12V。顶管施工全过程应采取通风措施，送风口宜设置在距离顶管机12m~15m处，供气量应</w:t>
      </w:r>
      <w:r>
        <w:rPr>
          <w:rFonts w:hint="eastAsia" w:ascii="宋体" w:hAnsi="宋体"/>
        </w:rPr>
        <w:t>不小于</w:t>
      </w:r>
      <w:r>
        <w:rPr>
          <w:rFonts w:ascii="宋体" w:hAnsi="宋体"/>
        </w:rPr>
        <w:t>30m³/h</w:t>
      </w:r>
      <w:r>
        <w:rPr>
          <w:rFonts w:hint="eastAsia" w:ascii="宋体" w:hAnsi="宋体"/>
        </w:rPr>
        <w:t>·人</w:t>
      </w:r>
      <w:r>
        <w:rPr>
          <w:rFonts w:ascii="宋体" w:hAnsi="宋体"/>
        </w:rPr>
        <w:t>，出口空气质量应符合环保要求，对顶进距离较长的管道，宜采取压缩空气送风。管道内应设置有毒有害气体检测报警装置，保证作业人员所处大气环境的安全。</w:t>
      </w:r>
    </w:p>
    <w:p w14:paraId="785041E1">
      <w:pPr>
        <w:spacing w:line="240" w:lineRule="auto"/>
        <w:rPr>
          <w:rFonts w:hint="eastAsia" w:ascii="宋体" w:hAnsi="宋体"/>
        </w:rPr>
      </w:pPr>
      <w:r>
        <w:rPr>
          <w:rFonts w:ascii="宋体" w:hAnsi="宋体"/>
        </w:rPr>
        <w:t>有毒有害气体控制指标如下:</w:t>
      </w:r>
    </w:p>
    <w:p w14:paraId="1CB9409B">
      <w:pPr>
        <w:spacing w:line="240" w:lineRule="auto"/>
        <w:ind w:firstLine="420" w:firstLineChars="200"/>
        <w:rPr>
          <w:rFonts w:hint="eastAsia" w:ascii="宋体" w:hAnsi="宋体"/>
        </w:rPr>
      </w:pPr>
      <w:r>
        <w:rPr>
          <w:rFonts w:hint="eastAsia" w:ascii="宋体" w:hAnsi="宋体"/>
        </w:rPr>
        <w:t>1</w:t>
      </w:r>
      <w:r>
        <w:rPr>
          <w:rFonts w:ascii="宋体" w:hAnsi="宋体"/>
        </w:rPr>
        <w:t xml:space="preserve"> 含氧浓度(O2)</w:t>
      </w:r>
      <w:r>
        <w:rPr>
          <w:rFonts w:hint="eastAsia" w:ascii="宋体" w:hAnsi="宋体"/>
        </w:rPr>
        <w:t>：</w:t>
      </w:r>
      <w:r>
        <w:rPr>
          <w:rFonts w:ascii="宋体" w:hAnsi="宋体"/>
        </w:rPr>
        <w:t>19%~21%为正常范围</w:t>
      </w:r>
      <w:r>
        <w:rPr>
          <w:rFonts w:hint="eastAsia" w:ascii="宋体" w:hAnsi="宋体"/>
        </w:rPr>
        <w:t>；</w:t>
      </w:r>
      <w:r>
        <w:rPr>
          <w:rFonts w:ascii="宋体" w:hAnsi="宋体"/>
        </w:rPr>
        <w:t>17%为报警值</w:t>
      </w:r>
      <w:r>
        <w:rPr>
          <w:rFonts w:hint="eastAsia" w:ascii="宋体" w:hAnsi="宋体"/>
        </w:rPr>
        <w:t>；</w:t>
      </w:r>
      <w:r>
        <w:rPr>
          <w:rFonts w:ascii="宋体" w:hAnsi="宋体"/>
        </w:rPr>
        <w:t>小于等于12%时现场施工人员应全部撤离。</w:t>
      </w:r>
    </w:p>
    <w:p w14:paraId="09E00C7A">
      <w:pPr>
        <w:spacing w:line="240" w:lineRule="auto"/>
        <w:ind w:firstLine="420" w:firstLineChars="200"/>
        <w:rPr>
          <w:rFonts w:hint="eastAsia" w:ascii="宋体" w:hAnsi="宋体"/>
        </w:rPr>
      </w:pPr>
      <w:r>
        <w:rPr>
          <w:rFonts w:hint="eastAsia" w:ascii="宋体" w:hAnsi="宋体"/>
        </w:rPr>
        <w:t>2</w:t>
      </w:r>
      <w:r>
        <w:rPr>
          <w:rFonts w:ascii="宋体" w:hAnsi="宋体"/>
        </w:rPr>
        <w:t xml:space="preserve"> 甲烷浓度(CH)</w:t>
      </w:r>
      <w:r>
        <w:rPr>
          <w:rFonts w:hint="eastAsia" w:ascii="宋体" w:hAnsi="宋体"/>
        </w:rPr>
        <w:t>：</w:t>
      </w:r>
      <w:r>
        <w:rPr>
          <w:rFonts w:ascii="宋体" w:hAnsi="宋体"/>
        </w:rPr>
        <w:t>0~0.25%为正常范围</w:t>
      </w:r>
      <w:r>
        <w:rPr>
          <w:rFonts w:hint="eastAsia" w:ascii="宋体" w:hAnsi="宋体"/>
        </w:rPr>
        <w:t>；</w:t>
      </w:r>
      <w:r>
        <w:rPr>
          <w:rFonts w:ascii="宋体" w:hAnsi="宋体"/>
        </w:rPr>
        <w:t>0.25%~0.5%为警戒范围</w:t>
      </w:r>
      <w:r>
        <w:rPr>
          <w:rFonts w:hint="eastAsia" w:ascii="宋体" w:hAnsi="宋体"/>
        </w:rPr>
        <w:t>；</w:t>
      </w:r>
      <w:r>
        <w:rPr>
          <w:rFonts w:ascii="宋体" w:hAnsi="宋体"/>
        </w:rPr>
        <w:t xml:space="preserve"> 0.5%~1%为终止作业</w:t>
      </w:r>
      <w:r>
        <w:rPr>
          <w:rFonts w:hint="eastAsia" w:ascii="宋体" w:hAnsi="宋体"/>
        </w:rPr>
        <w:t>；</w:t>
      </w:r>
      <w:r>
        <w:rPr>
          <w:rFonts w:ascii="宋体" w:hAnsi="宋体"/>
        </w:rPr>
        <w:t>大于等于1%要疏散作业人员</w:t>
      </w:r>
      <w:r>
        <w:rPr>
          <w:rFonts w:hint="eastAsia" w:ascii="宋体" w:hAnsi="宋体"/>
        </w:rPr>
        <w:t>，</w:t>
      </w:r>
      <w:r>
        <w:rPr>
          <w:rFonts w:ascii="宋体" w:hAnsi="宋体"/>
        </w:rPr>
        <w:t>切断电源和火种。</w:t>
      </w:r>
    </w:p>
    <w:p w14:paraId="6266BAFB">
      <w:pPr>
        <w:spacing w:line="240" w:lineRule="auto"/>
        <w:ind w:firstLine="420" w:firstLineChars="200"/>
        <w:rPr>
          <w:rFonts w:hint="eastAsia" w:ascii="宋体" w:hAnsi="宋体"/>
        </w:rPr>
      </w:pPr>
      <w:r>
        <w:rPr>
          <w:rFonts w:hint="eastAsia" w:ascii="宋体" w:hAnsi="宋体"/>
        </w:rPr>
        <w:t>3</w:t>
      </w:r>
      <w:r>
        <w:rPr>
          <w:rFonts w:ascii="宋体" w:hAnsi="宋体"/>
        </w:rPr>
        <w:t xml:space="preserve"> 一氧化碳浓度(CO)</w:t>
      </w:r>
      <w:r>
        <w:rPr>
          <w:rFonts w:hint="eastAsia" w:ascii="宋体" w:hAnsi="宋体"/>
        </w:rPr>
        <w:t>：</w:t>
      </w:r>
      <w:r>
        <w:rPr>
          <w:rFonts w:ascii="宋体" w:hAnsi="宋体"/>
        </w:rPr>
        <w:t>35ppm为报警界限出现煤 气泄露，施工人员应撤离现场并切断电源和火种。</w:t>
      </w:r>
    </w:p>
    <w:p w14:paraId="51265745">
      <w:pPr>
        <w:spacing w:line="240" w:lineRule="auto"/>
        <w:ind w:firstLine="420" w:firstLineChars="200"/>
        <w:rPr>
          <w:rFonts w:hint="eastAsia" w:ascii="宋体" w:hAnsi="宋体"/>
        </w:rPr>
      </w:pPr>
      <w:r>
        <w:rPr>
          <w:rFonts w:hint="eastAsia" w:ascii="宋体" w:hAnsi="宋体"/>
        </w:rPr>
        <w:t>4</w:t>
      </w:r>
      <w:r>
        <w:rPr>
          <w:rFonts w:ascii="宋体" w:hAnsi="宋体"/>
        </w:rPr>
        <w:t xml:space="preserve"> 硫化氢浓度(H,S)</w:t>
      </w:r>
      <w:r>
        <w:rPr>
          <w:rFonts w:hint="eastAsia" w:ascii="宋体" w:hAnsi="宋体"/>
        </w:rPr>
        <w:t>：</w:t>
      </w:r>
      <w:r>
        <w:rPr>
          <w:rFonts w:ascii="宋体" w:hAnsi="宋体"/>
        </w:rPr>
        <w:t>小于等于7ppm为正常范围</w:t>
      </w:r>
      <w:r>
        <w:rPr>
          <w:rFonts w:hint="eastAsia" w:ascii="宋体" w:hAnsi="宋体"/>
        </w:rPr>
        <w:t>，</w:t>
      </w:r>
      <w:r>
        <w:rPr>
          <w:rFonts w:ascii="宋体" w:hAnsi="宋体"/>
        </w:rPr>
        <w:t>10ppm为报警界限，超过此界限时,现场施工人员</w:t>
      </w:r>
      <w:r>
        <w:rPr>
          <w:rFonts w:hint="eastAsia" w:ascii="宋体" w:hAnsi="宋体"/>
        </w:rPr>
        <w:t>应</w:t>
      </w:r>
      <w:r>
        <w:rPr>
          <w:rFonts w:ascii="宋体" w:hAnsi="宋体"/>
        </w:rPr>
        <w:t>全部撒离。</w:t>
      </w:r>
    </w:p>
    <w:p w14:paraId="475E877B">
      <w:pPr>
        <w:pStyle w:val="3"/>
        <w:spacing w:before="156" w:beforeLines="50" w:after="156" w:afterLines="50" w:line="240" w:lineRule="auto"/>
        <w:rPr>
          <w:rFonts w:hint="eastAsia" w:ascii="黑体" w:hAnsi="黑体"/>
          <w:b w:val="0"/>
          <w:sz w:val="21"/>
          <w:szCs w:val="21"/>
        </w:rPr>
      </w:pPr>
      <w:bookmarkStart w:id="222" w:name="_Toc97293162"/>
      <w:bookmarkStart w:id="223" w:name="_Toc81679068"/>
      <w:r>
        <w:rPr>
          <w:rFonts w:hint="eastAsia" w:ascii="黑体" w:hAnsi="黑体"/>
          <w:b w:val="0"/>
          <w:sz w:val="21"/>
          <w:szCs w:val="21"/>
        </w:rPr>
        <w:t>7</w:t>
      </w:r>
      <w:r>
        <w:rPr>
          <w:rFonts w:ascii="黑体" w:hAnsi="黑体"/>
          <w:b w:val="0"/>
          <w:sz w:val="21"/>
          <w:szCs w:val="21"/>
        </w:rPr>
        <w:t xml:space="preserve">.2 </w:t>
      </w:r>
      <w:r>
        <w:rPr>
          <w:rFonts w:hint="eastAsia" w:ascii="黑体" w:hAnsi="黑体"/>
          <w:b w:val="0"/>
          <w:sz w:val="21"/>
          <w:szCs w:val="21"/>
        </w:rPr>
        <w:t>顶管始发</w:t>
      </w:r>
      <w:bookmarkEnd w:id="222"/>
      <w:bookmarkEnd w:id="223"/>
    </w:p>
    <w:p w14:paraId="4D3E3F1C">
      <w:pPr>
        <w:pStyle w:val="3"/>
        <w:spacing w:before="0" w:after="0" w:line="240" w:lineRule="auto"/>
        <w:rPr>
          <w:rFonts w:hint="eastAsia" w:ascii="宋体" w:hAnsi="宋体" w:eastAsia="宋体"/>
          <w:b w:val="0"/>
          <w:sz w:val="21"/>
          <w:szCs w:val="21"/>
        </w:rPr>
      </w:pPr>
      <w:bookmarkStart w:id="224" w:name="_Toc97293163"/>
      <w:bookmarkStart w:id="225" w:name="_Toc81679069"/>
      <w:r>
        <w:rPr>
          <w:rFonts w:ascii="宋体" w:hAnsi="宋体" w:eastAsia="宋体"/>
          <w:b w:val="0"/>
          <w:sz w:val="21"/>
          <w:szCs w:val="21"/>
        </w:rPr>
        <w:t xml:space="preserve">7.2.1 </w:t>
      </w:r>
      <w:r>
        <w:rPr>
          <w:rFonts w:hint="eastAsia" w:ascii="宋体" w:hAnsi="宋体" w:eastAsia="宋体"/>
          <w:b w:val="0"/>
          <w:sz w:val="21"/>
          <w:szCs w:val="21"/>
        </w:rPr>
        <w:t>始发前应对软弱地基进行处理。</w:t>
      </w:r>
      <w:bookmarkEnd w:id="224"/>
      <w:bookmarkEnd w:id="225"/>
    </w:p>
    <w:p w14:paraId="1E8B2361">
      <w:pPr>
        <w:pStyle w:val="176"/>
        <w:numPr>
          <w:ilvl w:val="0"/>
          <w:numId w:val="59"/>
        </w:numPr>
        <w:rPr>
          <w:rFonts w:hint="eastAsia" w:hAnsi="宋体"/>
        </w:rPr>
      </w:pPr>
      <w:r>
        <w:rPr>
          <w:rFonts w:hint="eastAsia" w:hAnsi="宋体"/>
        </w:rPr>
        <w:t>顶管在大部分土层都可以顺利顶进，但在某些土层施工比较困难：对未经加固的标贯击数很低的软土层，顶管机极容易“磕头”，很难调整姿势、很难进行纠偏、甚至无法继续顶进施工。</w:t>
      </w:r>
    </w:p>
    <w:p w14:paraId="031C32FA">
      <w:pPr>
        <w:pStyle w:val="176"/>
        <w:rPr>
          <w:rFonts w:hint="eastAsia" w:hAnsi="宋体"/>
        </w:rPr>
      </w:pPr>
      <w:r>
        <w:rPr>
          <w:rFonts w:hAnsi="宋体"/>
        </w:rPr>
        <w:t>为保证起重机吊装过程地基承载力满足设计要求，避免由于地基承载力不足造成起重机整体倾覆，对起重机站位区域</w:t>
      </w:r>
      <w:r>
        <w:rPr>
          <w:rFonts w:hint="eastAsia" w:hAnsi="宋体"/>
        </w:rPr>
        <w:t>应</w:t>
      </w:r>
      <w:r>
        <w:rPr>
          <w:rFonts w:hAnsi="宋体"/>
        </w:rPr>
        <w:t>采取相应的地基加固措施</w:t>
      </w:r>
      <w:r>
        <w:rPr>
          <w:rFonts w:hint="eastAsia" w:hAnsi="宋体"/>
        </w:rPr>
        <w:t>，对</w:t>
      </w:r>
      <w:r>
        <w:rPr>
          <w:rFonts w:hAnsi="宋体"/>
        </w:rPr>
        <w:t>凿除桩头薄弱段，</w:t>
      </w:r>
      <w:r>
        <w:rPr>
          <w:rFonts w:hint="eastAsia" w:hAnsi="宋体"/>
        </w:rPr>
        <w:t>应</w:t>
      </w:r>
      <w:r>
        <w:rPr>
          <w:rFonts w:hAnsi="宋体"/>
        </w:rPr>
        <w:t>铺设细</w:t>
      </w:r>
      <w:r>
        <w:rPr>
          <w:rFonts w:hint="eastAsia" w:hAnsi="宋体"/>
        </w:rPr>
        <w:t>砂</w:t>
      </w:r>
      <w:r>
        <w:rPr>
          <w:rFonts w:hAnsi="宋体"/>
        </w:rPr>
        <w:t>和钢箱</w:t>
      </w:r>
      <w:r>
        <w:rPr>
          <w:rFonts w:hint="eastAsia" w:hAnsi="宋体"/>
        </w:rPr>
        <w:t>或其他满足承载力要求的加固措施</w:t>
      </w:r>
      <w:r>
        <w:rPr>
          <w:rFonts w:hAnsi="宋体"/>
        </w:rPr>
        <w:t>。</w:t>
      </w:r>
    </w:p>
    <w:p w14:paraId="4D13CB12">
      <w:pPr>
        <w:pStyle w:val="176"/>
        <w:rPr>
          <w:rFonts w:hint="eastAsia" w:hAnsi="宋体"/>
        </w:rPr>
      </w:pPr>
      <w:r>
        <w:rPr>
          <w:rFonts w:hAnsi="宋体"/>
        </w:rPr>
        <w:t>加固完成后应对加固体进行检验，加固体28天后无侧限抗压强度</w:t>
      </w:r>
      <w:r>
        <w:rPr>
          <w:rFonts w:hint="eastAsia" w:hAnsi="宋体"/>
        </w:rPr>
        <w:t>不应小于设计强度</w:t>
      </w:r>
      <w:r>
        <w:rPr>
          <w:rFonts w:hAnsi="宋体"/>
        </w:rPr>
        <w:t>。</w:t>
      </w:r>
    </w:p>
    <w:p w14:paraId="61FE9F1C">
      <w:pPr>
        <w:spacing w:line="240" w:lineRule="auto"/>
        <w:rPr>
          <w:rFonts w:hint="eastAsia" w:ascii="宋体" w:hAnsi="宋体"/>
        </w:rPr>
      </w:pPr>
      <w:r>
        <w:rPr>
          <w:rFonts w:ascii="宋体" w:hAnsi="宋体"/>
        </w:rPr>
        <w:t>7.2.4洞门围护结构破除后，在顶管机进入加固区时，特别注意刀盘在穿越加固层时的切削性能。在确定顶进设备运转情况良好后，应迅速将机头顶进洞圈内，以防止洞口中的加固土体坍塌，由于正面为全断面的水泥土，为保护刀盘，顶进速度应尽量放慢，使刀盘和周边刀能对水泥土进行彻底的切削。顶管机完全进入洞门后，需检查洞口止水装置是否有损坏，如有损坏应立即整修，确保泥水、浆液的不外漏。</w:t>
      </w:r>
    </w:p>
    <w:p w14:paraId="022D08CE">
      <w:pPr>
        <w:spacing w:line="240" w:lineRule="auto"/>
        <w:rPr>
          <w:rFonts w:hint="eastAsia" w:ascii="宋体" w:hAnsi="宋体"/>
        </w:rPr>
      </w:pPr>
      <w:r>
        <w:rPr>
          <w:rFonts w:ascii="宋体" w:hAnsi="宋体"/>
        </w:rPr>
        <w:t>7.2.5</w:t>
      </w:r>
      <w:r>
        <w:rPr>
          <w:rFonts w:hint="eastAsia" w:ascii="宋体" w:hAnsi="宋体"/>
        </w:rPr>
        <w:t>洞门破除前</w:t>
      </w:r>
    </w:p>
    <w:p w14:paraId="022596D5">
      <w:pPr>
        <w:pStyle w:val="176"/>
        <w:numPr>
          <w:ilvl w:val="0"/>
          <w:numId w:val="60"/>
        </w:numPr>
        <w:rPr>
          <w:rFonts w:hint="eastAsia" w:hAnsi="宋体"/>
        </w:rPr>
      </w:pPr>
      <w:r>
        <w:rPr>
          <w:rFonts w:hAnsi="宋体"/>
        </w:rPr>
        <w:t>为确保洞门加固质量和洞门破除后结构安全，洞门加固体施工完成后</w:t>
      </w:r>
      <w:r>
        <w:rPr>
          <w:rFonts w:hint="eastAsia" w:hAnsi="宋体"/>
        </w:rPr>
        <w:t>应</w:t>
      </w:r>
      <w:r>
        <w:rPr>
          <w:rFonts w:hAnsi="宋体"/>
        </w:rPr>
        <w:t>对加固体进行抽芯检测</w:t>
      </w:r>
      <w:r>
        <w:rPr>
          <w:rFonts w:hint="eastAsia" w:hAnsi="宋体"/>
        </w:rPr>
        <w:t>和水平探孔检测；</w:t>
      </w:r>
    </w:p>
    <w:p w14:paraId="705DC784">
      <w:pPr>
        <w:pStyle w:val="176"/>
        <w:numPr>
          <w:ilvl w:val="0"/>
          <w:numId w:val="60"/>
        </w:numPr>
        <w:rPr>
          <w:rFonts w:hint="eastAsia" w:hAnsi="宋体"/>
        </w:rPr>
      </w:pPr>
      <w:r>
        <w:rPr>
          <w:rFonts w:hint="eastAsia" w:hAnsi="宋体"/>
        </w:rPr>
        <w:t>洞门</w:t>
      </w:r>
      <w:r>
        <w:rPr>
          <w:rFonts w:hAnsi="宋体"/>
        </w:rPr>
        <w:t>止水帘布、压板与顶管机外壳密贴。如图</w:t>
      </w:r>
      <w:r>
        <w:rPr>
          <w:rFonts w:hint="eastAsia" w:hAnsi="宋体"/>
        </w:rPr>
        <w:t>2</w:t>
      </w:r>
      <w:r>
        <w:rPr>
          <w:rFonts w:hAnsi="宋体"/>
        </w:rPr>
        <w:t>所示</w:t>
      </w:r>
      <w:r>
        <w:rPr>
          <w:rFonts w:hint="eastAsia" w:hAnsi="宋体"/>
        </w:rPr>
        <w:t>。</w:t>
      </w:r>
    </w:p>
    <w:p w14:paraId="373839DE">
      <w:pPr>
        <w:pStyle w:val="58"/>
        <w:ind w:firstLine="420"/>
        <w:jc w:val="center"/>
      </w:pPr>
      <w:r>
        <w:drawing>
          <wp:inline distT="0" distB="0" distL="0" distR="0">
            <wp:extent cx="2539365" cy="14757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39365" cy="1475740"/>
                    </a:xfrm>
                    <a:prstGeom prst="rect">
                      <a:avLst/>
                    </a:prstGeom>
                    <a:noFill/>
                    <a:ln>
                      <a:noFill/>
                    </a:ln>
                  </pic:spPr>
                </pic:pic>
              </a:graphicData>
            </a:graphic>
          </wp:inline>
        </w:drawing>
      </w:r>
      <w:r>
        <w:drawing>
          <wp:inline distT="0" distB="0" distL="0" distR="0">
            <wp:extent cx="1525270" cy="14077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525270" cy="1407795"/>
                    </a:xfrm>
                    <a:prstGeom prst="rect">
                      <a:avLst/>
                    </a:prstGeom>
                    <a:noFill/>
                    <a:ln>
                      <a:noFill/>
                    </a:ln>
                  </pic:spPr>
                </pic:pic>
              </a:graphicData>
            </a:graphic>
          </wp:inline>
        </w:drawing>
      </w:r>
    </w:p>
    <w:p w14:paraId="5B20CEA5">
      <w:pPr>
        <w:pStyle w:val="116"/>
        <w:spacing w:before="156" w:after="156"/>
      </w:pPr>
      <w:r>
        <w:t>洞门止水装置示意</w:t>
      </w:r>
    </w:p>
    <w:p w14:paraId="1107AC6B">
      <w:pPr>
        <w:spacing w:line="240" w:lineRule="auto"/>
        <w:rPr>
          <w:rFonts w:hint="eastAsia" w:ascii="宋体" w:hAnsi="宋体"/>
        </w:rPr>
      </w:pPr>
      <w:r>
        <w:rPr>
          <w:rFonts w:hint="eastAsia" w:ascii="宋体" w:hAnsi="宋体"/>
        </w:rPr>
        <w:t>7</w:t>
      </w:r>
      <w:r>
        <w:rPr>
          <w:rFonts w:ascii="宋体" w:hAnsi="宋体"/>
        </w:rPr>
        <w:t xml:space="preserve">.2.6 </w:t>
      </w:r>
      <w:r>
        <w:rPr>
          <w:rFonts w:hint="eastAsia" w:ascii="宋体" w:hAnsi="宋体"/>
        </w:rPr>
        <w:t>顶管吊装作业</w:t>
      </w:r>
    </w:p>
    <w:p w14:paraId="025BB1E9">
      <w:pPr>
        <w:spacing w:line="240" w:lineRule="auto"/>
        <w:rPr>
          <w:rFonts w:hint="eastAsia" w:ascii="宋体" w:hAnsi="宋体"/>
        </w:rPr>
      </w:pPr>
      <w:r>
        <w:rPr>
          <w:rFonts w:hint="eastAsia" w:ascii="宋体" w:hAnsi="宋体"/>
        </w:rPr>
        <w:t>7.2.6.1</w:t>
      </w:r>
      <w:r>
        <w:rPr>
          <w:rFonts w:ascii="宋体" w:hAnsi="宋体"/>
        </w:rPr>
        <w:t>起重设备验收主要包括以下内容：</w:t>
      </w:r>
    </w:p>
    <w:p w14:paraId="23BB7FA2">
      <w:pPr>
        <w:pStyle w:val="176"/>
        <w:numPr>
          <w:ilvl w:val="0"/>
          <w:numId w:val="61"/>
        </w:numPr>
      </w:pPr>
      <w:r>
        <w:t>起重机超高和力矩限制器有效齐全，吊钩均有保险装置；</w:t>
      </w:r>
      <w:r>
        <w:rPr>
          <w:rFonts w:hint="eastAsia"/>
        </w:rPr>
        <w:t>生产制造许可证、产品出厂</w:t>
      </w:r>
      <w:r>
        <w:t>合格证、</w:t>
      </w:r>
      <w:r>
        <w:rPr>
          <w:rFonts w:hint="eastAsia"/>
        </w:rPr>
        <w:t>质量证明书、检定证书、维修保养记录</w:t>
      </w:r>
      <w:r>
        <w:t>等设备安全技术档案齐全；</w:t>
      </w:r>
    </w:p>
    <w:p w14:paraId="55E55081">
      <w:pPr>
        <w:pStyle w:val="176"/>
      </w:pPr>
      <w:r>
        <w:t>起重钢丝绳无磨损，断丝不超标，滑轮符合规定；</w:t>
      </w:r>
    </w:p>
    <w:p w14:paraId="6A521278">
      <w:pPr>
        <w:pStyle w:val="176"/>
      </w:pPr>
      <w:r>
        <w:t>司机、指挥等操作人员持证上岗，熟悉施工工艺技术；</w:t>
      </w:r>
    </w:p>
    <w:p w14:paraId="32F396AB">
      <w:pPr>
        <w:pStyle w:val="176"/>
      </w:pPr>
      <w:r>
        <w:t>机组运行正常，无异响，无剧烈振动，无超温现象。</w:t>
      </w:r>
    </w:p>
    <w:p w14:paraId="0C010E97">
      <w:pPr>
        <w:spacing w:line="240" w:lineRule="auto"/>
        <w:rPr>
          <w:rFonts w:hint="eastAsia" w:ascii="宋体" w:hAnsi="宋体"/>
        </w:rPr>
      </w:pPr>
      <w:r>
        <w:rPr>
          <w:rFonts w:hint="eastAsia" w:ascii="宋体" w:hAnsi="宋体"/>
        </w:rPr>
        <w:t>7.2.6.2</w:t>
      </w:r>
      <w:r>
        <w:rPr>
          <w:rFonts w:ascii="宋体" w:hAnsi="宋体"/>
        </w:rPr>
        <w:t>顶管机正式起吊前应进行试吊，试吊前对吊车各部件进行详细检查，包括各传动部分，如发动机、变速箱、轴承等部位，有无发热、噪声、振动与漏油等不正常现象，发现问题及时处理。检查各转动部位的润滑情况，注意油温及油量。检查各表计的灵敏度及可靠性、准确性。钢丝绳状况、安全防护状况等均做认真检查，确信满足使用要求后方可进行下一步工作。分别进行空载试车、静载试验及动载试验，满足要求后进行吊装作业。</w:t>
      </w:r>
    </w:p>
    <w:p w14:paraId="2D35991C">
      <w:pPr>
        <w:spacing w:line="240" w:lineRule="auto"/>
        <w:rPr>
          <w:rFonts w:hint="eastAsia" w:ascii="宋体" w:hAnsi="宋体"/>
        </w:rPr>
      </w:pPr>
      <w:r>
        <w:rPr>
          <w:rFonts w:ascii="宋体" w:hAnsi="宋体"/>
        </w:rPr>
        <w:t xml:space="preserve">7.2.8 </w:t>
      </w:r>
      <w:r>
        <w:rPr>
          <w:rFonts w:hint="eastAsia" w:ascii="宋体" w:hAnsi="宋体"/>
        </w:rPr>
        <w:t>顶管始发掘进施工</w:t>
      </w:r>
    </w:p>
    <w:p w14:paraId="64292F16">
      <w:pPr>
        <w:spacing w:line="240" w:lineRule="auto"/>
        <w:rPr>
          <w:rFonts w:hint="eastAsia" w:ascii="宋体" w:hAnsi="宋体"/>
        </w:rPr>
      </w:pPr>
      <w:r>
        <w:rPr>
          <w:rFonts w:hint="eastAsia" w:ascii="宋体" w:hAnsi="宋体"/>
        </w:rPr>
        <w:t>7.2.8.1顶管机始发施工应当注意：</w:t>
      </w:r>
    </w:p>
    <w:p w14:paraId="6429AA4D">
      <w:pPr>
        <w:pStyle w:val="176"/>
        <w:numPr>
          <w:ilvl w:val="0"/>
          <w:numId w:val="62"/>
        </w:numPr>
      </w:pPr>
      <w:r>
        <w:rPr>
          <w:rFonts w:hint="eastAsia"/>
        </w:rPr>
        <w:t>顶管机始发时，洞内空间有限，变压器、泡沫泵站、空压机等后配套设备无法进洞，需进行延伸管线始发，始发过程中每环管节安装时需断开所有管线，管节安装完成后重新连接管线。管线宜设置快速接头方便拆装。</w:t>
      </w:r>
    </w:p>
    <w:p w14:paraId="0D0605A6">
      <w:pPr>
        <w:pStyle w:val="176"/>
        <w:numPr>
          <w:ilvl w:val="0"/>
          <w:numId w:val="62"/>
        </w:numPr>
      </w:pPr>
      <w:r>
        <w:rPr>
          <w:rFonts w:hint="eastAsia"/>
        </w:rPr>
        <w:t>掘进4～5环后，洞内有充足空间，可将变压器等后配套设备移至洞内，变压器进洞后高压电缆应随变压器一起进洞，高压电缆宜盘放在移动小车上，采用TJB接头方便每环线路安装拆除。</w:t>
      </w:r>
    </w:p>
    <w:p w14:paraId="6BB901E8">
      <w:pPr>
        <w:pStyle w:val="176"/>
        <w:numPr>
          <w:ilvl w:val="0"/>
          <w:numId w:val="62"/>
        </w:numPr>
      </w:pPr>
      <w:r>
        <w:rPr>
          <w:rFonts w:hint="eastAsia"/>
        </w:rPr>
        <w:t>洞口为所有进洞管线接口集中点，加强接口防护，水电分侧敷设，管路接头拆开前要泄压，高压电缆接头拆开前要确保已断电。</w:t>
      </w:r>
    </w:p>
    <w:p w14:paraId="2C169C88">
      <w:pPr>
        <w:spacing w:line="240" w:lineRule="auto"/>
        <w:rPr>
          <w:rFonts w:hint="eastAsia" w:ascii="宋体" w:hAnsi="宋体"/>
        </w:rPr>
      </w:pPr>
      <w:r>
        <w:rPr>
          <w:rFonts w:ascii="宋体" w:hAnsi="宋体"/>
        </w:rPr>
        <w:t>7.2.9由于矩形顶管掘进机的断面较大，前端阻力大，实际施工中，即使管节顶进了较长距离，而每次拼装管节或</w:t>
      </w:r>
      <w:r>
        <w:rPr>
          <w:rFonts w:hint="eastAsia" w:ascii="宋体" w:hAnsi="宋体"/>
        </w:rPr>
        <w:t>增加</w:t>
      </w:r>
      <w:r>
        <w:rPr>
          <w:rFonts w:ascii="宋体" w:hAnsi="宋体"/>
        </w:rPr>
        <w:t>垫块时，主顶油缸一回缩，机头和管节仍会一起后退20～30cm。当顶管机和管节往后退时，机头和前方土体间的土压平衡受到破坏，土体面得不到稳定支撑，易引起机头前方的土体坍塌，若不采取一定的措施，路面和管线的沉降量将难以得到控制，所以需要采取相应有效的止退措施。</w:t>
      </w:r>
    </w:p>
    <w:p w14:paraId="13E6AC09">
      <w:pPr>
        <w:pStyle w:val="3"/>
        <w:spacing w:before="156" w:beforeLines="50" w:after="156" w:afterLines="50" w:line="240" w:lineRule="auto"/>
        <w:rPr>
          <w:rFonts w:hint="eastAsia" w:ascii="黑体" w:hAnsi="黑体"/>
          <w:b w:val="0"/>
          <w:sz w:val="21"/>
          <w:szCs w:val="21"/>
        </w:rPr>
      </w:pPr>
      <w:bookmarkStart w:id="226" w:name="_Toc97293164"/>
      <w:bookmarkStart w:id="227" w:name="_Toc81679070"/>
      <w:bookmarkStart w:id="228" w:name="_Toc56514519"/>
      <w:r>
        <w:rPr>
          <w:rFonts w:ascii="黑体" w:hAnsi="黑体"/>
          <w:b w:val="0"/>
          <w:sz w:val="21"/>
          <w:szCs w:val="21"/>
        </w:rPr>
        <w:t>7.3 管节安装</w:t>
      </w:r>
      <w:bookmarkEnd w:id="226"/>
      <w:bookmarkEnd w:id="227"/>
      <w:bookmarkEnd w:id="228"/>
    </w:p>
    <w:p w14:paraId="413B1E3D">
      <w:pPr>
        <w:spacing w:line="240" w:lineRule="auto"/>
        <w:rPr>
          <w:rFonts w:hint="eastAsia" w:ascii="宋体" w:hAnsi="宋体"/>
        </w:rPr>
      </w:pPr>
      <w:bookmarkStart w:id="229" w:name="_Toc56514520"/>
      <w:r>
        <w:rPr>
          <w:rFonts w:ascii="宋体" w:hAnsi="宋体"/>
        </w:rPr>
        <w:t>7.3.1 本条为强制性规定，管节吊装</w:t>
      </w:r>
      <w:r>
        <w:rPr>
          <w:rFonts w:hint="eastAsia" w:ascii="宋体" w:hAnsi="宋体"/>
        </w:rPr>
        <w:t>应</w:t>
      </w:r>
      <w:r>
        <w:rPr>
          <w:rFonts w:ascii="宋体" w:hAnsi="宋体"/>
        </w:rPr>
        <w:t>制定吊装专项施工方案，通过专家论证后执行，起重设备进行报审、报验，合格后方可使用。</w:t>
      </w:r>
    </w:p>
    <w:p w14:paraId="3FC02485">
      <w:pPr>
        <w:spacing w:line="240" w:lineRule="auto"/>
        <w:rPr>
          <w:rFonts w:hint="eastAsia" w:ascii="宋体" w:hAnsi="宋体"/>
        </w:rPr>
      </w:pPr>
      <w:r>
        <w:rPr>
          <w:rFonts w:ascii="宋体" w:hAnsi="宋体"/>
        </w:rPr>
        <w:t>7.3.4 本条为强制性条文，规定工程所用管节及构（配）件等产品应执行进场验收和复验制，验收合格后方可使用。</w:t>
      </w:r>
    </w:p>
    <w:p w14:paraId="0DBAAAAF">
      <w:pPr>
        <w:spacing w:line="240" w:lineRule="auto"/>
        <w:rPr>
          <w:rFonts w:hint="eastAsia" w:ascii="宋体" w:hAnsi="宋体"/>
        </w:rPr>
      </w:pPr>
      <w:r>
        <w:rPr>
          <w:rFonts w:ascii="宋体" w:hAnsi="宋体"/>
        </w:rPr>
        <w:t>7.3.8 工程测量精度标准应满足设计文件及现行国家标准《工程测量</w:t>
      </w:r>
      <w:r>
        <w:rPr>
          <w:rFonts w:hint="eastAsia" w:ascii="宋体" w:hAnsi="宋体"/>
        </w:rPr>
        <w:t>标准</w:t>
      </w:r>
      <w:r>
        <w:rPr>
          <w:rFonts w:ascii="宋体" w:hAnsi="宋体"/>
        </w:rPr>
        <w:t>》GB50026的有关规定。导轨支架采用钢材制作，安装牢固使用过程不产生位移，其整体刚度强度满足施工要求，导轨安装的允许偏差如下：轴线位置：±3mm；标高0</w:t>
      </w:r>
      <w:r>
        <w:rPr>
          <w:rFonts w:hint="eastAsia" w:ascii="宋体" w:hAnsi="宋体"/>
        </w:rPr>
        <w:t>～</w:t>
      </w:r>
      <w:r>
        <w:rPr>
          <w:rFonts w:ascii="宋体" w:hAnsi="宋体"/>
        </w:rPr>
        <w:t>+3mm；轨道内距±2mm。</w:t>
      </w:r>
    </w:p>
    <w:p w14:paraId="681F44C1">
      <w:pPr>
        <w:spacing w:line="240" w:lineRule="auto"/>
        <w:rPr>
          <w:rFonts w:hint="eastAsia" w:ascii="宋体" w:hAnsi="宋体"/>
        </w:rPr>
      </w:pPr>
      <w:r>
        <w:rPr>
          <w:rFonts w:ascii="宋体" w:hAnsi="宋体"/>
        </w:rPr>
        <w:t>7.3.9 前后管节安装高差及水平误差应≤5mm。</w:t>
      </w:r>
    </w:p>
    <w:p w14:paraId="5601B53A">
      <w:pPr>
        <w:pStyle w:val="3"/>
        <w:spacing w:before="156" w:beforeLines="50" w:after="156" w:afterLines="50" w:line="240" w:lineRule="auto"/>
        <w:rPr>
          <w:rFonts w:hint="eastAsia" w:ascii="黑体" w:hAnsi="黑体"/>
          <w:b w:val="0"/>
          <w:sz w:val="21"/>
          <w:szCs w:val="21"/>
        </w:rPr>
      </w:pPr>
      <w:bookmarkStart w:id="230" w:name="_Toc97293165"/>
      <w:bookmarkStart w:id="231" w:name="_Toc81679071"/>
      <w:r>
        <w:rPr>
          <w:rFonts w:ascii="黑体" w:hAnsi="黑体"/>
          <w:b w:val="0"/>
          <w:sz w:val="21"/>
          <w:szCs w:val="21"/>
        </w:rPr>
        <w:t>7.4 管道顶进</w:t>
      </w:r>
      <w:bookmarkEnd w:id="229"/>
      <w:bookmarkEnd w:id="230"/>
      <w:bookmarkEnd w:id="231"/>
    </w:p>
    <w:p w14:paraId="38DAA47E">
      <w:pPr>
        <w:spacing w:line="240" w:lineRule="auto"/>
      </w:pPr>
      <w:r>
        <w:rPr>
          <w:rFonts w:ascii="宋体" w:hAnsi="宋体"/>
        </w:rPr>
        <w:t>7.4.1</w:t>
      </w:r>
      <w:r>
        <w:t>总顶力估算与实际施工顶进有一定的误差，与土层情况和施工技术水平等有关</w:t>
      </w:r>
      <w:r>
        <w:rPr>
          <w:rFonts w:hint="eastAsia"/>
        </w:rPr>
        <w:t>。</w:t>
      </w:r>
      <w:r>
        <w:t>本节计算公式简单易懂，计算结果与实际比较吻合。</w:t>
      </w:r>
      <w:r>
        <w:tab/>
      </w:r>
      <w:r>
        <w:tab/>
      </w:r>
    </w:p>
    <w:p w14:paraId="55A25923">
      <w:pPr>
        <w:spacing w:line="240" w:lineRule="auto"/>
      </w:pPr>
      <w:r>
        <w:rPr>
          <w:rFonts w:ascii="宋体" w:hAnsi="宋体"/>
        </w:rPr>
        <w:t>7.4.3</w:t>
      </w:r>
      <w:r>
        <w:rPr>
          <w:rFonts w:hint="eastAsia" w:ascii="宋体" w:hAnsi="宋体"/>
        </w:rPr>
        <w:t>～</w:t>
      </w:r>
      <w:r>
        <w:rPr>
          <w:rFonts w:ascii="宋体" w:hAnsi="宋体"/>
        </w:rPr>
        <w:t>7.4.5</w:t>
      </w:r>
      <w:r>
        <w:t>顶进后座由</w:t>
      </w:r>
      <w:r>
        <w:rPr>
          <w:rFonts w:hint="eastAsia"/>
        </w:rPr>
        <w:t>顶管</w:t>
      </w:r>
      <w:r>
        <w:t>支架、</w:t>
      </w:r>
      <w:r>
        <w:rPr>
          <w:rFonts w:hint="eastAsia"/>
        </w:rPr>
        <w:t>千斤顶</w:t>
      </w:r>
      <w:r>
        <w:t>及</w:t>
      </w:r>
      <w:r>
        <w:rPr>
          <w:rFonts w:hint="eastAsia"/>
        </w:rPr>
        <w:t>液压泵站</w:t>
      </w:r>
      <w:r>
        <w:t>组成。对于</w:t>
      </w:r>
      <w:r>
        <w:rPr>
          <w:rFonts w:hint="eastAsia"/>
        </w:rPr>
        <w:t>顶管</w:t>
      </w:r>
      <w:r>
        <w:t>支架安装后的油缸中心位置</w:t>
      </w:r>
      <w:r>
        <w:rPr>
          <w:rFonts w:hint="eastAsia"/>
        </w:rPr>
        <w:t>应</w:t>
      </w:r>
      <w:r>
        <w:t>与顶铁的受力肋板部位一致，且与顶进轴线平行。安装后的油缸中心误差小于10mm。千斤顶油缸合力中心位置的布置可适当向下，满足导轨上管道节自重作用在洞口止水位置向下力矩即可，所布置的油缸可在使用过程中自由组合来达到调节合力中心位置的作用。后推油缸可实现本控和远控，主推油缸泵可采用多电机分别提供动力，也可以使用变频控制灵活调节后座顶进速度。</w:t>
      </w:r>
    </w:p>
    <w:p w14:paraId="44DE2E39">
      <w:pPr>
        <w:spacing w:line="240" w:lineRule="auto"/>
      </w:pPr>
      <w:r>
        <w:rPr>
          <w:rFonts w:ascii="宋体" w:hAnsi="宋体"/>
        </w:rPr>
        <w:t xml:space="preserve">7.4.6 </w:t>
      </w:r>
      <w:r>
        <w:t>顶进过程说明：</w:t>
      </w:r>
    </w:p>
    <w:p w14:paraId="642C7F57">
      <w:pPr>
        <w:pStyle w:val="176"/>
        <w:numPr>
          <w:ilvl w:val="0"/>
          <w:numId w:val="63"/>
        </w:numPr>
      </w:pPr>
      <w:r>
        <w:t>顶管初始顶进时应控制推进速度，不宜过快，在此过程中应摸索推进，其相关数据为正常顶进提供依据。</w:t>
      </w:r>
    </w:p>
    <w:p w14:paraId="13D5B4E0">
      <w:pPr>
        <w:pStyle w:val="176"/>
      </w:pPr>
      <w:r>
        <w:t>顶管正常顶进时控制开挖量与出土量平衡，均衡施工，匀速推进</w:t>
      </w:r>
      <w:r>
        <w:rPr>
          <w:rFonts w:hint="eastAsia"/>
        </w:rPr>
        <w:t>，</w:t>
      </w:r>
      <w:r>
        <w:t>加强监控测量，实行信息化施工，监测数据及时报告，并根据监测数据调整施工参数。</w:t>
      </w:r>
    </w:p>
    <w:p w14:paraId="32FB4598">
      <w:pPr>
        <w:pStyle w:val="176"/>
      </w:pPr>
      <w:r>
        <w:t>顶进过程勤测量，宜每顶进一节测量一次顶管机姿态、地面沉降和周围环境情况，纠偏角越大</w:t>
      </w:r>
      <w:r>
        <w:rPr>
          <w:rFonts w:hint="eastAsia"/>
        </w:rPr>
        <w:t>越</w:t>
      </w:r>
      <w:r>
        <w:t>容易造成沉降超限</w:t>
      </w:r>
      <w:r>
        <w:rPr>
          <w:rFonts w:hint="eastAsia"/>
        </w:rPr>
        <w:t>；</w:t>
      </w:r>
      <w:r>
        <w:t>减小每次纠偏角度，</w:t>
      </w:r>
      <w:r>
        <w:rPr>
          <w:rFonts w:hint="eastAsia"/>
        </w:rPr>
        <w:t>实现</w:t>
      </w:r>
      <w:r>
        <w:t>多次小幅度纠偏；要保持顶管轴线以适当的曲率半径逐步回到轴线上来，减小对土体的扰动。</w:t>
      </w:r>
    </w:p>
    <w:p w14:paraId="13E83EE4">
      <w:pPr>
        <w:pStyle w:val="176"/>
      </w:pPr>
      <w:r>
        <w:t>在软土层顶进时，土体地基承载力差，顶管机自重大，容易发生顶管机“磕头”现象，因此需要将顶管机和后面管节连成整体，防止顶管机“磕头”。</w:t>
      </w:r>
    </w:p>
    <w:p w14:paraId="1FE30C59">
      <w:pPr>
        <w:pStyle w:val="176"/>
      </w:pPr>
      <w:r>
        <w:t>由于顶进过程（尤其初始阶段）正面水土压力远大于顶管机及管节周围的摩阻力，因此在千斤顶回缩时，顶管机及管节也跟随后退，导致掌子面坍塌</w:t>
      </w:r>
      <w:r>
        <w:rPr>
          <w:rFonts w:hint="eastAsia"/>
        </w:rPr>
        <w:t>、</w:t>
      </w:r>
      <w:r>
        <w:t>地面沉降超限和洞门止水装置损坏，因此</w:t>
      </w:r>
      <w:r>
        <w:rPr>
          <w:rFonts w:hint="eastAsia"/>
        </w:rPr>
        <w:t>应</w:t>
      </w:r>
      <w:r>
        <w:t>采取可靠的止退措施，防止主顶油缸回缩时，机头和管节一起后退。</w:t>
      </w:r>
    </w:p>
    <w:p w14:paraId="32537485">
      <w:pPr>
        <w:pStyle w:val="232"/>
        <w:ind w:firstLine="0" w:firstLineChars="0"/>
        <w:rPr>
          <w:rFonts w:ascii="Times New Roman"/>
        </w:rPr>
      </w:pPr>
      <w:r>
        <w:rPr>
          <w:rFonts w:hAnsi="宋体"/>
          <w:kern w:val="2"/>
          <w:szCs w:val="21"/>
        </w:rPr>
        <w:t xml:space="preserve">7.4.7 </w:t>
      </w:r>
      <w:r>
        <w:rPr>
          <w:rFonts w:hint="eastAsia" w:ascii="Times New Roman"/>
          <w:kern w:val="2"/>
          <w:szCs w:val="24"/>
        </w:rPr>
        <w:t>顶管施工应保</w:t>
      </w:r>
      <w:r>
        <w:rPr>
          <w:rFonts w:hint="eastAsia" w:ascii="Times New Roman"/>
        </w:rPr>
        <w:t>证连续顶进，停机时间不宜过长；出现以下突发状况时应停止顶进，并采取相应的技术措施；</w:t>
      </w:r>
    </w:p>
    <w:p w14:paraId="2DA270C2">
      <w:pPr>
        <w:pStyle w:val="176"/>
        <w:numPr>
          <w:ilvl w:val="0"/>
          <w:numId w:val="64"/>
        </w:numPr>
      </w:pPr>
      <w:r>
        <w:rPr>
          <w:rFonts w:hint="eastAsia"/>
        </w:rPr>
        <w:t>顶管机遇障碍物无法继续顶进时应停止顶进，并采取安全可靠的技术方案清除障碍物；</w:t>
      </w:r>
    </w:p>
    <w:p w14:paraId="1A65F57D">
      <w:pPr>
        <w:pStyle w:val="176"/>
        <w:numPr>
          <w:ilvl w:val="0"/>
          <w:numId w:val="64"/>
        </w:numPr>
      </w:pPr>
      <w:r>
        <w:rPr>
          <w:rFonts w:hint="eastAsia"/>
        </w:rPr>
        <w:t>工作井后背相对变形超限时应停止顶进，及时采取管节止退措施，卸载油缸顶力，并采取后背加固措施，待后背墙能满足后续顶进施工后继续顶进施工；</w:t>
      </w:r>
    </w:p>
    <w:p w14:paraId="179EE3F9">
      <w:pPr>
        <w:pStyle w:val="176"/>
        <w:numPr>
          <w:ilvl w:val="0"/>
          <w:numId w:val="64"/>
        </w:numPr>
      </w:pPr>
      <w:r>
        <w:rPr>
          <w:rFonts w:hint="eastAsia"/>
        </w:rPr>
        <w:t>设备出现故障或损坏时，应停止顶进施工，并及时维修和保养；</w:t>
      </w:r>
    </w:p>
    <w:p w14:paraId="334EE5FC">
      <w:pPr>
        <w:pStyle w:val="176"/>
        <w:numPr>
          <w:ilvl w:val="0"/>
          <w:numId w:val="64"/>
        </w:numPr>
      </w:pPr>
      <w:r>
        <w:rPr>
          <w:rFonts w:hint="eastAsia"/>
        </w:rPr>
        <w:t>管节轴线偏差过大或纠偏无效，应停止顶进，进行论证和采取相应的技术措施；</w:t>
      </w:r>
    </w:p>
    <w:p w14:paraId="698A4144">
      <w:pPr>
        <w:pStyle w:val="176"/>
        <w:numPr>
          <w:ilvl w:val="0"/>
          <w:numId w:val="64"/>
        </w:numPr>
      </w:pPr>
      <w:r>
        <w:rPr>
          <w:rFonts w:hint="eastAsia"/>
        </w:rPr>
        <w:t>管节渗水严重或管节出现裂纹应停止顶进，并采取止水措施和应急措施；</w:t>
      </w:r>
    </w:p>
    <w:p w14:paraId="10792677">
      <w:pPr>
        <w:pStyle w:val="176"/>
        <w:numPr>
          <w:ilvl w:val="0"/>
          <w:numId w:val="64"/>
        </w:numPr>
      </w:pPr>
      <w:r>
        <w:rPr>
          <w:rFonts w:hint="eastAsia"/>
        </w:rPr>
        <w:t>地层、周边管线和建（构）筑物突然发生较大变形或变形量超过控制值时，应停止顶进，及时查找原因，并制定合理的保护措施；</w:t>
      </w:r>
    </w:p>
    <w:p w14:paraId="55D17516">
      <w:pPr>
        <w:pStyle w:val="176"/>
        <w:numPr>
          <w:ilvl w:val="0"/>
          <w:numId w:val="64"/>
        </w:numPr>
      </w:pPr>
      <w:r>
        <w:rPr>
          <w:rFonts w:hint="eastAsia"/>
        </w:rPr>
        <w:t>顶铁发生扭曲现象，应停止顶进施工并采取相应的技术措施；</w:t>
      </w:r>
    </w:p>
    <w:p w14:paraId="1323A2D6">
      <w:pPr>
        <w:pStyle w:val="176"/>
        <w:numPr>
          <w:ilvl w:val="0"/>
          <w:numId w:val="64"/>
        </w:numPr>
      </w:pPr>
      <w:r>
        <w:rPr>
          <w:rFonts w:hint="eastAsia"/>
        </w:rPr>
        <w:t>顶力超过管端的允许顶力，应停止顶进施工并进行论证和采取相应的技术措施。</w:t>
      </w:r>
    </w:p>
    <w:p w14:paraId="6056414D">
      <w:pPr>
        <w:spacing w:line="240" w:lineRule="auto"/>
      </w:pPr>
      <w:r>
        <w:rPr>
          <w:rFonts w:ascii="宋体" w:hAnsi="宋体"/>
        </w:rPr>
        <w:t xml:space="preserve">7.4.13 </w:t>
      </w:r>
      <w:r>
        <w:t>中继间的允许转角使其在顶进过程中可以纠偏，但允许转角不宜过大，中继间转角偏大容易造成渗漏。</w:t>
      </w:r>
    </w:p>
    <w:p w14:paraId="05A2D90C">
      <w:pPr>
        <w:spacing w:line="240" w:lineRule="auto"/>
        <w:rPr>
          <w:rFonts w:hint="eastAsia" w:ascii="宋体" w:hAnsi="宋体"/>
        </w:rPr>
      </w:pPr>
      <w:r>
        <w:rPr>
          <w:rFonts w:ascii="宋体" w:hAnsi="宋体"/>
        </w:rPr>
        <w:t>7.4.15 中继间的类型有多种，组合式密封中继间的特点是密封装置可调节，可组合，可在常压下对磨损的密封圈进行调换，可在各复杂地质条件下和高水头压力下进行超长距离顶管</w:t>
      </w:r>
      <w:r>
        <w:rPr>
          <w:rFonts w:hint="eastAsia" w:ascii="宋体" w:hAnsi="宋体"/>
        </w:rPr>
        <w:t>施工</w:t>
      </w:r>
      <w:r>
        <w:rPr>
          <w:rFonts w:ascii="宋体" w:hAnsi="宋体"/>
        </w:rPr>
        <w:t>。</w:t>
      </w:r>
    </w:p>
    <w:p w14:paraId="2B01898A">
      <w:pPr>
        <w:spacing w:line="240" w:lineRule="auto"/>
        <w:rPr>
          <w:rFonts w:hint="eastAsia" w:ascii="宋体" w:hAnsi="宋体"/>
        </w:rPr>
      </w:pPr>
      <w:r>
        <w:rPr>
          <w:rFonts w:ascii="宋体" w:hAnsi="宋体"/>
        </w:rPr>
        <w:t>7.4.16 长距离顶管第一道中继间宜布置在顶管机后方</w:t>
      </w:r>
      <w:r>
        <w:rPr>
          <w:rFonts w:hint="eastAsia" w:ascii="宋体" w:hAnsi="宋体"/>
        </w:rPr>
        <w:t>30~50米</w:t>
      </w:r>
      <w:r>
        <w:rPr>
          <w:rFonts w:ascii="宋体" w:hAnsi="宋体"/>
        </w:rPr>
        <w:t>的位置，主要是为了顶管机在纠偏时后续的管道能及时纠偏，距离过长纠偏效果难以保证。</w:t>
      </w:r>
    </w:p>
    <w:p w14:paraId="2B9B4DC7">
      <w:pPr>
        <w:spacing w:line="240" w:lineRule="auto"/>
        <w:rPr>
          <w:rFonts w:hint="eastAsia" w:ascii="宋体" w:hAnsi="宋体"/>
        </w:rPr>
      </w:pPr>
      <w:r>
        <w:rPr>
          <w:rFonts w:ascii="宋体" w:hAnsi="宋体"/>
        </w:rPr>
        <w:t>7.4.17 后续中继间顶力则为克服两个中继间之间的管道外壁摩擦阻力，当第一道中继间启用时，公式（2）中的</w:t>
      </w:r>
      <m:oMath>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ascii="宋体" w:hAnsi="宋体"/>
        </w:rPr>
        <w:t>取0。</w:t>
      </w:r>
    </w:p>
    <w:p w14:paraId="76A8C082">
      <w:pPr>
        <w:spacing w:line="240" w:lineRule="auto"/>
        <w:rPr>
          <w:rFonts w:hint="eastAsia" w:ascii="宋体" w:hAnsi="宋体"/>
        </w:rPr>
      </w:pPr>
      <w:r>
        <w:rPr>
          <w:rFonts w:ascii="宋体" w:hAnsi="宋体"/>
        </w:rPr>
        <w:t>7.4.18 中继间内封板的选择上，需要考虑顶进及运行阶段的受力情况，并根据最不利的工况确定内封板的厚度，经过超声波探伤</w:t>
      </w:r>
      <w:r>
        <w:rPr>
          <w:rFonts w:hint="eastAsia" w:ascii="宋体" w:hAnsi="宋体"/>
        </w:rPr>
        <w:t>检测</w:t>
      </w:r>
      <w:r>
        <w:rPr>
          <w:rFonts w:ascii="宋体" w:hAnsi="宋体"/>
        </w:rPr>
        <w:t>合格后，中继间闭合处的焊缝需要进行管道内部防腐处理。</w:t>
      </w:r>
    </w:p>
    <w:p w14:paraId="3A5290A3">
      <w:pPr>
        <w:pStyle w:val="3"/>
        <w:spacing w:before="156" w:beforeLines="50" w:after="156" w:afterLines="50" w:line="240" w:lineRule="auto"/>
        <w:rPr>
          <w:rFonts w:hint="eastAsia" w:ascii="黑体" w:hAnsi="黑体"/>
          <w:b w:val="0"/>
          <w:sz w:val="21"/>
          <w:szCs w:val="21"/>
        </w:rPr>
      </w:pPr>
      <w:bookmarkStart w:id="232" w:name="_Toc97293166"/>
      <w:bookmarkStart w:id="233" w:name="_Toc56514521"/>
      <w:bookmarkStart w:id="234" w:name="_Toc81679072"/>
      <w:r>
        <w:rPr>
          <w:rFonts w:ascii="黑体" w:hAnsi="黑体"/>
          <w:b w:val="0"/>
          <w:sz w:val="21"/>
          <w:szCs w:val="21"/>
        </w:rPr>
        <w:t>7.5 土体改良及外运</w:t>
      </w:r>
      <w:bookmarkEnd w:id="232"/>
      <w:bookmarkEnd w:id="233"/>
      <w:bookmarkEnd w:id="234"/>
    </w:p>
    <w:p w14:paraId="50521512">
      <w:pPr>
        <w:spacing w:line="240" w:lineRule="auto"/>
        <w:rPr>
          <w:rFonts w:hint="eastAsia" w:ascii="宋体" w:hAnsi="宋体"/>
        </w:rPr>
      </w:pPr>
      <w:r>
        <w:rPr>
          <w:rFonts w:ascii="宋体" w:hAnsi="宋体"/>
        </w:rPr>
        <w:t>7.5.1 在顶管机胸板和刀盘的刀臂上，设置了注浆孔，在顶管顶进时，通过这些胸板及刀盘刀臂的注浆孔注入按一定配比的改良浆液，改良了前方土体的性能（土体的可塑性及流动性及止水性），从而达到改良土体的目的，减小了掘进过程中刀盘工作时的阻力。在土压平衡顶管机接通刀盘驱动电动机的电源后，顶管机的刀盘就开始转动，设在刀</w:t>
      </w:r>
      <w:r>
        <w:rPr>
          <w:rFonts w:hint="eastAsia" w:ascii="宋体" w:hAnsi="宋体"/>
        </w:rPr>
        <w:t>盘</w:t>
      </w:r>
      <w:r>
        <w:rPr>
          <w:rFonts w:ascii="宋体" w:hAnsi="宋体"/>
        </w:rPr>
        <w:t>前面的刀片则开始切削土砂，同时设在刀</w:t>
      </w:r>
      <w:r>
        <w:rPr>
          <w:rFonts w:hint="eastAsia" w:ascii="宋体" w:hAnsi="宋体"/>
        </w:rPr>
        <w:t>盘</w:t>
      </w:r>
      <w:r>
        <w:rPr>
          <w:rFonts w:ascii="宋体" w:hAnsi="宋体"/>
        </w:rPr>
        <w:t>后的搅拌棒对泥土仓内的土砂进行搅拌。</w:t>
      </w:r>
    </w:p>
    <w:p w14:paraId="6FEDE582">
      <w:pPr>
        <w:pStyle w:val="176"/>
        <w:numPr>
          <w:ilvl w:val="0"/>
          <w:numId w:val="65"/>
        </w:numPr>
      </w:pPr>
      <w:r>
        <w:t>如果土砂中的黏粒含量在20％以上时，可以不必添加改良剂。</w:t>
      </w:r>
    </w:p>
    <w:p w14:paraId="368581A1">
      <w:pPr>
        <w:pStyle w:val="176"/>
      </w:pPr>
      <w:r>
        <w:t>如果顶管机处在砂或砂砾层中且黏粒含量在15％以下时，则</w:t>
      </w:r>
      <w:r>
        <w:rPr>
          <w:rFonts w:hint="eastAsia"/>
        </w:rPr>
        <w:t>应</w:t>
      </w:r>
      <w:r>
        <w:t>向泥土仓内注入以改良剂为主的浆液，同时把它与被切削下来的土砂一起搅拌。只有当泥土仓内的泥土被改良成具有较好的塑性</w:t>
      </w:r>
      <w:r>
        <w:rPr>
          <w:rFonts w:hint="eastAsia"/>
        </w:rPr>
        <w:t>、</w:t>
      </w:r>
      <w:r>
        <w:t>流动性和止水性时，搅拌才算成功，</w:t>
      </w:r>
      <w:r>
        <w:rPr>
          <w:rFonts w:hint="eastAsia"/>
        </w:rPr>
        <w:t>改良剂</w:t>
      </w:r>
      <w:r>
        <w:t>材料的添加也才算合理。注浆改良剂的添加是通过注浆管道直接连接到切削刀盘的注浆孔，改良剂通过带有止逆阀的注浆管道压入刀盘切削系统作业空间内。顶管机搅拌棒搅拌后可以使切削下来的土层与改良浆液更好的混合。改良浆液注入的注浆压力为0.15</w:t>
      </w:r>
      <w:r>
        <w:rPr>
          <w:rFonts w:hint="eastAsia" w:hAnsi="宋体"/>
        </w:rPr>
        <w:t>～</w:t>
      </w:r>
      <w:r>
        <w:t>0.3MPa。</w:t>
      </w:r>
    </w:p>
    <w:p w14:paraId="18B1F181">
      <w:pPr>
        <w:pStyle w:val="3"/>
        <w:spacing w:before="156" w:beforeLines="50" w:after="156" w:afterLines="50" w:line="240" w:lineRule="auto"/>
        <w:rPr>
          <w:rFonts w:hint="eastAsia" w:ascii="黑体" w:hAnsi="黑体"/>
          <w:b w:val="0"/>
          <w:sz w:val="21"/>
          <w:szCs w:val="21"/>
        </w:rPr>
      </w:pPr>
      <w:bookmarkStart w:id="235" w:name="_Toc56514522"/>
      <w:bookmarkStart w:id="236" w:name="_Toc81679073"/>
      <w:bookmarkStart w:id="237" w:name="_Toc97293167"/>
      <w:r>
        <w:rPr>
          <w:rFonts w:ascii="黑体" w:hAnsi="黑体"/>
          <w:b w:val="0"/>
          <w:sz w:val="21"/>
          <w:szCs w:val="21"/>
        </w:rPr>
        <w:t>7.6 顶管纠偏</w:t>
      </w:r>
      <w:bookmarkEnd w:id="235"/>
      <w:r>
        <w:rPr>
          <w:rFonts w:hint="eastAsia" w:ascii="黑体" w:hAnsi="黑体"/>
          <w:b w:val="0"/>
          <w:sz w:val="21"/>
          <w:szCs w:val="21"/>
        </w:rPr>
        <w:t>控制</w:t>
      </w:r>
      <w:bookmarkEnd w:id="236"/>
      <w:bookmarkEnd w:id="237"/>
    </w:p>
    <w:p w14:paraId="51224011">
      <w:pPr>
        <w:spacing w:line="240" w:lineRule="auto"/>
      </w:pPr>
      <w:r>
        <w:t>7.6.2 纠偏主要技术措施及方法：及时纠偏和小角度纠偏；挖土纠偏和调整顶进合力方向纠偏；刀盘式顶管机纠偏时，可以采用调整挖土方法、调整顶进合力方向、改变切削刀盘的转动方向、在管内相对于机头旋转的反向增加配重等措施</w:t>
      </w:r>
      <w:r>
        <w:rPr>
          <w:rFonts w:hint="eastAsia"/>
        </w:rPr>
        <w:t>；后部管节纠偏可采用纠偏泵向管节外加注泥浆调整轴线偏差。</w:t>
      </w:r>
    </w:p>
    <w:p w14:paraId="3FE1799E">
      <w:pPr>
        <w:pStyle w:val="3"/>
        <w:spacing w:before="156" w:beforeLines="50" w:after="156" w:afterLines="50" w:line="240" w:lineRule="auto"/>
        <w:rPr>
          <w:rFonts w:hint="eastAsia" w:ascii="黑体" w:hAnsi="黑体"/>
          <w:b w:val="0"/>
          <w:sz w:val="21"/>
          <w:szCs w:val="21"/>
        </w:rPr>
      </w:pPr>
      <w:bookmarkStart w:id="238" w:name="_Toc81679074"/>
      <w:bookmarkStart w:id="239" w:name="_Toc56514523"/>
      <w:bookmarkStart w:id="240" w:name="_Toc97293168"/>
      <w:r>
        <w:rPr>
          <w:rFonts w:ascii="黑体" w:hAnsi="黑体"/>
          <w:b w:val="0"/>
          <w:sz w:val="21"/>
          <w:szCs w:val="21"/>
        </w:rPr>
        <w:t>7.7 地面沉降控制</w:t>
      </w:r>
      <w:bookmarkEnd w:id="238"/>
      <w:bookmarkEnd w:id="239"/>
      <w:bookmarkEnd w:id="240"/>
    </w:p>
    <w:p w14:paraId="301B319D">
      <w:pPr>
        <w:spacing w:line="240" w:lineRule="auto"/>
      </w:pPr>
      <w:r>
        <w:t>7.7.1</w:t>
      </w:r>
      <w:r>
        <w:rPr>
          <w:rFonts w:hint="eastAsia"/>
        </w:rPr>
        <w:t>～3</w:t>
      </w:r>
      <w:r>
        <w:t>在顶进过程中，严格控制顶管顶进各项施工参数，合理控制顶进速度，保证连续均衡施工，避免出现长时间</w:t>
      </w:r>
      <w:r>
        <w:rPr>
          <w:rFonts w:hint="eastAsia"/>
        </w:rPr>
        <w:t>停机</w:t>
      </w:r>
      <w:r>
        <w:t>情况；根据反馈数据</w:t>
      </w:r>
      <w:r>
        <w:rPr>
          <w:rFonts w:hint="eastAsia"/>
        </w:rPr>
        <w:t>及时</w:t>
      </w:r>
      <w:r>
        <w:t>进行土压力设定值调整，使之达到最佳状态；严格控制出土量，防止欠挖或超挖。顶管机尾部后方的管节压浆孔应及时有效的进行同步注浆，确保能形成完整的泥浆套；注浆时应</w:t>
      </w:r>
      <w:r>
        <w:rPr>
          <w:rFonts w:hint="eastAsia"/>
        </w:rPr>
        <w:t>“</w:t>
      </w:r>
      <w:r>
        <w:t>先压后顶，边压边顶</w:t>
      </w:r>
      <w:r>
        <w:rPr>
          <w:rFonts w:hint="eastAsia"/>
        </w:rPr>
        <w:t>”</w:t>
      </w:r>
      <w:r>
        <w:t>，管道内沿线的压浆孔应及时进行补浆，严格控制注浆量及注浆压力</w:t>
      </w:r>
      <w:r>
        <w:rPr>
          <w:rFonts w:hint="eastAsia"/>
        </w:rPr>
        <w:t>，确保注浆时间</w:t>
      </w:r>
      <w:r>
        <w:t>。</w:t>
      </w:r>
    </w:p>
    <w:p w14:paraId="69E9FC7F">
      <w:pPr>
        <w:spacing w:line="240" w:lineRule="auto"/>
      </w:pPr>
      <w:r>
        <w:rPr>
          <w:rFonts w:hint="eastAsia"/>
        </w:rPr>
        <w:t>7</w:t>
      </w:r>
      <w:r>
        <w:t>.7.8顶管结束后应采用水泥浆对泥浆进行注浆置换，置换次数不宜小于3次，每次时间间隔不小于24</w:t>
      </w:r>
      <w:r>
        <w:rPr>
          <w:rFonts w:hint="eastAsia"/>
        </w:rPr>
        <w:t>小时</w:t>
      </w:r>
      <w:r>
        <w:t>，保证对泥浆进行充分置换，使顶管外部形成整体固化的泥浆套。</w:t>
      </w:r>
    </w:p>
    <w:p w14:paraId="633E1EDA">
      <w:pPr>
        <w:pStyle w:val="3"/>
        <w:spacing w:before="156" w:beforeLines="50" w:after="156" w:afterLines="50" w:line="240" w:lineRule="auto"/>
        <w:rPr>
          <w:rFonts w:hint="eastAsia" w:ascii="黑体" w:hAnsi="黑体"/>
          <w:b w:val="0"/>
          <w:sz w:val="21"/>
          <w:szCs w:val="21"/>
        </w:rPr>
      </w:pPr>
      <w:bookmarkStart w:id="241" w:name="_Toc81679075"/>
      <w:bookmarkStart w:id="242" w:name="_Toc97293169"/>
      <w:r>
        <w:rPr>
          <w:rFonts w:ascii="黑体" w:hAnsi="黑体"/>
          <w:b w:val="0"/>
          <w:sz w:val="21"/>
          <w:szCs w:val="21"/>
        </w:rPr>
        <w:t xml:space="preserve">7.8 </w:t>
      </w:r>
      <w:r>
        <w:rPr>
          <w:rFonts w:hint="eastAsia" w:ascii="黑体" w:hAnsi="黑体"/>
          <w:b w:val="0"/>
          <w:sz w:val="21"/>
          <w:szCs w:val="21"/>
        </w:rPr>
        <w:t>顶管机接收</w:t>
      </w:r>
      <w:bookmarkEnd w:id="241"/>
      <w:bookmarkEnd w:id="242"/>
    </w:p>
    <w:p w14:paraId="6EBAE398">
      <w:pPr>
        <w:spacing w:line="240" w:lineRule="auto"/>
      </w:pPr>
      <w:r>
        <w:rPr>
          <w:rFonts w:hint="eastAsia" w:ascii="宋体" w:hAnsi="宋体"/>
        </w:rPr>
        <w:t>7</w:t>
      </w:r>
      <w:r>
        <w:rPr>
          <w:rFonts w:ascii="宋体" w:hAnsi="宋体"/>
        </w:rPr>
        <w:t>.8.1</w:t>
      </w:r>
      <w:r>
        <w:t>顶管机头逐渐靠近接收井时，应加强测量的频率和精度，减少轴线偏差，确保顶管机能准确接收</w:t>
      </w:r>
      <w:r>
        <w:rPr>
          <w:rFonts w:hint="eastAsia"/>
        </w:rPr>
        <w:t>；</w:t>
      </w:r>
      <w:r>
        <w:t>在顶管贯通前，复测顶管所处的方位、确认顶管状态、评估顶管接收时的姿态和拟定顶管接收时的施工轴线，及施工方案等的重要依据，使顶管机在此阶段的施工中始终按预定方案实施，以良好的姿态进洞，准确无误的接收到接收井的基座上。</w:t>
      </w:r>
    </w:p>
    <w:p w14:paraId="7127F2A2">
      <w:pPr>
        <w:spacing w:line="240" w:lineRule="auto"/>
        <w:ind w:firstLine="420" w:firstLineChars="200"/>
      </w:pPr>
      <w:r>
        <w:t>因接收井洞门和管节间存在</w:t>
      </w:r>
      <w:r>
        <w:rPr>
          <w:rFonts w:hint="eastAsia"/>
        </w:rPr>
        <w:t>较大</w:t>
      </w:r>
      <w:r>
        <w:t>的周边间隙，顶管机头进洞时容易引起水土流失，严重时会导致路面沉降、损害地下管线，为确保顶管安全顺利接收，需采取以下技术措施：</w:t>
      </w:r>
    </w:p>
    <w:p w14:paraId="420D7651">
      <w:pPr>
        <w:pStyle w:val="176"/>
        <w:numPr>
          <w:ilvl w:val="0"/>
          <w:numId w:val="66"/>
        </w:numPr>
      </w:pPr>
      <w:r>
        <w:t>在顶管到达距接收井6</w:t>
      </w:r>
      <w:r>
        <w:rPr>
          <w:rFonts w:hint="eastAsia"/>
        </w:rPr>
        <w:t>米</w:t>
      </w:r>
      <w:r>
        <w:t>后，开始停止第一节管节的压浆，并在以后顶进中压浆位置逐渐后移，保证顶管进洞前形成完好的6</w:t>
      </w:r>
      <w:r>
        <w:rPr>
          <w:rFonts w:hint="eastAsia"/>
        </w:rPr>
        <w:t>米</w:t>
      </w:r>
      <w:r>
        <w:t>左右的土塞，避免在进洞过程中减摩泥浆的大量流失而造成管节周边摩阻力骤然上升。</w:t>
      </w:r>
    </w:p>
    <w:p w14:paraId="3E9D29B0">
      <w:pPr>
        <w:pStyle w:val="176"/>
      </w:pPr>
      <w:r>
        <w:t>在顶管机切口进入接收井洞口加固区域时，应适当减慢顶进速度，调整出土量，逐渐减小机头正面土压力，以确保顶管机设备完好和洞口结构稳定。</w:t>
      </w:r>
    </w:p>
    <w:p w14:paraId="60624B9A">
      <w:pPr>
        <w:pStyle w:val="176"/>
      </w:pPr>
      <w:r>
        <w:t>顶管机切口顶进加固区时，做好接收前的准备工作，配置相应的应急物资和设备，按照技术措施进行正常的接收施工。</w:t>
      </w:r>
    </w:p>
    <w:p w14:paraId="27C2B82A">
      <w:pPr>
        <w:pStyle w:val="176"/>
        <w:rPr>
          <w:b/>
          <w:bCs/>
          <w:kern w:val="44"/>
          <w:sz w:val="28"/>
          <w:szCs w:val="44"/>
        </w:rPr>
      </w:pPr>
      <w:r>
        <w:rPr>
          <w:rFonts w:hint="eastAsia"/>
        </w:rPr>
        <w:t>顶管机出洞时，需架设临时支撑顶进，临时支撑强度、安装位置应经详细计算后方可顶推，顶推过程中时刻关注顶管姿态，出现偏差及时调整临时支撑。</w:t>
      </w:r>
    </w:p>
    <w:p w14:paraId="1D4D5785">
      <w:pPr>
        <w:pStyle w:val="2"/>
        <w:spacing w:before="312" w:beforeLines="100" w:after="312" w:afterLines="100" w:line="240" w:lineRule="auto"/>
        <w:rPr>
          <w:rFonts w:hint="eastAsia" w:ascii="黑体" w:hAnsi="黑体" w:eastAsia="黑体"/>
          <w:b w:val="0"/>
          <w:sz w:val="21"/>
          <w:szCs w:val="21"/>
        </w:rPr>
      </w:pPr>
      <w:bookmarkStart w:id="243" w:name="_Toc56514524"/>
      <w:bookmarkStart w:id="244" w:name="_Toc100145196"/>
      <w:bookmarkStart w:id="245" w:name="_Toc97293170"/>
      <w:bookmarkStart w:id="246" w:name="_Toc81679076"/>
      <w:r>
        <w:rPr>
          <w:rFonts w:ascii="黑体" w:hAnsi="黑体" w:eastAsia="黑体"/>
          <w:b w:val="0"/>
          <w:sz w:val="21"/>
          <w:szCs w:val="21"/>
        </w:rPr>
        <w:t>8 特殊地段顶管施工</w:t>
      </w:r>
      <w:bookmarkEnd w:id="243"/>
      <w:bookmarkEnd w:id="244"/>
      <w:bookmarkEnd w:id="245"/>
      <w:bookmarkEnd w:id="246"/>
    </w:p>
    <w:p w14:paraId="08CD9B41">
      <w:pPr>
        <w:pStyle w:val="3"/>
        <w:spacing w:before="156" w:beforeLines="50" w:after="156" w:afterLines="50" w:line="240" w:lineRule="auto"/>
        <w:rPr>
          <w:rFonts w:hint="eastAsia" w:ascii="黑体" w:hAnsi="黑体"/>
          <w:b w:val="0"/>
          <w:sz w:val="21"/>
          <w:szCs w:val="21"/>
        </w:rPr>
      </w:pPr>
      <w:bookmarkStart w:id="247" w:name="_Toc97293171"/>
      <w:bookmarkStart w:id="248" w:name="_Toc56514525"/>
      <w:bookmarkStart w:id="249" w:name="_Toc81679077"/>
      <w:r>
        <w:rPr>
          <w:rFonts w:ascii="黑体" w:hAnsi="黑体"/>
          <w:b w:val="0"/>
          <w:sz w:val="21"/>
          <w:szCs w:val="21"/>
        </w:rPr>
        <w:t>8.1 一般规定</w:t>
      </w:r>
      <w:bookmarkEnd w:id="247"/>
      <w:bookmarkEnd w:id="248"/>
      <w:bookmarkEnd w:id="249"/>
    </w:p>
    <w:p w14:paraId="3B61049F">
      <w:pPr>
        <w:spacing w:line="240" w:lineRule="auto"/>
        <w:rPr>
          <w:rFonts w:hint="eastAsia" w:ascii="宋体" w:hAnsi="宋体"/>
        </w:rPr>
      </w:pPr>
      <w:r>
        <w:rPr>
          <w:rFonts w:ascii="宋体" w:hAnsi="宋体"/>
        </w:rPr>
        <w:t>8.1.1 随着城市建设的高速发展，对地下空间的利用也与日俱增。矩形顶管的截面形式，能充分提高结构的有效面积，减少土地征用量，降低工程造价，适用范围广泛。</w:t>
      </w:r>
      <w:r>
        <w:rPr>
          <w:rFonts w:hint="eastAsia" w:ascii="宋体" w:hAnsi="宋体"/>
        </w:rPr>
        <w:t>本章适用的特殊地段采用矩形顶管施工的过街通道、地铁通道和综合管廊，穿越铁路、高速公路、小型河流的连接通道出口以及大型排水箱涵等，顶管施工有浅覆土段施工、顶管穿越建（构）筑物和河流施工，顶管前方遇地下障碍物施工和特殊地层施工。</w:t>
      </w:r>
      <w:r>
        <w:rPr>
          <w:rFonts w:ascii="宋体" w:hAnsi="宋体"/>
        </w:rPr>
        <w:t>矩形顶管机是由多轴、多切削刀盘组成的土压平衡顶管机，只针对黏土、粉质黏土、砂质黏土、淤泥质黏土、砂层等土层顶进。矩形顶管机不能在岩石层顶进施工。</w:t>
      </w:r>
    </w:p>
    <w:p w14:paraId="7C0D6A22">
      <w:pPr>
        <w:spacing w:line="240" w:lineRule="auto"/>
        <w:rPr>
          <w:rFonts w:hint="eastAsia" w:ascii="宋体" w:hAnsi="宋体"/>
        </w:rPr>
      </w:pPr>
      <w:r>
        <w:rPr>
          <w:rFonts w:ascii="宋体" w:hAnsi="宋体"/>
        </w:rPr>
        <w:t>8.1.2 施工前对现场进行详细踏探，踏勘时发现因城市建设（拆迁、新建等）与原设计图不相符，这种情况时应及时与设计单位、建设单位及相关单位等进行沟通，制定出更具体、更有针对性，并且能符合相关各方的切实可行的施工方案。</w:t>
      </w:r>
      <w:r>
        <w:rPr>
          <w:rFonts w:hint="eastAsia" w:ascii="宋体" w:hAnsi="宋体"/>
        </w:rPr>
        <w:t>必要时可采用地质雷达、人工探坑等手段进行勘探确定。</w:t>
      </w:r>
    </w:p>
    <w:p w14:paraId="4C16A9D9">
      <w:pPr>
        <w:spacing w:line="240" w:lineRule="auto"/>
        <w:rPr>
          <w:rFonts w:hint="eastAsia" w:ascii="宋体" w:hAnsi="宋体"/>
        </w:rPr>
      </w:pPr>
      <w:r>
        <w:rPr>
          <w:rFonts w:ascii="宋体" w:hAnsi="宋体"/>
        </w:rPr>
        <w:t>8.1.3 施工顶进前对地勘资料里的工程地质</w:t>
      </w:r>
      <w:r>
        <w:rPr>
          <w:rFonts w:hint="eastAsia" w:ascii="宋体" w:hAnsi="宋体"/>
        </w:rPr>
        <w:t>条件</w:t>
      </w:r>
      <w:r>
        <w:rPr>
          <w:rFonts w:ascii="宋体" w:hAnsi="宋体"/>
        </w:rPr>
        <w:t>、水文地质</w:t>
      </w:r>
      <w:r>
        <w:rPr>
          <w:rFonts w:hint="eastAsia" w:ascii="宋体" w:hAnsi="宋体"/>
        </w:rPr>
        <w:t>条件</w:t>
      </w:r>
      <w:r>
        <w:rPr>
          <w:rFonts w:ascii="宋体" w:hAnsi="宋体"/>
        </w:rPr>
        <w:t>与现场</w:t>
      </w:r>
      <w:r>
        <w:rPr>
          <w:rFonts w:hint="eastAsia" w:ascii="宋体" w:hAnsi="宋体"/>
        </w:rPr>
        <w:t>情况</w:t>
      </w:r>
      <w:r>
        <w:rPr>
          <w:rFonts w:ascii="宋体" w:hAnsi="宋体"/>
        </w:rPr>
        <w:t>进行核对，并对周边环境进行踏探，满足施工条件</w:t>
      </w:r>
      <w:r>
        <w:rPr>
          <w:rFonts w:hint="eastAsia" w:ascii="宋体" w:hAnsi="宋体"/>
        </w:rPr>
        <w:t>。施工前</w:t>
      </w:r>
      <w:r>
        <w:rPr>
          <w:rFonts w:ascii="宋体" w:hAnsi="宋体"/>
        </w:rPr>
        <w:t>编制</w:t>
      </w:r>
      <w:r>
        <w:rPr>
          <w:rFonts w:hint="eastAsia" w:ascii="宋体" w:hAnsi="宋体"/>
        </w:rPr>
        <w:t>专项施工方案，并经过相关单位审批通过后方可实施。</w:t>
      </w:r>
    </w:p>
    <w:p w14:paraId="4C433FD0">
      <w:pPr>
        <w:spacing w:line="240" w:lineRule="auto"/>
        <w:rPr>
          <w:rFonts w:hint="eastAsia" w:ascii="宋体" w:hAnsi="宋体"/>
        </w:rPr>
      </w:pPr>
      <w:r>
        <w:rPr>
          <w:rFonts w:ascii="宋体" w:hAnsi="宋体"/>
        </w:rPr>
        <w:t>8.1.4 根据工程特点和现场实物，对实物进行加密布点监测，发现问题及时处理。</w:t>
      </w:r>
      <w:r>
        <w:rPr>
          <w:rFonts w:hint="eastAsia" w:ascii="宋体" w:hAnsi="宋体"/>
        </w:rPr>
        <w:t>采用合理的施工工艺和施工方法。</w:t>
      </w:r>
    </w:p>
    <w:p w14:paraId="662A39B0">
      <w:pPr>
        <w:spacing w:line="240" w:lineRule="auto"/>
        <w:rPr>
          <w:rFonts w:hint="eastAsia" w:ascii="宋体" w:hAnsi="宋体"/>
        </w:rPr>
      </w:pPr>
      <w:r>
        <w:rPr>
          <w:rFonts w:ascii="宋体" w:hAnsi="宋体"/>
        </w:rPr>
        <w:t xml:space="preserve">8.1.5 </w:t>
      </w:r>
      <w:r>
        <w:rPr>
          <w:rFonts w:hint="eastAsia" w:ascii="宋体" w:hAnsi="宋体"/>
          <w:kern w:val="0"/>
        </w:rPr>
        <w:t>施工前应根据现场实际水文、地质条件、现场实际的施工条件</w:t>
      </w:r>
      <w:bookmarkStart w:id="336" w:name="_GoBack"/>
      <w:bookmarkEnd w:id="336"/>
      <w:r>
        <w:rPr>
          <w:rFonts w:hint="eastAsia" w:ascii="宋体" w:hAnsi="宋体"/>
          <w:kern w:val="0"/>
        </w:rPr>
        <w:t>以及周围环境和</w:t>
      </w:r>
      <w:r>
        <w:rPr>
          <w:rFonts w:hint="eastAsia" w:ascii="宋体" w:hAnsi="宋体"/>
        </w:rPr>
        <w:t>建（构）筑物</w:t>
      </w:r>
      <w:r>
        <w:rPr>
          <w:rFonts w:hint="eastAsia" w:ascii="宋体" w:hAnsi="宋体"/>
          <w:kern w:val="0"/>
        </w:rPr>
        <w:t>等因素，进行安全风险评估；并制定防止事故发生以及事故发生后处理的应急预案，备足应急抢险设备、器材、物资等。</w:t>
      </w:r>
    </w:p>
    <w:p w14:paraId="3FCD8EBB">
      <w:pPr>
        <w:pStyle w:val="3"/>
        <w:spacing w:before="156" w:beforeLines="50" w:after="156" w:afterLines="50" w:line="240" w:lineRule="auto"/>
        <w:rPr>
          <w:rFonts w:hint="eastAsia" w:ascii="黑体" w:hAnsi="黑体"/>
          <w:b w:val="0"/>
          <w:sz w:val="21"/>
          <w:szCs w:val="21"/>
        </w:rPr>
      </w:pPr>
      <w:bookmarkStart w:id="250" w:name="_Toc81679078"/>
      <w:bookmarkStart w:id="251" w:name="_Toc97293172"/>
      <w:bookmarkStart w:id="252" w:name="_Toc56514526"/>
      <w:r>
        <w:rPr>
          <w:rFonts w:ascii="黑体" w:hAnsi="黑体"/>
          <w:b w:val="0"/>
          <w:sz w:val="21"/>
          <w:szCs w:val="21"/>
        </w:rPr>
        <w:t>8.2 浅覆土段施工</w:t>
      </w:r>
      <w:bookmarkEnd w:id="250"/>
      <w:bookmarkEnd w:id="251"/>
      <w:bookmarkEnd w:id="252"/>
    </w:p>
    <w:p w14:paraId="6EC3E33F">
      <w:pPr>
        <w:spacing w:line="240" w:lineRule="auto"/>
        <w:rPr>
          <w:rFonts w:hint="eastAsia" w:ascii="宋体" w:hAnsi="宋体"/>
        </w:rPr>
      </w:pPr>
      <w:r>
        <w:rPr>
          <w:rFonts w:ascii="宋体" w:hAnsi="宋体"/>
        </w:rPr>
        <w:t>8.2.1 矩形顶管机能在浅覆盖土层施工，浅覆盖土层是</w:t>
      </w:r>
      <w:r>
        <w:rPr>
          <w:rFonts w:hint="eastAsia" w:ascii="宋体" w:hAnsi="宋体"/>
        </w:rPr>
        <w:t>针对</w:t>
      </w:r>
      <w:r>
        <w:rPr>
          <w:rFonts w:ascii="宋体" w:hAnsi="宋体"/>
        </w:rPr>
        <w:t>大断面顶管机而言。</w:t>
      </w:r>
      <w:r>
        <w:rPr>
          <w:rFonts w:hint="eastAsia" w:ascii="宋体" w:hAnsi="宋体"/>
        </w:rPr>
        <w:t>浅</w:t>
      </w:r>
      <w:r>
        <w:rPr>
          <w:rFonts w:ascii="宋体" w:hAnsi="宋体"/>
        </w:rPr>
        <w:t>覆土</w:t>
      </w:r>
      <w:r>
        <w:rPr>
          <w:rFonts w:hint="eastAsia" w:ascii="宋体" w:hAnsi="宋体"/>
        </w:rPr>
        <w:t>是指覆土厚度</w:t>
      </w:r>
      <w:r>
        <w:rPr>
          <w:rFonts w:ascii="宋体" w:hAnsi="宋体"/>
        </w:rPr>
        <w:t>小于</w:t>
      </w:r>
      <w:r>
        <w:rPr>
          <w:rFonts w:hint="eastAsia" w:ascii="宋体" w:hAnsi="宋体"/>
        </w:rPr>
        <w:t>1倍顶管管节高度。</w:t>
      </w:r>
    </w:p>
    <w:p w14:paraId="2B4CACA8">
      <w:pPr>
        <w:spacing w:line="240" w:lineRule="auto"/>
        <w:rPr>
          <w:rFonts w:hint="eastAsia" w:ascii="宋体" w:hAnsi="宋体"/>
        </w:rPr>
      </w:pPr>
      <w:r>
        <w:rPr>
          <w:rFonts w:hint="eastAsia" w:ascii="宋体" w:hAnsi="宋体"/>
        </w:rPr>
        <w:t>8.2.2</w:t>
      </w:r>
      <w:r>
        <w:rPr>
          <w:rFonts w:hint="eastAsia" w:ascii="宋体" w:hAnsi="宋体"/>
          <w:kern w:val="0"/>
        </w:rPr>
        <w:t>浅覆土段矩形顶管，在施工前采取地面堆土、加载等措施控制顶管机抬头和地面隆起；软弱土层中减小注浆压力，避免地面冒浆等问题，必要时可进行土体加固处理。</w:t>
      </w:r>
    </w:p>
    <w:p w14:paraId="00465243">
      <w:pPr>
        <w:spacing w:line="240" w:lineRule="auto"/>
        <w:rPr>
          <w:rFonts w:hint="eastAsia" w:ascii="宋体" w:hAnsi="宋体"/>
        </w:rPr>
      </w:pPr>
      <w:r>
        <w:rPr>
          <w:rFonts w:ascii="宋体" w:hAnsi="宋体"/>
        </w:rPr>
        <w:t>8.2.</w:t>
      </w:r>
      <w:r>
        <w:rPr>
          <w:rFonts w:hint="eastAsia" w:ascii="宋体" w:hAnsi="宋体"/>
        </w:rPr>
        <w:t>3</w:t>
      </w:r>
      <w:r>
        <w:rPr>
          <w:rFonts w:ascii="宋体" w:hAnsi="宋体"/>
        </w:rPr>
        <w:t xml:space="preserve"> 顶进过程中会产生实际轴线与设计轴线的偏差，应利用土体的抗力作用及纠偏装置进行纠偏，加泥装置加泥进行校正，偏差控制在±10mm以内。</w:t>
      </w:r>
    </w:p>
    <w:p w14:paraId="0CC06658">
      <w:pPr>
        <w:spacing w:line="240" w:lineRule="auto"/>
        <w:rPr>
          <w:rFonts w:hint="eastAsia" w:ascii="宋体" w:hAnsi="宋体"/>
        </w:rPr>
      </w:pPr>
      <w:r>
        <w:rPr>
          <w:rFonts w:hint="eastAsia" w:ascii="宋体" w:hAnsi="宋体"/>
        </w:rPr>
        <w:t>8.2.4矩形顶管机在始发前应对轴线、高程进行控制，特别是顶管机的走势和姿态进行控制。</w:t>
      </w:r>
    </w:p>
    <w:p w14:paraId="1523228A">
      <w:pPr>
        <w:spacing w:line="240" w:lineRule="auto"/>
        <w:rPr>
          <w:rFonts w:hint="eastAsia" w:ascii="宋体" w:hAnsi="宋体"/>
        </w:rPr>
      </w:pPr>
      <w:r>
        <w:rPr>
          <w:rFonts w:hint="eastAsia" w:ascii="宋体" w:hAnsi="宋体"/>
        </w:rPr>
        <w:t>8.2.5顶管机始发前应在洞门钢环两侧做好管节推进的限位装置，控制顶管机进洞后向一侧偏移。</w:t>
      </w:r>
    </w:p>
    <w:p w14:paraId="661AFE06">
      <w:pPr>
        <w:spacing w:line="240" w:lineRule="auto"/>
        <w:rPr>
          <w:rFonts w:hint="eastAsia" w:ascii="宋体" w:hAnsi="宋体"/>
        </w:rPr>
      </w:pPr>
      <w:r>
        <w:rPr>
          <w:rFonts w:ascii="宋体" w:hAnsi="宋体"/>
        </w:rPr>
        <w:t>8.2.</w:t>
      </w:r>
      <w:r>
        <w:rPr>
          <w:rFonts w:hint="eastAsia" w:ascii="宋体" w:hAnsi="宋体"/>
        </w:rPr>
        <w:t>6</w:t>
      </w:r>
      <w:r>
        <w:rPr>
          <w:rFonts w:ascii="宋体" w:hAnsi="宋体"/>
        </w:rPr>
        <w:t>由于是浅覆盖土，顶管机外壳与土体的摩擦作用，引起顶管机背部背土造成土层流失，而造成顶进前方土体坍塌。因此</w:t>
      </w:r>
      <w:r>
        <w:rPr>
          <w:rFonts w:hint="eastAsia" w:ascii="宋体" w:hAnsi="宋体"/>
        </w:rPr>
        <w:t>始发前应在管节外壁均匀刷蜡，再在</w:t>
      </w:r>
      <w:r>
        <w:rPr>
          <w:rFonts w:ascii="宋体" w:hAnsi="宋体"/>
        </w:rPr>
        <w:t>顶管机顶部增设防背土装置，在顶部注浆，形成完整的泥浆套。减少了土体与顶管机外壳的摩擦，防止背土的发生。</w:t>
      </w:r>
      <w:r>
        <w:rPr>
          <w:rFonts w:hint="eastAsia" w:ascii="宋体" w:hAnsi="宋体"/>
        </w:rPr>
        <w:t>8.2.7顶进过程中，及时测量，控制顶进方向。在监测地面有沉降变形时，立即采取专用的土砂泵打泥（黄土粉混合物）填充，将沉降、变形控制在允许范围以内。</w:t>
      </w:r>
    </w:p>
    <w:p w14:paraId="1A17ACEB">
      <w:pPr>
        <w:spacing w:line="240" w:lineRule="auto"/>
        <w:rPr>
          <w:rFonts w:hint="eastAsia" w:ascii="宋体" w:hAnsi="宋体"/>
        </w:rPr>
      </w:pPr>
      <w:r>
        <w:rPr>
          <w:rFonts w:hint="eastAsia" w:ascii="宋体" w:hAnsi="宋体"/>
        </w:rPr>
        <w:t>8.2.8在初始顶进过加固区时顶进速度不宜过快，应控制在10mm</w:t>
      </w:r>
      <w:r>
        <w:rPr>
          <w:rFonts w:ascii="宋体" w:hAnsi="宋体"/>
        </w:rPr>
        <w:t>/</w:t>
      </w:r>
      <w:r>
        <w:rPr>
          <w:rFonts w:hint="eastAsia" w:ascii="宋体" w:hAnsi="宋体"/>
        </w:rPr>
        <w:t>min以内，出加固区在正常土层内顶进速度，应控制在20mm</w:t>
      </w:r>
      <w:r>
        <w:rPr>
          <w:rFonts w:ascii="宋体" w:hAnsi="宋体"/>
        </w:rPr>
        <w:t>/</w:t>
      </w:r>
      <w:r>
        <w:rPr>
          <w:rFonts w:hint="eastAsia" w:ascii="宋体" w:hAnsi="宋体"/>
        </w:rPr>
        <w:t>min以内。</w:t>
      </w:r>
    </w:p>
    <w:p w14:paraId="3C5E536E">
      <w:pPr>
        <w:spacing w:line="240" w:lineRule="auto"/>
        <w:rPr>
          <w:rFonts w:hint="eastAsia" w:ascii="宋体" w:hAnsi="宋体"/>
        </w:rPr>
      </w:pPr>
      <w:r>
        <w:rPr>
          <w:rFonts w:ascii="宋体" w:hAnsi="宋体"/>
        </w:rPr>
        <w:t>8.2.</w:t>
      </w:r>
      <w:r>
        <w:rPr>
          <w:rFonts w:hint="eastAsia" w:ascii="宋体" w:hAnsi="宋体"/>
        </w:rPr>
        <w:t>9</w:t>
      </w:r>
      <w:r>
        <w:rPr>
          <w:rFonts w:ascii="宋体" w:hAnsi="宋体"/>
        </w:rPr>
        <w:t xml:space="preserve"> 由于矩形顶管机和管节</w:t>
      </w:r>
      <w:r>
        <w:rPr>
          <w:rFonts w:hint="eastAsia" w:ascii="宋体" w:hAnsi="宋体"/>
        </w:rPr>
        <w:t>较</w:t>
      </w:r>
      <w:r>
        <w:rPr>
          <w:rFonts w:ascii="宋体" w:hAnsi="宋体"/>
        </w:rPr>
        <w:t>重，为了控制轴线，顶管机进洞后与前三节管</w:t>
      </w:r>
      <w:r>
        <w:rPr>
          <w:rFonts w:hint="eastAsia" w:ascii="宋体" w:hAnsi="宋体"/>
        </w:rPr>
        <w:t>节</w:t>
      </w:r>
      <w:r>
        <w:rPr>
          <w:rFonts w:ascii="宋体" w:hAnsi="宋体"/>
        </w:rPr>
        <w:t>纵向连接；土质特别差的地段顶管机要与后五节管连接。</w:t>
      </w:r>
    </w:p>
    <w:p w14:paraId="648800E9">
      <w:pPr>
        <w:spacing w:line="240" w:lineRule="auto"/>
        <w:rPr>
          <w:rFonts w:hint="eastAsia" w:ascii="宋体" w:hAnsi="宋体"/>
        </w:rPr>
      </w:pPr>
      <w:r>
        <w:rPr>
          <w:rFonts w:ascii="宋体" w:hAnsi="宋体"/>
        </w:rPr>
        <w:t>8.2.</w:t>
      </w:r>
      <w:r>
        <w:rPr>
          <w:rFonts w:hint="eastAsia" w:ascii="宋体" w:hAnsi="宋体"/>
        </w:rPr>
        <w:t>10</w:t>
      </w:r>
      <w:r>
        <w:rPr>
          <w:rFonts w:ascii="宋体" w:hAnsi="宋体"/>
        </w:rPr>
        <w:t xml:space="preserve"> 顶进施工完后，为防止没有外力作用后，管节内橡胶圈恢复，管节脱落出钢承口，</w:t>
      </w:r>
      <w:r>
        <w:rPr>
          <w:rFonts w:hint="eastAsia" w:ascii="宋体" w:hAnsi="宋体"/>
        </w:rPr>
        <w:t>及时对已完成管节进行整体钢性连接。</w:t>
      </w:r>
    </w:p>
    <w:p w14:paraId="5C75A3C4">
      <w:pPr>
        <w:spacing w:line="240" w:lineRule="auto"/>
        <w:rPr>
          <w:rFonts w:hint="eastAsia" w:ascii="宋体" w:hAnsi="宋体"/>
          <w:kern w:val="0"/>
          <w:szCs w:val="20"/>
        </w:rPr>
      </w:pPr>
      <w:r>
        <w:rPr>
          <w:rFonts w:ascii="宋体" w:hAnsi="宋体"/>
        </w:rPr>
        <w:t>8.2.1</w:t>
      </w:r>
      <w:r>
        <w:rPr>
          <w:rFonts w:hint="eastAsia" w:ascii="宋体" w:hAnsi="宋体"/>
        </w:rPr>
        <w:t>1</w:t>
      </w:r>
      <w:r>
        <w:rPr>
          <w:rFonts w:ascii="宋体" w:hAnsi="宋体"/>
        </w:rPr>
        <w:t xml:space="preserve"> 在顶进完工后，两端管节均无任何保护，在没有外力作用下，容易向外退出，因此要及时施工两端的洞门环梁。</w:t>
      </w:r>
    </w:p>
    <w:p w14:paraId="64F1E613">
      <w:pPr>
        <w:pStyle w:val="3"/>
        <w:spacing w:before="156" w:beforeLines="50" w:after="156" w:afterLines="50" w:line="240" w:lineRule="auto"/>
        <w:rPr>
          <w:rFonts w:hint="eastAsia" w:ascii="黑体" w:hAnsi="黑体"/>
          <w:b w:val="0"/>
          <w:sz w:val="21"/>
          <w:szCs w:val="21"/>
        </w:rPr>
      </w:pPr>
      <w:bookmarkStart w:id="253" w:name="_Toc81679079"/>
      <w:bookmarkStart w:id="254" w:name="_Toc56514527"/>
      <w:bookmarkStart w:id="255" w:name="_Toc97293173"/>
      <w:r>
        <w:rPr>
          <w:rFonts w:ascii="黑体" w:hAnsi="黑体"/>
          <w:b w:val="0"/>
          <w:sz w:val="21"/>
          <w:szCs w:val="21"/>
        </w:rPr>
        <w:t>8.3 穿越建（构）筑物的施工</w:t>
      </w:r>
      <w:bookmarkEnd w:id="253"/>
      <w:bookmarkEnd w:id="254"/>
      <w:bookmarkEnd w:id="255"/>
    </w:p>
    <w:p w14:paraId="24E0CD80">
      <w:pPr>
        <w:spacing w:line="240" w:lineRule="auto"/>
        <w:rPr>
          <w:kern w:val="0"/>
        </w:rPr>
      </w:pPr>
      <w:r>
        <w:rPr>
          <w:rFonts w:ascii="宋体" w:hAnsi="宋体"/>
        </w:rPr>
        <w:t>8.3.1</w:t>
      </w:r>
      <w:r>
        <w:rPr>
          <w:rFonts w:hint="eastAsia" w:ascii="宋体" w:hAnsi="宋体"/>
        </w:rPr>
        <w:t xml:space="preserve"> 在穿越建（构）筑物条件下顶进施工应满足相应的技术要求和规定：</w:t>
      </w:r>
    </w:p>
    <w:p w14:paraId="215CE2BA">
      <w:pPr>
        <w:pStyle w:val="176"/>
        <w:numPr>
          <w:ilvl w:val="0"/>
          <w:numId w:val="67"/>
        </w:numPr>
      </w:pPr>
      <w:r>
        <w:rPr>
          <w:rFonts w:hint="eastAsia"/>
        </w:rPr>
        <w:t>顶管下穿铁路或者公路时，应符合铁路或公路行业的相关安全技术规定；</w:t>
      </w:r>
    </w:p>
    <w:p w14:paraId="071E3531">
      <w:pPr>
        <w:pStyle w:val="176"/>
      </w:pPr>
      <w:r>
        <w:rPr>
          <w:rFonts w:hint="eastAsia"/>
        </w:rPr>
        <w:t>顶管下穿河流时要应防止冒顶和河水倒灌，合理控制土压、顶管姿态、顶进速度，严格控制注浆压力及时注浆，严防管节渗漏水；</w:t>
      </w:r>
    </w:p>
    <w:p w14:paraId="192BDE2B">
      <w:pPr>
        <w:pStyle w:val="176"/>
      </w:pPr>
      <w:r>
        <w:rPr>
          <w:rFonts w:hint="eastAsia"/>
        </w:rPr>
        <w:t>顶管下穿桥梁、大型管网、建（构）筑物时，应满足相关安全技术规定，并应制定相应的安全专项保护方案，并满足相关安全技术规定采取相应的安全技术措施；</w:t>
      </w:r>
    </w:p>
    <w:p w14:paraId="6E3120DA">
      <w:pPr>
        <w:pStyle w:val="176"/>
      </w:pPr>
      <w:r>
        <w:rPr>
          <w:rFonts w:hint="eastAsia"/>
        </w:rPr>
        <w:t>顶管穿越地铁隧道时，应符合轨道交通安全技术规定，并采取相应的保护方案，制定相应的应急措施。</w:t>
      </w:r>
    </w:p>
    <w:p w14:paraId="12C1AC9E">
      <w:pPr>
        <w:pStyle w:val="176"/>
      </w:pPr>
      <w:r>
        <w:rPr>
          <w:rFonts w:hint="eastAsia"/>
        </w:rPr>
        <w:t>顶管穿越拖拉管成管的压力或电力管线时，应调查清楚管线的空间状态，制定相应的安全施工措施，并满足相关安全技术规定。</w:t>
      </w:r>
    </w:p>
    <w:p w14:paraId="1F581023">
      <w:pPr>
        <w:widowControl/>
        <w:spacing w:line="240" w:lineRule="auto"/>
        <w:jc w:val="left"/>
        <w:outlineLvl w:val="3"/>
        <w:rPr>
          <w:rFonts w:hint="eastAsia" w:ascii="宋体" w:hAnsi="宋体"/>
          <w:kern w:val="0"/>
        </w:rPr>
      </w:pPr>
      <w:r>
        <w:rPr>
          <w:rFonts w:hint="eastAsia" w:ascii="宋体" w:hAnsi="宋体"/>
          <w:kern w:val="0"/>
        </w:rPr>
        <w:t>8.3.</w:t>
      </w:r>
      <w:r>
        <w:rPr>
          <w:rFonts w:ascii="宋体" w:hAnsi="宋体"/>
          <w:kern w:val="0"/>
        </w:rPr>
        <w:t>2</w:t>
      </w:r>
      <w:r>
        <w:rPr>
          <w:rFonts w:hint="eastAsia" w:ascii="宋体" w:hAnsi="宋体"/>
          <w:kern w:val="0"/>
        </w:rPr>
        <w:t>根据现场地质选择合适的矩形顶管机，在顶进前对矩形顶管机进行保养和维护。</w:t>
      </w:r>
    </w:p>
    <w:p w14:paraId="74491006">
      <w:pPr>
        <w:spacing w:line="240" w:lineRule="auto"/>
        <w:rPr>
          <w:rFonts w:hint="eastAsia" w:ascii="宋体" w:hAnsi="宋体"/>
        </w:rPr>
      </w:pPr>
      <w:r>
        <w:rPr>
          <w:rFonts w:ascii="宋体" w:hAnsi="宋体"/>
        </w:rPr>
        <w:t>8.3.</w:t>
      </w:r>
      <w:r>
        <w:rPr>
          <w:rFonts w:hint="eastAsia" w:ascii="宋体" w:hAnsi="宋体"/>
        </w:rPr>
        <w:t>3</w:t>
      </w:r>
      <w:r>
        <w:rPr>
          <w:rFonts w:ascii="宋体" w:hAnsi="宋体"/>
        </w:rPr>
        <w:t xml:space="preserve"> 穿越建（构）筑物施工前要对建（构）筑物的基础及管线高程进行反复核对，有重叠部分及时上报监理、业主，能拆迁的拆迁不能拆迁的更改轴线。对可以保护建（构）筑物采取加固保护措施。</w:t>
      </w:r>
    </w:p>
    <w:p w14:paraId="6028BFC6">
      <w:pPr>
        <w:spacing w:line="240" w:lineRule="auto"/>
        <w:rPr>
          <w:rFonts w:hint="eastAsia" w:ascii="宋体" w:hAnsi="宋体"/>
        </w:rPr>
      </w:pPr>
      <w:r>
        <w:rPr>
          <w:rFonts w:ascii="宋体" w:hAnsi="宋体"/>
        </w:rPr>
        <w:t>8.3.</w:t>
      </w:r>
      <w:r>
        <w:rPr>
          <w:rFonts w:hint="eastAsia" w:ascii="宋体" w:hAnsi="宋体"/>
        </w:rPr>
        <w:t>4</w:t>
      </w:r>
      <w:r>
        <w:rPr>
          <w:rFonts w:ascii="宋体" w:hAnsi="宋体"/>
        </w:rPr>
        <w:t xml:space="preserve"> 穿越建（构）筑物施工时</w:t>
      </w:r>
      <w:r>
        <w:rPr>
          <w:rFonts w:hint="eastAsia" w:ascii="宋体" w:hAnsi="宋体"/>
        </w:rPr>
        <w:t>进行安全风险辨识，</w:t>
      </w:r>
      <w:r>
        <w:rPr>
          <w:rFonts w:ascii="宋体" w:hAnsi="宋体"/>
        </w:rPr>
        <w:t>可能因为地质或其它原因导致周边地表及建（构）筑物变形这种情况，</w:t>
      </w:r>
      <w:r>
        <w:rPr>
          <w:rFonts w:hint="eastAsia" w:ascii="宋体" w:hAnsi="宋体"/>
        </w:rPr>
        <w:t>必要时对重要的建（构）筑物进行加固保护处理。</w:t>
      </w:r>
    </w:p>
    <w:p w14:paraId="34070BD3">
      <w:pPr>
        <w:spacing w:line="240" w:lineRule="auto"/>
        <w:rPr>
          <w:rFonts w:hint="eastAsia" w:ascii="宋体" w:hAnsi="宋体"/>
        </w:rPr>
      </w:pPr>
      <w:r>
        <w:rPr>
          <w:rFonts w:hint="eastAsia" w:ascii="宋体" w:hAnsi="宋体"/>
        </w:rPr>
        <w:t>8.3.5在</w:t>
      </w:r>
      <w:r>
        <w:rPr>
          <w:rFonts w:ascii="宋体" w:hAnsi="宋体"/>
        </w:rPr>
        <w:t>穿越建（构）筑物顶进时，</w:t>
      </w:r>
      <w:r>
        <w:rPr>
          <w:rFonts w:hint="eastAsia" w:ascii="宋体" w:hAnsi="宋体"/>
        </w:rPr>
        <w:t>必须满足矩形顶管机与建（构）筑物的立体空间。</w:t>
      </w:r>
    </w:p>
    <w:p w14:paraId="517B0861">
      <w:pPr>
        <w:spacing w:line="240" w:lineRule="auto"/>
        <w:rPr>
          <w:rFonts w:hint="eastAsia" w:ascii="宋体" w:hAnsi="宋体"/>
        </w:rPr>
      </w:pPr>
      <w:r>
        <w:rPr>
          <w:rFonts w:ascii="宋体" w:hAnsi="宋体"/>
        </w:rPr>
        <w:t>8.3.</w:t>
      </w:r>
      <w:r>
        <w:rPr>
          <w:rFonts w:hint="eastAsia" w:ascii="宋体" w:hAnsi="宋体"/>
        </w:rPr>
        <w:t>6</w:t>
      </w:r>
      <w:r>
        <w:rPr>
          <w:rFonts w:ascii="宋体" w:hAnsi="宋体"/>
        </w:rPr>
        <w:t xml:space="preserve"> 穿越建（构）筑物顶进时，要控制顶进速度和顶力，要匀速顶进，不能时快时慢导致地面隆起或沉降，速度</w:t>
      </w:r>
      <w:r>
        <w:rPr>
          <w:rFonts w:hint="eastAsia" w:ascii="宋体" w:hAnsi="宋体"/>
        </w:rPr>
        <w:t>宜</w:t>
      </w:r>
      <w:r>
        <w:rPr>
          <w:rFonts w:ascii="宋体" w:hAnsi="宋体"/>
        </w:rPr>
        <w:t>控制在10mm</w:t>
      </w:r>
      <w:r>
        <w:rPr>
          <w:rFonts w:hint="eastAsia" w:ascii="宋体" w:hAnsi="宋体"/>
        </w:rPr>
        <w:t>/</w:t>
      </w:r>
      <w:r>
        <w:rPr>
          <w:rFonts w:ascii="宋体" w:hAnsi="宋体"/>
        </w:rPr>
        <w:t>min以内。</w:t>
      </w:r>
    </w:p>
    <w:p w14:paraId="7EAEA950">
      <w:pPr>
        <w:spacing w:line="240" w:lineRule="auto"/>
        <w:rPr>
          <w:rFonts w:hint="eastAsia" w:ascii="宋体" w:hAnsi="宋体"/>
        </w:rPr>
      </w:pPr>
      <w:r>
        <w:rPr>
          <w:rFonts w:hint="eastAsia" w:ascii="宋体" w:hAnsi="宋体"/>
        </w:rPr>
        <w:t>8.3.7</w:t>
      </w:r>
      <w:r>
        <w:rPr>
          <w:rFonts w:ascii="宋体" w:hAnsi="宋体"/>
        </w:rPr>
        <w:t>根据建（构）筑物</w:t>
      </w:r>
      <w:r>
        <w:rPr>
          <w:rFonts w:hint="eastAsia" w:ascii="宋体" w:hAnsi="宋体"/>
        </w:rPr>
        <w:t>的</w:t>
      </w:r>
      <w:r>
        <w:rPr>
          <w:rFonts w:ascii="宋体" w:hAnsi="宋体"/>
        </w:rPr>
        <w:t>特点和现场实物，对实物进行加密布点监测</w:t>
      </w:r>
      <w:r>
        <w:rPr>
          <w:rFonts w:hint="eastAsia" w:ascii="宋体" w:hAnsi="宋体"/>
        </w:rPr>
        <w:t>，出现问题及时采取合理的处理方法，确保</w:t>
      </w:r>
      <w:r>
        <w:rPr>
          <w:rFonts w:ascii="宋体" w:hAnsi="宋体"/>
        </w:rPr>
        <w:t>建（构）筑物</w:t>
      </w:r>
      <w:r>
        <w:rPr>
          <w:rFonts w:hint="eastAsia" w:ascii="宋体" w:hAnsi="宋体"/>
        </w:rPr>
        <w:t>安全。</w:t>
      </w:r>
    </w:p>
    <w:p w14:paraId="512F5354">
      <w:pPr>
        <w:spacing w:line="240" w:lineRule="auto"/>
        <w:rPr>
          <w:rFonts w:hint="eastAsia" w:ascii="宋体" w:hAnsi="宋体"/>
        </w:rPr>
      </w:pPr>
      <w:r>
        <w:rPr>
          <w:rFonts w:hint="eastAsia" w:ascii="宋体" w:hAnsi="宋体"/>
        </w:rPr>
        <w:t>8.3.8</w:t>
      </w:r>
      <w:r>
        <w:rPr>
          <w:rFonts w:hint="eastAsia" w:ascii="宋体" w:hAnsi="宋体"/>
          <w:kern w:val="0"/>
        </w:rPr>
        <w:t>穿越建（构）筑物施工后，应持续监测建（构）筑物直至变形稳定且不少于3个月、必要时做好后期的加固保护处理工作。</w:t>
      </w:r>
    </w:p>
    <w:p w14:paraId="583B371C">
      <w:pPr>
        <w:pStyle w:val="3"/>
        <w:spacing w:before="156" w:beforeLines="50" w:after="156" w:afterLines="50" w:line="240" w:lineRule="auto"/>
        <w:rPr>
          <w:rFonts w:hint="eastAsia" w:ascii="黑体" w:hAnsi="黑体"/>
          <w:b w:val="0"/>
          <w:sz w:val="21"/>
          <w:szCs w:val="21"/>
        </w:rPr>
      </w:pPr>
      <w:bookmarkStart w:id="256" w:name="_Toc81679080"/>
      <w:bookmarkStart w:id="257" w:name="_Toc56514528"/>
      <w:bookmarkStart w:id="258" w:name="_Toc97293174"/>
      <w:r>
        <w:rPr>
          <w:rFonts w:ascii="黑体" w:hAnsi="黑体"/>
          <w:b w:val="0"/>
          <w:sz w:val="21"/>
          <w:szCs w:val="21"/>
        </w:rPr>
        <w:t xml:space="preserve">8.4 </w:t>
      </w:r>
      <w:r>
        <w:rPr>
          <w:rFonts w:hint="eastAsia" w:ascii="黑体" w:hAnsi="黑体"/>
          <w:b w:val="0"/>
          <w:sz w:val="21"/>
          <w:szCs w:val="21"/>
        </w:rPr>
        <w:t>突</w:t>
      </w:r>
      <w:r>
        <w:rPr>
          <w:rFonts w:ascii="黑体" w:hAnsi="黑体"/>
          <w:b w:val="0"/>
          <w:sz w:val="21"/>
          <w:szCs w:val="21"/>
        </w:rPr>
        <w:t>遇</w:t>
      </w:r>
      <w:r>
        <w:rPr>
          <w:rFonts w:hint="eastAsia" w:ascii="黑体" w:hAnsi="黑体"/>
          <w:b w:val="0"/>
          <w:sz w:val="21"/>
          <w:szCs w:val="21"/>
        </w:rPr>
        <w:t>不明</w:t>
      </w:r>
      <w:r>
        <w:rPr>
          <w:rFonts w:ascii="黑体" w:hAnsi="黑体"/>
          <w:b w:val="0"/>
          <w:sz w:val="21"/>
          <w:szCs w:val="21"/>
        </w:rPr>
        <w:t>障碍物施工</w:t>
      </w:r>
      <w:bookmarkEnd w:id="256"/>
      <w:bookmarkEnd w:id="257"/>
      <w:bookmarkEnd w:id="258"/>
    </w:p>
    <w:p w14:paraId="48BC7870">
      <w:pPr>
        <w:spacing w:line="240" w:lineRule="auto"/>
        <w:rPr>
          <w:rFonts w:hint="eastAsia" w:ascii="宋体" w:hAnsi="宋体"/>
        </w:rPr>
      </w:pPr>
      <w:r>
        <w:rPr>
          <w:rFonts w:ascii="宋体" w:hAnsi="宋体"/>
        </w:rPr>
        <w:t>8.4.1 在顶进遇障碍物时，刀盘电流扭矩不能超过总电流的60%，否则会造成机械设备损坏。</w:t>
      </w:r>
      <w:r>
        <w:rPr>
          <w:rFonts w:hint="eastAsia" w:ascii="宋体" w:hAnsi="宋体"/>
        </w:rPr>
        <w:t>顶进过程中发现异常，停止顶进，查明原因，处理后方可顶进。</w:t>
      </w:r>
    </w:p>
    <w:p w14:paraId="70ACF789">
      <w:pPr>
        <w:spacing w:line="240" w:lineRule="auto"/>
        <w:rPr>
          <w:rFonts w:hint="eastAsia" w:ascii="宋体" w:hAnsi="宋体"/>
        </w:rPr>
      </w:pPr>
      <w:r>
        <w:rPr>
          <w:rFonts w:ascii="宋体" w:hAnsi="宋体"/>
        </w:rPr>
        <w:t>8.4.2 在顶进遇障碍物时，</w:t>
      </w:r>
      <w:r>
        <w:rPr>
          <w:rFonts w:hint="eastAsia" w:ascii="宋体" w:hAnsi="宋体"/>
        </w:rPr>
        <w:t>应综合顶进情况，查明障碍物性质、形状或其它。</w:t>
      </w:r>
    </w:p>
    <w:p w14:paraId="2B2D3C19">
      <w:pPr>
        <w:spacing w:line="240" w:lineRule="auto"/>
        <w:rPr>
          <w:rFonts w:hint="eastAsia" w:ascii="宋体" w:hAnsi="宋体"/>
        </w:rPr>
      </w:pPr>
      <w:r>
        <w:rPr>
          <w:rFonts w:hint="eastAsia" w:ascii="宋体" w:hAnsi="宋体"/>
        </w:rPr>
        <w:t>8.4.3在顶进遇障碍物时，首先要采取多个刀盘逐一正、反转动，确定障碍物的位置，然后采取相应的方法取出障碍物。</w:t>
      </w:r>
    </w:p>
    <w:p w14:paraId="0B6AE880">
      <w:pPr>
        <w:spacing w:line="240" w:lineRule="auto"/>
        <w:rPr>
          <w:rFonts w:hint="eastAsia" w:ascii="宋体" w:hAnsi="宋体"/>
        </w:rPr>
      </w:pPr>
      <w:r>
        <w:rPr>
          <w:rFonts w:ascii="宋体" w:hAnsi="宋体"/>
        </w:rPr>
        <w:t>8.4.</w:t>
      </w:r>
      <w:r>
        <w:rPr>
          <w:rFonts w:hint="eastAsia" w:ascii="宋体" w:hAnsi="宋体"/>
        </w:rPr>
        <w:t>4</w:t>
      </w:r>
      <w:r>
        <w:rPr>
          <w:rFonts w:ascii="宋体" w:hAnsi="宋体"/>
        </w:rPr>
        <w:t xml:space="preserve"> 小的障碍物从搅笼里排不出来，在停止顶进时，但刀盘要运转，将泥仓内可以排出泥土全部排出，慢慢将障碍物运动至搅笼口下方，再将胸板割开一个可以取出障碍物的洞口，然后焊接恢复。</w:t>
      </w:r>
    </w:p>
    <w:p w14:paraId="52B71050">
      <w:pPr>
        <w:spacing w:line="240" w:lineRule="auto"/>
        <w:rPr>
          <w:rFonts w:hint="eastAsia" w:ascii="宋体" w:hAnsi="宋体"/>
        </w:rPr>
      </w:pPr>
      <w:r>
        <w:rPr>
          <w:rFonts w:ascii="宋体" w:hAnsi="宋体"/>
        </w:rPr>
        <w:t>8.4.5在顶进遇障碍物时</w:t>
      </w:r>
      <w:r>
        <w:rPr>
          <w:rFonts w:hint="eastAsia" w:ascii="宋体" w:hAnsi="宋体"/>
        </w:rPr>
        <w:t>，</w:t>
      </w:r>
      <w:r>
        <w:rPr>
          <w:rFonts w:ascii="宋体" w:hAnsi="宋体"/>
        </w:rPr>
        <w:t>一定要</w:t>
      </w:r>
      <w:r>
        <w:rPr>
          <w:rFonts w:hint="eastAsia" w:ascii="宋体" w:hAnsi="宋体"/>
        </w:rPr>
        <w:t>用仪器查明</w:t>
      </w:r>
      <w:r>
        <w:rPr>
          <w:rFonts w:ascii="宋体" w:hAnsi="宋体"/>
        </w:rPr>
        <w:t>障碍物</w:t>
      </w:r>
      <w:r>
        <w:rPr>
          <w:rFonts w:hint="eastAsia" w:ascii="宋体" w:hAnsi="宋体"/>
        </w:rPr>
        <w:t>是否安全或对</w:t>
      </w:r>
      <w:r>
        <w:rPr>
          <w:rFonts w:ascii="宋体" w:hAnsi="宋体"/>
        </w:rPr>
        <w:t>人体是否有害，然后再按施工方法施工。</w:t>
      </w:r>
    </w:p>
    <w:p w14:paraId="43C89AA5">
      <w:pPr>
        <w:spacing w:line="240" w:lineRule="auto"/>
        <w:rPr>
          <w:rFonts w:hint="eastAsia" w:ascii="宋体" w:hAnsi="宋体"/>
        </w:rPr>
      </w:pPr>
      <w:r>
        <w:rPr>
          <w:rFonts w:ascii="宋体" w:hAnsi="宋体"/>
        </w:rPr>
        <w:t>8.4.</w:t>
      </w:r>
      <w:r>
        <w:rPr>
          <w:rFonts w:hint="eastAsia" w:ascii="宋体" w:hAnsi="宋体"/>
        </w:rPr>
        <w:t>6</w:t>
      </w:r>
      <w:r>
        <w:rPr>
          <w:rFonts w:ascii="宋体" w:hAnsi="宋体"/>
        </w:rPr>
        <w:t xml:space="preserve"> 对大的障碍物要清理泥仓内障碍物时，先要对仓门进行查看，螺帽是否完好，开仓门</w:t>
      </w:r>
      <w:r>
        <w:rPr>
          <w:rFonts w:hint="eastAsia" w:ascii="宋体" w:hAnsi="宋体"/>
        </w:rPr>
        <w:t>前</w:t>
      </w:r>
      <w:r>
        <w:rPr>
          <w:rFonts w:ascii="宋体" w:hAnsi="宋体"/>
        </w:rPr>
        <w:t>，掌子面已经加固完成，然后对障碍物进行处理。</w:t>
      </w:r>
    </w:p>
    <w:p w14:paraId="594911D4">
      <w:pPr>
        <w:spacing w:line="240" w:lineRule="auto"/>
        <w:rPr>
          <w:rFonts w:hint="eastAsia" w:ascii="宋体" w:hAnsi="宋体"/>
        </w:rPr>
      </w:pPr>
      <w:r>
        <w:rPr>
          <w:rFonts w:hint="eastAsia" w:ascii="宋体" w:hAnsi="宋体"/>
        </w:rPr>
        <w:t>8.4.7</w:t>
      </w:r>
      <w:r>
        <w:rPr>
          <w:rFonts w:ascii="宋体" w:hAnsi="宋体"/>
        </w:rPr>
        <w:t xml:space="preserve"> 对在泥仓内无法处理的障碍物，</w:t>
      </w:r>
      <w:r>
        <w:rPr>
          <w:rFonts w:hint="eastAsia" w:ascii="宋体" w:hAnsi="宋体"/>
        </w:rPr>
        <w:t>在确定其准确位置后，可</w:t>
      </w:r>
      <w:r>
        <w:rPr>
          <w:rFonts w:ascii="宋体" w:hAnsi="宋体"/>
        </w:rPr>
        <w:t>采取开天窗</w:t>
      </w:r>
      <w:r>
        <w:rPr>
          <w:rFonts w:hint="eastAsia" w:ascii="宋体" w:hAnsi="宋体"/>
        </w:rPr>
        <w:t>方案处理障碍物。</w:t>
      </w:r>
      <w:r>
        <w:rPr>
          <w:rFonts w:ascii="宋体" w:hAnsi="宋体"/>
        </w:rPr>
        <w:t>在开天窗前要对四周土体进行加固处理，安全后才可以开天窗施工，取出障碍物，再用黏土回填夯实，恢复顶进。</w:t>
      </w:r>
      <w:r>
        <w:rPr>
          <w:rFonts w:hint="eastAsia" w:ascii="宋体" w:hAnsi="宋体"/>
        </w:rPr>
        <w:t>顶进施工完成后。对天窗段进行加固处理。</w:t>
      </w:r>
    </w:p>
    <w:p w14:paraId="45C248B9">
      <w:pPr>
        <w:spacing w:line="240" w:lineRule="auto"/>
        <w:rPr>
          <w:rFonts w:hint="eastAsia" w:ascii="宋体" w:hAnsi="宋体"/>
        </w:rPr>
      </w:pPr>
      <w:r>
        <w:rPr>
          <w:rFonts w:hint="eastAsia" w:ascii="宋体" w:hAnsi="宋体"/>
        </w:rPr>
        <w:t>8.4.8在穿越河流遇障碍物时，必须采用注浆加固将前方的土体，待密实稳定，检测满足后，再采取排渣方法进行处理施工。</w:t>
      </w:r>
    </w:p>
    <w:p w14:paraId="6FD9D3CF">
      <w:pPr>
        <w:pStyle w:val="3"/>
        <w:spacing w:before="156" w:beforeLines="50" w:after="156" w:afterLines="50" w:line="240" w:lineRule="auto"/>
        <w:rPr>
          <w:rFonts w:hint="eastAsia" w:ascii="黑体" w:hAnsi="黑体"/>
          <w:b w:val="0"/>
          <w:sz w:val="21"/>
          <w:szCs w:val="21"/>
        </w:rPr>
      </w:pPr>
      <w:bookmarkStart w:id="259" w:name="_Toc97293175"/>
      <w:bookmarkStart w:id="260" w:name="_Toc81679081"/>
      <w:bookmarkStart w:id="261" w:name="_Toc56514529"/>
      <w:r>
        <w:rPr>
          <w:rFonts w:ascii="黑体" w:hAnsi="黑体"/>
          <w:b w:val="0"/>
          <w:sz w:val="21"/>
          <w:szCs w:val="21"/>
        </w:rPr>
        <w:t>8.5 特殊地层施工</w:t>
      </w:r>
      <w:bookmarkEnd w:id="259"/>
      <w:bookmarkEnd w:id="260"/>
      <w:bookmarkEnd w:id="261"/>
    </w:p>
    <w:p w14:paraId="2CBD382E">
      <w:pPr>
        <w:spacing w:line="240" w:lineRule="auto"/>
        <w:rPr>
          <w:rFonts w:hint="eastAsia" w:ascii="宋体" w:hAnsi="宋体"/>
        </w:rPr>
      </w:pPr>
      <w:r>
        <w:rPr>
          <w:rFonts w:ascii="宋体" w:hAnsi="宋体"/>
        </w:rPr>
        <w:t xml:space="preserve">8.5.1 </w:t>
      </w:r>
      <w:r>
        <w:rPr>
          <w:rFonts w:hint="eastAsia" w:ascii="宋体" w:hAnsi="宋体"/>
        </w:rPr>
        <w:t>特殊地层判断与分类。</w:t>
      </w:r>
    </w:p>
    <w:p w14:paraId="69DE1F55">
      <w:pPr>
        <w:spacing w:line="240" w:lineRule="auto"/>
        <w:rPr>
          <w:rFonts w:hint="eastAsia" w:ascii="宋体" w:hAnsi="宋体"/>
        </w:rPr>
      </w:pPr>
      <w:r>
        <w:rPr>
          <w:rFonts w:hint="eastAsia" w:ascii="宋体" w:hAnsi="宋体"/>
        </w:rPr>
        <w:t>8.5.2</w:t>
      </w:r>
      <w:r>
        <w:rPr>
          <w:rFonts w:ascii="宋体" w:hAnsi="宋体"/>
        </w:rPr>
        <w:t>在穿越砂层顶进时要采取土体改良方法，防止抱管；达到顶力小、排泥顺畅效果，控制防范地下水。并要求24小时不间断施工，要求所有管节都要有注浆孔。</w:t>
      </w:r>
    </w:p>
    <w:p w14:paraId="6E628480">
      <w:pPr>
        <w:spacing w:line="240" w:lineRule="auto"/>
        <w:rPr>
          <w:rFonts w:hint="eastAsia" w:ascii="宋体" w:hAnsi="宋体"/>
        </w:rPr>
      </w:pPr>
      <w:r>
        <w:rPr>
          <w:rFonts w:hint="eastAsia" w:ascii="宋体" w:hAnsi="宋体"/>
        </w:rPr>
        <w:t>8.5.3在顶进透水系数大于10</w:t>
      </w:r>
      <w:r>
        <w:rPr>
          <w:rFonts w:ascii="宋体" w:hAnsi="宋体"/>
        </w:rPr>
        <w:t>-2</w:t>
      </w:r>
      <w:r>
        <w:rPr>
          <w:rFonts w:hint="eastAsia" w:ascii="宋体" w:hAnsi="宋体"/>
        </w:rPr>
        <w:t>cm/s的粗砂、砂砾层和地下水丰富的砂层时，均要采用高分子添加剂，进行前方土体改良，使砂层、砂砾层变成混合状态，在顶进过程中，刀盘不停转动，将混合物形成密闭不渗水层，向四周扩散，形成完整的护壁，混合物渣土从搅笼排出。</w:t>
      </w:r>
    </w:p>
    <w:p w14:paraId="0503A687">
      <w:pPr>
        <w:spacing w:line="240" w:lineRule="auto"/>
        <w:rPr>
          <w:rFonts w:hint="eastAsia" w:ascii="宋体" w:hAnsi="宋体"/>
        </w:rPr>
      </w:pPr>
      <w:r>
        <w:rPr>
          <w:rFonts w:hint="eastAsia" w:ascii="宋体" w:hAnsi="宋体"/>
        </w:rPr>
        <w:t>8.5.4在特殊地层顶进，顶力大，应考虑减小摩擦力，采取注浆减阻方法，管节必须都有注浆孔，满足注浆减阻要求。</w:t>
      </w:r>
    </w:p>
    <w:p w14:paraId="30284923">
      <w:pPr>
        <w:spacing w:line="240" w:lineRule="auto"/>
        <w:rPr>
          <w:rFonts w:hint="eastAsia" w:ascii="宋体" w:hAnsi="宋体"/>
        </w:rPr>
      </w:pPr>
      <w:r>
        <w:rPr>
          <w:rFonts w:hint="eastAsia" w:ascii="宋体" w:hAnsi="宋体"/>
        </w:rPr>
        <w:t>8.5.5在砂层顶进时应做好砂层突涌应急预案，按方案执行。应保持连续施工，以免流沙抱管。</w:t>
      </w:r>
    </w:p>
    <w:p w14:paraId="52BE0FAB">
      <w:pPr>
        <w:spacing w:line="240" w:lineRule="auto"/>
        <w:rPr>
          <w:rFonts w:hint="eastAsia" w:ascii="宋体" w:hAnsi="宋体"/>
        </w:rPr>
      </w:pPr>
      <w:r>
        <w:rPr>
          <w:rFonts w:ascii="宋体" w:hAnsi="宋体"/>
        </w:rPr>
        <w:t>8.5.</w:t>
      </w:r>
      <w:r>
        <w:rPr>
          <w:rFonts w:hint="eastAsia" w:ascii="宋体" w:hAnsi="宋体"/>
        </w:rPr>
        <w:t>6</w:t>
      </w:r>
      <w:r>
        <w:rPr>
          <w:rFonts w:ascii="宋体" w:hAnsi="宋体"/>
        </w:rPr>
        <w:t xml:space="preserve"> 在淤泥或淤泥质等土层顶进时首先要对管道底部进行加固处理，因为顶管机和管节重，预防地基承载力不够，造成顶管机和管节下沉或钢承口脱落。</w:t>
      </w:r>
    </w:p>
    <w:p w14:paraId="474FBE94">
      <w:pPr>
        <w:spacing w:line="240" w:lineRule="auto"/>
        <w:rPr>
          <w:rFonts w:hint="eastAsia" w:ascii="宋体" w:hAnsi="宋体"/>
        </w:rPr>
      </w:pPr>
      <w:r>
        <w:rPr>
          <w:rFonts w:hint="eastAsia" w:ascii="宋体" w:hAnsi="宋体"/>
        </w:rPr>
        <w:t>8.5.7在砂层顶进时，由于刀盘大于机头壳体，有局部超挖，应采用土砂泵及时打泥填充，防止沉降。</w:t>
      </w:r>
    </w:p>
    <w:p w14:paraId="1C216F1A">
      <w:pPr>
        <w:spacing w:line="240" w:lineRule="auto"/>
        <w:rPr>
          <w:rFonts w:hint="eastAsia" w:ascii="宋体" w:hAnsi="宋体"/>
        </w:rPr>
      </w:pPr>
      <w:r>
        <w:rPr>
          <w:rFonts w:ascii="宋体" w:hAnsi="宋体"/>
        </w:rPr>
        <w:t>8.5.</w:t>
      </w:r>
      <w:r>
        <w:rPr>
          <w:rFonts w:hint="eastAsia" w:ascii="宋体" w:hAnsi="宋体"/>
        </w:rPr>
        <w:t>8</w:t>
      </w:r>
      <w:r>
        <w:rPr>
          <w:rFonts w:ascii="宋体" w:hAnsi="宋体"/>
        </w:rPr>
        <w:t>在顶进穿越溶洞时，首先要对地勘资料进行详细的阅读和了解，然后再对现场进行补勘，</w:t>
      </w:r>
      <w:r>
        <w:rPr>
          <w:rFonts w:hint="eastAsia" w:ascii="宋体" w:hAnsi="宋体"/>
        </w:rPr>
        <w:t>探明</w:t>
      </w:r>
      <w:r>
        <w:rPr>
          <w:rFonts w:ascii="宋体" w:hAnsi="宋体"/>
        </w:rPr>
        <w:t>溶洞的形状，再对其进行处理。</w:t>
      </w:r>
    </w:p>
    <w:p w14:paraId="44C19534">
      <w:pPr>
        <w:spacing w:line="240" w:lineRule="auto"/>
        <w:rPr>
          <w:rFonts w:hint="eastAsia" w:ascii="宋体" w:hAnsi="宋体"/>
        </w:rPr>
      </w:pPr>
      <w:r>
        <w:rPr>
          <w:rFonts w:hint="eastAsia" w:ascii="宋体" w:hAnsi="宋体"/>
        </w:rPr>
        <w:t>8.5.9顶进完工后，必须进行泥浆置换。将管道外壁膨润泥浆套置换成水泥浆，防止地面沉降。</w:t>
      </w:r>
    </w:p>
    <w:p w14:paraId="43EA6C07">
      <w:pPr>
        <w:spacing w:line="240" w:lineRule="auto"/>
        <w:rPr>
          <w:rFonts w:hint="eastAsia" w:ascii="宋体" w:hAnsi="宋体"/>
        </w:rPr>
      </w:pPr>
      <w:r>
        <w:rPr>
          <w:rFonts w:hint="eastAsia" w:ascii="宋体" w:hAnsi="宋体"/>
        </w:rPr>
        <w:t>8.5.10在顶进黏性较大的土层时，在设备选型上要考虑，采用开口率大的刀盘，便于出土通畅，防止刀盘结泥饼。</w:t>
      </w:r>
    </w:p>
    <w:p w14:paraId="5D04CBCE">
      <w:pPr>
        <w:pStyle w:val="2"/>
        <w:spacing w:before="312" w:beforeLines="100" w:after="312" w:afterLines="100" w:line="240" w:lineRule="auto"/>
        <w:rPr>
          <w:rFonts w:hint="eastAsia" w:ascii="黑体" w:hAnsi="黑体" w:eastAsia="黑体"/>
          <w:b w:val="0"/>
          <w:sz w:val="21"/>
          <w:szCs w:val="21"/>
        </w:rPr>
      </w:pPr>
      <w:bookmarkStart w:id="262" w:name="_Toc81679082"/>
      <w:bookmarkStart w:id="263" w:name="_Toc100145197"/>
      <w:bookmarkStart w:id="264" w:name="_Toc56514530"/>
      <w:bookmarkStart w:id="265" w:name="_Toc97293176"/>
      <w:r>
        <w:rPr>
          <w:rFonts w:ascii="黑体" w:hAnsi="黑体" w:eastAsia="黑体"/>
          <w:b w:val="0"/>
          <w:sz w:val="21"/>
          <w:szCs w:val="21"/>
        </w:rPr>
        <w:t>9 管节注浆</w:t>
      </w:r>
      <w:bookmarkEnd w:id="262"/>
      <w:bookmarkEnd w:id="263"/>
      <w:bookmarkEnd w:id="264"/>
      <w:bookmarkEnd w:id="265"/>
    </w:p>
    <w:p w14:paraId="308F0173">
      <w:pPr>
        <w:pStyle w:val="3"/>
        <w:spacing w:before="156" w:beforeLines="50" w:after="156" w:afterLines="50" w:line="240" w:lineRule="auto"/>
        <w:rPr>
          <w:rFonts w:hint="eastAsia" w:ascii="黑体" w:hAnsi="黑体"/>
          <w:b w:val="0"/>
          <w:sz w:val="21"/>
          <w:szCs w:val="21"/>
        </w:rPr>
      </w:pPr>
      <w:bookmarkStart w:id="266" w:name="_Toc97293177"/>
      <w:bookmarkStart w:id="267" w:name="_Toc81679083"/>
      <w:bookmarkStart w:id="268" w:name="_Toc56514531"/>
      <w:r>
        <w:rPr>
          <w:rFonts w:ascii="黑体" w:hAnsi="黑体"/>
          <w:b w:val="0"/>
          <w:sz w:val="21"/>
          <w:szCs w:val="21"/>
        </w:rPr>
        <w:t>9.1 一般规定</w:t>
      </w:r>
      <w:bookmarkEnd w:id="266"/>
      <w:bookmarkEnd w:id="267"/>
      <w:bookmarkEnd w:id="268"/>
    </w:p>
    <w:p w14:paraId="400175FF">
      <w:pPr>
        <w:spacing w:line="240" w:lineRule="auto"/>
        <w:outlineLvl w:val="2"/>
        <w:rPr>
          <w:rFonts w:hint="eastAsia" w:ascii="黑体" w:hAnsi="黑体" w:eastAsia="黑体"/>
        </w:rPr>
      </w:pPr>
      <w:r>
        <w:rPr>
          <w:rFonts w:hint="eastAsia" w:ascii="黑体" w:hAnsi="黑体" w:eastAsia="黑体"/>
        </w:rPr>
        <w:t>9</w:t>
      </w:r>
      <w:r>
        <w:rPr>
          <w:rFonts w:ascii="黑体" w:hAnsi="黑体" w:eastAsia="黑体"/>
        </w:rPr>
        <w:t>.1.1 注浆材料</w:t>
      </w:r>
      <w:r>
        <w:rPr>
          <w:rFonts w:hint="eastAsia" w:ascii="黑体" w:hAnsi="黑体" w:eastAsia="黑体"/>
        </w:rPr>
        <w:t>（注浆设备）</w:t>
      </w:r>
    </w:p>
    <w:p w14:paraId="3BE1A7CE">
      <w:pPr>
        <w:spacing w:line="240" w:lineRule="auto"/>
        <w:ind w:firstLine="420" w:firstLineChars="200"/>
        <w:rPr>
          <w:rFonts w:hint="eastAsia" w:ascii="宋体" w:hAnsi="宋体"/>
        </w:rPr>
      </w:pPr>
      <w:r>
        <w:rPr>
          <w:rFonts w:hint="eastAsia" w:ascii="宋体" w:hAnsi="宋体"/>
        </w:rPr>
        <w:t>1</w:t>
      </w:r>
      <w:r>
        <w:rPr>
          <w:rFonts w:ascii="宋体" w:hAnsi="宋体"/>
        </w:rPr>
        <w:t xml:space="preserve"> 膨润土其主要是以蒙脱石为主的含水黏土矿，</w:t>
      </w:r>
      <w:r>
        <w:rPr>
          <w:rFonts w:hint="eastAsia" w:ascii="宋体" w:hAnsi="宋体"/>
        </w:rPr>
        <w:t>宜</w:t>
      </w:r>
      <w:r>
        <w:rPr>
          <w:rFonts w:ascii="宋体" w:hAnsi="宋体"/>
        </w:rPr>
        <w:t>选用钠基膨润土（蒙脱石：60%-88% ，膨胀容：25</w:t>
      </w:r>
      <w:r>
        <w:rPr>
          <w:rFonts w:hint="eastAsia" w:ascii="宋体" w:hAnsi="宋体"/>
        </w:rPr>
        <w:t>～</w:t>
      </w:r>
      <w:r>
        <w:rPr>
          <w:rFonts w:ascii="宋体" w:hAnsi="宋体"/>
        </w:rPr>
        <w:t>50ml/g，胶质价：≥99ml/15g，2小时吸水率：250</w:t>
      </w:r>
      <w:r>
        <w:rPr>
          <w:rFonts w:hint="eastAsia" w:ascii="宋体" w:hAnsi="宋体"/>
        </w:rPr>
        <w:t>%~</w:t>
      </w:r>
      <w:r>
        <w:rPr>
          <w:rFonts w:ascii="宋体" w:hAnsi="宋体"/>
        </w:rPr>
        <w:t>350% ，水分：≤12</w:t>
      </w:r>
      <w:r>
        <w:rPr>
          <w:rFonts w:hint="eastAsia" w:ascii="宋体" w:hAnsi="宋体"/>
        </w:rPr>
        <w:t>%</w:t>
      </w:r>
      <w:r>
        <w:rPr>
          <w:rFonts w:ascii="宋体" w:hAnsi="宋体"/>
        </w:rPr>
        <w:t>，湿压强度：≥0.23MP</w:t>
      </w:r>
      <w:r>
        <w:rPr>
          <w:rFonts w:hint="eastAsia" w:ascii="宋体" w:hAnsi="宋体"/>
        </w:rPr>
        <w:t>a</w:t>
      </w:r>
      <w:r>
        <w:rPr>
          <w:rFonts w:ascii="宋体" w:hAnsi="宋体"/>
        </w:rPr>
        <w:t>，吸蓝量≥80mmol/100g，Na</w:t>
      </w:r>
      <w:r>
        <w:rPr>
          <w:rFonts w:ascii="宋体" w:hAnsi="宋体"/>
          <w:vertAlign w:val="subscript"/>
        </w:rPr>
        <w:t>2</w:t>
      </w:r>
      <w:r>
        <w:rPr>
          <w:rFonts w:ascii="宋体" w:hAnsi="宋体"/>
        </w:rPr>
        <w:t>O≥1.28，PH值：8.9~10，钠基膨润土具有膨润性、黏结性、吸附性、催化性、触变性、悬浮性等性质。</w:t>
      </w:r>
    </w:p>
    <w:p w14:paraId="34DA2027">
      <w:pPr>
        <w:spacing w:line="240" w:lineRule="auto"/>
        <w:ind w:firstLine="420" w:firstLineChars="200"/>
        <w:rPr>
          <w:rFonts w:hint="eastAsia" w:ascii="宋体" w:hAnsi="宋体"/>
        </w:rPr>
      </w:pPr>
      <w:r>
        <w:rPr>
          <w:rFonts w:hint="eastAsia" w:ascii="宋体" w:hAnsi="宋体"/>
        </w:rPr>
        <w:t>2</w:t>
      </w:r>
      <w:r>
        <w:rPr>
          <w:rFonts w:ascii="宋体" w:hAnsi="宋体"/>
        </w:rPr>
        <w:t xml:space="preserve"> 每节管节设置独立的注浆管，</w:t>
      </w:r>
      <w:r>
        <w:rPr>
          <w:rFonts w:hint="eastAsia" w:ascii="宋体" w:hAnsi="宋体"/>
        </w:rPr>
        <w:t>宜</w:t>
      </w:r>
      <w:r>
        <w:rPr>
          <w:rFonts w:ascii="宋体" w:hAnsi="宋体"/>
        </w:rPr>
        <w:t>由两根总管连接，两根总管</w:t>
      </w:r>
      <w:r>
        <w:rPr>
          <w:rFonts w:hint="eastAsia" w:ascii="宋体" w:hAnsi="宋体"/>
        </w:rPr>
        <w:t>宜</w:t>
      </w:r>
      <w:r>
        <w:rPr>
          <w:rFonts w:ascii="宋体" w:hAnsi="宋体"/>
        </w:rPr>
        <w:t>配备两种不同浆液，分别满足同步注浆和沿线补浆的要求。</w:t>
      </w:r>
    </w:p>
    <w:p w14:paraId="309F91F7">
      <w:pPr>
        <w:spacing w:line="240" w:lineRule="auto"/>
        <w:outlineLvl w:val="2"/>
        <w:rPr>
          <w:rFonts w:hint="eastAsia" w:ascii="黑体" w:hAnsi="黑体" w:eastAsia="黑体"/>
        </w:rPr>
      </w:pPr>
      <w:r>
        <w:rPr>
          <w:rFonts w:ascii="黑体" w:hAnsi="黑体" w:eastAsia="黑体"/>
        </w:rPr>
        <w:t xml:space="preserve">9.1.3 </w:t>
      </w:r>
      <w:r>
        <w:rPr>
          <w:rFonts w:hint="eastAsia" w:ascii="黑体" w:hAnsi="黑体" w:eastAsia="黑体"/>
        </w:rPr>
        <w:t>注浆压力</w:t>
      </w:r>
    </w:p>
    <w:p w14:paraId="474E97E1">
      <w:pPr>
        <w:spacing w:line="240" w:lineRule="auto"/>
        <w:ind w:firstLine="420" w:firstLineChars="200"/>
        <w:rPr>
          <w:rFonts w:hint="eastAsia" w:ascii="宋体" w:hAnsi="宋体"/>
        </w:rPr>
      </w:pPr>
      <w:r>
        <w:rPr>
          <w:rFonts w:hint="eastAsia" w:ascii="宋体" w:hAnsi="宋体"/>
        </w:rPr>
        <w:t>3</w:t>
      </w:r>
      <w:r>
        <w:rPr>
          <w:rFonts w:ascii="宋体" w:hAnsi="宋体"/>
        </w:rPr>
        <w:t xml:space="preserve"> 保证每一处注浆管出浆端压力高</w:t>
      </w:r>
      <w:r>
        <w:rPr>
          <w:rFonts w:hint="eastAsia" w:ascii="宋体" w:hAnsi="宋体"/>
        </w:rPr>
        <w:t>出</w:t>
      </w:r>
      <w:r>
        <w:rPr>
          <w:rFonts w:ascii="宋体" w:hAnsi="宋体"/>
        </w:rPr>
        <w:t>地下水压力，使得浆液管外的土和地下水不能回灌而堵塞注浆孔，从而影响注浆效果（最好在每个注浆孔中设置一个单向阀）；通过现场试验测量地下水位，通过计算理论注浆压力。</w:t>
      </w:r>
    </w:p>
    <w:p w14:paraId="42769995">
      <w:pPr>
        <w:spacing w:line="240" w:lineRule="auto"/>
        <w:ind w:firstLine="420" w:firstLineChars="200"/>
        <w:rPr>
          <w:rFonts w:hint="eastAsia" w:ascii="宋体" w:hAnsi="宋体"/>
        </w:rPr>
      </w:pPr>
      <w:r>
        <w:rPr>
          <w:rFonts w:hint="eastAsia" w:ascii="宋体" w:hAnsi="宋体"/>
        </w:rPr>
        <w:t>4</w:t>
      </w:r>
      <w:r>
        <w:rPr>
          <w:rFonts w:ascii="宋体" w:hAnsi="宋体"/>
        </w:rPr>
        <w:t xml:space="preserve"> 中间接力泵</w:t>
      </w:r>
      <w:r>
        <w:rPr>
          <w:rFonts w:hint="eastAsia" w:ascii="宋体" w:hAnsi="宋体"/>
        </w:rPr>
        <w:t>宜</w:t>
      </w:r>
      <w:r>
        <w:rPr>
          <w:rFonts w:ascii="宋体" w:hAnsi="宋体"/>
        </w:rPr>
        <w:t>用于长距离顶管，路程过长导致远端注浆压力不足，影响注浆效果。中间接力泵站的作用主要有：一是运输作用，二是承担前面压浆接力站管道部分的补压浆。长距离顶管应根据注浆泵的扬程、流量、总管管径及泥浆黏度等计算出中间接力泵站的间距。</w:t>
      </w:r>
    </w:p>
    <w:p w14:paraId="3B7710B8">
      <w:pPr>
        <w:pStyle w:val="3"/>
        <w:spacing w:before="156" w:beforeLines="50" w:after="156" w:afterLines="50" w:line="240" w:lineRule="auto"/>
        <w:rPr>
          <w:rFonts w:hint="eastAsia" w:ascii="黑体" w:hAnsi="黑体"/>
          <w:b w:val="0"/>
          <w:sz w:val="21"/>
          <w:szCs w:val="21"/>
        </w:rPr>
      </w:pPr>
      <w:bookmarkStart w:id="269" w:name="_Toc56514533"/>
      <w:bookmarkStart w:id="270" w:name="_Toc81679084"/>
      <w:bookmarkStart w:id="271" w:name="_Toc97293178"/>
      <w:r>
        <w:rPr>
          <w:rFonts w:ascii="黑体" w:hAnsi="黑体"/>
          <w:b w:val="0"/>
          <w:sz w:val="21"/>
          <w:szCs w:val="21"/>
        </w:rPr>
        <w:t>9.2 注浆减阻</w:t>
      </w:r>
      <w:bookmarkEnd w:id="269"/>
      <w:bookmarkEnd w:id="270"/>
      <w:bookmarkEnd w:id="271"/>
    </w:p>
    <w:p w14:paraId="501C052A">
      <w:pPr>
        <w:widowControl/>
        <w:spacing w:line="240" w:lineRule="auto"/>
        <w:jc w:val="left"/>
        <w:outlineLvl w:val="2"/>
        <w:rPr>
          <w:rFonts w:hint="eastAsia" w:ascii="宋体" w:hAnsi="宋体"/>
        </w:rPr>
      </w:pPr>
      <w:r>
        <w:rPr>
          <w:rFonts w:ascii="宋体" w:hAnsi="宋体"/>
        </w:rPr>
        <w:t>9.2.1采用注浆工艺来减小管节与土壤的摩擦阻力</w:t>
      </w:r>
      <w:r>
        <w:rPr>
          <w:rFonts w:hint="eastAsia" w:ascii="宋体" w:hAnsi="宋体"/>
        </w:rPr>
        <w:t>，</w:t>
      </w:r>
      <w:r>
        <w:rPr>
          <w:rFonts w:ascii="宋体" w:hAnsi="宋体"/>
        </w:rPr>
        <w:t>使得顶管距离可提高40%~70%。</w:t>
      </w:r>
    </w:p>
    <w:p w14:paraId="756DA78F">
      <w:pPr>
        <w:pStyle w:val="3"/>
        <w:spacing w:before="156" w:beforeLines="50" w:after="156" w:afterLines="50" w:line="240" w:lineRule="auto"/>
        <w:rPr>
          <w:rFonts w:hint="eastAsia" w:ascii="黑体" w:hAnsi="黑体"/>
          <w:b w:val="0"/>
          <w:sz w:val="21"/>
          <w:szCs w:val="21"/>
        </w:rPr>
      </w:pPr>
      <w:bookmarkStart w:id="272" w:name="_Toc81679085"/>
      <w:bookmarkStart w:id="273" w:name="_Toc97293179"/>
      <w:r>
        <w:rPr>
          <w:rFonts w:hint="eastAsia" w:ascii="黑体" w:hAnsi="黑体"/>
          <w:b w:val="0"/>
          <w:sz w:val="21"/>
          <w:szCs w:val="21"/>
        </w:rPr>
        <w:t>9</w:t>
      </w:r>
      <w:r>
        <w:rPr>
          <w:rFonts w:ascii="黑体" w:hAnsi="黑体"/>
          <w:b w:val="0"/>
          <w:sz w:val="21"/>
          <w:szCs w:val="21"/>
        </w:rPr>
        <w:t xml:space="preserve">.3 </w:t>
      </w:r>
      <w:r>
        <w:rPr>
          <w:rFonts w:hint="eastAsia" w:ascii="黑体" w:hAnsi="黑体"/>
          <w:b w:val="0"/>
          <w:sz w:val="21"/>
          <w:szCs w:val="21"/>
        </w:rPr>
        <w:t>触变泥浆材料及配比</w:t>
      </w:r>
      <w:bookmarkEnd w:id="272"/>
      <w:bookmarkEnd w:id="273"/>
    </w:p>
    <w:p w14:paraId="36262A7E">
      <w:pPr>
        <w:widowControl/>
        <w:spacing w:line="240" w:lineRule="auto"/>
        <w:ind w:firstLine="10" w:firstLineChars="5"/>
        <w:jc w:val="left"/>
        <w:outlineLvl w:val="3"/>
        <w:rPr>
          <w:rFonts w:hint="eastAsia" w:ascii="宋体" w:hAnsi="宋体"/>
          <w:kern w:val="0"/>
        </w:rPr>
      </w:pPr>
      <w:r>
        <w:rPr>
          <w:rFonts w:hint="eastAsia" w:ascii="宋体" w:hAnsi="宋体"/>
        </w:rPr>
        <w:t>9</w:t>
      </w:r>
      <w:r>
        <w:rPr>
          <w:rFonts w:ascii="宋体" w:hAnsi="宋体"/>
        </w:rPr>
        <w:t>.3.2由于不同地质土质特性和成分差异较大，需要根据现场实际地质提前试验，确定合适配比，建议配比仅供试验参考，不可不通过现场试</w:t>
      </w:r>
      <w:r>
        <w:rPr>
          <w:rFonts w:ascii="宋体" w:hAnsi="宋体"/>
          <w:kern w:val="0"/>
          <w:szCs w:val="20"/>
        </w:rPr>
        <w:t>验配比直接用于施工。一般情况下，在现场按重量进行泥浆的配制，所用的主要材料包括：膨润土、水、Na</w:t>
      </w:r>
      <w:r>
        <w:rPr>
          <w:rFonts w:hint="eastAsia" w:ascii="宋体" w:hAnsi="宋体"/>
          <w:kern w:val="0"/>
          <w:szCs w:val="20"/>
          <w:vertAlign w:val="subscript"/>
        </w:rPr>
        <w:t>2</w:t>
      </w:r>
      <w:r>
        <w:rPr>
          <w:rFonts w:ascii="宋体" w:hAnsi="宋体"/>
          <w:kern w:val="0"/>
          <w:szCs w:val="20"/>
        </w:rPr>
        <w:t>CO</w:t>
      </w:r>
      <w:r>
        <w:rPr>
          <w:rFonts w:hint="eastAsia" w:ascii="宋体" w:hAnsi="宋体"/>
          <w:kern w:val="0"/>
          <w:szCs w:val="20"/>
          <w:vertAlign w:val="subscript"/>
        </w:rPr>
        <w:t>3</w:t>
      </w:r>
      <w:r>
        <w:rPr>
          <w:rFonts w:ascii="宋体" w:hAnsi="宋体"/>
          <w:kern w:val="0"/>
          <w:szCs w:val="20"/>
        </w:rPr>
        <w:t>和CMC，</w:t>
      </w:r>
      <w:r>
        <w:rPr>
          <w:rFonts w:ascii="宋体" w:hAnsi="宋体"/>
        </w:rPr>
        <w:t>有时也可以</w:t>
      </w:r>
      <w:r>
        <w:rPr>
          <w:rFonts w:hint="eastAsia" w:ascii="宋体" w:hAnsi="宋体"/>
        </w:rPr>
        <w:t>掺入</w:t>
      </w:r>
      <w:r>
        <w:rPr>
          <w:rFonts w:ascii="宋体" w:hAnsi="宋体"/>
        </w:rPr>
        <w:t>其他</w:t>
      </w:r>
      <w:r>
        <w:rPr>
          <w:rFonts w:hint="eastAsia" w:ascii="宋体" w:hAnsi="宋体"/>
        </w:rPr>
        <w:t>掺合剂</w:t>
      </w:r>
      <w:r>
        <w:rPr>
          <w:rFonts w:ascii="宋体" w:hAnsi="宋体"/>
        </w:rPr>
        <w:t>，如废机油、粉煤灰和其它高分子化合物。</w:t>
      </w:r>
      <w:r>
        <w:rPr>
          <w:rFonts w:hint="eastAsia" w:ascii="宋体" w:hAnsi="宋体"/>
          <w:kern w:val="0"/>
        </w:rPr>
        <w:t>如无相关试验结果，可参考表</w:t>
      </w:r>
      <w:r>
        <w:rPr>
          <w:rFonts w:ascii="宋体" w:hAnsi="宋体"/>
          <w:kern w:val="0"/>
        </w:rPr>
        <w:t>9.3.2</w:t>
      </w:r>
      <w:r>
        <w:rPr>
          <w:rFonts w:hint="eastAsia" w:ascii="宋体" w:hAnsi="宋体"/>
          <w:kern w:val="0"/>
        </w:rPr>
        <w:t>进行配置。</w:t>
      </w:r>
    </w:p>
    <w:p w14:paraId="38308EEE">
      <w:pPr>
        <w:autoSpaceDE w:val="0"/>
        <w:autoSpaceDN w:val="0"/>
        <w:snapToGrid w:val="0"/>
        <w:spacing w:line="360" w:lineRule="auto"/>
        <w:ind w:firstLine="420" w:firstLineChars="200"/>
        <w:jc w:val="center"/>
        <w:rPr>
          <w:rFonts w:cs="宋体"/>
          <w:b/>
          <w:kern w:val="0"/>
          <w:sz w:val="24"/>
        </w:rPr>
      </w:pPr>
      <w:r>
        <w:rPr>
          <w:rFonts w:hint="eastAsia" w:eastAsia="黑体"/>
          <w:kern w:val="0"/>
          <w:szCs w:val="20"/>
        </w:rPr>
        <w:t>表</w:t>
      </w:r>
      <w:r>
        <w:rPr>
          <w:rFonts w:eastAsia="黑体"/>
          <w:kern w:val="0"/>
          <w:szCs w:val="20"/>
        </w:rPr>
        <w:t>9.3.2</w:t>
      </w:r>
      <w:r>
        <w:rPr>
          <w:rFonts w:hint="eastAsia" w:eastAsia="黑体"/>
          <w:kern w:val="0"/>
          <w:szCs w:val="20"/>
        </w:rPr>
        <w:t>触变泥浆建议配比表</w:t>
      </w:r>
    </w:p>
    <w:tbl>
      <w:tblPr>
        <w:tblStyle w:val="28"/>
        <w:tblW w:w="49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3"/>
        <w:gridCol w:w="1655"/>
        <w:gridCol w:w="961"/>
        <w:gridCol w:w="1123"/>
        <w:gridCol w:w="2101"/>
        <w:gridCol w:w="1576"/>
      </w:tblGrid>
      <w:tr w14:paraId="2BDAC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 w:hRule="atLeast"/>
          <w:jc w:val="center"/>
        </w:trPr>
        <w:tc>
          <w:tcPr>
            <w:tcW w:w="1004" w:type="pct"/>
            <w:tcBorders>
              <w:top w:val="single" w:color="auto" w:sz="8" w:space="0"/>
              <w:bottom w:val="single" w:color="auto" w:sz="8" w:space="0"/>
            </w:tcBorders>
            <w:vAlign w:val="center"/>
          </w:tcPr>
          <w:p w14:paraId="7FB1D872">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土质条件</w:t>
            </w:r>
          </w:p>
        </w:tc>
        <w:tc>
          <w:tcPr>
            <w:tcW w:w="892" w:type="pct"/>
            <w:tcBorders>
              <w:top w:val="single" w:color="auto" w:sz="8" w:space="0"/>
              <w:bottom w:val="single" w:color="auto" w:sz="8" w:space="0"/>
            </w:tcBorders>
            <w:vAlign w:val="center"/>
          </w:tcPr>
          <w:p w14:paraId="006AFCA2">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钠基膨润土</w:t>
            </w:r>
            <w:r>
              <w:rPr>
                <w:rFonts w:ascii="宋体" w:hAnsi="宋体" w:cs="宋体"/>
                <w:kern w:val="0"/>
                <w:sz w:val="18"/>
              </w:rPr>
              <w:t>(g)</w:t>
            </w:r>
          </w:p>
        </w:tc>
        <w:tc>
          <w:tcPr>
            <w:tcW w:w="518" w:type="pct"/>
            <w:tcBorders>
              <w:top w:val="single" w:color="auto" w:sz="8" w:space="0"/>
              <w:bottom w:val="single" w:color="auto" w:sz="8" w:space="0"/>
            </w:tcBorders>
            <w:vAlign w:val="center"/>
          </w:tcPr>
          <w:p w14:paraId="3072148E">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水</w:t>
            </w:r>
            <w:r>
              <w:rPr>
                <w:rFonts w:ascii="宋体" w:hAnsi="宋体" w:cs="宋体"/>
                <w:kern w:val="0"/>
                <w:sz w:val="18"/>
              </w:rPr>
              <w:t>(g)</w:t>
            </w:r>
          </w:p>
        </w:tc>
        <w:tc>
          <w:tcPr>
            <w:tcW w:w="605" w:type="pct"/>
            <w:tcBorders>
              <w:top w:val="single" w:color="auto" w:sz="8" w:space="0"/>
              <w:bottom w:val="single" w:color="auto" w:sz="8" w:space="0"/>
            </w:tcBorders>
            <w:vAlign w:val="center"/>
          </w:tcPr>
          <w:p w14:paraId="27C67270">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碱</w:t>
            </w:r>
            <w:r>
              <w:rPr>
                <w:rFonts w:ascii="宋体" w:hAnsi="宋体" w:cs="宋体"/>
                <w:kern w:val="0"/>
                <w:sz w:val="18"/>
              </w:rPr>
              <w:t>(g)</w:t>
            </w:r>
          </w:p>
        </w:tc>
        <w:tc>
          <w:tcPr>
            <w:tcW w:w="1132" w:type="pct"/>
            <w:tcBorders>
              <w:top w:val="single" w:color="auto" w:sz="8" w:space="0"/>
              <w:bottom w:val="single" w:color="auto" w:sz="8" w:space="0"/>
            </w:tcBorders>
            <w:vAlign w:val="center"/>
          </w:tcPr>
          <w:p w14:paraId="4A8B7BF8">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外加剂</w:t>
            </w:r>
            <w:r>
              <w:rPr>
                <w:rFonts w:ascii="宋体" w:hAnsi="宋体" w:cs="宋体"/>
                <w:kern w:val="0"/>
                <w:sz w:val="18"/>
              </w:rPr>
              <w:t>(g)</w:t>
            </w:r>
          </w:p>
        </w:tc>
        <w:tc>
          <w:tcPr>
            <w:tcW w:w="849" w:type="pct"/>
            <w:tcBorders>
              <w:top w:val="single" w:color="auto" w:sz="8" w:space="0"/>
              <w:bottom w:val="single" w:color="auto" w:sz="8" w:space="0"/>
            </w:tcBorders>
            <w:vAlign w:val="center"/>
          </w:tcPr>
          <w:p w14:paraId="3A67DA73">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黏度</w:t>
            </w:r>
            <w:r>
              <w:rPr>
                <w:rFonts w:ascii="宋体" w:hAnsi="宋体" w:cs="宋体"/>
                <w:kern w:val="0"/>
                <w:sz w:val="18"/>
              </w:rPr>
              <w:t>(s)</w:t>
            </w:r>
          </w:p>
        </w:tc>
      </w:tr>
      <w:tr w14:paraId="0705B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1004" w:type="pct"/>
            <w:tcBorders>
              <w:top w:val="single" w:color="auto" w:sz="8" w:space="0"/>
            </w:tcBorders>
            <w:vAlign w:val="center"/>
          </w:tcPr>
          <w:p w14:paraId="60761BA3">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砂性土、粉土流沙</w:t>
            </w:r>
          </w:p>
        </w:tc>
        <w:tc>
          <w:tcPr>
            <w:tcW w:w="892" w:type="pct"/>
            <w:tcBorders>
              <w:top w:val="single" w:color="auto" w:sz="8" w:space="0"/>
            </w:tcBorders>
            <w:vAlign w:val="center"/>
          </w:tcPr>
          <w:p w14:paraId="3A3D8C7C">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2</w:t>
            </w:r>
            <w:r>
              <w:rPr>
                <w:rFonts w:ascii="宋体" w:hAnsi="宋体" w:cs="宋体"/>
                <w:kern w:val="0"/>
                <w:sz w:val="18"/>
              </w:rPr>
              <w:t>0</w:t>
            </w:r>
            <w:r>
              <w:rPr>
                <w:rFonts w:hint="eastAsia" w:ascii="宋体" w:hAnsi="宋体" w:cs="宋体"/>
                <w:kern w:val="0"/>
                <w:sz w:val="18"/>
              </w:rPr>
              <w:t>～</w:t>
            </w:r>
            <w:r>
              <w:rPr>
                <w:rFonts w:ascii="宋体" w:hAnsi="宋体" w:cs="宋体"/>
                <w:kern w:val="0"/>
                <w:sz w:val="18"/>
              </w:rPr>
              <w:t>25</w:t>
            </w:r>
          </w:p>
        </w:tc>
        <w:tc>
          <w:tcPr>
            <w:tcW w:w="518" w:type="pct"/>
            <w:tcBorders>
              <w:top w:val="single" w:color="auto" w:sz="8" w:space="0"/>
            </w:tcBorders>
            <w:vAlign w:val="center"/>
          </w:tcPr>
          <w:p w14:paraId="4304373B">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1000</w:t>
            </w:r>
          </w:p>
        </w:tc>
        <w:tc>
          <w:tcPr>
            <w:tcW w:w="605" w:type="pct"/>
            <w:tcBorders>
              <w:top w:val="single" w:color="auto" w:sz="8" w:space="0"/>
            </w:tcBorders>
            <w:vAlign w:val="center"/>
          </w:tcPr>
          <w:p w14:paraId="45FCDCB0">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0</w:t>
            </w:r>
            <w:r>
              <w:rPr>
                <w:rFonts w:hint="eastAsia" w:ascii="宋体" w:hAnsi="宋体" w:cs="宋体"/>
                <w:kern w:val="0"/>
                <w:sz w:val="18"/>
              </w:rPr>
              <w:t>～</w:t>
            </w:r>
            <w:r>
              <w:rPr>
                <w:rFonts w:ascii="宋体" w:hAnsi="宋体" w:cs="宋体"/>
                <w:kern w:val="0"/>
                <w:sz w:val="18"/>
              </w:rPr>
              <w:t>5</w:t>
            </w:r>
          </w:p>
        </w:tc>
        <w:tc>
          <w:tcPr>
            <w:tcW w:w="1132" w:type="pct"/>
            <w:tcBorders>
              <w:top w:val="single" w:color="auto" w:sz="8" w:space="0"/>
            </w:tcBorders>
            <w:vAlign w:val="center"/>
          </w:tcPr>
          <w:p w14:paraId="29E5A0BC">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C</w:t>
            </w:r>
            <w:r>
              <w:rPr>
                <w:rFonts w:ascii="宋体" w:hAnsi="宋体" w:cs="宋体"/>
                <w:kern w:val="0"/>
                <w:sz w:val="18"/>
              </w:rPr>
              <w:t>MC</w:t>
            </w:r>
            <w:r>
              <w:rPr>
                <w:rFonts w:hint="eastAsia" w:ascii="宋体" w:hAnsi="宋体" w:cs="宋体"/>
                <w:kern w:val="0"/>
                <w:sz w:val="18"/>
              </w:rPr>
              <w:t>（适量）</w:t>
            </w:r>
          </w:p>
        </w:tc>
        <w:tc>
          <w:tcPr>
            <w:tcW w:w="849" w:type="pct"/>
            <w:tcBorders>
              <w:top w:val="single" w:color="auto" w:sz="8" w:space="0"/>
            </w:tcBorders>
            <w:vAlign w:val="center"/>
          </w:tcPr>
          <w:p w14:paraId="699C5FBF">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80</w:t>
            </w:r>
          </w:p>
        </w:tc>
      </w:tr>
      <w:tr w14:paraId="45AE9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04" w:type="pct"/>
            <w:vAlign w:val="center"/>
          </w:tcPr>
          <w:p w14:paraId="5D0114CC">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富水砂砾层</w:t>
            </w:r>
          </w:p>
        </w:tc>
        <w:tc>
          <w:tcPr>
            <w:tcW w:w="892" w:type="pct"/>
            <w:vAlign w:val="center"/>
          </w:tcPr>
          <w:p w14:paraId="1076B98C">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w:t>
            </w:r>
            <w:r>
              <w:rPr>
                <w:rFonts w:hint="eastAsia" w:ascii="宋体" w:hAnsi="宋体" w:cs="宋体"/>
                <w:kern w:val="0"/>
                <w:sz w:val="18"/>
              </w:rPr>
              <w:t>～</w:t>
            </w:r>
            <w:r>
              <w:rPr>
                <w:rFonts w:ascii="宋体" w:hAnsi="宋体" w:cs="宋体"/>
                <w:kern w:val="0"/>
                <w:sz w:val="18"/>
              </w:rPr>
              <w:t>130</w:t>
            </w:r>
          </w:p>
        </w:tc>
        <w:tc>
          <w:tcPr>
            <w:tcW w:w="518" w:type="pct"/>
            <w:vAlign w:val="center"/>
          </w:tcPr>
          <w:p w14:paraId="196C3FF0">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1000</w:t>
            </w:r>
          </w:p>
        </w:tc>
        <w:tc>
          <w:tcPr>
            <w:tcW w:w="605" w:type="pct"/>
            <w:vAlign w:val="center"/>
          </w:tcPr>
          <w:p w14:paraId="3E1B7912">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0</w:t>
            </w:r>
            <w:r>
              <w:rPr>
                <w:rFonts w:hint="eastAsia" w:ascii="宋体" w:hAnsi="宋体" w:cs="宋体"/>
                <w:kern w:val="0"/>
                <w:sz w:val="18"/>
              </w:rPr>
              <w:t>～</w:t>
            </w:r>
            <w:r>
              <w:rPr>
                <w:rFonts w:ascii="宋体" w:hAnsi="宋体" w:cs="宋体"/>
                <w:kern w:val="0"/>
                <w:sz w:val="18"/>
              </w:rPr>
              <w:t>2.5</w:t>
            </w:r>
          </w:p>
        </w:tc>
        <w:tc>
          <w:tcPr>
            <w:tcW w:w="1132" w:type="pct"/>
            <w:vAlign w:val="center"/>
          </w:tcPr>
          <w:p w14:paraId="42CA8E32">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聚丙烯酰胺溶液（1%</w:t>
            </w:r>
            <w:r>
              <w:rPr>
                <w:rFonts w:ascii="宋体" w:hAnsi="宋体" w:cs="宋体"/>
                <w:kern w:val="0"/>
                <w:sz w:val="18"/>
              </w:rPr>
              <w:t>～3</w:t>
            </w:r>
            <w:r>
              <w:rPr>
                <w:rFonts w:hint="eastAsia" w:ascii="宋体" w:hAnsi="宋体" w:cs="宋体"/>
                <w:kern w:val="0"/>
                <w:sz w:val="18"/>
              </w:rPr>
              <w:t>%）或C</w:t>
            </w:r>
            <w:r>
              <w:rPr>
                <w:rFonts w:ascii="宋体" w:hAnsi="宋体" w:cs="宋体"/>
                <w:kern w:val="0"/>
                <w:sz w:val="18"/>
              </w:rPr>
              <w:t>MC</w:t>
            </w:r>
            <w:r>
              <w:rPr>
                <w:rFonts w:hint="eastAsia" w:ascii="宋体" w:hAnsi="宋体" w:cs="宋体"/>
                <w:kern w:val="0"/>
                <w:sz w:val="18"/>
              </w:rPr>
              <w:t>适量</w:t>
            </w:r>
          </w:p>
        </w:tc>
        <w:tc>
          <w:tcPr>
            <w:tcW w:w="849" w:type="pct"/>
            <w:vAlign w:val="center"/>
          </w:tcPr>
          <w:p w14:paraId="19F7FC95">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60</w:t>
            </w:r>
            <w:r>
              <w:rPr>
                <w:rFonts w:hint="eastAsia" w:ascii="宋体" w:hAnsi="宋体" w:cs="宋体"/>
                <w:kern w:val="0"/>
                <w:sz w:val="18"/>
              </w:rPr>
              <w:t>～</w:t>
            </w:r>
            <w:r>
              <w:rPr>
                <w:rFonts w:ascii="宋体" w:hAnsi="宋体" w:cs="宋体"/>
                <w:kern w:val="0"/>
                <w:sz w:val="18"/>
              </w:rPr>
              <w:t>70</w:t>
            </w:r>
          </w:p>
        </w:tc>
      </w:tr>
      <w:tr w14:paraId="5A898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vAlign w:val="center"/>
          </w:tcPr>
          <w:p w14:paraId="30CC2EC3">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砂土</w:t>
            </w:r>
          </w:p>
        </w:tc>
        <w:tc>
          <w:tcPr>
            <w:tcW w:w="892" w:type="pct"/>
            <w:vAlign w:val="center"/>
          </w:tcPr>
          <w:p w14:paraId="36D4BA6A">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120</w:t>
            </w:r>
            <w:r>
              <w:rPr>
                <w:rFonts w:hint="eastAsia" w:ascii="宋体" w:hAnsi="宋体" w:cs="宋体"/>
                <w:kern w:val="0"/>
                <w:sz w:val="18"/>
              </w:rPr>
              <w:t>～</w:t>
            </w:r>
            <w:r>
              <w:rPr>
                <w:rFonts w:ascii="宋体" w:hAnsi="宋体" w:cs="宋体"/>
                <w:kern w:val="0"/>
                <w:sz w:val="18"/>
              </w:rPr>
              <w:t>125</w:t>
            </w:r>
          </w:p>
        </w:tc>
        <w:tc>
          <w:tcPr>
            <w:tcW w:w="518" w:type="pct"/>
            <w:vAlign w:val="center"/>
          </w:tcPr>
          <w:p w14:paraId="44797DA1">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1000</w:t>
            </w:r>
          </w:p>
        </w:tc>
        <w:tc>
          <w:tcPr>
            <w:tcW w:w="605" w:type="pct"/>
            <w:vAlign w:val="center"/>
          </w:tcPr>
          <w:p w14:paraId="64D2D7B6">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w:t>
            </w:r>
            <w:r>
              <w:rPr>
                <w:rFonts w:hint="eastAsia" w:ascii="宋体" w:hAnsi="宋体" w:cs="宋体"/>
                <w:kern w:val="0"/>
                <w:sz w:val="18"/>
              </w:rPr>
              <w:t>～</w:t>
            </w:r>
            <w:r>
              <w:rPr>
                <w:rFonts w:ascii="宋体" w:hAnsi="宋体" w:cs="宋体"/>
                <w:kern w:val="0"/>
                <w:sz w:val="18"/>
              </w:rPr>
              <w:t>4</w:t>
            </w:r>
          </w:p>
        </w:tc>
        <w:tc>
          <w:tcPr>
            <w:tcW w:w="1132" w:type="pct"/>
            <w:vAlign w:val="center"/>
          </w:tcPr>
          <w:p w14:paraId="13B1EE5C">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CMC(5</w:t>
            </w:r>
            <w:r>
              <w:rPr>
                <w:rFonts w:hint="eastAsia" w:ascii="宋体" w:hAnsi="宋体" w:cs="宋体"/>
                <w:kern w:val="0"/>
                <w:sz w:val="18"/>
              </w:rPr>
              <w:t>～</w:t>
            </w:r>
            <w:r>
              <w:rPr>
                <w:rFonts w:ascii="宋体" w:hAnsi="宋体" w:cs="宋体"/>
                <w:kern w:val="0"/>
                <w:sz w:val="18"/>
              </w:rPr>
              <w:t>10)</w:t>
            </w:r>
          </w:p>
        </w:tc>
        <w:tc>
          <w:tcPr>
            <w:tcW w:w="849" w:type="pct"/>
            <w:vAlign w:val="center"/>
          </w:tcPr>
          <w:p w14:paraId="7735A4FD">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55</w:t>
            </w:r>
            <w:r>
              <w:rPr>
                <w:rFonts w:hint="eastAsia" w:ascii="宋体" w:hAnsi="宋体" w:cs="宋体"/>
                <w:kern w:val="0"/>
                <w:sz w:val="18"/>
              </w:rPr>
              <w:t>～</w:t>
            </w:r>
            <w:r>
              <w:rPr>
                <w:rFonts w:ascii="宋体" w:hAnsi="宋体" w:cs="宋体"/>
                <w:kern w:val="0"/>
                <w:sz w:val="18"/>
              </w:rPr>
              <w:t>65</w:t>
            </w:r>
          </w:p>
        </w:tc>
      </w:tr>
      <w:tr w14:paraId="4E10C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vAlign w:val="center"/>
          </w:tcPr>
          <w:p w14:paraId="57DDE7F8">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黏性土</w:t>
            </w:r>
          </w:p>
        </w:tc>
        <w:tc>
          <w:tcPr>
            <w:tcW w:w="892" w:type="pct"/>
            <w:vAlign w:val="center"/>
          </w:tcPr>
          <w:p w14:paraId="6F95F075">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15</w:t>
            </w:r>
            <w:r>
              <w:rPr>
                <w:rFonts w:hint="eastAsia" w:ascii="宋体" w:hAnsi="宋体" w:cs="宋体"/>
                <w:kern w:val="0"/>
                <w:sz w:val="18"/>
              </w:rPr>
              <w:t>～</w:t>
            </w:r>
            <w:r>
              <w:rPr>
                <w:rFonts w:ascii="宋体" w:hAnsi="宋体" w:cs="宋体"/>
                <w:kern w:val="0"/>
                <w:sz w:val="18"/>
              </w:rPr>
              <w:t>25</w:t>
            </w:r>
          </w:p>
        </w:tc>
        <w:tc>
          <w:tcPr>
            <w:tcW w:w="518" w:type="pct"/>
            <w:vAlign w:val="center"/>
          </w:tcPr>
          <w:p w14:paraId="0EEB5111">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1000</w:t>
            </w:r>
          </w:p>
        </w:tc>
        <w:tc>
          <w:tcPr>
            <w:tcW w:w="605" w:type="pct"/>
            <w:vAlign w:val="center"/>
          </w:tcPr>
          <w:p w14:paraId="645D246C">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4</w:t>
            </w:r>
            <w:r>
              <w:rPr>
                <w:rFonts w:hint="eastAsia" w:ascii="宋体" w:hAnsi="宋体" w:cs="宋体"/>
                <w:kern w:val="0"/>
                <w:sz w:val="18"/>
              </w:rPr>
              <w:t>～</w:t>
            </w:r>
            <w:r>
              <w:rPr>
                <w:rFonts w:ascii="宋体" w:hAnsi="宋体" w:cs="宋体"/>
                <w:kern w:val="0"/>
                <w:sz w:val="18"/>
              </w:rPr>
              <w:t>8</w:t>
            </w:r>
          </w:p>
        </w:tc>
        <w:tc>
          <w:tcPr>
            <w:tcW w:w="1132" w:type="pct"/>
            <w:vAlign w:val="center"/>
          </w:tcPr>
          <w:p w14:paraId="6F8C0C94">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w:t>
            </w:r>
          </w:p>
        </w:tc>
        <w:tc>
          <w:tcPr>
            <w:tcW w:w="849" w:type="pct"/>
            <w:vAlign w:val="center"/>
          </w:tcPr>
          <w:p w14:paraId="3052AFDB">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30</w:t>
            </w:r>
            <w:r>
              <w:rPr>
                <w:rFonts w:hint="eastAsia" w:ascii="宋体" w:hAnsi="宋体" w:cs="宋体"/>
                <w:kern w:val="0"/>
                <w:sz w:val="18"/>
              </w:rPr>
              <w:t>～</w:t>
            </w:r>
            <w:r>
              <w:rPr>
                <w:rFonts w:ascii="宋体" w:hAnsi="宋体" w:cs="宋体"/>
                <w:kern w:val="0"/>
                <w:sz w:val="18"/>
              </w:rPr>
              <w:t>40</w:t>
            </w:r>
          </w:p>
        </w:tc>
      </w:tr>
      <w:tr w14:paraId="1A975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vAlign w:val="center"/>
          </w:tcPr>
          <w:p w14:paraId="6A7CD2B9">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粉土、粉质黏土、粉砂</w:t>
            </w:r>
          </w:p>
        </w:tc>
        <w:tc>
          <w:tcPr>
            <w:tcW w:w="892" w:type="pct"/>
            <w:vAlign w:val="center"/>
          </w:tcPr>
          <w:p w14:paraId="3B4C8127">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60</w:t>
            </w:r>
            <w:r>
              <w:rPr>
                <w:rFonts w:hint="eastAsia" w:ascii="宋体" w:hAnsi="宋体" w:cs="宋体"/>
                <w:kern w:val="0"/>
                <w:sz w:val="18"/>
              </w:rPr>
              <w:t>～</w:t>
            </w:r>
            <w:r>
              <w:rPr>
                <w:rFonts w:ascii="宋体" w:hAnsi="宋体" w:cs="宋体"/>
                <w:kern w:val="0"/>
                <w:sz w:val="18"/>
              </w:rPr>
              <w:t>70</w:t>
            </w:r>
          </w:p>
        </w:tc>
        <w:tc>
          <w:tcPr>
            <w:tcW w:w="518" w:type="pct"/>
            <w:vAlign w:val="center"/>
          </w:tcPr>
          <w:p w14:paraId="748BDC4B">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1000</w:t>
            </w:r>
          </w:p>
        </w:tc>
        <w:tc>
          <w:tcPr>
            <w:tcW w:w="605" w:type="pct"/>
            <w:vAlign w:val="center"/>
          </w:tcPr>
          <w:p w14:paraId="32B0964A">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2</w:t>
            </w:r>
            <w:r>
              <w:rPr>
                <w:rFonts w:hint="eastAsia" w:ascii="宋体" w:hAnsi="宋体" w:cs="宋体"/>
                <w:kern w:val="0"/>
                <w:sz w:val="18"/>
              </w:rPr>
              <w:t>～</w:t>
            </w:r>
            <w:r>
              <w:rPr>
                <w:rFonts w:ascii="宋体" w:hAnsi="宋体" w:cs="宋体"/>
                <w:kern w:val="0"/>
                <w:sz w:val="18"/>
              </w:rPr>
              <w:t>4</w:t>
            </w:r>
          </w:p>
        </w:tc>
        <w:tc>
          <w:tcPr>
            <w:tcW w:w="1132" w:type="pct"/>
            <w:vAlign w:val="center"/>
          </w:tcPr>
          <w:p w14:paraId="4E5E418B">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絮凝剂</w:t>
            </w:r>
            <w:r>
              <w:rPr>
                <w:rFonts w:ascii="宋体" w:hAnsi="宋体" w:cs="宋体"/>
                <w:kern w:val="0"/>
                <w:sz w:val="18"/>
              </w:rPr>
              <w:t>(2～5)</w:t>
            </w:r>
          </w:p>
        </w:tc>
        <w:tc>
          <w:tcPr>
            <w:tcW w:w="849" w:type="pct"/>
            <w:vAlign w:val="center"/>
          </w:tcPr>
          <w:p w14:paraId="264BBA1F">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40</w:t>
            </w:r>
            <w:r>
              <w:rPr>
                <w:rFonts w:hint="eastAsia" w:ascii="宋体" w:hAnsi="宋体" w:cs="宋体"/>
                <w:kern w:val="0"/>
                <w:sz w:val="18"/>
              </w:rPr>
              <w:t>～</w:t>
            </w:r>
            <w:r>
              <w:rPr>
                <w:rFonts w:ascii="宋体" w:hAnsi="宋体" w:cs="宋体"/>
                <w:kern w:val="0"/>
                <w:sz w:val="18"/>
              </w:rPr>
              <w:t>50</w:t>
            </w:r>
          </w:p>
        </w:tc>
      </w:tr>
      <w:tr w14:paraId="2BF84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vAlign w:val="center"/>
          </w:tcPr>
          <w:p w14:paraId="7E3D4259">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淤泥质粉质黏土</w:t>
            </w:r>
          </w:p>
        </w:tc>
        <w:tc>
          <w:tcPr>
            <w:tcW w:w="892" w:type="pct"/>
            <w:vAlign w:val="center"/>
          </w:tcPr>
          <w:p w14:paraId="181657C2">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120</w:t>
            </w:r>
            <w:r>
              <w:rPr>
                <w:rFonts w:hint="eastAsia" w:ascii="宋体" w:hAnsi="宋体" w:cs="宋体"/>
                <w:kern w:val="0"/>
                <w:sz w:val="18"/>
              </w:rPr>
              <w:t>～</w:t>
            </w:r>
            <w:r>
              <w:rPr>
                <w:rFonts w:ascii="宋体" w:hAnsi="宋体" w:cs="宋体"/>
                <w:kern w:val="0"/>
                <w:sz w:val="18"/>
              </w:rPr>
              <w:t>125</w:t>
            </w:r>
          </w:p>
        </w:tc>
        <w:tc>
          <w:tcPr>
            <w:tcW w:w="518" w:type="pct"/>
            <w:vAlign w:val="center"/>
          </w:tcPr>
          <w:p w14:paraId="00EA9DEC">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1000</w:t>
            </w:r>
          </w:p>
        </w:tc>
        <w:tc>
          <w:tcPr>
            <w:tcW w:w="605" w:type="pct"/>
            <w:vAlign w:val="center"/>
          </w:tcPr>
          <w:p w14:paraId="49278833">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4</w:t>
            </w:r>
            <w:r>
              <w:rPr>
                <w:rFonts w:hint="eastAsia" w:ascii="宋体" w:hAnsi="宋体" w:cs="宋体"/>
                <w:kern w:val="0"/>
                <w:sz w:val="18"/>
              </w:rPr>
              <w:t>～</w:t>
            </w:r>
            <w:r>
              <w:rPr>
                <w:rFonts w:ascii="宋体" w:hAnsi="宋体" w:cs="宋体"/>
                <w:kern w:val="0"/>
                <w:sz w:val="18"/>
              </w:rPr>
              <w:t>8</w:t>
            </w:r>
          </w:p>
        </w:tc>
        <w:tc>
          <w:tcPr>
            <w:tcW w:w="1132" w:type="pct"/>
            <w:vAlign w:val="center"/>
          </w:tcPr>
          <w:p w14:paraId="05AFDC1D">
            <w:pPr>
              <w:widowControl/>
              <w:shd w:val="clear" w:color="auto" w:fill="FFFFFF"/>
              <w:spacing w:line="240" w:lineRule="auto"/>
              <w:jc w:val="center"/>
              <w:rPr>
                <w:rFonts w:hint="eastAsia" w:ascii="宋体" w:hAnsi="宋体" w:cs="宋体"/>
                <w:kern w:val="0"/>
                <w:sz w:val="18"/>
              </w:rPr>
            </w:pPr>
            <w:r>
              <w:rPr>
                <w:rFonts w:hint="eastAsia" w:ascii="宋体" w:hAnsi="宋体" w:cs="宋体"/>
                <w:kern w:val="0"/>
                <w:sz w:val="18"/>
              </w:rPr>
              <w:t>C</w:t>
            </w:r>
            <w:r>
              <w:rPr>
                <w:rFonts w:ascii="宋体" w:hAnsi="宋体" w:cs="宋体"/>
                <w:kern w:val="0"/>
                <w:sz w:val="18"/>
              </w:rPr>
              <w:t>MC</w:t>
            </w:r>
            <w:r>
              <w:rPr>
                <w:rFonts w:hint="eastAsia" w:ascii="宋体" w:hAnsi="宋体" w:cs="宋体"/>
                <w:kern w:val="0"/>
                <w:sz w:val="18"/>
              </w:rPr>
              <w:t>（适量）</w:t>
            </w:r>
          </w:p>
        </w:tc>
        <w:tc>
          <w:tcPr>
            <w:tcW w:w="849" w:type="pct"/>
            <w:vAlign w:val="center"/>
          </w:tcPr>
          <w:p w14:paraId="611C1E5E">
            <w:pPr>
              <w:widowControl/>
              <w:shd w:val="clear" w:color="auto" w:fill="FFFFFF"/>
              <w:spacing w:line="240" w:lineRule="auto"/>
              <w:jc w:val="center"/>
              <w:rPr>
                <w:rFonts w:hint="eastAsia" w:ascii="宋体" w:hAnsi="宋体" w:cs="宋体"/>
                <w:kern w:val="0"/>
                <w:sz w:val="18"/>
              </w:rPr>
            </w:pPr>
            <w:r>
              <w:rPr>
                <w:rFonts w:ascii="宋体" w:hAnsi="宋体" w:cs="宋体"/>
                <w:kern w:val="0"/>
                <w:sz w:val="18"/>
              </w:rPr>
              <w:t>50</w:t>
            </w:r>
            <w:r>
              <w:rPr>
                <w:rFonts w:hint="eastAsia" w:ascii="宋体" w:hAnsi="宋体" w:cs="宋体"/>
                <w:kern w:val="0"/>
                <w:sz w:val="18"/>
              </w:rPr>
              <w:t>～</w:t>
            </w:r>
            <w:r>
              <w:rPr>
                <w:rFonts w:ascii="宋体" w:hAnsi="宋体" w:cs="宋体"/>
                <w:kern w:val="0"/>
                <w:sz w:val="18"/>
              </w:rPr>
              <w:t>70</w:t>
            </w:r>
          </w:p>
        </w:tc>
      </w:tr>
      <w:tr w14:paraId="2EF1B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5000" w:type="pct"/>
            <w:gridSpan w:val="6"/>
            <w:vAlign w:val="center"/>
          </w:tcPr>
          <w:p w14:paraId="099ACD2E">
            <w:pPr>
              <w:pStyle w:val="181"/>
              <w:rPr>
                <w:rFonts w:ascii="Calibri" w:hAnsi="Calibri"/>
                <w:sz w:val="21"/>
              </w:rPr>
            </w:pPr>
            <w:r>
              <w:rPr>
                <w:rFonts w:hint="eastAsia"/>
              </w:rPr>
              <w:t>由于不同地质土质特性和成分差异较大，需要根据现场实际地质试验，确定合适配比，建议配比仅供试验参考，不得未经现场试验直接用于施工。</w:t>
            </w:r>
          </w:p>
        </w:tc>
      </w:tr>
    </w:tbl>
    <w:p w14:paraId="08A9A40F">
      <w:pPr>
        <w:pStyle w:val="3"/>
        <w:spacing w:before="156" w:beforeLines="50" w:after="156" w:afterLines="50" w:line="240" w:lineRule="auto"/>
        <w:rPr>
          <w:rFonts w:hint="eastAsia" w:ascii="黑体" w:hAnsi="黑体"/>
          <w:b w:val="0"/>
          <w:sz w:val="21"/>
          <w:szCs w:val="21"/>
        </w:rPr>
      </w:pPr>
      <w:bookmarkStart w:id="274" w:name="_Toc81679086"/>
      <w:bookmarkStart w:id="275" w:name="_Toc56514534"/>
      <w:bookmarkStart w:id="276" w:name="_Toc97293180"/>
      <w:r>
        <w:rPr>
          <w:rFonts w:ascii="黑体" w:hAnsi="黑体"/>
          <w:b w:val="0"/>
          <w:sz w:val="21"/>
          <w:szCs w:val="21"/>
        </w:rPr>
        <w:t>9.4 浆液置换</w:t>
      </w:r>
      <w:bookmarkEnd w:id="274"/>
      <w:bookmarkEnd w:id="275"/>
      <w:bookmarkEnd w:id="276"/>
    </w:p>
    <w:p w14:paraId="700C7166">
      <w:pPr>
        <w:widowControl/>
        <w:spacing w:line="240" w:lineRule="auto"/>
        <w:ind w:firstLine="10" w:firstLineChars="5"/>
        <w:jc w:val="left"/>
        <w:outlineLvl w:val="3"/>
        <w:rPr>
          <w:rFonts w:hint="eastAsia" w:ascii="宋体" w:hAnsi="宋体"/>
        </w:rPr>
      </w:pPr>
      <w:r>
        <w:rPr>
          <w:rFonts w:ascii="宋体" w:hAnsi="宋体"/>
        </w:rPr>
        <w:t>9.4.1 顶管结束后，</w:t>
      </w:r>
      <w:r>
        <w:rPr>
          <w:rFonts w:hint="eastAsia" w:ascii="宋体" w:hAnsi="宋体"/>
        </w:rPr>
        <w:t>应</w:t>
      </w:r>
      <w:r>
        <w:rPr>
          <w:rFonts w:ascii="宋体" w:hAnsi="宋体"/>
        </w:rPr>
        <w:t>通过注浆孔置换管节外壁的触变泥浆，</w:t>
      </w:r>
      <w:r>
        <w:rPr>
          <w:rFonts w:hint="eastAsia" w:ascii="宋体" w:hAnsi="宋体"/>
        </w:rPr>
        <w:t>浆液宜</w:t>
      </w:r>
      <w:r>
        <w:rPr>
          <w:rFonts w:ascii="宋体" w:hAnsi="宋体"/>
        </w:rPr>
        <w:t>选用1：1的水泥浆液，根据不同的水土压力及地表监测巡视情况，确定注浆压力和注浆量，固结通道外土体，消除对通道今后使用过程中产生不均匀沉降的影响。</w:t>
      </w:r>
    </w:p>
    <w:p w14:paraId="06FC05EC">
      <w:pPr>
        <w:pStyle w:val="2"/>
        <w:spacing w:before="312" w:beforeLines="100" w:after="312" w:afterLines="100" w:line="240" w:lineRule="auto"/>
        <w:rPr>
          <w:rFonts w:hint="eastAsia" w:ascii="黑体" w:hAnsi="黑体" w:eastAsia="黑体"/>
          <w:b w:val="0"/>
          <w:sz w:val="21"/>
          <w:szCs w:val="21"/>
        </w:rPr>
      </w:pPr>
      <w:bookmarkStart w:id="277" w:name="_Toc56514535"/>
      <w:bookmarkStart w:id="278" w:name="_Toc100145198"/>
      <w:bookmarkStart w:id="279" w:name="_Toc81679087"/>
      <w:bookmarkStart w:id="280" w:name="_Toc97293181"/>
      <w:r>
        <w:rPr>
          <w:rFonts w:ascii="黑体" w:hAnsi="黑体" w:eastAsia="黑体"/>
          <w:b w:val="0"/>
          <w:sz w:val="21"/>
          <w:szCs w:val="21"/>
        </w:rPr>
        <w:t>10 管节防水</w:t>
      </w:r>
      <w:bookmarkEnd w:id="277"/>
      <w:bookmarkEnd w:id="278"/>
      <w:bookmarkEnd w:id="279"/>
      <w:bookmarkEnd w:id="280"/>
    </w:p>
    <w:p w14:paraId="21A4E852">
      <w:pPr>
        <w:pStyle w:val="3"/>
        <w:spacing w:before="156" w:beforeLines="50" w:after="156" w:afterLines="50" w:line="240" w:lineRule="auto"/>
        <w:rPr>
          <w:rFonts w:hint="eastAsia" w:ascii="黑体" w:hAnsi="黑体"/>
          <w:b w:val="0"/>
          <w:bCs w:val="0"/>
          <w:sz w:val="21"/>
          <w:szCs w:val="21"/>
        </w:rPr>
      </w:pPr>
      <w:bookmarkStart w:id="281" w:name="_Toc81679088"/>
      <w:bookmarkStart w:id="282" w:name="_Toc97293182"/>
      <w:bookmarkStart w:id="283" w:name="_Toc56514536"/>
      <w:r>
        <w:rPr>
          <w:rFonts w:ascii="黑体" w:hAnsi="黑体"/>
          <w:b w:val="0"/>
          <w:sz w:val="21"/>
          <w:szCs w:val="21"/>
        </w:rPr>
        <w:t>10.1 一般规定</w:t>
      </w:r>
      <w:bookmarkEnd w:id="281"/>
      <w:bookmarkEnd w:id="282"/>
      <w:bookmarkEnd w:id="283"/>
    </w:p>
    <w:p w14:paraId="054C5EE0">
      <w:pPr>
        <w:spacing w:line="240" w:lineRule="auto"/>
        <w:rPr>
          <w:rFonts w:hint="eastAsia" w:ascii="宋体" w:hAnsi="宋体"/>
        </w:rPr>
      </w:pPr>
      <w:r>
        <w:rPr>
          <w:rFonts w:hint="eastAsia" w:ascii="宋体" w:hAnsi="宋体"/>
        </w:rPr>
        <w:t>10.1.1适用于矩形钢筋混凝土管节插口接口的防水工程。</w:t>
      </w:r>
    </w:p>
    <w:p w14:paraId="40694009">
      <w:pPr>
        <w:spacing w:line="240" w:lineRule="auto"/>
        <w:rPr>
          <w:rFonts w:hint="eastAsia" w:ascii="宋体" w:hAnsi="宋体"/>
        </w:rPr>
      </w:pPr>
      <w:r>
        <w:rPr>
          <w:rFonts w:hint="eastAsia" w:ascii="宋体" w:hAnsi="宋体"/>
        </w:rPr>
        <w:t>10.1.2管节和顶管机头钢承口连接。</w:t>
      </w:r>
    </w:p>
    <w:p w14:paraId="423D813E">
      <w:pPr>
        <w:spacing w:line="240" w:lineRule="auto"/>
        <w:rPr>
          <w:rFonts w:hint="eastAsia" w:ascii="宋体" w:hAnsi="宋体"/>
        </w:rPr>
      </w:pPr>
      <w:r>
        <w:rPr>
          <w:rFonts w:ascii="宋体" w:hAnsi="宋体"/>
        </w:rPr>
        <w:t>10.1.</w:t>
      </w:r>
      <w:r>
        <w:rPr>
          <w:rFonts w:hint="eastAsia" w:ascii="宋体" w:hAnsi="宋体"/>
        </w:rPr>
        <w:t>3</w:t>
      </w:r>
      <w:r>
        <w:rPr>
          <w:rFonts w:ascii="宋体" w:hAnsi="宋体"/>
        </w:rPr>
        <w:t xml:space="preserve"> 管节混凝土强度等级、防渗等级满足《给排水管道工程施工及验收规范》（GB50268-2008）规范要求。</w:t>
      </w:r>
    </w:p>
    <w:p w14:paraId="05DC60B3">
      <w:pPr>
        <w:spacing w:line="240" w:lineRule="auto"/>
        <w:rPr>
          <w:rFonts w:hint="eastAsia" w:ascii="宋体" w:hAnsi="宋体"/>
        </w:rPr>
      </w:pPr>
      <w:r>
        <w:rPr>
          <w:rFonts w:hint="eastAsia" w:ascii="宋体" w:hAnsi="宋体"/>
        </w:rPr>
        <w:t>10.1.4管节外观满足设计要求，无蜂窝、麻面、裂纹、表面平整。</w:t>
      </w:r>
    </w:p>
    <w:p w14:paraId="651D97F1">
      <w:pPr>
        <w:spacing w:line="240" w:lineRule="auto"/>
        <w:rPr>
          <w:rFonts w:hint="eastAsia" w:ascii="宋体" w:hAnsi="宋体"/>
        </w:rPr>
      </w:pPr>
      <w:r>
        <w:rPr>
          <w:rFonts w:ascii="宋体" w:hAnsi="宋体"/>
        </w:rPr>
        <w:t>10.1.</w:t>
      </w:r>
      <w:r>
        <w:rPr>
          <w:rFonts w:hint="eastAsia" w:ascii="宋体" w:hAnsi="宋体"/>
        </w:rPr>
        <w:t>5</w:t>
      </w:r>
      <w:r>
        <w:rPr>
          <w:rFonts w:ascii="宋体" w:hAnsi="宋体"/>
        </w:rPr>
        <w:t xml:space="preserve"> 管节钢承口焊接接缝要平整，钢承口要打坡口，防止橡胶圈翻转导致渗水。</w:t>
      </w:r>
    </w:p>
    <w:p w14:paraId="169E42DC">
      <w:pPr>
        <w:spacing w:line="240" w:lineRule="auto"/>
        <w:rPr>
          <w:rFonts w:hint="eastAsia" w:ascii="宋体" w:hAnsi="宋体"/>
        </w:rPr>
      </w:pPr>
      <w:r>
        <w:rPr>
          <w:rFonts w:ascii="宋体" w:hAnsi="宋体"/>
        </w:rPr>
        <w:t>10.1.</w:t>
      </w:r>
      <w:r>
        <w:rPr>
          <w:rFonts w:hint="eastAsia" w:ascii="宋体" w:hAnsi="宋体"/>
        </w:rPr>
        <w:t>6</w:t>
      </w:r>
      <w:r>
        <w:rPr>
          <w:rFonts w:ascii="宋体" w:hAnsi="宋体"/>
        </w:rPr>
        <w:t>管节密封橡胶圈规格、型号满足设计要求。橡胶圈使用天然橡胶制作，杜绝使用再生胶制作的橡胶圈。</w:t>
      </w:r>
    </w:p>
    <w:p w14:paraId="56F16B5A">
      <w:pPr>
        <w:spacing w:line="240" w:lineRule="auto"/>
        <w:rPr>
          <w:rFonts w:hint="eastAsia" w:ascii="宋体" w:hAnsi="宋体"/>
        </w:rPr>
      </w:pPr>
      <w:r>
        <w:rPr>
          <w:rFonts w:ascii="宋体" w:hAnsi="宋体"/>
        </w:rPr>
        <w:t>10.1.</w:t>
      </w:r>
      <w:r>
        <w:rPr>
          <w:rFonts w:hint="eastAsia" w:ascii="宋体" w:hAnsi="宋体"/>
        </w:rPr>
        <w:t>7</w:t>
      </w:r>
      <w:r>
        <w:rPr>
          <w:rFonts w:ascii="宋体" w:hAnsi="宋体"/>
        </w:rPr>
        <w:t xml:space="preserve"> 管节使用木垫圈要具有弹性的木板、胶合板以及满足厚度的橡胶板。</w:t>
      </w:r>
    </w:p>
    <w:p w14:paraId="2A8DB385">
      <w:pPr>
        <w:pStyle w:val="3"/>
        <w:spacing w:before="312" w:beforeLines="100" w:after="312" w:afterLines="100" w:line="240" w:lineRule="auto"/>
        <w:rPr>
          <w:rFonts w:hint="eastAsia" w:ascii="黑体" w:hAnsi="黑体"/>
          <w:b w:val="0"/>
          <w:sz w:val="21"/>
          <w:szCs w:val="21"/>
        </w:rPr>
      </w:pPr>
      <w:bookmarkStart w:id="284" w:name="_Toc56514537"/>
      <w:bookmarkStart w:id="285" w:name="_Toc97293183"/>
      <w:bookmarkStart w:id="286" w:name="_Toc81679089"/>
      <w:r>
        <w:rPr>
          <w:rFonts w:ascii="黑体" w:hAnsi="黑体"/>
          <w:b w:val="0"/>
          <w:sz w:val="21"/>
          <w:szCs w:val="21"/>
        </w:rPr>
        <w:t>10.2 管节</w:t>
      </w:r>
      <w:r>
        <w:rPr>
          <w:rFonts w:hint="eastAsia" w:ascii="黑体" w:hAnsi="黑体"/>
          <w:b w:val="0"/>
          <w:sz w:val="21"/>
          <w:szCs w:val="21"/>
        </w:rPr>
        <w:t>接口</w:t>
      </w:r>
      <w:r>
        <w:rPr>
          <w:rFonts w:ascii="黑体" w:hAnsi="黑体"/>
          <w:b w:val="0"/>
          <w:sz w:val="21"/>
          <w:szCs w:val="21"/>
        </w:rPr>
        <w:t>防水</w:t>
      </w:r>
      <w:bookmarkEnd w:id="284"/>
      <w:r>
        <w:rPr>
          <w:rFonts w:hint="eastAsia" w:ascii="黑体" w:hAnsi="黑体"/>
          <w:b w:val="0"/>
          <w:sz w:val="21"/>
          <w:szCs w:val="21"/>
        </w:rPr>
        <w:t>要求</w:t>
      </w:r>
      <w:bookmarkEnd w:id="285"/>
      <w:bookmarkEnd w:id="286"/>
    </w:p>
    <w:p w14:paraId="54D53014">
      <w:pPr>
        <w:spacing w:line="240" w:lineRule="auto"/>
        <w:rPr>
          <w:rFonts w:hint="eastAsia" w:ascii="宋体" w:hAnsi="宋体"/>
        </w:rPr>
      </w:pPr>
      <w:r>
        <w:rPr>
          <w:rFonts w:ascii="宋体" w:hAnsi="宋体"/>
        </w:rPr>
        <w:t>10.2.1 管节钢承口焊接接缝要平整；管节接口处的混凝土表面平整，无蜂窝、麻面、气孔、裂缝，缺边掉角等现象，接口尺寸满足设计要求。</w:t>
      </w:r>
    </w:p>
    <w:p w14:paraId="0D6534CD">
      <w:pPr>
        <w:spacing w:line="240" w:lineRule="auto"/>
        <w:rPr>
          <w:rFonts w:hint="eastAsia" w:ascii="宋体" w:hAnsi="宋体"/>
        </w:rPr>
      </w:pPr>
      <w:r>
        <w:rPr>
          <w:rFonts w:hint="eastAsia" w:ascii="宋体" w:hAnsi="宋体"/>
        </w:rPr>
        <w:t>10.2.2钢承口、钢套环焊接平整，表面应进行防腐处理。</w:t>
      </w:r>
    </w:p>
    <w:p w14:paraId="19648F60">
      <w:pPr>
        <w:spacing w:line="240" w:lineRule="auto"/>
        <w:rPr>
          <w:rFonts w:hint="eastAsia" w:ascii="宋体" w:hAnsi="宋体"/>
        </w:rPr>
      </w:pPr>
      <w:r>
        <w:rPr>
          <w:rFonts w:ascii="宋体" w:hAnsi="宋体"/>
        </w:rPr>
        <w:t>10.2.</w:t>
      </w:r>
      <w:r>
        <w:rPr>
          <w:rFonts w:hint="eastAsia" w:ascii="宋体" w:hAnsi="宋体"/>
        </w:rPr>
        <w:t>3</w:t>
      </w:r>
      <w:r>
        <w:rPr>
          <w:rFonts w:ascii="宋体" w:hAnsi="宋体"/>
        </w:rPr>
        <w:t>密封橡胶圈材料应符合《橡胶密封件给、排水管及污水管道用接口密封圈》GB\T21873-2008规范的要求。橡胶圈外形尺寸应符合设计要求，外观致密、均匀、无裂缝、空隙或凹痕等缺陷。密封橡胶圈的断面形状一般为</w:t>
      </w:r>
      <w:r>
        <w:rPr>
          <w:rFonts w:hint="eastAsia" w:ascii="宋体" w:hAnsi="宋体"/>
        </w:rPr>
        <w:t>“L”</w:t>
      </w:r>
      <w:r>
        <w:rPr>
          <w:rFonts w:ascii="宋体" w:hAnsi="宋体"/>
        </w:rPr>
        <w:t>形、齿形、楔形或半圆半方形。</w:t>
      </w:r>
    </w:p>
    <w:p w14:paraId="53D0BEFB">
      <w:pPr>
        <w:spacing w:line="240" w:lineRule="auto"/>
        <w:rPr>
          <w:rFonts w:hint="eastAsia" w:ascii="宋体" w:hAnsi="宋体"/>
        </w:rPr>
      </w:pPr>
      <w:r>
        <w:rPr>
          <w:rFonts w:ascii="宋体" w:hAnsi="宋体"/>
        </w:rPr>
        <w:t>10.2.</w:t>
      </w:r>
      <w:r>
        <w:rPr>
          <w:rFonts w:hint="eastAsia" w:ascii="宋体" w:hAnsi="宋体"/>
        </w:rPr>
        <w:t>4</w:t>
      </w:r>
      <w:r>
        <w:rPr>
          <w:rFonts w:ascii="宋体" w:hAnsi="宋体"/>
        </w:rPr>
        <w:t xml:space="preserve"> 地下水丰富的地段采用双排密封橡胶圈和一道遇水膨胀止水条的同时还可以在内壁向外注送泥浆保护，形成一道隔离层。</w:t>
      </w:r>
    </w:p>
    <w:p w14:paraId="555C3F13">
      <w:pPr>
        <w:spacing w:line="240" w:lineRule="auto"/>
        <w:rPr>
          <w:rFonts w:hint="eastAsia" w:ascii="宋体" w:hAnsi="宋体"/>
        </w:rPr>
      </w:pPr>
      <w:r>
        <w:rPr>
          <w:rFonts w:ascii="宋体" w:hAnsi="宋体"/>
        </w:rPr>
        <w:t>10.2.</w:t>
      </w:r>
      <w:r>
        <w:rPr>
          <w:rFonts w:hint="eastAsia" w:ascii="宋体" w:hAnsi="宋体"/>
        </w:rPr>
        <w:t>5</w:t>
      </w:r>
      <w:r>
        <w:rPr>
          <w:rFonts w:ascii="宋体" w:hAnsi="宋体"/>
        </w:rPr>
        <w:t xml:space="preserve"> 顶管段地下水要进行化验分析水的性质，采用不同性质的密封橡胶圈。</w:t>
      </w:r>
    </w:p>
    <w:p w14:paraId="1EB7D522">
      <w:pPr>
        <w:spacing w:line="240" w:lineRule="auto"/>
        <w:rPr>
          <w:rFonts w:hint="eastAsia" w:ascii="宋体" w:hAnsi="宋体"/>
        </w:rPr>
      </w:pPr>
      <w:r>
        <w:rPr>
          <w:rFonts w:ascii="宋体" w:hAnsi="宋体"/>
        </w:rPr>
        <w:t>10.2.</w:t>
      </w:r>
      <w:r>
        <w:rPr>
          <w:rFonts w:hint="eastAsia" w:ascii="宋体" w:hAnsi="宋体"/>
        </w:rPr>
        <w:t>6</w:t>
      </w:r>
      <w:r>
        <w:rPr>
          <w:rFonts w:ascii="宋体" w:hAnsi="宋体"/>
        </w:rPr>
        <w:t xml:space="preserve"> 缓冲木垫圈材质</w:t>
      </w:r>
      <w:r>
        <w:rPr>
          <w:rFonts w:hint="eastAsia" w:ascii="宋体" w:hAnsi="宋体"/>
        </w:rPr>
        <w:t>宜</w:t>
      </w:r>
      <w:r>
        <w:rPr>
          <w:rFonts w:ascii="宋体" w:hAnsi="宋体"/>
        </w:rPr>
        <w:t>使用富有弹性木板、胶合板以及满足厚度的橡胶板，大小、长短、厚度根据管节确定。缓冲木垫圈弹性尤为重要，压缩模量不大于140MPa，否则起不到缓冲的作用，保护不了管节两端混凝土，造成管节破损。缓冲木垫圈厚度根据管节壁厚并要与设计顶力相适应，厚度</w:t>
      </w:r>
      <w:r>
        <w:rPr>
          <w:rFonts w:hint="eastAsia" w:ascii="宋体" w:hAnsi="宋体"/>
        </w:rPr>
        <w:t>宜取值</w:t>
      </w:r>
      <w:r>
        <w:rPr>
          <w:rFonts w:ascii="宋体" w:hAnsi="宋体"/>
        </w:rPr>
        <w:t>为10mm</w:t>
      </w:r>
      <w:r>
        <w:rPr>
          <w:rFonts w:hint="eastAsia" w:ascii="宋体" w:hAnsi="宋体"/>
        </w:rPr>
        <w:t>~</w:t>
      </w:r>
      <w:r>
        <w:rPr>
          <w:rFonts w:ascii="宋体" w:hAnsi="宋体"/>
        </w:rPr>
        <w:t>30mm。</w:t>
      </w:r>
    </w:p>
    <w:p w14:paraId="60C87380">
      <w:pPr>
        <w:spacing w:line="240" w:lineRule="auto"/>
        <w:rPr>
          <w:rFonts w:hint="eastAsia" w:ascii="宋体" w:hAnsi="宋体"/>
        </w:rPr>
      </w:pPr>
      <w:r>
        <w:rPr>
          <w:rFonts w:ascii="宋体" w:hAnsi="宋体"/>
        </w:rPr>
        <w:t>10.2.</w:t>
      </w:r>
      <w:r>
        <w:rPr>
          <w:rFonts w:hint="eastAsia" w:ascii="宋体" w:hAnsi="宋体"/>
        </w:rPr>
        <w:t>7</w:t>
      </w:r>
      <w:r>
        <w:rPr>
          <w:rFonts w:ascii="宋体" w:hAnsi="宋体"/>
        </w:rPr>
        <w:t>对顶进完工段要进行密封处理，</w:t>
      </w:r>
      <w:r>
        <w:rPr>
          <w:rFonts w:hint="eastAsia" w:ascii="宋体" w:hAnsi="宋体"/>
        </w:rPr>
        <w:t>宜</w:t>
      </w:r>
      <w:r>
        <w:rPr>
          <w:rFonts w:ascii="宋体" w:hAnsi="宋体"/>
        </w:rPr>
        <w:t>采用聚硫密封膏和环氧树脂处理。</w:t>
      </w:r>
    </w:p>
    <w:p w14:paraId="293340D0">
      <w:pPr>
        <w:pStyle w:val="2"/>
        <w:spacing w:before="312" w:beforeLines="100" w:after="312" w:afterLines="100" w:line="240" w:lineRule="auto"/>
        <w:rPr>
          <w:rFonts w:hint="eastAsia" w:ascii="黑体" w:hAnsi="黑体" w:eastAsia="黑体"/>
          <w:b w:val="0"/>
          <w:sz w:val="21"/>
          <w:szCs w:val="21"/>
        </w:rPr>
      </w:pPr>
      <w:bookmarkStart w:id="287" w:name="_Toc56514538"/>
      <w:bookmarkStart w:id="288" w:name="_Toc97293184"/>
      <w:bookmarkStart w:id="289" w:name="_Toc81679090"/>
      <w:bookmarkStart w:id="290" w:name="_Toc100145199"/>
      <w:r>
        <w:rPr>
          <w:rFonts w:ascii="黑体" w:hAnsi="黑体" w:eastAsia="黑体"/>
          <w:b w:val="0"/>
          <w:sz w:val="21"/>
          <w:szCs w:val="21"/>
        </w:rPr>
        <w:t>11 施工测量</w:t>
      </w:r>
      <w:bookmarkEnd w:id="287"/>
      <w:bookmarkEnd w:id="288"/>
      <w:bookmarkEnd w:id="289"/>
      <w:bookmarkEnd w:id="290"/>
    </w:p>
    <w:p w14:paraId="4614D0F9">
      <w:pPr>
        <w:pStyle w:val="3"/>
        <w:spacing w:before="156" w:beforeLines="50" w:after="156" w:afterLines="50" w:line="240" w:lineRule="auto"/>
        <w:rPr>
          <w:rFonts w:hint="eastAsia" w:ascii="黑体" w:hAnsi="黑体"/>
          <w:b w:val="0"/>
          <w:sz w:val="21"/>
          <w:szCs w:val="21"/>
        </w:rPr>
      </w:pPr>
      <w:bookmarkStart w:id="291" w:name="_Toc97293185"/>
      <w:bookmarkStart w:id="292" w:name="_Toc81679091"/>
      <w:bookmarkStart w:id="293" w:name="_Toc56514539"/>
      <w:r>
        <w:rPr>
          <w:rFonts w:ascii="黑体" w:hAnsi="黑体"/>
          <w:b w:val="0"/>
          <w:sz w:val="21"/>
          <w:szCs w:val="21"/>
        </w:rPr>
        <w:t>11.1 一般规定</w:t>
      </w:r>
      <w:bookmarkEnd w:id="291"/>
      <w:bookmarkEnd w:id="292"/>
      <w:bookmarkEnd w:id="293"/>
    </w:p>
    <w:p w14:paraId="5B4C2199">
      <w:pPr>
        <w:spacing w:line="240" w:lineRule="auto"/>
        <w:rPr>
          <w:rFonts w:hint="eastAsia" w:ascii="宋体" w:hAnsi="宋体"/>
        </w:rPr>
      </w:pPr>
      <w:r>
        <w:rPr>
          <w:rFonts w:ascii="宋体" w:hAnsi="宋体"/>
        </w:rPr>
        <w:t>11.1.1</w:t>
      </w:r>
      <w:r>
        <w:rPr>
          <w:rFonts w:hint="eastAsia" w:ascii="宋体" w:hAnsi="宋体"/>
        </w:rPr>
        <w:t>管道平面位置控制可采用抵偿高程面作为投影面的城市平面坐标系，管道面平均高程的边长高程投影长度变形和高斯投影长度变形的综合变形值不宜大于15mm/km。</w:t>
      </w:r>
    </w:p>
    <w:p w14:paraId="10688362">
      <w:pPr>
        <w:spacing w:line="240" w:lineRule="auto"/>
        <w:rPr>
          <w:rFonts w:hint="eastAsia" w:ascii="宋体" w:hAnsi="宋体"/>
        </w:rPr>
      </w:pPr>
      <w:r>
        <w:rPr>
          <w:rFonts w:hint="eastAsia" w:ascii="宋体" w:hAnsi="宋体"/>
        </w:rPr>
        <w:t>1</w:t>
      </w:r>
      <w:r>
        <w:rPr>
          <w:rFonts w:ascii="宋体" w:hAnsi="宋体"/>
        </w:rPr>
        <w:t>1.1.2测量仪器作为计量仪器，</w:t>
      </w:r>
      <w:r>
        <w:rPr>
          <w:rFonts w:hint="eastAsia" w:ascii="宋体" w:hAnsi="宋体"/>
        </w:rPr>
        <w:t>应</w:t>
      </w:r>
      <w:r>
        <w:rPr>
          <w:rFonts w:ascii="宋体" w:hAnsi="宋体"/>
        </w:rPr>
        <w:t>按照《中华人民共和国计量法》的要求，在法定的有效检定期内。作为施工测量的主要工具，其良好的运行状态对测量作业至关重要，所以要求对测量仪器和相关设备要加强维护保养，定期检验和检定，确保测量成果的准确可靠，作业前进行仪器设备自检。</w:t>
      </w:r>
    </w:p>
    <w:p w14:paraId="228DEFAD">
      <w:pPr>
        <w:spacing w:line="240" w:lineRule="auto"/>
        <w:rPr>
          <w:rFonts w:hint="eastAsia" w:ascii="宋体" w:hAnsi="宋体"/>
        </w:rPr>
      </w:pPr>
      <w:r>
        <w:rPr>
          <w:rFonts w:ascii="宋体" w:hAnsi="宋体"/>
        </w:rPr>
        <w:t>11.1.2 施工前，由建设单位组织，设计单位向施工单位提交控制测量成果资料，监理单位应参加交接工作。施工单位接桩后，应对交桩成果按照原测方法和精度要求进行复测，并根据施工进度对控制网进行不定期维护。</w:t>
      </w:r>
    </w:p>
    <w:p w14:paraId="51EF16B7">
      <w:pPr>
        <w:spacing w:line="240" w:lineRule="auto"/>
        <w:rPr>
          <w:rFonts w:hint="eastAsia" w:ascii="宋体" w:hAnsi="宋体"/>
        </w:rPr>
      </w:pPr>
      <w:r>
        <w:rPr>
          <w:rFonts w:ascii="宋体" w:hAnsi="宋体"/>
        </w:rPr>
        <w:t>11.1.3 施工前应编制施工测量方案，明确测量范围</w:t>
      </w:r>
      <w:r>
        <w:rPr>
          <w:rFonts w:hint="eastAsia" w:ascii="宋体" w:hAnsi="宋体"/>
        </w:rPr>
        <w:t>、</w:t>
      </w:r>
      <w:r>
        <w:rPr>
          <w:rFonts w:ascii="宋体" w:hAnsi="宋体"/>
        </w:rPr>
        <w:t>内容</w:t>
      </w:r>
      <w:r>
        <w:rPr>
          <w:rFonts w:hint="eastAsia" w:ascii="宋体" w:hAnsi="宋体"/>
        </w:rPr>
        <w:t>、</w:t>
      </w:r>
      <w:r>
        <w:rPr>
          <w:rFonts w:ascii="宋体" w:hAnsi="宋体"/>
        </w:rPr>
        <w:t>方法和精度要求。</w:t>
      </w:r>
    </w:p>
    <w:p w14:paraId="48D4C055">
      <w:pPr>
        <w:spacing w:line="240" w:lineRule="auto"/>
        <w:rPr>
          <w:rFonts w:hint="eastAsia" w:ascii="宋体" w:hAnsi="宋体"/>
        </w:rPr>
      </w:pPr>
      <w:r>
        <w:rPr>
          <w:rFonts w:hint="eastAsia" w:ascii="宋体" w:hAnsi="宋体"/>
        </w:rPr>
        <w:t>1</w:t>
      </w:r>
      <w:r>
        <w:rPr>
          <w:rFonts w:ascii="宋体" w:hAnsi="宋体"/>
        </w:rPr>
        <w:t xml:space="preserve">1.1.5 </w:t>
      </w:r>
      <w:r>
        <w:rPr>
          <w:rFonts w:hint="eastAsia" w:ascii="宋体" w:hAnsi="宋体"/>
        </w:rPr>
        <w:t>管道线性控制网和加密控制网应在开工前进行复测，工程建设中应每年复测1次，并根据点位稳定情况增加或减少复测频次。复测技术要求应符合下列规定：</w:t>
      </w:r>
    </w:p>
    <w:p w14:paraId="5B1C331F">
      <w:pPr>
        <w:pStyle w:val="176"/>
        <w:numPr>
          <w:ilvl w:val="0"/>
          <w:numId w:val="68"/>
        </w:numPr>
      </w:pPr>
      <w:r>
        <w:rPr>
          <w:rFonts w:hint="eastAsia"/>
        </w:rPr>
        <w:t>复测时采用的起算点和控制网测量方案宜与原测一致。</w:t>
      </w:r>
    </w:p>
    <w:p w14:paraId="7F62BEE6">
      <w:pPr>
        <w:pStyle w:val="176"/>
      </w:pPr>
      <w:r>
        <w:rPr>
          <w:rFonts w:hint="eastAsia"/>
        </w:rPr>
        <w:t>复测宜采用与原测一致的观测精度及数据处理方法。</w:t>
      </w:r>
    </w:p>
    <w:p w14:paraId="15C0D5C6">
      <w:pPr>
        <w:pStyle w:val="176"/>
      </w:pPr>
      <w:r>
        <w:rPr>
          <w:rFonts w:hint="eastAsia"/>
        </w:rPr>
        <w:t>复测与原测成果坐标分量较差的极限误差应小于2m</w:t>
      </w:r>
      <w:r>
        <w:rPr>
          <w:rFonts w:hint="eastAsia"/>
          <w:vertAlign w:val="subscript"/>
        </w:rPr>
        <w:t>c</w:t>
      </w:r>
      <w:r>
        <w:rPr>
          <w:rFonts w:hint="eastAsia"/>
        </w:rPr>
        <w:t>(m</w:t>
      </w:r>
      <w:r>
        <w:rPr>
          <w:rFonts w:hint="eastAsia"/>
          <w:vertAlign w:val="subscript"/>
        </w:rPr>
        <w:t>c</w:t>
      </w:r>
      <w:r>
        <w:rPr>
          <w:rFonts w:hint="eastAsia"/>
        </w:rPr>
        <w:t>为复测控制点的点位中误差)。当极限误差大于2 m</w:t>
      </w:r>
      <w:r>
        <w:rPr>
          <w:rFonts w:hint="eastAsia"/>
          <w:vertAlign w:val="subscript"/>
        </w:rPr>
        <w:t>c</w:t>
      </w:r>
      <w:r>
        <w:rPr>
          <w:rFonts w:hint="eastAsia"/>
        </w:rPr>
        <w:t>时，应查明原因，采用同等精度内插的方式进行布测或修测。</w:t>
      </w:r>
    </w:p>
    <w:p w14:paraId="204A18CD">
      <w:pPr>
        <w:pStyle w:val="3"/>
        <w:spacing w:before="156" w:beforeLines="50" w:after="156" w:afterLines="50" w:line="240" w:lineRule="auto"/>
        <w:rPr>
          <w:rFonts w:hint="eastAsia" w:ascii="黑体" w:hAnsi="黑体"/>
          <w:b w:val="0"/>
          <w:sz w:val="21"/>
          <w:szCs w:val="21"/>
        </w:rPr>
      </w:pPr>
      <w:bookmarkStart w:id="294" w:name="_Toc56514540"/>
      <w:bookmarkStart w:id="295" w:name="_Toc97293186"/>
      <w:bookmarkStart w:id="296" w:name="_Toc81679092"/>
      <w:r>
        <w:rPr>
          <w:rFonts w:ascii="黑体" w:hAnsi="黑体"/>
          <w:b w:val="0"/>
          <w:sz w:val="21"/>
          <w:szCs w:val="21"/>
        </w:rPr>
        <w:t>11.2地面</w:t>
      </w:r>
      <w:bookmarkEnd w:id="294"/>
      <w:r>
        <w:rPr>
          <w:rFonts w:hint="eastAsia" w:ascii="黑体" w:hAnsi="黑体"/>
          <w:b w:val="0"/>
          <w:sz w:val="21"/>
          <w:szCs w:val="21"/>
        </w:rPr>
        <w:t>控制测量</w:t>
      </w:r>
      <w:bookmarkEnd w:id="295"/>
      <w:bookmarkEnd w:id="296"/>
    </w:p>
    <w:p w14:paraId="087821DD">
      <w:pPr>
        <w:spacing w:line="240" w:lineRule="auto"/>
        <w:rPr>
          <w:rFonts w:hint="eastAsia" w:ascii="宋体" w:hAnsi="宋体"/>
        </w:rPr>
      </w:pPr>
      <w:r>
        <w:rPr>
          <w:rFonts w:ascii="宋体" w:hAnsi="宋体"/>
        </w:rPr>
        <w:t>11.2.1 为满足顶管施工测量，需要在现场进行加密控制测量，加密控制网以交桩控制网为基准，交</w:t>
      </w:r>
      <w:r>
        <w:rPr>
          <w:rFonts w:hint="eastAsia" w:ascii="宋体" w:hAnsi="宋体"/>
        </w:rPr>
        <w:t>桩</w:t>
      </w:r>
      <w:r>
        <w:rPr>
          <w:rFonts w:ascii="宋体" w:hAnsi="宋体"/>
        </w:rPr>
        <w:t>控制网在交桩后应立即进行复测，并根据要求进行定期维护测量，确保控制网的稳定和统一。</w:t>
      </w:r>
    </w:p>
    <w:p w14:paraId="5C03ABDC">
      <w:pPr>
        <w:spacing w:line="240" w:lineRule="auto"/>
        <w:rPr>
          <w:rFonts w:hint="eastAsia" w:ascii="宋体" w:hAnsi="宋体"/>
        </w:rPr>
      </w:pPr>
      <w:r>
        <w:rPr>
          <w:rFonts w:ascii="宋体" w:hAnsi="宋体"/>
        </w:rPr>
        <w:t>11.2.2 主要针对顶管施工工程特点和工程结构，以及顶管贯通和顶管结构限差要求，导线控制网参考城市轨道三等精密导线网的技术要求制定顶管施工导线控制网精度要求。</w:t>
      </w:r>
    </w:p>
    <w:p w14:paraId="6BF85D22">
      <w:pPr>
        <w:spacing w:line="240" w:lineRule="auto"/>
        <w:rPr>
          <w:rFonts w:hint="eastAsia" w:ascii="宋体" w:hAnsi="宋体"/>
        </w:rPr>
      </w:pPr>
      <w:r>
        <w:rPr>
          <w:rFonts w:ascii="宋体" w:hAnsi="宋体"/>
        </w:rPr>
        <w:t>11.2.6 矩形顶管施工地面控制网在设计交桩控制网基础上加密，按照三、四等要求布设即可满足施工要求。</w:t>
      </w:r>
    </w:p>
    <w:p w14:paraId="75A8D416">
      <w:pPr>
        <w:pStyle w:val="3"/>
        <w:spacing w:before="156" w:beforeLines="50" w:after="156" w:afterLines="50" w:line="240" w:lineRule="auto"/>
        <w:rPr>
          <w:rFonts w:hint="eastAsia" w:ascii="黑体" w:hAnsi="黑体"/>
          <w:b w:val="0"/>
          <w:sz w:val="21"/>
          <w:szCs w:val="21"/>
        </w:rPr>
      </w:pPr>
      <w:bookmarkStart w:id="297" w:name="_Toc56514541"/>
      <w:bookmarkStart w:id="298" w:name="_Toc81679093"/>
      <w:bookmarkStart w:id="299" w:name="_Toc97293187"/>
      <w:r>
        <w:rPr>
          <w:rFonts w:ascii="黑体" w:hAnsi="黑体"/>
          <w:b w:val="0"/>
          <w:sz w:val="21"/>
          <w:szCs w:val="21"/>
        </w:rPr>
        <w:t>11.3 联系测量</w:t>
      </w:r>
      <w:bookmarkEnd w:id="297"/>
      <w:bookmarkEnd w:id="298"/>
      <w:bookmarkEnd w:id="299"/>
    </w:p>
    <w:p w14:paraId="18FE6930">
      <w:pPr>
        <w:spacing w:line="240" w:lineRule="auto"/>
        <w:rPr>
          <w:rFonts w:hint="eastAsia" w:ascii="宋体" w:hAnsi="宋体"/>
        </w:rPr>
      </w:pPr>
      <w:r>
        <w:rPr>
          <w:rFonts w:ascii="宋体" w:hAnsi="宋体"/>
        </w:rPr>
        <w:t>11.3.1 联系测量是将地面坐标、方位、和高程传递到工作井下，为顶管施工各项测量工作提供起算数据的综合性测量工作。联系测量的精度直接影响着顶管施工精度，因此，联系测量要确保精度。</w:t>
      </w:r>
    </w:p>
    <w:p w14:paraId="12163EE2">
      <w:pPr>
        <w:spacing w:line="240" w:lineRule="auto"/>
        <w:rPr>
          <w:rFonts w:hint="eastAsia" w:ascii="宋体" w:hAnsi="宋体"/>
        </w:rPr>
      </w:pPr>
      <w:r>
        <w:rPr>
          <w:rFonts w:ascii="宋体" w:hAnsi="宋体"/>
        </w:rPr>
        <w:t>11.3.2 每次联系测量应独立进行三次，取三次平均值作为定向成果；定向测量的地下近井定向边不少于2条，传递高程的地下近井高程点不少于2个。根据顶管施工长度确定施工期间是否需要进行联系测量以增加检核条件，但在顶管施工贯通前</w:t>
      </w:r>
      <w:r>
        <w:rPr>
          <w:rFonts w:hint="eastAsia" w:ascii="宋体" w:hAnsi="宋体"/>
        </w:rPr>
        <w:t>应</w:t>
      </w:r>
      <w:r>
        <w:rPr>
          <w:rFonts w:ascii="宋体" w:hAnsi="宋体"/>
        </w:rPr>
        <w:t>进行一次联系测量，以增加检核条件，提高联系测量精度和可靠性。</w:t>
      </w:r>
    </w:p>
    <w:p w14:paraId="69EE79EB">
      <w:pPr>
        <w:spacing w:line="240" w:lineRule="auto"/>
        <w:rPr>
          <w:rFonts w:hint="eastAsia" w:ascii="宋体" w:hAnsi="宋体"/>
        </w:rPr>
      </w:pPr>
      <w:r>
        <w:rPr>
          <w:rFonts w:ascii="宋体" w:hAnsi="宋体"/>
        </w:rPr>
        <w:t>11.3.3 地面近井点包括平面和高程近井点，地面近井点应附和在施工加密的精密导线网上构成附和导线或闭合导线。</w:t>
      </w:r>
    </w:p>
    <w:p w14:paraId="702E2BB8">
      <w:pPr>
        <w:spacing w:line="240" w:lineRule="auto"/>
        <w:rPr>
          <w:rFonts w:hint="eastAsia" w:ascii="宋体" w:hAnsi="宋体"/>
        </w:rPr>
      </w:pPr>
      <w:r>
        <w:rPr>
          <w:rFonts w:ascii="宋体" w:hAnsi="宋体"/>
        </w:rPr>
        <w:t>11.3.5 一井定向是在一个工作井进行的</w:t>
      </w:r>
      <w:r>
        <w:fldChar w:fldCharType="begin"/>
      </w:r>
      <w:r>
        <w:instrText xml:space="preserve"> HYPERLINK "https://baike.baidu.com/item/%E7%AB%96%E4%BA%95%E5%AE%9A%E5%90%91%E6%B5%8B%E9%87%8F" \t "https://baike.baidu.com/item/%E4%B8%80%E4%BA%95%E5%AE%9A%E5%90%91/_blank" </w:instrText>
      </w:r>
      <w:r>
        <w:fldChar w:fldCharType="separate"/>
      </w:r>
      <w:r>
        <w:rPr>
          <w:rFonts w:ascii="宋体" w:hAnsi="宋体"/>
        </w:rPr>
        <w:t>工作井定向测量</w:t>
      </w:r>
      <w:r>
        <w:rPr>
          <w:rFonts w:ascii="宋体" w:hAnsi="宋体"/>
        </w:rPr>
        <w:fldChar w:fldCharType="end"/>
      </w:r>
      <w:r>
        <w:rPr>
          <w:rFonts w:ascii="宋体" w:hAnsi="宋体"/>
        </w:rPr>
        <w:t>，是在一个井筒内悬挂两根钢丝（或同时铅垂地发射两条可见光束），将地面点的坐标和边的方位角传递到井下的测量工作。该方法在城市轨道交通联系测量中广泛应用。两井定向是通过两个工作井进行的</w:t>
      </w:r>
      <w:r>
        <w:fldChar w:fldCharType="begin"/>
      </w:r>
      <w:r>
        <w:instrText xml:space="preserve"> HYPERLINK "https://baike.baidu.com/item/%E7%AB%96%E4%BA%95%E5%AE%9A%E5%90%91%E6%B5%8B%E9%87%8F" \t "https://baike.baidu.com/item/%E4%B8%A4%E4%BA%95%E5%AE%9A%E5%90%91/_blank" </w:instrText>
      </w:r>
      <w:r>
        <w:fldChar w:fldCharType="separate"/>
      </w:r>
      <w:r>
        <w:rPr>
          <w:rFonts w:ascii="宋体" w:hAnsi="宋体"/>
        </w:rPr>
        <w:t>工作井定向测量</w:t>
      </w:r>
      <w:r>
        <w:rPr>
          <w:rFonts w:ascii="宋体" w:hAnsi="宋体"/>
        </w:rPr>
        <w:fldChar w:fldCharType="end"/>
      </w:r>
      <w:r>
        <w:rPr>
          <w:rFonts w:ascii="宋体" w:hAnsi="宋体"/>
        </w:rPr>
        <w:t>。是在两个有巷道连通的工作井井筒内，各悬挂一根重锤线（或各铅垂地发射一条可见光束），根据地面控制网测定两根重锤线中心（或光束轴心）的平面坐标，并在巷道内用导线对两重锤线中心（或光束轴心）进行联测，从而将地面控制网的平面坐标和方向，传递给井下的控制点和导线边。两井定向精度高，是提高联系测量精度的主要方法，进行联系测量时，有条件的都应进行两井定向。</w:t>
      </w:r>
    </w:p>
    <w:p w14:paraId="071DDF28">
      <w:pPr>
        <w:pStyle w:val="2"/>
        <w:spacing w:before="312" w:beforeLines="100" w:after="312" w:afterLines="100" w:line="240" w:lineRule="auto"/>
        <w:rPr>
          <w:rFonts w:hint="eastAsia" w:ascii="黑体" w:hAnsi="黑体" w:eastAsia="黑体"/>
          <w:b w:val="0"/>
          <w:sz w:val="21"/>
          <w:szCs w:val="21"/>
        </w:rPr>
      </w:pPr>
      <w:bookmarkStart w:id="300" w:name="_Toc56514542"/>
      <w:bookmarkStart w:id="301" w:name="_Toc100145200"/>
      <w:bookmarkStart w:id="302" w:name="_Toc81679094"/>
      <w:bookmarkStart w:id="303" w:name="_Toc97293188"/>
      <w:r>
        <w:rPr>
          <w:rFonts w:ascii="黑体" w:hAnsi="黑体" w:eastAsia="黑体"/>
          <w:b w:val="0"/>
          <w:sz w:val="21"/>
          <w:szCs w:val="21"/>
        </w:rPr>
        <w:t>12 工程监测</w:t>
      </w:r>
      <w:bookmarkEnd w:id="300"/>
      <w:bookmarkEnd w:id="301"/>
      <w:bookmarkEnd w:id="302"/>
      <w:bookmarkEnd w:id="303"/>
    </w:p>
    <w:p w14:paraId="00F95262">
      <w:pPr>
        <w:pStyle w:val="3"/>
        <w:spacing w:before="156" w:beforeLines="50" w:after="156" w:afterLines="50" w:line="240" w:lineRule="auto"/>
        <w:rPr>
          <w:rFonts w:hint="eastAsia" w:ascii="黑体" w:hAnsi="黑体"/>
          <w:b w:val="0"/>
          <w:sz w:val="21"/>
          <w:szCs w:val="21"/>
        </w:rPr>
      </w:pPr>
      <w:bookmarkStart w:id="304" w:name="_Toc56514543"/>
      <w:bookmarkStart w:id="305" w:name="_Toc81679095"/>
      <w:bookmarkStart w:id="306" w:name="_Toc97293189"/>
      <w:r>
        <w:rPr>
          <w:rFonts w:ascii="黑体" w:hAnsi="黑体"/>
          <w:b w:val="0"/>
          <w:sz w:val="21"/>
          <w:szCs w:val="21"/>
        </w:rPr>
        <w:t>12.1 一般规定</w:t>
      </w:r>
      <w:bookmarkEnd w:id="304"/>
      <w:bookmarkEnd w:id="305"/>
      <w:bookmarkEnd w:id="306"/>
    </w:p>
    <w:p w14:paraId="4A47AF7A">
      <w:pPr>
        <w:spacing w:line="240" w:lineRule="auto"/>
        <w:rPr>
          <w:rFonts w:hint="eastAsia" w:ascii="宋体" w:hAnsi="宋体"/>
        </w:rPr>
      </w:pPr>
      <w:r>
        <w:rPr>
          <w:rFonts w:ascii="宋体" w:hAnsi="宋体"/>
        </w:rPr>
        <w:t>12.1.1 顶管施工是继盾构施工之后而发展起来的一种地下管道施工方法，</w:t>
      </w:r>
      <w:r>
        <w:rPr>
          <w:rFonts w:hint="eastAsia" w:ascii="宋体" w:hAnsi="宋体"/>
        </w:rPr>
        <w:t>它</w:t>
      </w:r>
      <w:r>
        <w:rPr>
          <w:rFonts w:ascii="宋体" w:hAnsi="宋体"/>
        </w:rPr>
        <w:t>穿越公路、铁道、</w:t>
      </w:r>
      <w:r>
        <w:rPr>
          <w:rFonts w:hint="eastAsia" w:ascii="宋体" w:hAnsi="宋体"/>
        </w:rPr>
        <w:t>河流</w:t>
      </w:r>
      <w:r>
        <w:rPr>
          <w:rFonts w:ascii="宋体" w:hAnsi="宋体"/>
        </w:rPr>
        <w:t>、地面建筑物、地下结构以及各种地下管线等，因此顶管施工和运营期间对自身结构以及沿线环境稳定和安全的监测至关重要，所以变形监测十分必要。</w:t>
      </w:r>
    </w:p>
    <w:p w14:paraId="5E6DDFE3">
      <w:pPr>
        <w:spacing w:line="240" w:lineRule="auto"/>
        <w:rPr>
          <w:rFonts w:hint="eastAsia" w:ascii="宋体" w:hAnsi="宋体"/>
        </w:rPr>
      </w:pPr>
      <w:r>
        <w:rPr>
          <w:rFonts w:ascii="宋体" w:hAnsi="宋体"/>
        </w:rPr>
        <w:t>12.1.3 变形监测控制网是变形测量的依据，变形监测</w:t>
      </w:r>
      <w:r>
        <w:rPr>
          <w:rFonts w:hint="eastAsia" w:ascii="宋体" w:hAnsi="宋体"/>
        </w:rPr>
        <w:t>宜</w:t>
      </w:r>
      <w:r>
        <w:rPr>
          <w:rFonts w:ascii="宋体" w:hAnsi="宋体"/>
        </w:rPr>
        <w:t>布设专用控制网，布设时应考虑整个变形观测周期内稳定可靠，便于利用。变形监测点布设应能充分反映变形体变形特征。</w:t>
      </w:r>
    </w:p>
    <w:p w14:paraId="0EF0F4A7">
      <w:pPr>
        <w:pStyle w:val="3"/>
        <w:spacing w:before="156" w:beforeLines="50" w:after="156" w:afterLines="50" w:line="240" w:lineRule="auto"/>
        <w:rPr>
          <w:rFonts w:hint="eastAsia" w:ascii="黑体" w:hAnsi="黑体"/>
          <w:b w:val="0"/>
          <w:sz w:val="21"/>
          <w:szCs w:val="21"/>
        </w:rPr>
      </w:pPr>
      <w:bookmarkStart w:id="307" w:name="_Toc81679096"/>
      <w:bookmarkStart w:id="308" w:name="_Toc56514544"/>
      <w:bookmarkStart w:id="309" w:name="_Toc97293190"/>
      <w:r>
        <w:rPr>
          <w:rFonts w:ascii="黑体" w:hAnsi="黑体"/>
          <w:b w:val="0"/>
          <w:sz w:val="21"/>
          <w:szCs w:val="21"/>
        </w:rPr>
        <w:t>12.2 监测项目</w:t>
      </w:r>
      <w:bookmarkEnd w:id="307"/>
      <w:bookmarkEnd w:id="308"/>
      <w:bookmarkEnd w:id="309"/>
    </w:p>
    <w:p w14:paraId="66CB8382">
      <w:pPr>
        <w:spacing w:line="240" w:lineRule="auto"/>
        <w:rPr>
          <w:rFonts w:hint="eastAsia" w:ascii="宋体" w:hAnsi="宋体"/>
        </w:rPr>
      </w:pPr>
      <w:r>
        <w:rPr>
          <w:rFonts w:ascii="宋体" w:hAnsi="宋体"/>
        </w:rPr>
        <w:t>12.2.2 变形监测主要针对顶管施工自身的结构、施工的临时结构或构筑物、施工影响范围内的其他结构物、地表、路面、管线等等。其各自监测点布设在最能反应其变形特点的位置，监测具体内容和技术要求应与对应的规范要求相符合，比如建筑物参考《建筑变形测量规范》JGJ8-2016，城市轨道参考《城市轨道交通工程测量规范》GB/T50308-2017等。</w:t>
      </w:r>
    </w:p>
    <w:p w14:paraId="0EB20A69">
      <w:pPr>
        <w:pStyle w:val="3"/>
        <w:spacing w:before="156" w:beforeLines="50" w:after="156" w:afterLines="50" w:line="240" w:lineRule="auto"/>
        <w:rPr>
          <w:rFonts w:hint="eastAsia" w:ascii="黑体" w:hAnsi="黑体"/>
          <w:b w:val="0"/>
          <w:sz w:val="21"/>
          <w:szCs w:val="21"/>
        </w:rPr>
      </w:pPr>
      <w:bookmarkStart w:id="310" w:name="_Toc97293191"/>
      <w:bookmarkStart w:id="311" w:name="_Toc56514545"/>
      <w:bookmarkStart w:id="312" w:name="_Toc81679097"/>
      <w:r>
        <w:rPr>
          <w:rFonts w:ascii="黑体" w:hAnsi="黑体"/>
          <w:b w:val="0"/>
          <w:sz w:val="21"/>
          <w:szCs w:val="21"/>
        </w:rPr>
        <w:t>12.3 监测布点</w:t>
      </w:r>
      <w:bookmarkEnd w:id="310"/>
      <w:bookmarkEnd w:id="311"/>
      <w:bookmarkEnd w:id="312"/>
    </w:p>
    <w:p w14:paraId="64F20903">
      <w:pPr>
        <w:spacing w:line="240" w:lineRule="auto"/>
        <w:rPr>
          <w:rFonts w:hint="eastAsia" w:ascii="宋体" w:hAnsi="宋体"/>
        </w:rPr>
      </w:pPr>
      <w:r>
        <w:rPr>
          <w:rFonts w:ascii="宋体" w:hAnsi="宋体"/>
        </w:rPr>
        <w:t>12.3.2 变形监测是精度要求较高的测量，为确保监测数据能准确反映变形体的变形特征，应对基准网定期复测，确保变形监测网稳定。</w:t>
      </w:r>
    </w:p>
    <w:p w14:paraId="657E1493">
      <w:pPr>
        <w:pStyle w:val="2"/>
        <w:spacing w:before="312" w:beforeLines="100" w:after="312" w:afterLines="100" w:line="240" w:lineRule="auto"/>
        <w:rPr>
          <w:rFonts w:hint="eastAsia" w:ascii="黑体" w:hAnsi="黑体" w:eastAsia="黑体"/>
          <w:b w:val="0"/>
          <w:sz w:val="21"/>
          <w:szCs w:val="21"/>
        </w:rPr>
      </w:pPr>
      <w:bookmarkStart w:id="313" w:name="_Toc100145201"/>
      <w:bookmarkStart w:id="314" w:name="_Toc81679098"/>
      <w:bookmarkStart w:id="315" w:name="_Toc56514546"/>
      <w:bookmarkStart w:id="316" w:name="_Toc97293192"/>
      <w:r>
        <w:rPr>
          <w:rFonts w:ascii="黑体" w:hAnsi="黑体" w:eastAsia="黑体"/>
          <w:b w:val="0"/>
          <w:sz w:val="21"/>
          <w:szCs w:val="21"/>
        </w:rPr>
        <w:t>13 质量验收</w:t>
      </w:r>
      <w:bookmarkEnd w:id="313"/>
      <w:bookmarkEnd w:id="314"/>
      <w:bookmarkEnd w:id="315"/>
      <w:bookmarkEnd w:id="316"/>
    </w:p>
    <w:p w14:paraId="6C841806">
      <w:pPr>
        <w:pStyle w:val="3"/>
        <w:spacing w:before="156" w:beforeLines="50" w:after="156" w:afterLines="50" w:line="240" w:lineRule="auto"/>
        <w:rPr>
          <w:rFonts w:hint="eastAsia" w:ascii="黑体" w:hAnsi="黑体"/>
          <w:b w:val="0"/>
          <w:sz w:val="21"/>
          <w:szCs w:val="21"/>
        </w:rPr>
      </w:pPr>
      <w:bookmarkStart w:id="317" w:name="_Toc474229801"/>
      <w:bookmarkStart w:id="318" w:name="_Toc478586045"/>
      <w:bookmarkStart w:id="319" w:name="_Toc478586145"/>
      <w:bookmarkStart w:id="320" w:name="_Toc484503921"/>
      <w:bookmarkStart w:id="321" w:name="_Toc56514547"/>
      <w:bookmarkStart w:id="322" w:name="_Toc81679099"/>
      <w:bookmarkStart w:id="323" w:name="_Toc477960691"/>
      <w:bookmarkStart w:id="324" w:name="_Toc97293193"/>
      <w:bookmarkStart w:id="325" w:name="_Toc472351257"/>
      <w:bookmarkStart w:id="326" w:name="_Toc472961520"/>
      <w:bookmarkStart w:id="327" w:name="_Toc472961899"/>
      <w:bookmarkStart w:id="328" w:name="_Toc472183842"/>
      <w:bookmarkStart w:id="329" w:name="_Toc340062324"/>
      <w:bookmarkStart w:id="330" w:name="_Toc458279575"/>
      <w:bookmarkStart w:id="331" w:name="_Toc339211406"/>
      <w:r>
        <w:rPr>
          <w:rFonts w:ascii="黑体" w:hAnsi="黑体"/>
          <w:b w:val="0"/>
          <w:sz w:val="21"/>
          <w:szCs w:val="21"/>
        </w:rPr>
        <w:t>13.1 基本规定</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3FBD707">
      <w:pPr>
        <w:spacing w:line="240" w:lineRule="auto"/>
        <w:rPr>
          <w:rFonts w:hint="eastAsia" w:ascii="宋体" w:hAnsi="宋体"/>
        </w:rPr>
      </w:pPr>
      <w:r>
        <w:rPr>
          <w:rFonts w:ascii="宋体" w:hAnsi="宋体"/>
        </w:rPr>
        <w:t>13.1.2 本条规定顶管工程施工质量验收基础条件是施工单位自检合格，并应按检验批、分项</w:t>
      </w:r>
      <w:r>
        <w:rPr>
          <w:rFonts w:hint="eastAsia" w:ascii="宋体" w:hAnsi="宋体"/>
        </w:rPr>
        <w:t>工程</w:t>
      </w:r>
      <w:r>
        <w:rPr>
          <w:rFonts w:ascii="宋体" w:hAnsi="宋体"/>
        </w:rPr>
        <w:t>、分部工程、单位工程依次进行。</w:t>
      </w:r>
    </w:p>
    <w:p w14:paraId="314E30EE">
      <w:pPr>
        <w:pStyle w:val="176"/>
        <w:numPr>
          <w:ilvl w:val="0"/>
          <w:numId w:val="69"/>
        </w:numPr>
      </w:pPr>
      <w:r>
        <w:t>检验批是工程项目验收的基础，验收分为主控项目和一般项目。</w:t>
      </w:r>
    </w:p>
    <w:p w14:paraId="2A3A86DE">
      <w:pPr>
        <w:pStyle w:val="176"/>
        <w:numPr>
          <w:ilvl w:val="0"/>
          <w:numId w:val="69"/>
        </w:numPr>
      </w:pPr>
      <w:r>
        <w:t>主控项目，即在矩形顶管工程中对结构安全和使用功能起决定性作用的检验项目</w:t>
      </w:r>
      <w:r>
        <w:rPr>
          <w:rFonts w:hint="eastAsia"/>
        </w:rPr>
        <w:t>。</w:t>
      </w:r>
    </w:p>
    <w:p w14:paraId="4CFAB2AF">
      <w:pPr>
        <w:pStyle w:val="176"/>
        <w:numPr>
          <w:ilvl w:val="0"/>
          <w:numId w:val="69"/>
        </w:numPr>
      </w:pPr>
      <w:r>
        <w:t>一般项目，即除主控项目以外的检验项目，通常为现场实测实量的检验项目又称为允许偏差项目。检查方法和检查数量在相关条文中规定，检查数量未规定者，即为全数检查；</w:t>
      </w:r>
    </w:p>
    <w:p w14:paraId="3FFBA512">
      <w:pPr>
        <w:pStyle w:val="176"/>
        <w:numPr>
          <w:ilvl w:val="0"/>
          <w:numId w:val="69"/>
        </w:numPr>
      </w:pPr>
      <w:r>
        <w:t>工程的外观质量应由质量验收人员通过现场检查共同确认，这是考虑外观（观感）质量通常是定性的结论，需要验收人员共同确认。</w:t>
      </w:r>
    </w:p>
    <w:p w14:paraId="10D89B38">
      <w:pPr>
        <w:widowControl/>
        <w:spacing w:line="240" w:lineRule="auto"/>
        <w:rPr>
          <w:rFonts w:hint="eastAsia" w:ascii="宋体" w:hAnsi="宋体"/>
        </w:rPr>
      </w:pPr>
      <w:r>
        <w:rPr>
          <w:rFonts w:ascii="宋体" w:hAnsi="宋体"/>
        </w:rPr>
        <w:t>13.1.7 根据国家标准《建筑工程施工质量验收统一标准》GB50300-2013的规定，给出了检验批、分项工程、分部实体检验项目质量不符合要求时的处理方法。这些不同的验收处理方式是为了适应我国目前的经济技术发展水平，在保证结构安全和基本适应功能的条件下，避免造成不必要的经济损失和资源浪费。</w:t>
      </w:r>
    </w:p>
    <w:p w14:paraId="47C8D038">
      <w:pPr>
        <w:pStyle w:val="3"/>
        <w:spacing w:before="156" w:beforeLines="50" w:after="156" w:afterLines="50" w:line="240" w:lineRule="auto"/>
        <w:rPr>
          <w:rFonts w:hint="eastAsia" w:ascii="黑体" w:hAnsi="黑体"/>
          <w:b w:val="0"/>
          <w:sz w:val="21"/>
          <w:szCs w:val="21"/>
        </w:rPr>
      </w:pPr>
      <w:bookmarkStart w:id="332" w:name="_Toc81679100"/>
      <w:bookmarkStart w:id="333" w:name="_Toc97293194"/>
      <w:bookmarkStart w:id="334" w:name="_Toc56514548"/>
      <w:r>
        <w:rPr>
          <w:rFonts w:ascii="黑体" w:hAnsi="黑体"/>
          <w:b w:val="0"/>
          <w:sz w:val="21"/>
          <w:szCs w:val="21"/>
        </w:rPr>
        <w:t>13.2 工程质量验收</w:t>
      </w:r>
      <w:bookmarkEnd w:id="332"/>
      <w:bookmarkEnd w:id="333"/>
      <w:bookmarkEnd w:id="334"/>
    </w:p>
    <w:p w14:paraId="7CE41B2B">
      <w:pPr>
        <w:widowControl/>
        <w:spacing w:line="240" w:lineRule="auto"/>
        <w:rPr>
          <w:rFonts w:hint="eastAsia" w:ascii="宋体" w:hAnsi="宋体"/>
        </w:rPr>
      </w:pPr>
      <w:r>
        <w:rPr>
          <w:rFonts w:ascii="宋体" w:hAnsi="宋体"/>
        </w:rPr>
        <w:t>13.2.3 考虑到矩形顶管施工的特点，成型管道的允许偏差适用于直线段矩形顶管</w:t>
      </w:r>
      <w:r>
        <w:rPr>
          <w:rFonts w:hint="eastAsia" w:ascii="宋体" w:hAnsi="宋体"/>
        </w:rPr>
        <w:t>；管节错台的检查点宜为管节的四个角点</w:t>
      </w:r>
    </w:p>
    <w:bookmarkEnd w:id="21"/>
    <w:p w14:paraId="5DA89BB9">
      <w:pPr>
        <w:pStyle w:val="58"/>
        <w:ind w:firstLine="0" w:firstLineChars="0"/>
        <w:jc w:val="center"/>
      </w:pPr>
      <w:bookmarkStart w:id="335" w:name="BookMark8"/>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35"/>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Noto Sans CJK SC">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Calibri Light">
    <w:altName w:val="Calibri"/>
    <w:panose1 w:val="020F030202020403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Cambria Math">
    <w:panose1 w:val="02040503050406030204"/>
    <w:charset w:val="00"/>
    <w:family w:val="roman"/>
    <w:pitch w:val="default"/>
    <w:sig w:usb0="A00002EF" w:usb1="420020EB" w:usb2="00000000"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DF7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C42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B91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4F82">
    <w:pPr>
      <w:pStyle w:val="54"/>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0D1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23F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FD0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3181">
    <w:pPr>
      <w:pStyle w:val="63"/>
      <w:rPr>
        <w:rFonts w:hint="eastAsia"/>
      </w:rPr>
    </w:pPr>
    <w:r>
      <w:fldChar w:fldCharType="begin"/>
    </w:r>
    <w:r>
      <w:instrText xml:space="preserve"> STYLEREF  标准文件_文件编号  \* MERGEFORMAT </w:instrText>
    </w:r>
    <w:r>
      <w:fldChar w:fldCharType="separate"/>
    </w:r>
    <w:r>
      <w:t>DBXX/TXXXX—XXXX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EC65">
    <w:pPr>
      <w:pStyle w:val="18"/>
      <w:jc w:val="right"/>
      <w:rPr>
        <w:lang w:val="fr-FR"/>
      </w:rPr>
    </w:pPr>
    <w:r>
      <w:fldChar w:fldCharType="begin"/>
    </w:r>
    <w:r>
      <w:instrText xml:space="preserve"> STYLEREF  标准文件_文件编号  \* MERGEFORMAT </w:instrText>
    </w:r>
    <w:r>
      <w:fldChar w:fldCharType="separate"/>
    </w:r>
    <w:r>
      <w:t>DBXX/TXXXX—XXXX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C87179D"/>
    <w:multiLevelType w:val="multilevel"/>
    <w:tmpl w:val="1C87179D"/>
    <w:lvl w:ilvl="0" w:tentative="0">
      <w:start w:val="1"/>
      <w:numFmt w:val="lowerLetter"/>
      <w:lvlText w:val="%1)"/>
      <w:lvlJc w:val="left"/>
      <w:pPr>
        <w:tabs>
          <w:tab w:val="left" w:pos="851"/>
        </w:tabs>
        <w:ind w:left="851" w:hanging="426"/>
      </w:pPr>
      <w:rPr>
        <w:rFonts w:hint="eastAsia"/>
        <w:b w:val="0"/>
        <w:strike w:val="0"/>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24C091C"/>
    <w:multiLevelType w:val="multilevel"/>
    <w:tmpl w:val="224C091C"/>
    <w:lvl w:ilvl="0" w:tentative="0">
      <w:start w:val="1"/>
      <w:numFmt w:val="lowerLetter"/>
      <w:lvlText w:val="%1)"/>
      <w:lvlJc w:val="left"/>
      <w:pPr>
        <w:tabs>
          <w:tab w:val="left" w:pos="851"/>
        </w:tabs>
        <w:ind w:left="851" w:hanging="426"/>
      </w:pPr>
      <w:rPr>
        <w:rFonts w:hint="eastAsia"/>
        <w:b w:val="0"/>
        <w:strike w:val="0"/>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b w:val="0"/>
        <w:strike w:val="0"/>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FC8402E"/>
    <w:multiLevelType w:val="multilevel"/>
    <w:tmpl w:val="5FC8402E"/>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3">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F786F7F"/>
    <w:multiLevelType w:val="multilevel"/>
    <w:tmpl w:val="7F786F7F"/>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10"/>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70"/>
    <w:rsid w:val="0000040A"/>
    <w:rsid w:val="00000A94"/>
    <w:rsid w:val="00001972"/>
    <w:rsid w:val="00001D9A"/>
    <w:rsid w:val="00007B3A"/>
    <w:rsid w:val="00010569"/>
    <w:rsid w:val="000107E0"/>
    <w:rsid w:val="00011FDE"/>
    <w:rsid w:val="00012FFD"/>
    <w:rsid w:val="00013BF6"/>
    <w:rsid w:val="00014162"/>
    <w:rsid w:val="00014340"/>
    <w:rsid w:val="00016A9C"/>
    <w:rsid w:val="0001706A"/>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3A7"/>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A9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72A"/>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AAE"/>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EAA"/>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6C4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073"/>
    <w:rsid w:val="00432DAA"/>
    <w:rsid w:val="004333A9"/>
    <w:rsid w:val="00434305"/>
    <w:rsid w:val="00435DF7"/>
    <w:rsid w:val="0044083F"/>
    <w:rsid w:val="00441AE7"/>
    <w:rsid w:val="00445574"/>
    <w:rsid w:val="004467FB"/>
    <w:rsid w:val="00452D6B"/>
    <w:rsid w:val="00454484"/>
    <w:rsid w:val="0045517B"/>
    <w:rsid w:val="00456187"/>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6A70"/>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0E6"/>
    <w:rsid w:val="00516088"/>
    <w:rsid w:val="00516B0B"/>
    <w:rsid w:val="005220EC"/>
    <w:rsid w:val="00523F95"/>
    <w:rsid w:val="00524D65"/>
    <w:rsid w:val="00525B16"/>
    <w:rsid w:val="00533D04"/>
    <w:rsid w:val="00533ECD"/>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56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672"/>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779"/>
    <w:rsid w:val="006640E5"/>
    <w:rsid w:val="006646F1"/>
    <w:rsid w:val="00664929"/>
    <w:rsid w:val="00664F62"/>
    <w:rsid w:val="006655E1"/>
    <w:rsid w:val="00672060"/>
    <w:rsid w:val="00672BFD"/>
    <w:rsid w:val="006770F4"/>
    <w:rsid w:val="006773CE"/>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4FF"/>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40B"/>
    <w:rsid w:val="007B5A3D"/>
    <w:rsid w:val="007B5B95"/>
    <w:rsid w:val="007B68EA"/>
    <w:rsid w:val="007B7453"/>
    <w:rsid w:val="007C1E8B"/>
    <w:rsid w:val="007C2D89"/>
    <w:rsid w:val="007C4593"/>
    <w:rsid w:val="007C5309"/>
    <w:rsid w:val="007C6069"/>
    <w:rsid w:val="007D06C4"/>
    <w:rsid w:val="007D1352"/>
    <w:rsid w:val="007D2508"/>
    <w:rsid w:val="007D346A"/>
    <w:rsid w:val="007D5C0E"/>
    <w:rsid w:val="007D6518"/>
    <w:rsid w:val="007D76BD"/>
    <w:rsid w:val="007E0BF1"/>
    <w:rsid w:val="007E1508"/>
    <w:rsid w:val="007F0ED8"/>
    <w:rsid w:val="007F0F63"/>
    <w:rsid w:val="007F75CE"/>
    <w:rsid w:val="008013A4"/>
    <w:rsid w:val="008027CE"/>
    <w:rsid w:val="00802F42"/>
    <w:rsid w:val="00804383"/>
    <w:rsid w:val="00804BB7"/>
    <w:rsid w:val="00804D41"/>
    <w:rsid w:val="00810257"/>
    <w:rsid w:val="008104F5"/>
    <w:rsid w:val="00811072"/>
    <w:rsid w:val="00811369"/>
    <w:rsid w:val="00813199"/>
    <w:rsid w:val="00815419"/>
    <w:rsid w:val="008163C8"/>
    <w:rsid w:val="008164A1"/>
    <w:rsid w:val="00817325"/>
    <w:rsid w:val="008209E6"/>
    <w:rsid w:val="00823303"/>
    <w:rsid w:val="008233B2"/>
    <w:rsid w:val="00823A9F"/>
    <w:rsid w:val="00823C85"/>
    <w:rsid w:val="00825138"/>
    <w:rsid w:val="008269DD"/>
    <w:rsid w:val="00830621"/>
    <w:rsid w:val="008313CD"/>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A3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86B"/>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3D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6D2"/>
    <w:rsid w:val="009429D5"/>
    <w:rsid w:val="00942BF1"/>
    <w:rsid w:val="00945180"/>
    <w:rsid w:val="00945428"/>
    <w:rsid w:val="0094607B"/>
    <w:rsid w:val="009533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3B2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36F8"/>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412"/>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4F1"/>
    <w:rsid w:val="00AB41D5"/>
    <w:rsid w:val="00AB6309"/>
    <w:rsid w:val="00AB6C5F"/>
    <w:rsid w:val="00AB6F3C"/>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AEB"/>
    <w:rsid w:val="00B34DC2"/>
    <w:rsid w:val="00B3759B"/>
    <w:rsid w:val="00B378E5"/>
    <w:rsid w:val="00B4346D"/>
    <w:rsid w:val="00B440F4"/>
    <w:rsid w:val="00B447A5"/>
    <w:rsid w:val="00B4654C"/>
    <w:rsid w:val="00B465CB"/>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6D4D"/>
    <w:rsid w:val="00B97386"/>
    <w:rsid w:val="00BA263B"/>
    <w:rsid w:val="00BA42B2"/>
    <w:rsid w:val="00BA58D4"/>
    <w:rsid w:val="00BA5B9E"/>
    <w:rsid w:val="00BA7C9A"/>
    <w:rsid w:val="00BB203B"/>
    <w:rsid w:val="00BB5F8F"/>
    <w:rsid w:val="00BB657A"/>
    <w:rsid w:val="00BC1A4E"/>
    <w:rsid w:val="00BC4790"/>
    <w:rsid w:val="00BC511D"/>
    <w:rsid w:val="00BC5DC7"/>
    <w:rsid w:val="00BC6B8B"/>
    <w:rsid w:val="00BC73D8"/>
    <w:rsid w:val="00BD52D7"/>
    <w:rsid w:val="00BD5AD2"/>
    <w:rsid w:val="00BD7381"/>
    <w:rsid w:val="00BE0188"/>
    <w:rsid w:val="00BE22F3"/>
    <w:rsid w:val="00BE5B52"/>
    <w:rsid w:val="00BE7101"/>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09E"/>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48B3"/>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295"/>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30F0"/>
    <w:rsid w:val="00D561BA"/>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3B79"/>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8FD"/>
    <w:rsid w:val="00EB74DB"/>
    <w:rsid w:val="00EC329E"/>
    <w:rsid w:val="00EC5359"/>
    <w:rsid w:val="00EC562A"/>
    <w:rsid w:val="00ED067A"/>
    <w:rsid w:val="00ED2B50"/>
    <w:rsid w:val="00EE0350"/>
    <w:rsid w:val="00EE0719"/>
    <w:rsid w:val="00EE0E80"/>
    <w:rsid w:val="00EE54A6"/>
    <w:rsid w:val="00EE613F"/>
    <w:rsid w:val="00EE6B21"/>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C22"/>
    <w:rsid w:val="00F81141"/>
    <w:rsid w:val="00F833BA"/>
    <w:rsid w:val="00F84FD0"/>
    <w:rsid w:val="00F859A8"/>
    <w:rsid w:val="00F86D87"/>
    <w:rsid w:val="00F9108B"/>
    <w:rsid w:val="00F91349"/>
    <w:rsid w:val="00F93A8A"/>
    <w:rsid w:val="00F95248"/>
    <w:rsid w:val="00F956A9"/>
    <w:rsid w:val="00F963ED"/>
    <w:rsid w:val="00F966CF"/>
    <w:rsid w:val="00F96CAE"/>
    <w:rsid w:val="00F96F7C"/>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662"/>
    <w:rsid w:val="00FE4BCE"/>
    <w:rsid w:val="00FE54AE"/>
    <w:rsid w:val="00FE576A"/>
    <w:rsid w:val="00FE7E79"/>
    <w:rsid w:val="00FF38AD"/>
    <w:rsid w:val="00FF3E7D"/>
    <w:rsid w:val="00FF5B99"/>
    <w:rsid w:val="00FF730C"/>
    <w:rsid w:val="00FF73F4"/>
    <w:rsid w:val="00FF7CE4"/>
    <w:rsid w:val="00FF7E39"/>
    <w:rsid w:val="537E163A"/>
    <w:rsid w:val="5D77ED21"/>
    <w:rsid w:val="BFA5B8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index 7"/>
    <w:basedOn w:val="1"/>
    <w:next w:val="1"/>
    <w:qFormat/>
    <w:uiPriority w:val="0"/>
    <w:pPr>
      <w:adjustRightInd/>
      <w:spacing w:line="240" w:lineRule="auto"/>
      <w:ind w:left="1470" w:hanging="210"/>
      <w:jc w:val="left"/>
    </w:pPr>
    <w:rPr>
      <w:sz w:val="20"/>
      <w:szCs w:val="20"/>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99"/>
    <w:pPr>
      <w:widowControl/>
      <w:adjustRightInd/>
      <w:spacing w:before="100" w:beforeAutospacing="1" w:after="100" w:afterAutospacing="1" w:line="330" w:lineRule="atLeast"/>
      <w:jc w:val="left"/>
    </w:pPr>
    <w:rPr>
      <w:rFonts w:ascii="宋体" w:hAnsi="宋体" w:cs="宋体"/>
      <w:kern w:val="0"/>
      <w:sz w:val="22"/>
      <w:szCs w:val="22"/>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8"/>
    <w:qFormat/>
    <w:uiPriority w:val="99"/>
    <w:rPr>
      <w:kern w:val="2"/>
      <w:sz w:val="18"/>
      <w:szCs w:val="18"/>
    </w:rPr>
  </w:style>
  <w:style w:type="character" w:customStyle="1" w:styleId="46">
    <w:name w:val="页脚 字符"/>
    <w:link w:val="17"/>
    <w:qFormat/>
    <w:uiPriority w:val="99"/>
    <w:rPr>
      <w:rFonts w:ascii="宋体"/>
      <w:kern w:val="2"/>
      <w:sz w:val="18"/>
      <w:szCs w:val="18"/>
    </w:rPr>
  </w:style>
  <w:style w:type="character" w:customStyle="1" w:styleId="47">
    <w:name w:val="批注框文本 字符"/>
    <w:link w:val="16"/>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kern w:val="2"/>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1\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1E4182C1C043299A1D113FDCD640C6"/>
        <w:style w:val=""/>
        <w:category>
          <w:name w:val="常规"/>
          <w:gallery w:val="placeholder"/>
        </w:category>
        <w:types>
          <w:type w:val="bbPlcHdr"/>
        </w:types>
        <w:behaviors>
          <w:behavior w:val="content"/>
        </w:behaviors>
        <w:description w:val=""/>
        <w:guid w:val="{B4C1B5E5-5341-43DB-A07D-86EC8B5217C4}"/>
      </w:docPartPr>
      <w:docPartBody>
        <w:p w14:paraId="236EB9A3">
          <w:pPr>
            <w:pStyle w:val="5"/>
            <w:rPr>
              <w:rFonts w:hint="eastAsia"/>
            </w:rPr>
          </w:pPr>
          <w:r>
            <w:rPr>
              <w:rStyle w:val="4"/>
              <w:rFonts w:hint="eastAsia"/>
            </w:rPr>
            <w:t>单击或点击此处输入文字。</w:t>
          </w:r>
        </w:p>
      </w:docPartBody>
    </w:docPart>
    <w:docPart>
      <w:docPartPr>
        <w:name w:val="1BF0564B29E5448D957091B584CDC514"/>
        <w:style w:val=""/>
        <w:category>
          <w:name w:val="常规"/>
          <w:gallery w:val="placeholder"/>
        </w:category>
        <w:types>
          <w:type w:val="bbPlcHdr"/>
        </w:types>
        <w:behaviors>
          <w:behavior w:val="content"/>
        </w:behaviors>
        <w:description w:val=""/>
        <w:guid w:val="{F926B6E7-5F0F-4E3A-96DE-B4F8EF7DF559}"/>
      </w:docPartPr>
      <w:docPartBody>
        <w:p w14:paraId="7FC4C72A">
          <w:pPr>
            <w:pStyle w:val="6"/>
            <w:rPr>
              <w:rFonts w:hint="eastAsia"/>
            </w:rPr>
          </w:pPr>
          <w:r>
            <w:rPr>
              <w:rStyle w:val="4"/>
              <w:rFonts w:hint="eastAsia"/>
            </w:rPr>
            <w:t>选择一项。</w:t>
          </w:r>
        </w:p>
      </w:docPartBody>
    </w:docPart>
    <w:docPart>
      <w:docPartPr>
        <w:name w:val="5813D8ADA0624C258886AEE3A8D1C260"/>
        <w:style w:val=""/>
        <w:category>
          <w:name w:val="常规"/>
          <w:gallery w:val="placeholder"/>
        </w:category>
        <w:types>
          <w:type w:val="bbPlcHdr"/>
        </w:types>
        <w:behaviors>
          <w:behavior w:val="content"/>
        </w:behaviors>
        <w:description w:val=""/>
        <w:guid w:val="{798701E7-33A0-499F-B1FB-821EA586BAB6}"/>
      </w:docPartPr>
      <w:docPartBody>
        <w:p w14:paraId="3B47ABAA">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Noto Sans CJK SC">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F35098"/>
    <w:rsid w:val="0019572A"/>
    <w:rsid w:val="001A3330"/>
    <w:rsid w:val="001C7F0D"/>
    <w:rsid w:val="002319C2"/>
    <w:rsid w:val="00495A21"/>
    <w:rsid w:val="005473C2"/>
    <w:rsid w:val="0066461E"/>
    <w:rsid w:val="006B5258"/>
    <w:rsid w:val="006D34FF"/>
    <w:rsid w:val="00813199"/>
    <w:rsid w:val="008B686B"/>
    <w:rsid w:val="008E5655"/>
    <w:rsid w:val="008F33D5"/>
    <w:rsid w:val="00A44412"/>
    <w:rsid w:val="00A45740"/>
    <w:rsid w:val="00C8409E"/>
    <w:rsid w:val="00D35BF7"/>
    <w:rsid w:val="00EF71AB"/>
    <w:rsid w:val="00F35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1E4182C1C043299A1D113FDCD640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BF0564B29E5448D957091B584CDC5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813D8ADA0624C258886AEE3A8D1C26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35</Pages>
  <Words>1958</Words>
  <Characters>2510</Characters>
  <Lines>1879</Lines>
  <Paragraphs>2101</Paragraphs>
  <TotalTime>5</TotalTime>
  <ScaleCrop>false</ScaleCrop>
  <LinksUpToDate>false</LinksUpToDate>
  <CharactersWithSpaces>2683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2026-02-10T01:40:00Z</dcterms:created>
  <dc:creator>邵璇</dc:creator>
  <dc:description>&lt;config cover="true" show_menu="true" version="1.0.0" doctype="SDKXY"&gt;_x000d_
&lt;/config&gt;</dc:description>
  <cp:lastModifiedBy>Kathy 敏</cp:lastModifiedBy>
  <cp:lastPrinted>2026-04-08T16:34:00Z</cp:lastPrinted>
  <dcterms:modified xsi:type="dcterms:W3CDTF">2026-04-29T01:24:16Z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CB150B6502F95D25E488E569C9B4216B_42</vt:lpwstr>
  </property>
  <property fmtid="{D5CDD505-2E9C-101B-9397-08002B2CF9AE}" pid="16" name="KSOTemplateDocerSaveRecord">
    <vt:lpwstr>eyJoZGlkIjoiMjk2ZGZmMzI3ZDEyZTNmYTRlYzFlYmMwODMzNWEyNjciLCJ1c2VySWQiOiI3MTQ3Nzc1MjIifQ==</vt:lpwstr>
  </property>
</Properties>
</file>