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1"/>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3CDCB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117E9183">
            <w:pPr>
              <w:pStyle w:val="27"/>
              <w:framePr w:wrap="notBeside" w:vAnchor="page" w:hAnchor="page" w:x="1372" w:y="568"/>
              <w:tabs>
                <w:tab w:val="clear" w:pos="4153"/>
                <w:tab w:val="clear" w:pos="8306"/>
              </w:tabs>
              <w:spacing w:line="240" w:lineRule="auto"/>
              <w:jc w:val="left"/>
              <w:rPr>
                <w:rFonts w:ascii="Times New Roman" w:hAnsi="Times New Roman" w:eastAsia="黑体"/>
                <w:sz w:val="21"/>
                <w:szCs w:val="21"/>
              </w:rPr>
            </w:pPr>
            <w:r>
              <w:rPr>
                <w:rFonts w:ascii="Times New Roman" w:hAnsi="Times New Roman" w:eastAsia="黑体"/>
                <w:sz w:val="21"/>
                <w:szCs w:val="21"/>
              </w:rPr>
              <w:t xml:space="preserve">ICS  </w:t>
            </w:r>
          </w:p>
        </w:tc>
        <w:tc>
          <w:tcPr>
            <w:tcW w:w="8855" w:type="dxa"/>
          </w:tcPr>
          <w:p w14:paraId="23C2F831">
            <w:pPr>
              <w:pStyle w:val="27"/>
              <w:framePr w:wrap="notBeside" w:vAnchor="page" w:hAnchor="page" w:x="1372" w:y="568"/>
              <w:tabs>
                <w:tab w:val="clear" w:pos="4153"/>
                <w:tab w:val="clear" w:pos="8306"/>
              </w:tabs>
              <w:spacing w:line="240" w:lineRule="auto"/>
              <w:jc w:val="both"/>
              <w:rPr>
                <w:rFonts w:ascii="Times New Roman" w:hAnsi="Times New Roman" w:eastAsia="黑体"/>
                <w:sz w:val="21"/>
                <w:szCs w:val="21"/>
              </w:rPr>
            </w:pPr>
            <w:r>
              <w:rPr>
                <w:rFonts w:hint="eastAsia" w:ascii="Times New Roman" w:hAnsi="Times New Roman" w:eastAsia="黑体"/>
                <w:sz w:val="21"/>
                <w:szCs w:val="21"/>
              </w:rPr>
              <w:t>91.100.30</w:t>
            </w:r>
          </w:p>
        </w:tc>
      </w:tr>
      <w:tr w14:paraId="084E4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1A22D2F">
            <w:pPr>
              <w:pStyle w:val="27"/>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t xml:space="preserve">CCS  </w:t>
            </w:r>
          </w:p>
        </w:tc>
        <w:tc>
          <w:tcPr>
            <w:tcW w:w="8855" w:type="dxa"/>
          </w:tcPr>
          <w:p w14:paraId="3FB07748">
            <w:pPr>
              <w:pStyle w:val="27"/>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hint="eastAsia" w:ascii="Times New Roman" w:hAnsi="Times New Roman" w:eastAsia="黑体"/>
                <w:sz w:val="21"/>
                <w:szCs w:val="21"/>
              </w:rPr>
              <w:t xml:space="preserve"> P 32</w:t>
            </w:r>
          </w:p>
        </w:tc>
      </w:tr>
    </w:tbl>
    <w:tbl>
      <w:tblPr>
        <w:tblStyle w:val="41"/>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45C7A03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4231B5F4">
            <w:pPr>
              <w:pStyle w:val="81"/>
              <w:framePr w:w="0" w:hRule="auto" w:wrap="auto" w:vAnchor="margin" w:hAnchor="text" w:xAlign="left" w:yAlign="inline"/>
              <w:rPr>
                <w:sz w:val="28"/>
                <w:szCs w:val="28"/>
              </w:rPr>
            </w:pPr>
            <w:bookmarkStart w:id="0" w:name="_Hlk26473981"/>
            <w:r>
              <w:rPr>
                <w:szCs w:val="96"/>
              </w:rPr>
              <w:t>DB</w:t>
            </w:r>
            <w:r>
              <w:rPr>
                <w:bdr w:val="single" w:color="auto" w:sz="4" w:space="0"/>
              </w:rPr>
              <w:fldChar w:fldCharType="begin">
                <w:ffData>
                  <w:name w:val="c1"/>
                  <w:enabled/>
                  <w:calcOnExit w:val="0"/>
                  <w:textInput>
                    <w:maxLength w:val="8"/>
                  </w:textInput>
                </w:ffData>
              </w:fldChar>
            </w:r>
            <w:bookmarkStart w:id="1" w:name="c1"/>
            <w:r>
              <w:rPr>
                <w:bdr w:val="single" w:color="auto" w:sz="4" w:space="0"/>
              </w:rPr>
              <w:instrText xml:space="preserve"> FORMTEXT </w:instrText>
            </w:r>
            <w:r>
              <w:rPr>
                <w:bdr w:val="single" w:color="auto" w:sz="4" w:space="0"/>
              </w:rPr>
              <w:fldChar w:fldCharType="separate"/>
            </w:r>
            <w:r>
              <w:rPr>
                <w:bdr w:val="single" w:color="auto" w:sz="4" w:space="0"/>
              </w:rPr>
              <w:t>42</w:t>
            </w:r>
            <w:r>
              <w:rPr>
                <w:bdr w:val="single" w:color="auto" w:sz="4" w:space="0"/>
              </w:rPr>
              <w:fldChar w:fldCharType="end"/>
            </w:r>
            <w:bookmarkEnd w:id="1"/>
          </w:p>
        </w:tc>
      </w:tr>
      <w:bookmarkEnd w:id="0"/>
    </w:tbl>
    <w:p w14:paraId="52FD8C49">
      <w:pPr>
        <w:framePr w:w="9639" w:h="624" w:hRule="exact" w:hSpace="181" w:vSpace="181" w:wrap="around" w:vAnchor="page" w:hAnchor="page" w:x="1305" w:y="2269" w:anchorLock="1"/>
        <w:widowControl/>
        <w:adjustRightInd/>
        <w:spacing w:line="300" w:lineRule="auto"/>
        <w:jc w:val="distribute"/>
        <w:rPr>
          <w:rFonts w:ascii="Times New Roman" w:hAnsi="Times New Roman" w:eastAsia="黑体"/>
          <w:spacing w:val="-40"/>
          <w:sz w:val="48"/>
          <w:szCs w:val="48"/>
        </w:rPr>
      </w:pPr>
      <w:r>
        <w:rPr>
          <w:rFonts w:ascii="Times New Roman" w:hAnsi="Times New Roman" w:eastAsia="黑体"/>
          <w:spacing w:val="-40"/>
          <w:sz w:val="48"/>
          <w:szCs w:val="48"/>
        </w:rPr>
        <w:t>湖北省地方标准</w:t>
      </w:r>
    </w:p>
    <w:p w14:paraId="63468C14">
      <w:pPr>
        <w:pStyle w:val="217"/>
        <w:ind w:left="-424"/>
        <w:rPr>
          <w:rFonts w:ascii="Times New Roman"/>
          <w:lang w:val="fr-FR"/>
        </w:rPr>
      </w:pPr>
      <w:r>
        <w:rPr>
          <w:rFonts w:ascii="Times New Roman"/>
          <w:lang w:val="fr-FR"/>
        </w:rPr>
        <w:t>DB</w:t>
      </w:r>
      <w:r>
        <w:rPr>
          <w:rFonts w:ascii="Times New Roman"/>
          <w:sz w:val="15"/>
          <w:szCs w:val="15"/>
          <w:lang w:val="fr-FR"/>
        </w:rPr>
        <w:t xml:space="preserve"> </w:t>
      </w:r>
      <w:r>
        <w:rPr>
          <w:rFonts w:ascii="Times New Roman"/>
        </w:rPr>
        <w:fldChar w:fldCharType="begin">
          <w:ffData>
            <w:name w:val="文字1"/>
            <w:enabled/>
            <w:calcOnExit w:val="0"/>
            <w:textInput>
              <w:default w:val="XX/T"/>
            </w:textInput>
          </w:ffData>
        </w:fldChar>
      </w:r>
      <w:bookmarkStart w:id="2" w:name="文字1"/>
      <w:r>
        <w:rPr>
          <w:rFonts w:ascii="Times New Roman"/>
          <w:lang w:val="fr-FR"/>
        </w:rPr>
        <w:instrText xml:space="preserve"> FORMTEXT </w:instrText>
      </w:r>
      <w:r>
        <w:rPr>
          <w:rFonts w:ascii="Times New Roman"/>
        </w:rPr>
        <w:fldChar w:fldCharType="separate"/>
      </w:r>
      <w:r>
        <w:rPr>
          <w:rFonts w:ascii="Times New Roman"/>
        </w:rPr>
        <w:t>42</w:t>
      </w:r>
      <w:r>
        <w:rPr>
          <w:rFonts w:ascii="Times New Roman"/>
          <w:lang w:val="fr-FR"/>
        </w:rPr>
        <w:t>/T</w:t>
      </w:r>
      <w:r>
        <w:rPr>
          <w:rFonts w:ascii="Times New Roman"/>
        </w:rPr>
        <w:fldChar w:fldCharType="end"/>
      </w:r>
      <w:bookmarkEnd w:id="2"/>
      <w:r>
        <w:rPr>
          <w:rFonts w:ascii="Times New Roman"/>
          <w:lang w:val="fr-FR"/>
        </w:rPr>
        <w:t xml:space="preserve"> </w:t>
      </w:r>
      <w:r>
        <w:rPr>
          <w:rFonts w:ascii="Times New Roman"/>
        </w:rPr>
        <w:fldChar w:fldCharType="begin">
          <w:ffData>
            <w:name w:val="NSTD_CODE_F"/>
            <w:enabled/>
            <w:calcOnExit w:val="0"/>
            <w:textInput>
              <w:default w:val="XXXX"/>
            </w:textInput>
          </w:ffData>
        </w:fldChar>
      </w:r>
      <w:bookmarkStart w:id="3" w:name="NSTD_CODE_F"/>
      <w:r>
        <w:rPr>
          <w:rFonts w:ascii="Times New Roman"/>
          <w:lang w:val="fr-FR"/>
        </w:rPr>
        <w:instrText xml:space="preserve"> FORMTEXT </w:instrText>
      </w:r>
      <w:r>
        <w:rPr>
          <w:rFonts w:ascii="Times New Roman"/>
        </w:rPr>
        <w:fldChar w:fldCharType="separate"/>
      </w:r>
      <w:r>
        <w:rPr>
          <w:rFonts w:ascii="Times New Roman"/>
          <w:lang w:val="fr-FR"/>
        </w:rPr>
        <w:t>XXXX</w:t>
      </w:r>
      <w:r>
        <w:rPr>
          <w:rFonts w:ascii="Times New Roman"/>
        </w:rPr>
        <w:fldChar w:fldCharType="end"/>
      </w:r>
      <w:bookmarkEnd w:id="3"/>
      <w:r>
        <w:rPr>
          <w:rFonts w:ascii="Times New Roman"/>
          <w:lang w:val="fr-FR"/>
        </w:rPr>
        <w:t>—</w:t>
      </w:r>
      <w:r>
        <w:rPr>
          <w:rFonts w:ascii="Times New Roman"/>
        </w:rPr>
        <w:t>XXXX</w:t>
      </w:r>
    </w:p>
    <w:p w14:paraId="63982521">
      <w:pPr>
        <w:pStyle w:val="218"/>
        <w:ind w:left="-424"/>
        <w:rPr>
          <w:rFonts w:ascii="Times New Roman"/>
        </w:rPr>
      </w:pPr>
      <w:r>
        <w:rPr>
          <w:rFonts w:ascii="Times New Roman"/>
        </w:rPr>
        <w:fldChar w:fldCharType="begin">
          <w:ffData>
            <w:name w:val="OSTD_CODE"/>
            <w:enabled/>
            <w:calcOnExit w:val="0"/>
            <w:textInput/>
          </w:ffData>
        </w:fldChar>
      </w:r>
      <w:bookmarkStart w:id="4" w:name="OSTD_CODE"/>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4"/>
    </w:p>
    <w:p w14:paraId="1E461A3A">
      <w:pPr>
        <w:spacing w:line="240" w:lineRule="auto"/>
        <w:rPr>
          <w:rFonts w:ascii="Times New Roman" w:hAnsi="Times New Roman" w:eastAsia="黑体"/>
          <w:kern w:val="0"/>
          <w:sz w:val="10"/>
          <w:szCs w:val="10"/>
        </w:rPr>
      </w:pPr>
      <w:r>
        <w:rPr>
          <w:rFonts w:ascii="Times New Roman" w:hAnsi="Times New Roman"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14:paraId="1CAA28E6">
      <w:pPr>
        <w:pStyle w:val="82"/>
        <w:framePr w:w="9639" w:h="6976" w:hRule="exact" w:hSpace="0" w:vSpace="0" w:vAnchor="text" w:hAnchor="page" w:y="6408"/>
        <w:jc w:val="center"/>
        <w:rPr>
          <w:rFonts w:ascii="Times New Roman" w:eastAsia="黑体"/>
          <w:b w:val="0"/>
          <w:bCs w:val="0"/>
          <w:w w:val="100"/>
        </w:rPr>
      </w:pPr>
    </w:p>
    <w:p w14:paraId="490B359D">
      <w:pPr>
        <w:pStyle w:val="219"/>
        <w:framePr w:x="1486" w:y="6421"/>
        <w:ind w:left="-424"/>
        <w:rPr>
          <w:rFonts w:ascii="Times New Roman" w:hAnsi="Times New Roman"/>
        </w:rPr>
      </w:pPr>
      <w:r>
        <w:rPr>
          <w:rFonts w:ascii="Times New Roman" w:hAnsi="Times New Roman"/>
        </w:rPr>
        <w:t>钢渣类固废基胶凝材料混凝土应用</w:t>
      </w:r>
    </w:p>
    <w:p w14:paraId="11D5DFDB">
      <w:pPr>
        <w:pStyle w:val="219"/>
        <w:framePr w:x="1486" w:y="6421"/>
        <w:ind w:left="-424"/>
        <w:rPr>
          <w:rFonts w:ascii="Times New Roman" w:hAnsi="Times New Roman"/>
        </w:rPr>
      </w:pPr>
      <w:r>
        <w:rPr>
          <w:rFonts w:ascii="Times New Roman" w:hAnsi="Times New Roman"/>
        </w:rPr>
        <w:t>技术规程</w:t>
      </w:r>
    </w:p>
    <w:p w14:paraId="045E759A">
      <w:pPr>
        <w:framePr w:w="9639" w:h="6706" w:hRule="exact" w:wrap="around" w:vAnchor="page" w:hAnchor="page" w:x="1419" w:y="6814" w:anchorLock="1"/>
        <w:ind w:left="-1418"/>
        <w:rPr>
          <w:rFonts w:ascii="Times New Roman" w:hAnsi="Times New Roman"/>
        </w:rPr>
      </w:pPr>
    </w:p>
    <w:p w14:paraId="71ABB20C">
      <w:pPr>
        <w:pStyle w:val="149"/>
        <w:framePr w:w="9639" w:h="6706" w:hRule="exact" w:wrap="around" w:vAnchor="page" w:hAnchor="page" w:x="1419" w:y="6814" w:anchorLock="1"/>
        <w:textAlignment w:val="bottom"/>
        <w:rPr>
          <w:rFonts w:eastAsia="黑体"/>
          <w:szCs w:val="28"/>
        </w:rPr>
      </w:pPr>
    </w:p>
    <w:p w14:paraId="7750369D">
      <w:pPr>
        <w:pStyle w:val="149"/>
        <w:framePr w:w="9639" w:h="6706" w:hRule="exact" w:wrap="around" w:vAnchor="page" w:hAnchor="page" w:x="1419" w:y="6814" w:anchorLock="1"/>
        <w:jc w:val="both"/>
        <w:textAlignment w:val="bottom"/>
        <w:rPr>
          <w:rFonts w:eastAsia="黑体"/>
          <w:szCs w:val="28"/>
        </w:rPr>
      </w:pPr>
    </w:p>
    <w:p w14:paraId="08C24E7F">
      <w:pPr>
        <w:pStyle w:val="149"/>
        <w:framePr w:w="9639" w:h="6706" w:hRule="exact" w:wrap="around" w:vAnchor="page" w:hAnchor="page" w:x="1419" w:y="6814" w:anchorLock="1"/>
        <w:textAlignment w:val="bottom"/>
        <w:rPr>
          <w:rFonts w:eastAsia="黑体"/>
          <w:szCs w:val="28"/>
        </w:rPr>
      </w:pPr>
      <w:r>
        <w:rPr>
          <w:rFonts w:eastAsia="黑体"/>
          <w:szCs w:val="28"/>
        </w:rPr>
        <w:t xml:space="preserve">Technical specification for application of steel slag solid waste based </w:t>
      </w:r>
    </w:p>
    <w:p w14:paraId="34311DB1">
      <w:pPr>
        <w:pStyle w:val="149"/>
        <w:framePr w:w="9639" w:h="6706" w:hRule="exact" w:wrap="around" w:vAnchor="page" w:hAnchor="page" w:x="1419" w:y="6814" w:anchorLock="1"/>
        <w:textAlignment w:val="bottom"/>
        <w:rPr>
          <w:rFonts w:eastAsia="黑体"/>
          <w:sz w:val="32"/>
          <w:szCs w:val="32"/>
        </w:rPr>
      </w:pPr>
      <w:r>
        <w:rPr>
          <w:rFonts w:eastAsia="黑体"/>
          <w:szCs w:val="28"/>
        </w:rPr>
        <w:t>cementitious materials in concrete</w:t>
      </w:r>
    </w:p>
    <w:p w14:paraId="4816F7C3">
      <w:pPr>
        <w:framePr w:w="9639" w:h="6706" w:hRule="exact" w:wrap="around" w:vAnchor="page" w:hAnchor="page" w:x="1419" w:y="6814" w:anchorLock="1"/>
        <w:spacing w:line="760" w:lineRule="exact"/>
        <w:ind w:left="-1418"/>
        <w:rPr>
          <w:rFonts w:ascii="Times New Roman" w:hAnsi="Times New Roman"/>
        </w:rPr>
      </w:pPr>
    </w:p>
    <w:p w14:paraId="300E3603">
      <w:pPr>
        <w:pStyle w:val="149"/>
        <w:framePr w:w="9639" w:h="6706" w:hRule="exact" w:wrap="around" w:vAnchor="page" w:hAnchor="page" w:x="1419" w:y="6814" w:anchorLock="1"/>
        <w:textAlignment w:val="bottom"/>
        <w:rPr>
          <w:rFonts w:eastAsia="黑体"/>
          <w:szCs w:val="28"/>
        </w:rPr>
      </w:pPr>
    </w:p>
    <w:p w14:paraId="2D7A77D5">
      <w:pPr>
        <w:pStyle w:val="149"/>
        <w:framePr w:w="9639" w:h="6706" w:hRule="exact" w:wrap="around" w:vAnchor="page" w:hAnchor="page" w:x="1419" w:y="6814" w:anchorLock="1"/>
        <w:spacing w:before="440" w:after="160"/>
        <w:textAlignment w:val="bottom"/>
        <w:rPr>
          <w:sz w:val="24"/>
          <w:szCs w:val="28"/>
        </w:rPr>
      </w:pPr>
      <w:bookmarkStart w:id="5" w:name="下拉1"/>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 FORMDROPDOWN </w:instrText>
      </w:r>
      <w:r>
        <w:rPr>
          <w:sz w:val="24"/>
          <w:szCs w:val="28"/>
        </w:rPr>
        <w:fldChar w:fldCharType="separate"/>
      </w:r>
      <w:r>
        <w:rPr>
          <w:sz w:val="24"/>
          <w:szCs w:val="28"/>
        </w:rPr>
        <w:fldChar w:fldCharType="end"/>
      </w:r>
      <w:bookmarkEnd w:id="5"/>
    </w:p>
    <w:p w14:paraId="1B8A25D7">
      <w:pPr>
        <w:pStyle w:val="149"/>
        <w:framePr w:w="9639" w:h="6706" w:hRule="exact" w:wrap="around" w:vAnchor="page" w:hAnchor="page" w:x="1419" w:y="6814" w:anchorLock="1"/>
        <w:spacing w:before="720" w:beforeLines="300" w:after="72" w:afterLines="30" w:line="240" w:lineRule="auto"/>
        <w:textAlignment w:val="bottom"/>
        <w:rPr>
          <w:b/>
          <w:sz w:val="21"/>
          <w:szCs w:val="28"/>
        </w:rPr>
      </w:pPr>
      <w:bookmarkStart w:id="6" w:name="下拉2"/>
      <w:r>
        <w:rPr>
          <w:b/>
          <w:sz w:val="21"/>
          <w:szCs w:val="28"/>
        </w:rPr>
        <w:fldChar w:fldCharType="begin">
          <w:ffData>
            <w:name w:val="下拉2"/>
            <w:enabled/>
            <w:calcOnExit w:val="0"/>
            <w:ddList>
              <w:listEntry w:val=" "/>
              <w:listEntry w:val="在提交反馈意见时，请将您知道的相关专利连同支持性文件一并附上。"/>
            </w:ddList>
          </w:ffData>
        </w:fldChar>
      </w:r>
      <w:r>
        <w:rPr>
          <w:b/>
          <w:sz w:val="21"/>
          <w:szCs w:val="28"/>
        </w:rPr>
        <w:instrText xml:space="preserve"> FORMDROPDOWN </w:instrText>
      </w:r>
      <w:r>
        <w:rPr>
          <w:b/>
          <w:sz w:val="21"/>
          <w:szCs w:val="28"/>
        </w:rPr>
        <w:fldChar w:fldCharType="separate"/>
      </w:r>
      <w:r>
        <w:rPr>
          <w:b/>
          <w:sz w:val="21"/>
          <w:szCs w:val="28"/>
        </w:rPr>
        <w:fldChar w:fldCharType="end"/>
      </w:r>
      <w:bookmarkEnd w:id="6"/>
    </w:p>
    <w:p w14:paraId="16449AAD">
      <w:pPr>
        <w:pStyle w:val="215"/>
        <w:framePr w:y="14176"/>
      </w:pPr>
      <w:r>
        <w:fldChar w:fldCharType="begin">
          <w:ffData>
            <w:name w:val="PLSH_DATE_Y"/>
            <w:enabled/>
            <w:calcOnExit w:val="0"/>
            <w:textInput>
              <w:default w:val="XXXX"/>
              <w:maxLength w:val="4"/>
            </w:textInput>
          </w:ffData>
        </w:fldChar>
      </w:r>
      <w:bookmarkStart w:id="7" w:name="PLSH_DATE_Y"/>
      <w:r>
        <w:instrText xml:space="preserve"> FORMTEXT </w:instrText>
      </w:r>
      <w:r>
        <w:fldChar w:fldCharType="separate"/>
      </w:r>
      <w:r>
        <w:t>XXXX</w:t>
      </w:r>
      <w:r>
        <w:fldChar w:fldCharType="end"/>
      </w:r>
      <w:bookmarkEnd w:id="7"/>
      <w:r>
        <w:t xml:space="preserve"> - </w:t>
      </w:r>
      <w:r>
        <w:fldChar w:fldCharType="begin">
          <w:ffData>
            <w:name w:val="PLSH_DATE_M"/>
            <w:enabled/>
            <w:calcOnExit w:val="0"/>
            <w:textInput>
              <w:default w:val="XX"/>
              <w:maxLength w:val="2"/>
            </w:textInput>
          </w:ffData>
        </w:fldChar>
      </w:r>
      <w:bookmarkStart w:id="8" w:name="PLSH_DATE_M"/>
      <w:r>
        <w:instrText xml:space="preserve"> FORMTEXT </w:instrText>
      </w:r>
      <w:r>
        <w:fldChar w:fldCharType="separate"/>
      </w:r>
      <w:r>
        <w:t>XX</w:t>
      </w:r>
      <w:r>
        <w:fldChar w:fldCharType="end"/>
      </w:r>
      <w:bookmarkEnd w:id="8"/>
      <w:r>
        <w:t xml:space="preserve"> - </w:t>
      </w:r>
      <w:r>
        <w:fldChar w:fldCharType="begin">
          <w:ffData>
            <w:name w:val="PLSH_DATE_D"/>
            <w:enabled/>
            <w:calcOnExit w:val="0"/>
            <w:textInput>
              <w:default w:val="XX"/>
              <w:maxLength w:val="2"/>
            </w:textInput>
          </w:ffData>
        </w:fldChar>
      </w:r>
      <w:bookmarkStart w:id="9" w:name="PLSH_DATE_D"/>
      <w:r>
        <w:instrText xml:space="preserve"> FORMTEXT </w:instrText>
      </w:r>
      <w:r>
        <w:fldChar w:fldCharType="separate"/>
      </w:r>
      <w:r>
        <w:t>XX</w:t>
      </w:r>
      <w:r>
        <w:fldChar w:fldCharType="end"/>
      </w:r>
      <w:bookmarkEnd w:id="9"/>
      <w:r>
        <w:t>发布</w:t>
      </w:r>
    </w:p>
    <w:p w14:paraId="1FD06A5B">
      <w:pPr>
        <w:pStyle w:val="216"/>
        <w:framePr w:y="14176"/>
      </w:pPr>
      <w:r>
        <w:fldChar w:fldCharType="begin">
          <w:ffData>
            <w:name w:val="CROT_DATE_Y"/>
            <w:enabled/>
            <w:calcOnExit w:val="0"/>
            <w:textInput>
              <w:default w:val="XXXX"/>
              <w:maxLength w:val="4"/>
            </w:textInput>
          </w:ffData>
        </w:fldChar>
      </w:r>
      <w:bookmarkStart w:id="10" w:name="CROT_DATE_Y"/>
      <w:r>
        <w:instrText xml:space="preserve"> FORMTEXT </w:instrText>
      </w:r>
      <w:r>
        <w:fldChar w:fldCharType="separate"/>
      </w:r>
      <w:r>
        <w:t>XXXX</w:t>
      </w:r>
      <w:r>
        <w:fldChar w:fldCharType="end"/>
      </w:r>
      <w:bookmarkEnd w:id="10"/>
      <w:r>
        <w:t xml:space="preserve"> - </w:t>
      </w:r>
      <w:r>
        <w:fldChar w:fldCharType="begin">
          <w:ffData>
            <w:name w:val="CROT_DATE_M"/>
            <w:enabled/>
            <w:calcOnExit w:val="0"/>
            <w:textInput>
              <w:default w:val="XX"/>
              <w:maxLength w:val="2"/>
            </w:textInput>
          </w:ffData>
        </w:fldChar>
      </w:r>
      <w:bookmarkStart w:id="11" w:name="CROT_DATE_M"/>
      <w:r>
        <w:instrText xml:space="preserve"> FORMTEXT </w:instrText>
      </w:r>
      <w:r>
        <w:fldChar w:fldCharType="separate"/>
      </w:r>
      <w:r>
        <w:t>XX</w:t>
      </w:r>
      <w:r>
        <w:fldChar w:fldCharType="end"/>
      </w:r>
      <w:bookmarkEnd w:id="11"/>
      <w:r>
        <w:t xml:space="preserve"> - </w:t>
      </w:r>
      <w:r>
        <w:fldChar w:fldCharType="begin">
          <w:ffData>
            <w:name w:val="CROT_DATE_D"/>
            <w:enabled/>
            <w:calcOnExit w:val="0"/>
            <w:textInput>
              <w:default w:val="XX"/>
              <w:maxLength w:val="2"/>
            </w:textInput>
          </w:ffData>
        </w:fldChar>
      </w:r>
      <w:bookmarkStart w:id="12" w:name="CROT_DATE_D"/>
      <w:r>
        <w:instrText xml:space="preserve"> FORMTEXT </w:instrText>
      </w:r>
      <w:r>
        <w:fldChar w:fldCharType="separate"/>
      </w:r>
      <w:r>
        <w:t>XX</w:t>
      </w:r>
      <w:r>
        <w:fldChar w:fldCharType="end"/>
      </w:r>
      <w:bookmarkEnd w:id="12"/>
      <w:r>
        <w:t>实施</w:t>
      </w:r>
    </w:p>
    <w:tbl>
      <w:tblPr>
        <w:tblStyle w:val="40"/>
        <w:tblpPr w:leftFromText="180" w:rightFromText="180" w:vertAnchor="text" w:horzAnchor="margin" w:tblpXSpec="right" w:tblpY="14609"/>
        <w:tblW w:w="8472" w:type="dxa"/>
        <w:tblInd w:w="0" w:type="dxa"/>
        <w:tblLayout w:type="fixed"/>
        <w:tblCellMar>
          <w:top w:w="0" w:type="dxa"/>
          <w:left w:w="108" w:type="dxa"/>
          <w:bottom w:w="0" w:type="dxa"/>
          <w:right w:w="108" w:type="dxa"/>
        </w:tblCellMar>
      </w:tblPr>
      <w:tblGrid>
        <w:gridCol w:w="5019"/>
        <w:gridCol w:w="3453"/>
      </w:tblGrid>
      <w:tr w14:paraId="59BBCE3D">
        <w:tblPrEx>
          <w:tblCellMar>
            <w:top w:w="0" w:type="dxa"/>
            <w:left w:w="108" w:type="dxa"/>
            <w:bottom w:w="0" w:type="dxa"/>
            <w:right w:w="108" w:type="dxa"/>
          </w:tblCellMar>
        </w:tblPrEx>
        <w:tc>
          <w:tcPr>
            <w:tcW w:w="5019" w:type="dxa"/>
          </w:tcPr>
          <w:p w14:paraId="44706AD9">
            <w:pPr>
              <w:spacing w:line="0" w:lineRule="atLeast"/>
              <w:jc w:val="distribute"/>
              <w:rPr>
                <w:rFonts w:ascii="Times New Roman" w:hAnsi="Times New Roman" w:eastAsia="黑体"/>
                <w:bCs/>
                <w:sz w:val="28"/>
                <w:szCs w:val="28"/>
              </w:rPr>
            </w:pPr>
            <w:r>
              <w:rPr>
                <w:rFonts w:ascii="Times New Roman" w:hAnsi="Times New Roman" w:eastAsia="黑体"/>
                <w:bCs/>
                <w:sz w:val="28"/>
                <w:szCs w:val="28"/>
              </w:rPr>
              <w:t>湖北省住房和城乡建设厅</w:t>
            </w:r>
          </w:p>
        </w:tc>
        <w:tc>
          <w:tcPr>
            <w:tcW w:w="3453" w:type="dxa"/>
            <w:vMerge w:val="restart"/>
            <w:vAlign w:val="center"/>
          </w:tcPr>
          <w:p w14:paraId="365BF2D4">
            <w:pPr>
              <w:spacing w:line="0" w:lineRule="atLeast"/>
              <w:jc w:val="center"/>
              <w:rPr>
                <w:rFonts w:ascii="Times New Roman" w:hAnsi="Times New Roman" w:eastAsia="黑体"/>
                <w:w w:val="135"/>
                <w:kern w:val="0"/>
                <w:sz w:val="36"/>
                <w:szCs w:val="20"/>
              </w:rPr>
            </w:pPr>
            <w:r>
              <w:rPr>
                <w:rFonts w:ascii="Times New Roman" w:hAnsi="Times New Roman" w:eastAsia="黑体"/>
                <w:bCs/>
                <w:spacing w:val="85"/>
                <w:position w:val="3"/>
                <w:sz w:val="28"/>
                <w:szCs w:val="28"/>
              </w:rPr>
              <w:t>联合发布</w:t>
            </w:r>
          </w:p>
        </w:tc>
      </w:tr>
      <w:tr w14:paraId="776C6A5A">
        <w:tblPrEx>
          <w:tblCellMar>
            <w:top w:w="0" w:type="dxa"/>
            <w:left w:w="108" w:type="dxa"/>
            <w:bottom w:w="0" w:type="dxa"/>
            <w:right w:w="108" w:type="dxa"/>
          </w:tblCellMar>
        </w:tblPrEx>
        <w:tc>
          <w:tcPr>
            <w:tcW w:w="5019" w:type="dxa"/>
          </w:tcPr>
          <w:p w14:paraId="0E11F3A7">
            <w:pPr>
              <w:spacing w:line="0" w:lineRule="atLeast"/>
              <w:jc w:val="distribute"/>
              <w:rPr>
                <w:rFonts w:ascii="Times New Roman" w:hAnsi="Times New Roman" w:eastAsia="黑体"/>
                <w:bCs/>
                <w:sz w:val="28"/>
                <w:szCs w:val="28"/>
              </w:rPr>
            </w:pPr>
            <w:r>
              <w:rPr>
                <w:rFonts w:ascii="Times New Roman" w:hAnsi="Times New Roman" w:eastAsia="黑体"/>
                <w:bCs/>
                <w:sz w:val="28"/>
                <w:szCs w:val="28"/>
              </w:rPr>
              <w:t xml:space="preserve">湖北省市场监督管理局    </w:t>
            </w:r>
          </w:p>
        </w:tc>
        <w:tc>
          <w:tcPr>
            <w:tcW w:w="3453" w:type="dxa"/>
            <w:vMerge w:val="continue"/>
          </w:tcPr>
          <w:p w14:paraId="332177B4">
            <w:pPr>
              <w:widowControl/>
              <w:adjustRightInd/>
              <w:spacing w:line="0" w:lineRule="atLeast"/>
              <w:rPr>
                <w:rFonts w:ascii="Times New Roman" w:hAnsi="Times New Roman" w:eastAsia="黑体"/>
                <w:w w:val="135"/>
                <w:kern w:val="0"/>
                <w:sz w:val="36"/>
                <w:szCs w:val="20"/>
              </w:rPr>
            </w:pPr>
          </w:p>
        </w:tc>
      </w:tr>
    </w:tbl>
    <w:p w14:paraId="69A0E7C1">
      <w:pPr>
        <w:rPr>
          <w:rFonts w:ascii="Times New Roman" w:hAnsi="Times New Roman"/>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720" w:num="1"/>
          <w:titlePg/>
          <w:docGrid w:linePitch="312" w:charSpace="0"/>
        </w:sectPr>
      </w:pPr>
      <w:r>
        <w:rPr>
          <w:rFonts w:ascii="Times New Roman" w:hAnsi="Times New Roman"/>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14:paraId="3AAF3422">
      <w:pPr>
        <w:spacing w:line="20" w:lineRule="exact"/>
        <w:jc w:val="center"/>
        <w:rPr>
          <w:rFonts w:ascii="Times New Roman" w:hAnsi="Times New Roman" w:eastAsia="黑体"/>
          <w:sz w:val="32"/>
          <w:szCs w:val="32"/>
        </w:rPr>
      </w:pPr>
      <w:bookmarkStart w:id="13" w:name="BookMark4"/>
    </w:p>
    <w:bookmarkEnd w:id="13"/>
    <w:p w14:paraId="7A2D3746">
      <w:pPr>
        <w:pStyle w:val="121"/>
        <w:spacing w:before="850" w:after="680" w:afterLines="0"/>
        <w:rPr>
          <w:rFonts w:ascii="Times New Roman" w:hAnsi="Times New Roman"/>
        </w:rPr>
      </w:pPr>
      <w:r>
        <w:rPr>
          <w:rFonts w:ascii="Times New Roman" w:hAnsi="Times New Roman"/>
          <w:spacing w:val="320"/>
        </w:rPr>
        <w:t>目</w:t>
      </w:r>
      <w:r>
        <w:rPr>
          <w:rFonts w:ascii="Times New Roman" w:hAnsi="Times New Roman"/>
        </w:rPr>
        <w:t>次</w:t>
      </w:r>
    </w:p>
    <w:p w14:paraId="76A586F3">
      <w:pPr>
        <w:pStyle w:val="28"/>
        <w:tabs>
          <w:tab w:val="right" w:leader="dot" w:pos="9345"/>
        </w:tabs>
        <w:rPr>
          <w:rStyle w:val="46"/>
          <w:rFonts w:ascii="Times New Roman"/>
        </w:rPr>
      </w:pPr>
      <w:r>
        <w:rPr>
          <w:rStyle w:val="46"/>
          <w:rFonts w:ascii="Times New Roman"/>
        </w:rPr>
        <w:fldChar w:fldCharType="begin"/>
      </w:r>
      <w:r>
        <w:rPr>
          <w:rStyle w:val="46"/>
          <w:rFonts w:ascii="Times New Roman"/>
        </w:rPr>
        <w:instrText xml:space="preserve"> TOC \o "1-2" \h \z \u </w:instrText>
      </w:r>
      <w:r>
        <w:rPr>
          <w:rStyle w:val="46"/>
          <w:rFonts w:ascii="Times New Roman"/>
        </w:rPr>
        <w:fldChar w:fldCharType="separate"/>
      </w:r>
      <w:r>
        <w:fldChar w:fldCharType="begin"/>
      </w:r>
      <w:r>
        <w:instrText xml:space="preserve"> HYPERLINK \l "_Toc205237749" </w:instrText>
      </w:r>
      <w:r>
        <w:fldChar w:fldCharType="separate"/>
      </w:r>
      <w:r>
        <w:rPr>
          <w:rStyle w:val="46"/>
          <w:rFonts w:ascii="Times New Roman"/>
        </w:rPr>
        <w:t>1 范围</w:t>
      </w:r>
      <w:r>
        <w:rPr>
          <w:rStyle w:val="46"/>
          <w:rFonts w:ascii="Times New Roman"/>
        </w:rPr>
        <w:tab/>
      </w:r>
      <w:r>
        <w:rPr>
          <w:rStyle w:val="46"/>
          <w:rFonts w:ascii="Times New Roman"/>
        </w:rPr>
        <w:fldChar w:fldCharType="begin"/>
      </w:r>
      <w:r>
        <w:rPr>
          <w:rStyle w:val="46"/>
          <w:rFonts w:ascii="Times New Roman"/>
        </w:rPr>
        <w:instrText xml:space="preserve"> PAGEREF _Toc205237749 \h </w:instrText>
      </w:r>
      <w:r>
        <w:rPr>
          <w:rStyle w:val="46"/>
          <w:rFonts w:ascii="Times New Roman"/>
        </w:rPr>
        <w:fldChar w:fldCharType="separate"/>
      </w:r>
      <w:r>
        <w:rPr>
          <w:rStyle w:val="46"/>
          <w:rFonts w:ascii="Times New Roman"/>
        </w:rPr>
        <w:t>1</w:t>
      </w:r>
      <w:r>
        <w:rPr>
          <w:rStyle w:val="46"/>
          <w:rFonts w:ascii="Times New Roman"/>
        </w:rPr>
        <w:fldChar w:fldCharType="end"/>
      </w:r>
      <w:r>
        <w:rPr>
          <w:rStyle w:val="46"/>
          <w:rFonts w:ascii="Times New Roman"/>
        </w:rPr>
        <w:fldChar w:fldCharType="end"/>
      </w:r>
    </w:p>
    <w:p w14:paraId="032151CC">
      <w:pPr>
        <w:pStyle w:val="28"/>
        <w:tabs>
          <w:tab w:val="right" w:leader="dot" w:pos="9345"/>
        </w:tabs>
        <w:rPr>
          <w:rStyle w:val="46"/>
          <w:rFonts w:ascii="Times New Roman"/>
        </w:rPr>
      </w:pPr>
      <w:r>
        <w:fldChar w:fldCharType="begin"/>
      </w:r>
      <w:r>
        <w:instrText xml:space="preserve"> HYPERLINK \l "_Toc205237750" </w:instrText>
      </w:r>
      <w:r>
        <w:fldChar w:fldCharType="separate"/>
      </w:r>
      <w:r>
        <w:rPr>
          <w:rStyle w:val="46"/>
          <w:rFonts w:ascii="Times New Roman"/>
        </w:rPr>
        <w:t>2 规范性引用文件</w:t>
      </w:r>
      <w:r>
        <w:rPr>
          <w:rStyle w:val="46"/>
          <w:rFonts w:ascii="Times New Roman"/>
        </w:rPr>
        <w:tab/>
      </w:r>
      <w:r>
        <w:rPr>
          <w:rStyle w:val="46"/>
          <w:rFonts w:ascii="Times New Roman"/>
        </w:rPr>
        <w:fldChar w:fldCharType="begin"/>
      </w:r>
      <w:r>
        <w:rPr>
          <w:rStyle w:val="46"/>
          <w:rFonts w:ascii="Times New Roman"/>
        </w:rPr>
        <w:instrText xml:space="preserve"> PAGEREF _Toc205237750 \h </w:instrText>
      </w:r>
      <w:r>
        <w:rPr>
          <w:rStyle w:val="46"/>
          <w:rFonts w:ascii="Times New Roman"/>
        </w:rPr>
        <w:fldChar w:fldCharType="separate"/>
      </w:r>
      <w:r>
        <w:rPr>
          <w:rStyle w:val="46"/>
          <w:rFonts w:ascii="Times New Roman"/>
        </w:rPr>
        <w:t>1</w:t>
      </w:r>
      <w:r>
        <w:rPr>
          <w:rStyle w:val="46"/>
          <w:rFonts w:ascii="Times New Roman"/>
        </w:rPr>
        <w:fldChar w:fldCharType="end"/>
      </w:r>
      <w:r>
        <w:rPr>
          <w:rStyle w:val="46"/>
          <w:rFonts w:ascii="Times New Roman"/>
        </w:rPr>
        <w:fldChar w:fldCharType="end"/>
      </w:r>
    </w:p>
    <w:p w14:paraId="6D8F9E7D">
      <w:pPr>
        <w:pStyle w:val="28"/>
        <w:tabs>
          <w:tab w:val="right" w:leader="dot" w:pos="9345"/>
        </w:tabs>
        <w:rPr>
          <w:rStyle w:val="46"/>
          <w:rFonts w:ascii="Times New Roman"/>
        </w:rPr>
      </w:pPr>
      <w:r>
        <w:fldChar w:fldCharType="begin"/>
      </w:r>
      <w:r>
        <w:instrText xml:space="preserve"> HYPERLINK \l "_Toc205237751" </w:instrText>
      </w:r>
      <w:r>
        <w:fldChar w:fldCharType="separate"/>
      </w:r>
      <w:r>
        <w:rPr>
          <w:rStyle w:val="46"/>
          <w:rFonts w:ascii="Times New Roman"/>
        </w:rPr>
        <w:t>3 术语和定义</w:t>
      </w:r>
      <w:r>
        <w:rPr>
          <w:rStyle w:val="46"/>
          <w:rFonts w:ascii="Times New Roman"/>
        </w:rPr>
        <w:tab/>
      </w:r>
      <w:r>
        <w:rPr>
          <w:rStyle w:val="46"/>
          <w:rFonts w:ascii="Times New Roman"/>
        </w:rPr>
        <w:fldChar w:fldCharType="begin"/>
      </w:r>
      <w:r>
        <w:rPr>
          <w:rStyle w:val="46"/>
          <w:rFonts w:ascii="Times New Roman"/>
        </w:rPr>
        <w:instrText xml:space="preserve"> PAGEREF _Toc205237751 \h </w:instrText>
      </w:r>
      <w:r>
        <w:rPr>
          <w:rStyle w:val="46"/>
          <w:rFonts w:ascii="Times New Roman"/>
        </w:rPr>
        <w:fldChar w:fldCharType="separate"/>
      </w:r>
      <w:r>
        <w:rPr>
          <w:rStyle w:val="46"/>
          <w:rFonts w:ascii="Times New Roman"/>
        </w:rPr>
        <w:t>2</w:t>
      </w:r>
      <w:r>
        <w:rPr>
          <w:rStyle w:val="46"/>
          <w:rFonts w:ascii="Times New Roman"/>
        </w:rPr>
        <w:fldChar w:fldCharType="end"/>
      </w:r>
      <w:r>
        <w:rPr>
          <w:rStyle w:val="46"/>
          <w:rFonts w:ascii="Times New Roman"/>
        </w:rPr>
        <w:fldChar w:fldCharType="end"/>
      </w:r>
    </w:p>
    <w:p w14:paraId="6868886B">
      <w:pPr>
        <w:pStyle w:val="28"/>
        <w:tabs>
          <w:tab w:val="right" w:leader="dot" w:pos="9345"/>
        </w:tabs>
        <w:rPr>
          <w:rStyle w:val="46"/>
          <w:rFonts w:ascii="Times New Roman"/>
        </w:rPr>
      </w:pPr>
      <w:r>
        <w:fldChar w:fldCharType="begin"/>
      </w:r>
      <w:r>
        <w:instrText xml:space="preserve"> HYPERLINK \l "_Toc205237758" </w:instrText>
      </w:r>
      <w:r>
        <w:fldChar w:fldCharType="separate"/>
      </w:r>
      <w:r>
        <w:rPr>
          <w:rStyle w:val="46"/>
          <w:rFonts w:ascii="Times New Roman"/>
        </w:rPr>
        <w:t>4 基本规定</w:t>
      </w:r>
      <w:r>
        <w:rPr>
          <w:rStyle w:val="46"/>
          <w:rFonts w:ascii="Times New Roman"/>
        </w:rPr>
        <w:tab/>
      </w:r>
      <w:r>
        <w:rPr>
          <w:rStyle w:val="46"/>
          <w:rFonts w:ascii="Times New Roman"/>
        </w:rPr>
        <w:fldChar w:fldCharType="begin"/>
      </w:r>
      <w:r>
        <w:rPr>
          <w:rStyle w:val="46"/>
          <w:rFonts w:ascii="Times New Roman"/>
        </w:rPr>
        <w:instrText xml:space="preserve"> PAGEREF _Toc205237758 \h </w:instrText>
      </w:r>
      <w:r>
        <w:rPr>
          <w:rStyle w:val="46"/>
          <w:rFonts w:ascii="Times New Roman"/>
        </w:rPr>
        <w:fldChar w:fldCharType="separate"/>
      </w:r>
      <w:r>
        <w:rPr>
          <w:rStyle w:val="46"/>
          <w:rFonts w:ascii="Times New Roman"/>
        </w:rPr>
        <w:t>3</w:t>
      </w:r>
      <w:r>
        <w:rPr>
          <w:rStyle w:val="46"/>
          <w:rFonts w:ascii="Times New Roman"/>
        </w:rPr>
        <w:fldChar w:fldCharType="end"/>
      </w:r>
      <w:r>
        <w:rPr>
          <w:rStyle w:val="46"/>
          <w:rFonts w:ascii="Times New Roman"/>
        </w:rPr>
        <w:fldChar w:fldCharType="end"/>
      </w:r>
    </w:p>
    <w:p w14:paraId="515C4512">
      <w:pPr>
        <w:pStyle w:val="28"/>
        <w:tabs>
          <w:tab w:val="right" w:leader="dot" w:pos="9345"/>
        </w:tabs>
        <w:rPr>
          <w:rStyle w:val="46"/>
          <w:rFonts w:ascii="Times New Roman"/>
        </w:rPr>
      </w:pPr>
      <w:r>
        <w:fldChar w:fldCharType="begin"/>
      </w:r>
      <w:r>
        <w:instrText xml:space="preserve"> HYPERLINK \l "_Toc205237763" </w:instrText>
      </w:r>
      <w:r>
        <w:fldChar w:fldCharType="separate"/>
      </w:r>
      <w:r>
        <w:rPr>
          <w:rStyle w:val="46"/>
          <w:rFonts w:ascii="Times New Roman"/>
        </w:rPr>
        <w:t>5 原材料要求</w:t>
      </w:r>
      <w:r>
        <w:rPr>
          <w:rStyle w:val="46"/>
          <w:rFonts w:ascii="Times New Roman"/>
        </w:rPr>
        <w:tab/>
      </w:r>
      <w:r>
        <w:rPr>
          <w:rStyle w:val="46"/>
          <w:rFonts w:ascii="Times New Roman"/>
        </w:rPr>
        <w:fldChar w:fldCharType="begin"/>
      </w:r>
      <w:r>
        <w:rPr>
          <w:rStyle w:val="46"/>
          <w:rFonts w:ascii="Times New Roman"/>
        </w:rPr>
        <w:instrText xml:space="preserve"> PAGEREF _Toc205237763 \h </w:instrText>
      </w:r>
      <w:r>
        <w:rPr>
          <w:rStyle w:val="46"/>
          <w:rFonts w:ascii="Times New Roman"/>
        </w:rPr>
        <w:fldChar w:fldCharType="separate"/>
      </w:r>
      <w:r>
        <w:rPr>
          <w:rStyle w:val="46"/>
          <w:rFonts w:ascii="Times New Roman"/>
        </w:rPr>
        <w:t>3</w:t>
      </w:r>
      <w:r>
        <w:rPr>
          <w:rStyle w:val="46"/>
          <w:rFonts w:ascii="Times New Roman"/>
        </w:rPr>
        <w:fldChar w:fldCharType="end"/>
      </w:r>
      <w:r>
        <w:rPr>
          <w:rStyle w:val="46"/>
          <w:rFonts w:ascii="Times New Roman"/>
        </w:rPr>
        <w:fldChar w:fldCharType="end"/>
      </w:r>
    </w:p>
    <w:p w14:paraId="43DAE567">
      <w:pPr>
        <w:pStyle w:val="28"/>
        <w:tabs>
          <w:tab w:val="right" w:leader="dot" w:pos="9345"/>
        </w:tabs>
        <w:rPr>
          <w:rStyle w:val="46"/>
          <w:rFonts w:ascii="Times New Roman"/>
        </w:rPr>
      </w:pPr>
      <w:r>
        <w:fldChar w:fldCharType="begin"/>
      </w:r>
      <w:r>
        <w:instrText xml:space="preserve"> HYPERLINK \l "_Toc205237764" </w:instrText>
      </w:r>
      <w:r>
        <w:fldChar w:fldCharType="separate"/>
      </w:r>
      <w:r>
        <w:rPr>
          <w:rStyle w:val="46"/>
          <w:rFonts w:ascii="Times New Roman"/>
        </w:rPr>
        <w:t>5.1 复合胶材</w:t>
      </w:r>
      <w:r>
        <w:rPr>
          <w:rStyle w:val="46"/>
          <w:rFonts w:ascii="Times New Roman"/>
        </w:rPr>
        <w:tab/>
      </w:r>
      <w:r>
        <w:rPr>
          <w:rStyle w:val="46"/>
          <w:rFonts w:ascii="Times New Roman"/>
        </w:rPr>
        <w:fldChar w:fldCharType="begin"/>
      </w:r>
      <w:r>
        <w:rPr>
          <w:rStyle w:val="46"/>
          <w:rFonts w:ascii="Times New Roman"/>
        </w:rPr>
        <w:instrText xml:space="preserve"> PAGEREF _Toc205237764 \h </w:instrText>
      </w:r>
      <w:r>
        <w:rPr>
          <w:rStyle w:val="46"/>
          <w:rFonts w:ascii="Times New Roman"/>
        </w:rPr>
        <w:fldChar w:fldCharType="separate"/>
      </w:r>
      <w:r>
        <w:rPr>
          <w:rStyle w:val="46"/>
          <w:rFonts w:ascii="Times New Roman"/>
        </w:rPr>
        <w:t>3</w:t>
      </w:r>
      <w:r>
        <w:rPr>
          <w:rStyle w:val="46"/>
          <w:rFonts w:ascii="Times New Roman"/>
        </w:rPr>
        <w:fldChar w:fldCharType="end"/>
      </w:r>
      <w:r>
        <w:rPr>
          <w:rStyle w:val="46"/>
          <w:rFonts w:ascii="Times New Roman"/>
        </w:rPr>
        <w:fldChar w:fldCharType="end"/>
      </w:r>
    </w:p>
    <w:p w14:paraId="48BFB7EB">
      <w:pPr>
        <w:pStyle w:val="28"/>
        <w:tabs>
          <w:tab w:val="right" w:leader="dot" w:pos="9345"/>
        </w:tabs>
        <w:rPr>
          <w:rStyle w:val="46"/>
          <w:rFonts w:ascii="Times New Roman"/>
        </w:rPr>
      </w:pPr>
      <w:r>
        <w:fldChar w:fldCharType="begin"/>
      </w:r>
      <w:r>
        <w:instrText xml:space="preserve"> HYPERLINK \l "_Toc205237765" </w:instrText>
      </w:r>
      <w:r>
        <w:fldChar w:fldCharType="separate"/>
      </w:r>
      <w:r>
        <w:rPr>
          <w:rStyle w:val="46"/>
          <w:rFonts w:ascii="Times New Roman"/>
        </w:rPr>
        <w:t>5.2 水泥</w:t>
      </w:r>
      <w:r>
        <w:rPr>
          <w:rStyle w:val="46"/>
          <w:rFonts w:ascii="Times New Roman"/>
        </w:rPr>
        <w:tab/>
      </w:r>
      <w:r>
        <w:rPr>
          <w:rStyle w:val="46"/>
          <w:rFonts w:ascii="Times New Roman"/>
        </w:rPr>
        <w:fldChar w:fldCharType="begin"/>
      </w:r>
      <w:r>
        <w:rPr>
          <w:rStyle w:val="46"/>
          <w:rFonts w:ascii="Times New Roman"/>
        </w:rPr>
        <w:instrText xml:space="preserve"> PAGEREF _Toc205237765 \h </w:instrText>
      </w:r>
      <w:r>
        <w:rPr>
          <w:rStyle w:val="46"/>
          <w:rFonts w:ascii="Times New Roman"/>
        </w:rPr>
        <w:fldChar w:fldCharType="separate"/>
      </w:r>
      <w:r>
        <w:rPr>
          <w:rStyle w:val="46"/>
          <w:rFonts w:ascii="Times New Roman"/>
        </w:rPr>
        <w:t>4</w:t>
      </w:r>
      <w:r>
        <w:rPr>
          <w:rStyle w:val="46"/>
          <w:rFonts w:ascii="Times New Roman"/>
        </w:rPr>
        <w:fldChar w:fldCharType="end"/>
      </w:r>
      <w:r>
        <w:rPr>
          <w:rStyle w:val="46"/>
          <w:rFonts w:ascii="Times New Roman"/>
        </w:rPr>
        <w:fldChar w:fldCharType="end"/>
      </w:r>
    </w:p>
    <w:p w14:paraId="1AAE9BA7">
      <w:pPr>
        <w:pStyle w:val="28"/>
        <w:tabs>
          <w:tab w:val="right" w:leader="dot" w:pos="9345"/>
        </w:tabs>
        <w:rPr>
          <w:rStyle w:val="46"/>
          <w:rFonts w:ascii="Times New Roman"/>
        </w:rPr>
      </w:pPr>
      <w:r>
        <w:fldChar w:fldCharType="begin"/>
      </w:r>
      <w:r>
        <w:instrText xml:space="preserve"> HYPERLINK \l "_Toc205237766" </w:instrText>
      </w:r>
      <w:r>
        <w:fldChar w:fldCharType="separate"/>
      </w:r>
      <w:r>
        <w:rPr>
          <w:rStyle w:val="46"/>
          <w:rFonts w:ascii="Times New Roman"/>
        </w:rPr>
        <w:t>5.3 矿物掺合料</w:t>
      </w:r>
      <w:r>
        <w:rPr>
          <w:rStyle w:val="46"/>
          <w:rFonts w:ascii="Times New Roman"/>
        </w:rPr>
        <w:tab/>
      </w:r>
      <w:r>
        <w:rPr>
          <w:rStyle w:val="46"/>
          <w:rFonts w:ascii="Times New Roman"/>
        </w:rPr>
        <w:fldChar w:fldCharType="begin"/>
      </w:r>
      <w:r>
        <w:rPr>
          <w:rStyle w:val="46"/>
          <w:rFonts w:ascii="Times New Roman"/>
        </w:rPr>
        <w:instrText xml:space="preserve"> PAGEREF _Toc205237766 \h </w:instrText>
      </w:r>
      <w:r>
        <w:rPr>
          <w:rStyle w:val="46"/>
          <w:rFonts w:ascii="Times New Roman"/>
        </w:rPr>
        <w:fldChar w:fldCharType="separate"/>
      </w:r>
      <w:r>
        <w:rPr>
          <w:rStyle w:val="46"/>
          <w:rFonts w:ascii="Times New Roman"/>
        </w:rPr>
        <w:t>4</w:t>
      </w:r>
      <w:r>
        <w:rPr>
          <w:rStyle w:val="46"/>
          <w:rFonts w:ascii="Times New Roman"/>
        </w:rPr>
        <w:fldChar w:fldCharType="end"/>
      </w:r>
      <w:r>
        <w:rPr>
          <w:rStyle w:val="46"/>
          <w:rFonts w:ascii="Times New Roman"/>
        </w:rPr>
        <w:fldChar w:fldCharType="end"/>
      </w:r>
    </w:p>
    <w:p w14:paraId="09BA2EED">
      <w:pPr>
        <w:pStyle w:val="28"/>
        <w:tabs>
          <w:tab w:val="right" w:leader="dot" w:pos="9345"/>
        </w:tabs>
        <w:rPr>
          <w:rStyle w:val="46"/>
          <w:rFonts w:ascii="Times New Roman"/>
        </w:rPr>
      </w:pPr>
      <w:r>
        <w:fldChar w:fldCharType="begin"/>
      </w:r>
      <w:r>
        <w:instrText xml:space="preserve"> HYPERLINK \l "_Toc205237767" </w:instrText>
      </w:r>
      <w:r>
        <w:fldChar w:fldCharType="separate"/>
      </w:r>
      <w:r>
        <w:rPr>
          <w:rStyle w:val="46"/>
          <w:rFonts w:ascii="Times New Roman"/>
        </w:rPr>
        <w:t>5.4 骨料</w:t>
      </w:r>
      <w:r>
        <w:rPr>
          <w:rStyle w:val="46"/>
          <w:rFonts w:ascii="Times New Roman"/>
        </w:rPr>
        <w:tab/>
      </w:r>
      <w:r>
        <w:rPr>
          <w:rStyle w:val="46"/>
          <w:rFonts w:ascii="Times New Roman"/>
        </w:rPr>
        <w:fldChar w:fldCharType="begin"/>
      </w:r>
      <w:r>
        <w:rPr>
          <w:rStyle w:val="46"/>
          <w:rFonts w:ascii="Times New Roman"/>
        </w:rPr>
        <w:instrText xml:space="preserve"> PAGEREF _Toc205237767 \h </w:instrText>
      </w:r>
      <w:r>
        <w:rPr>
          <w:rStyle w:val="46"/>
          <w:rFonts w:ascii="Times New Roman"/>
        </w:rPr>
        <w:fldChar w:fldCharType="separate"/>
      </w:r>
      <w:r>
        <w:rPr>
          <w:rStyle w:val="46"/>
          <w:rFonts w:ascii="Times New Roman"/>
        </w:rPr>
        <w:t>4</w:t>
      </w:r>
      <w:r>
        <w:rPr>
          <w:rStyle w:val="46"/>
          <w:rFonts w:ascii="Times New Roman"/>
        </w:rPr>
        <w:fldChar w:fldCharType="end"/>
      </w:r>
      <w:r>
        <w:rPr>
          <w:rStyle w:val="46"/>
          <w:rFonts w:ascii="Times New Roman"/>
        </w:rPr>
        <w:fldChar w:fldCharType="end"/>
      </w:r>
    </w:p>
    <w:p w14:paraId="590E2D41">
      <w:pPr>
        <w:pStyle w:val="28"/>
        <w:tabs>
          <w:tab w:val="right" w:leader="dot" w:pos="9345"/>
        </w:tabs>
        <w:rPr>
          <w:rStyle w:val="46"/>
          <w:rFonts w:ascii="Times New Roman"/>
        </w:rPr>
      </w:pPr>
      <w:r>
        <w:fldChar w:fldCharType="begin"/>
      </w:r>
      <w:r>
        <w:instrText xml:space="preserve"> HYPERLINK \l "_Toc205237768" </w:instrText>
      </w:r>
      <w:r>
        <w:fldChar w:fldCharType="separate"/>
      </w:r>
      <w:r>
        <w:rPr>
          <w:rStyle w:val="46"/>
          <w:rFonts w:ascii="Times New Roman"/>
        </w:rPr>
        <w:t>5.5 外加剂</w:t>
      </w:r>
      <w:r>
        <w:rPr>
          <w:rStyle w:val="46"/>
          <w:rFonts w:ascii="Times New Roman"/>
        </w:rPr>
        <w:tab/>
      </w:r>
      <w:r>
        <w:rPr>
          <w:rStyle w:val="46"/>
          <w:rFonts w:ascii="Times New Roman"/>
        </w:rPr>
        <w:fldChar w:fldCharType="begin"/>
      </w:r>
      <w:r>
        <w:rPr>
          <w:rStyle w:val="46"/>
          <w:rFonts w:ascii="Times New Roman"/>
        </w:rPr>
        <w:instrText xml:space="preserve"> PAGEREF _Toc205237768 \h </w:instrText>
      </w:r>
      <w:r>
        <w:rPr>
          <w:rStyle w:val="46"/>
          <w:rFonts w:ascii="Times New Roman"/>
        </w:rPr>
        <w:fldChar w:fldCharType="separate"/>
      </w:r>
      <w:r>
        <w:rPr>
          <w:rStyle w:val="46"/>
          <w:rFonts w:ascii="Times New Roman"/>
        </w:rPr>
        <w:t>6</w:t>
      </w:r>
      <w:r>
        <w:rPr>
          <w:rStyle w:val="46"/>
          <w:rFonts w:ascii="Times New Roman"/>
        </w:rPr>
        <w:fldChar w:fldCharType="end"/>
      </w:r>
      <w:r>
        <w:rPr>
          <w:rStyle w:val="46"/>
          <w:rFonts w:ascii="Times New Roman"/>
        </w:rPr>
        <w:fldChar w:fldCharType="end"/>
      </w:r>
    </w:p>
    <w:p w14:paraId="58516272">
      <w:pPr>
        <w:pStyle w:val="28"/>
        <w:tabs>
          <w:tab w:val="right" w:leader="dot" w:pos="9345"/>
        </w:tabs>
        <w:rPr>
          <w:rStyle w:val="46"/>
          <w:rFonts w:ascii="Times New Roman"/>
        </w:rPr>
      </w:pPr>
      <w:r>
        <w:fldChar w:fldCharType="begin"/>
      </w:r>
      <w:r>
        <w:instrText xml:space="preserve"> HYPERLINK \l "_Toc205237769" </w:instrText>
      </w:r>
      <w:r>
        <w:fldChar w:fldCharType="separate"/>
      </w:r>
      <w:r>
        <w:rPr>
          <w:rStyle w:val="46"/>
          <w:rFonts w:ascii="Times New Roman"/>
        </w:rPr>
        <w:t>5.6 水</w:t>
      </w:r>
      <w:r>
        <w:rPr>
          <w:rStyle w:val="46"/>
          <w:rFonts w:ascii="Times New Roman"/>
        </w:rPr>
        <w:tab/>
      </w:r>
      <w:r>
        <w:rPr>
          <w:rStyle w:val="46"/>
          <w:rFonts w:ascii="Times New Roman"/>
        </w:rPr>
        <w:fldChar w:fldCharType="begin"/>
      </w:r>
      <w:r>
        <w:rPr>
          <w:rStyle w:val="46"/>
          <w:rFonts w:ascii="Times New Roman"/>
        </w:rPr>
        <w:instrText xml:space="preserve"> PAGEREF _Toc205237769 \h </w:instrText>
      </w:r>
      <w:r>
        <w:rPr>
          <w:rStyle w:val="46"/>
          <w:rFonts w:ascii="Times New Roman"/>
        </w:rPr>
        <w:fldChar w:fldCharType="separate"/>
      </w:r>
      <w:r>
        <w:rPr>
          <w:rStyle w:val="46"/>
          <w:rFonts w:ascii="Times New Roman"/>
        </w:rPr>
        <w:t>6</w:t>
      </w:r>
      <w:r>
        <w:rPr>
          <w:rStyle w:val="46"/>
          <w:rFonts w:ascii="Times New Roman"/>
        </w:rPr>
        <w:fldChar w:fldCharType="end"/>
      </w:r>
      <w:r>
        <w:rPr>
          <w:rStyle w:val="46"/>
          <w:rFonts w:ascii="Times New Roman"/>
        </w:rPr>
        <w:fldChar w:fldCharType="end"/>
      </w:r>
    </w:p>
    <w:p w14:paraId="48A3EAA3">
      <w:pPr>
        <w:pStyle w:val="28"/>
        <w:tabs>
          <w:tab w:val="right" w:leader="dot" w:pos="9345"/>
        </w:tabs>
        <w:rPr>
          <w:rStyle w:val="46"/>
          <w:rFonts w:ascii="Times New Roman"/>
        </w:rPr>
      </w:pPr>
      <w:r>
        <w:fldChar w:fldCharType="begin"/>
      </w:r>
      <w:r>
        <w:instrText xml:space="preserve"> HYPERLINK \l "_Toc205237770" </w:instrText>
      </w:r>
      <w:r>
        <w:fldChar w:fldCharType="separate"/>
      </w:r>
      <w:r>
        <w:rPr>
          <w:rStyle w:val="46"/>
          <w:rFonts w:ascii="Times New Roman"/>
        </w:rPr>
        <w:t>6 混凝土性能</w:t>
      </w:r>
      <w:r>
        <w:rPr>
          <w:rStyle w:val="46"/>
          <w:rFonts w:ascii="Times New Roman"/>
        </w:rPr>
        <w:tab/>
      </w:r>
      <w:r>
        <w:rPr>
          <w:rStyle w:val="46"/>
          <w:rFonts w:ascii="Times New Roman"/>
        </w:rPr>
        <w:fldChar w:fldCharType="begin"/>
      </w:r>
      <w:r>
        <w:rPr>
          <w:rStyle w:val="46"/>
          <w:rFonts w:ascii="Times New Roman"/>
        </w:rPr>
        <w:instrText xml:space="preserve"> PAGEREF _Toc205237770 \h </w:instrText>
      </w:r>
      <w:r>
        <w:rPr>
          <w:rStyle w:val="46"/>
          <w:rFonts w:ascii="Times New Roman"/>
        </w:rPr>
        <w:fldChar w:fldCharType="separate"/>
      </w:r>
      <w:r>
        <w:rPr>
          <w:rStyle w:val="46"/>
          <w:rFonts w:ascii="Times New Roman"/>
        </w:rPr>
        <w:t>6</w:t>
      </w:r>
      <w:r>
        <w:rPr>
          <w:rStyle w:val="46"/>
          <w:rFonts w:ascii="Times New Roman"/>
        </w:rPr>
        <w:fldChar w:fldCharType="end"/>
      </w:r>
      <w:r>
        <w:rPr>
          <w:rStyle w:val="46"/>
          <w:rFonts w:ascii="Times New Roman"/>
        </w:rPr>
        <w:fldChar w:fldCharType="end"/>
      </w:r>
    </w:p>
    <w:p w14:paraId="2EE3DC09">
      <w:pPr>
        <w:pStyle w:val="28"/>
        <w:tabs>
          <w:tab w:val="right" w:leader="dot" w:pos="9345"/>
        </w:tabs>
        <w:rPr>
          <w:rStyle w:val="46"/>
          <w:rFonts w:ascii="Times New Roman"/>
        </w:rPr>
      </w:pPr>
      <w:r>
        <w:fldChar w:fldCharType="begin"/>
      </w:r>
      <w:r>
        <w:instrText xml:space="preserve"> HYPERLINK \l "_Toc205237771" </w:instrText>
      </w:r>
      <w:r>
        <w:fldChar w:fldCharType="separate"/>
      </w:r>
      <w:r>
        <w:rPr>
          <w:rStyle w:val="46"/>
          <w:rFonts w:ascii="Times New Roman"/>
        </w:rPr>
        <w:t>6.1 拌合物性能</w:t>
      </w:r>
      <w:r>
        <w:rPr>
          <w:rStyle w:val="46"/>
          <w:rFonts w:ascii="Times New Roman"/>
        </w:rPr>
        <w:tab/>
      </w:r>
      <w:r>
        <w:rPr>
          <w:rStyle w:val="46"/>
          <w:rFonts w:ascii="Times New Roman"/>
        </w:rPr>
        <w:fldChar w:fldCharType="begin"/>
      </w:r>
      <w:r>
        <w:rPr>
          <w:rStyle w:val="46"/>
          <w:rFonts w:ascii="Times New Roman"/>
        </w:rPr>
        <w:instrText xml:space="preserve"> PAGEREF _Toc205237771 \h </w:instrText>
      </w:r>
      <w:r>
        <w:rPr>
          <w:rStyle w:val="46"/>
          <w:rFonts w:ascii="Times New Roman"/>
        </w:rPr>
        <w:fldChar w:fldCharType="separate"/>
      </w:r>
      <w:r>
        <w:rPr>
          <w:rStyle w:val="46"/>
          <w:rFonts w:ascii="Times New Roman"/>
        </w:rPr>
        <w:t>6</w:t>
      </w:r>
      <w:r>
        <w:rPr>
          <w:rStyle w:val="46"/>
          <w:rFonts w:ascii="Times New Roman"/>
        </w:rPr>
        <w:fldChar w:fldCharType="end"/>
      </w:r>
      <w:r>
        <w:rPr>
          <w:rStyle w:val="46"/>
          <w:rFonts w:ascii="Times New Roman"/>
        </w:rPr>
        <w:fldChar w:fldCharType="end"/>
      </w:r>
    </w:p>
    <w:p w14:paraId="761B10C3">
      <w:pPr>
        <w:pStyle w:val="28"/>
        <w:tabs>
          <w:tab w:val="right" w:leader="dot" w:pos="9345"/>
        </w:tabs>
        <w:rPr>
          <w:rStyle w:val="46"/>
          <w:rFonts w:ascii="Times New Roman"/>
        </w:rPr>
      </w:pPr>
      <w:r>
        <w:fldChar w:fldCharType="begin"/>
      </w:r>
      <w:r>
        <w:instrText xml:space="preserve"> HYPERLINK \l "_Toc205237772" </w:instrText>
      </w:r>
      <w:r>
        <w:fldChar w:fldCharType="separate"/>
      </w:r>
      <w:r>
        <w:rPr>
          <w:rStyle w:val="46"/>
          <w:rFonts w:ascii="Times New Roman"/>
        </w:rPr>
        <w:t>6.2 力学性能</w:t>
      </w:r>
      <w:r>
        <w:rPr>
          <w:rStyle w:val="46"/>
          <w:rFonts w:ascii="Times New Roman"/>
        </w:rPr>
        <w:tab/>
      </w:r>
      <w:r>
        <w:rPr>
          <w:rStyle w:val="46"/>
          <w:rFonts w:ascii="Times New Roman"/>
        </w:rPr>
        <w:fldChar w:fldCharType="begin"/>
      </w:r>
      <w:r>
        <w:rPr>
          <w:rStyle w:val="46"/>
          <w:rFonts w:ascii="Times New Roman"/>
        </w:rPr>
        <w:instrText xml:space="preserve"> PAGEREF _Toc205237772 \h </w:instrText>
      </w:r>
      <w:r>
        <w:rPr>
          <w:rStyle w:val="46"/>
          <w:rFonts w:ascii="Times New Roman"/>
        </w:rPr>
        <w:fldChar w:fldCharType="separate"/>
      </w:r>
      <w:r>
        <w:rPr>
          <w:rStyle w:val="46"/>
          <w:rFonts w:ascii="Times New Roman"/>
        </w:rPr>
        <w:t>6</w:t>
      </w:r>
      <w:r>
        <w:rPr>
          <w:rStyle w:val="46"/>
          <w:rFonts w:ascii="Times New Roman"/>
        </w:rPr>
        <w:fldChar w:fldCharType="end"/>
      </w:r>
      <w:r>
        <w:rPr>
          <w:rStyle w:val="46"/>
          <w:rFonts w:ascii="Times New Roman"/>
        </w:rPr>
        <w:fldChar w:fldCharType="end"/>
      </w:r>
    </w:p>
    <w:p w14:paraId="39D8F272">
      <w:pPr>
        <w:pStyle w:val="28"/>
        <w:tabs>
          <w:tab w:val="right" w:leader="dot" w:pos="9345"/>
        </w:tabs>
        <w:rPr>
          <w:rStyle w:val="46"/>
          <w:rFonts w:ascii="Times New Roman"/>
        </w:rPr>
      </w:pPr>
      <w:r>
        <w:fldChar w:fldCharType="begin"/>
      </w:r>
      <w:r>
        <w:instrText xml:space="preserve"> HYPERLINK \l "_Toc205237773" </w:instrText>
      </w:r>
      <w:r>
        <w:fldChar w:fldCharType="separate"/>
      </w:r>
      <w:r>
        <w:rPr>
          <w:rStyle w:val="46"/>
          <w:rFonts w:ascii="Times New Roman"/>
        </w:rPr>
        <w:t>6.3 长期性能和耐久性能</w:t>
      </w:r>
      <w:r>
        <w:rPr>
          <w:rStyle w:val="46"/>
          <w:rFonts w:ascii="Times New Roman"/>
        </w:rPr>
        <w:tab/>
      </w:r>
      <w:r>
        <w:rPr>
          <w:rStyle w:val="46"/>
          <w:rFonts w:ascii="Times New Roman"/>
        </w:rPr>
        <w:fldChar w:fldCharType="begin"/>
      </w:r>
      <w:r>
        <w:rPr>
          <w:rStyle w:val="46"/>
          <w:rFonts w:ascii="Times New Roman"/>
        </w:rPr>
        <w:instrText xml:space="preserve"> PAGEREF _Toc205237773 \h </w:instrText>
      </w:r>
      <w:r>
        <w:rPr>
          <w:rStyle w:val="46"/>
          <w:rFonts w:ascii="Times New Roman"/>
        </w:rPr>
        <w:fldChar w:fldCharType="separate"/>
      </w:r>
      <w:r>
        <w:rPr>
          <w:rStyle w:val="46"/>
          <w:rFonts w:ascii="Times New Roman"/>
        </w:rPr>
        <w:t>7</w:t>
      </w:r>
      <w:r>
        <w:rPr>
          <w:rStyle w:val="46"/>
          <w:rFonts w:ascii="Times New Roman"/>
        </w:rPr>
        <w:fldChar w:fldCharType="end"/>
      </w:r>
      <w:r>
        <w:rPr>
          <w:rStyle w:val="46"/>
          <w:rFonts w:ascii="Times New Roman"/>
        </w:rPr>
        <w:fldChar w:fldCharType="end"/>
      </w:r>
    </w:p>
    <w:p w14:paraId="180F3F6F">
      <w:pPr>
        <w:pStyle w:val="28"/>
        <w:tabs>
          <w:tab w:val="right" w:leader="dot" w:pos="9345"/>
        </w:tabs>
        <w:rPr>
          <w:rStyle w:val="46"/>
          <w:rFonts w:ascii="Times New Roman"/>
        </w:rPr>
      </w:pPr>
      <w:r>
        <w:fldChar w:fldCharType="begin"/>
      </w:r>
      <w:r>
        <w:instrText xml:space="preserve"> HYPERLINK \l "_Toc205237774" </w:instrText>
      </w:r>
      <w:r>
        <w:fldChar w:fldCharType="separate"/>
      </w:r>
      <w:r>
        <w:rPr>
          <w:rStyle w:val="46"/>
          <w:rFonts w:ascii="Times New Roman"/>
        </w:rPr>
        <w:t>7 配合比设计</w:t>
      </w:r>
      <w:r>
        <w:rPr>
          <w:rStyle w:val="46"/>
          <w:rFonts w:ascii="Times New Roman"/>
        </w:rPr>
        <w:tab/>
      </w:r>
      <w:r>
        <w:rPr>
          <w:rStyle w:val="46"/>
          <w:rFonts w:ascii="Times New Roman"/>
        </w:rPr>
        <w:fldChar w:fldCharType="begin"/>
      </w:r>
      <w:r>
        <w:rPr>
          <w:rStyle w:val="46"/>
          <w:rFonts w:ascii="Times New Roman"/>
        </w:rPr>
        <w:instrText xml:space="preserve"> PAGEREF _Toc205237774 \h </w:instrText>
      </w:r>
      <w:r>
        <w:rPr>
          <w:rStyle w:val="46"/>
          <w:rFonts w:ascii="Times New Roman"/>
        </w:rPr>
        <w:fldChar w:fldCharType="separate"/>
      </w:r>
      <w:r>
        <w:rPr>
          <w:rStyle w:val="46"/>
          <w:rFonts w:ascii="Times New Roman"/>
        </w:rPr>
        <w:t>7</w:t>
      </w:r>
      <w:r>
        <w:rPr>
          <w:rStyle w:val="46"/>
          <w:rFonts w:ascii="Times New Roman"/>
        </w:rPr>
        <w:fldChar w:fldCharType="end"/>
      </w:r>
      <w:r>
        <w:rPr>
          <w:rStyle w:val="46"/>
          <w:rFonts w:ascii="Times New Roman"/>
        </w:rPr>
        <w:fldChar w:fldCharType="end"/>
      </w:r>
    </w:p>
    <w:p w14:paraId="1A7D2794">
      <w:pPr>
        <w:pStyle w:val="28"/>
        <w:tabs>
          <w:tab w:val="right" w:leader="dot" w:pos="9345"/>
        </w:tabs>
        <w:rPr>
          <w:rStyle w:val="46"/>
          <w:rFonts w:ascii="Times New Roman"/>
        </w:rPr>
      </w:pPr>
      <w:r>
        <w:fldChar w:fldCharType="begin"/>
      </w:r>
      <w:r>
        <w:instrText xml:space="preserve"> HYPERLINK \l "_Toc205237775" </w:instrText>
      </w:r>
      <w:r>
        <w:fldChar w:fldCharType="separate"/>
      </w:r>
      <w:r>
        <w:rPr>
          <w:rStyle w:val="46"/>
          <w:rFonts w:ascii="Times New Roman"/>
        </w:rPr>
        <w:t>7.1 一般规定</w:t>
      </w:r>
      <w:r>
        <w:rPr>
          <w:rStyle w:val="46"/>
          <w:rFonts w:ascii="Times New Roman"/>
        </w:rPr>
        <w:tab/>
      </w:r>
      <w:r>
        <w:rPr>
          <w:rStyle w:val="46"/>
          <w:rFonts w:ascii="Times New Roman"/>
        </w:rPr>
        <w:fldChar w:fldCharType="begin"/>
      </w:r>
      <w:r>
        <w:rPr>
          <w:rStyle w:val="46"/>
          <w:rFonts w:ascii="Times New Roman"/>
        </w:rPr>
        <w:instrText xml:space="preserve"> PAGEREF _Toc205237775 \h </w:instrText>
      </w:r>
      <w:r>
        <w:rPr>
          <w:rStyle w:val="46"/>
          <w:rFonts w:ascii="Times New Roman"/>
        </w:rPr>
        <w:fldChar w:fldCharType="separate"/>
      </w:r>
      <w:r>
        <w:rPr>
          <w:rStyle w:val="46"/>
          <w:rFonts w:ascii="Times New Roman"/>
        </w:rPr>
        <w:t>7</w:t>
      </w:r>
      <w:r>
        <w:rPr>
          <w:rStyle w:val="46"/>
          <w:rFonts w:ascii="Times New Roman"/>
        </w:rPr>
        <w:fldChar w:fldCharType="end"/>
      </w:r>
      <w:r>
        <w:rPr>
          <w:rStyle w:val="46"/>
          <w:rFonts w:ascii="Times New Roman"/>
        </w:rPr>
        <w:fldChar w:fldCharType="end"/>
      </w:r>
    </w:p>
    <w:p w14:paraId="7F7C774C">
      <w:pPr>
        <w:pStyle w:val="28"/>
        <w:tabs>
          <w:tab w:val="right" w:leader="dot" w:pos="9345"/>
        </w:tabs>
        <w:rPr>
          <w:rStyle w:val="46"/>
          <w:rFonts w:ascii="Times New Roman"/>
        </w:rPr>
      </w:pPr>
      <w:r>
        <w:fldChar w:fldCharType="begin"/>
      </w:r>
      <w:r>
        <w:instrText xml:space="preserve"> HYPERLINK \l "_Toc205237776" </w:instrText>
      </w:r>
      <w:r>
        <w:fldChar w:fldCharType="separate"/>
      </w:r>
      <w:r>
        <w:rPr>
          <w:rStyle w:val="46"/>
          <w:rFonts w:ascii="Times New Roman"/>
        </w:rPr>
        <w:t>7.2 主要参数</w:t>
      </w:r>
      <w:r>
        <w:rPr>
          <w:rStyle w:val="46"/>
          <w:rFonts w:ascii="Times New Roman"/>
        </w:rPr>
        <w:tab/>
      </w:r>
      <w:r>
        <w:rPr>
          <w:rStyle w:val="46"/>
          <w:rFonts w:ascii="Times New Roman"/>
        </w:rPr>
        <w:fldChar w:fldCharType="begin"/>
      </w:r>
      <w:r>
        <w:rPr>
          <w:rStyle w:val="46"/>
          <w:rFonts w:ascii="Times New Roman"/>
        </w:rPr>
        <w:instrText xml:space="preserve"> PAGEREF _Toc205237776 \h </w:instrText>
      </w:r>
      <w:r>
        <w:rPr>
          <w:rStyle w:val="46"/>
          <w:rFonts w:ascii="Times New Roman"/>
        </w:rPr>
        <w:fldChar w:fldCharType="separate"/>
      </w:r>
      <w:r>
        <w:rPr>
          <w:rStyle w:val="46"/>
          <w:rFonts w:ascii="Times New Roman"/>
        </w:rPr>
        <w:t>7</w:t>
      </w:r>
      <w:r>
        <w:rPr>
          <w:rStyle w:val="46"/>
          <w:rFonts w:ascii="Times New Roman"/>
        </w:rPr>
        <w:fldChar w:fldCharType="end"/>
      </w:r>
      <w:r>
        <w:rPr>
          <w:rStyle w:val="46"/>
          <w:rFonts w:ascii="Times New Roman"/>
        </w:rPr>
        <w:fldChar w:fldCharType="end"/>
      </w:r>
    </w:p>
    <w:p w14:paraId="7E3DB5BF">
      <w:pPr>
        <w:pStyle w:val="28"/>
        <w:tabs>
          <w:tab w:val="right" w:leader="dot" w:pos="9345"/>
        </w:tabs>
        <w:rPr>
          <w:rStyle w:val="46"/>
          <w:rFonts w:ascii="Times New Roman"/>
        </w:rPr>
      </w:pPr>
      <w:r>
        <w:fldChar w:fldCharType="begin"/>
      </w:r>
      <w:r>
        <w:instrText xml:space="preserve"> HYPERLINK \l "_Toc205237777" </w:instrText>
      </w:r>
      <w:r>
        <w:fldChar w:fldCharType="separate"/>
      </w:r>
      <w:r>
        <w:rPr>
          <w:rStyle w:val="46"/>
          <w:rFonts w:ascii="Times New Roman"/>
        </w:rPr>
        <w:t>7.3 设计控制</w:t>
      </w:r>
      <w:r>
        <w:rPr>
          <w:rStyle w:val="46"/>
          <w:rFonts w:ascii="Times New Roman"/>
        </w:rPr>
        <w:tab/>
      </w:r>
      <w:r>
        <w:rPr>
          <w:rStyle w:val="46"/>
          <w:rFonts w:ascii="Times New Roman"/>
        </w:rPr>
        <w:fldChar w:fldCharType="begin"/>
      </w:r>
      <w:r>
        <w:rPr>
          <w:rStyle w:val="46"/>
          <w:rFonts w:ascii="Times New Roman"/>
        </w:rPr>
        <w:instrText xml:space="preserve"> PAGEREF _Toc205237777 \h </w:instrText>
      </w:r>
      <w:r>
        <w:rPr>
          <w:rStyle w:val="46"/>
          <w:rFonts w:ascii="Times New Roman"/>
        </w:rPr>
        <w:fldChar w:fldCharType="separate"/>
      </w:r>
      <w:r>
        <w:rPr>
          <w:rStyle w:val="46"/>
          <w:rFonts w:ascii="Times New Roman"/>
        </w:rPr>
        <w:t>8</w:t>
      </w:r>
      <w:r>
        <w:rPr>
          <w:rStyle w:val="46"/>
          <w:rFonts w:ascii="Times New Roman"/>
        </w:rPr>
        <w:fldChar w:fldCharType="end"/>
      </w:r>
      <w:r>
        <w:rPr>
          <w:rStyle w:val="46"/>
          <w:rFonts w:ascii="Times New Roman"/>
        </w:rPr>
        <w:fldChar w:fldCharType="end"/>
      </w:r>
    </w:p>
    <w:p w14:paraId="12B72021">
      <w:pPr>
        <w:pStyle w:val="28"/>
        <w:tabs>
          <w:tab w:val="right" w:leader="dot" w:pos="9345"/>
        </w:tabs>
        <w:rPr>
          <w:rStyle w:val="46"/>
          <w:rFonts w:ascii="Times New Roman"/>
        </w:rPr>
      </w:pPr>
      <w:r>
        <w:fldChar w:fldCharType="begin"/>
      </w:r>
      <w:r>
        <w:instrText xml:space="preserve"> HYPERLINK \l "_Toc205237778" </w:instrText>
      </w:r>
      <w:r>
        <w:fldChar w:fldCharType="separate"/>
      </w:r>
      <w:r>
        <w:rPr>
          <w:rStyle w:val="46"/>
          <w:rFonts w:ascii="Times New Roman"/>
        </w:rPr>
        <w:t>8 生产与施工</w:t>
      </w:r>
      <w:r>
        <w:rPr>
          <w:rStyle w:val="46"/>
          <w:rFonts w:ascii="Times New Roman"/>
        </w:rPr>
        <w:tab/>
      </w:r>
      <w:r>
        <w:rPr>
          <w:rStyle w:val="46"/>
          <w:rFonts w:ascii="Times New Roman"/>
        </w:rPr>
        <w:fldChar w:fldCharType="begin"/>
      </w:r>
      <w:r>
        <w:rPr>
          <w:rStyle w:val="46"/>
          <w:rFonts w:ascii="Times New Roman"/>
        </w:rPr>
        <w:instrText xml:space="preserve"> PAGEREF _Toc205237778 \h </w:instrText>
      </w:r>
      <w:r>
        <w:rPr>
          <w:rStyle w:val="46"/>
          <w:rFonts w:ascii="Times New Roman"/>
        </w:rPr>
        <w:fldChar w:fldCharType="separate"/>
      </w:r>
      <w:r>
        <w:rPr>
          <w:rStyle w:val="46"/>
          <w:rFonts w:ascii="Times New Roman"/>
        </w:rPr>
        <w:t>9</w:t>
      </w:r>
      <w:r>
        <w:rPr>
          <w:rStyle w:val="46"/>
          <w:rFonts w:ascii="Times New Roman"/>
        </w:rPr>
        <w:fldChar w:fldCharType="end"/>
      </w:r>
      <w:r>
        <w:rPr>
          <w:rStyle w:val="46"/>
          <w:rFonts w:ascii="Times New Roman"/>
        </w:rPr>
        <w:fldChar w:fldCharType="end"/>
      </w:r>
    </w:p>
    <w:p w14:paraId="00B25A3B">
      <w:pPr>
        <w:pStyle w:val="28"/>
        <w:tabs>
          <w:tab w:val="right" w:leader="dot" w:pos="9345"/>
        </w:tabs>
        <w:rPr>
          <w:rStyle w:val="46"/>
          <w:rFonts w:ascii="Times New Roman"/>
        </w:rPr>
      </w:pPr>
      <w:r>
        <w:fldChar w:fldCharType="begin"/>
      </w:r>
      <w:r>
        <w:instrText xml:space="preserve"> HYPERLINK \l "_Toc205237779" </w:instrText>
      </w:r>
      <w:r>
        <w:fldChar w:fldCharType="separate"/>
      </w:r>
      <w:r>
        <w:rPr>
          <w:rStyle w:val="46"/>
          <w:rFonts w:ascii="Times New Roman"/>
        </w:rPr>
        <w:t>8.1 一般规定</w:t>
      </w:r>
      <w:r>
        <w:rPr>
          <w:rStyle w:val="46"/>
          <w:rFonts w:ascii="Times New Roman"/>
        </w:rPr>
        <w:tab/>
      </w:r>
      <w:r>
        <w:rPr>
          <w:rStyle w:val="46"/>
          <w:rFonts w:ascii="Times New Roman"/>
        </w:rPr>
        <w:fldChar w:fldCharType="begin"/>
      </w:r>
      <w:r>
        <w:rPr>
          <w:rStyle w:val="46"/>
          <w:rFonts w:ascii="Times New Roman"/>
        </w:rPr>
        <w:instrText xml:space="preserve"> PAGEREF _Toc205237779 \h </w:instrText>
      </w:r>
      <w:r>
        <w:rPr>
          <w:rStyle w:val="46"/>
          <w:rFonts w:ascii="Times New Roman"/>
        </w:rPr>
        <w:fldChar w:fldCharType="separate"/>
      </w:r>
      <w:r>
        <w:rPr>
          <w:rStyle w:val="46"/>
          <w:rFonts w:ascii="Times New Roman"/>
        </w:rPr>
        <w:t>9</w:t>
      </w:r>
      <w:r>
        <w:rPr>
          <w:rStyle w:val="46"/>
          <w:rFonts w:ascii="Times New Roman"/>
        </w:rPr>
        <w:fldChar w:fldCharType="end"/>
      </w:r>
      <w:r>
        <w:rPr>
          <w:rStyle w:val="46"/>
          <w:rFonts w:ascii="Times New Roman"/>
        </w:rPr>
        <w:fldChar w:fldCharType="end"/>
      </w:r>
    </w:p>
    <w:p w14:paraId="415C893D">
      <w:pPr>
        <w:pStyle w:val="28"/>
        <w:tabs>
          <w:tab w:val="right" w:leader="dot" w:pos="9345"/>
        </w:tabs>
        <w:rPr>
          <w:rStyle w:val="46"/>
          <w:rFonts w:ascii="Times New Roman"/>
        </w:rPr>
      </w:pPr>
      <w:r>
        <w:fldChar w:fldCharType="begin"/>
      </w:r>
      <w:r>
        <w:instrText xml:space="preserve"> HYPERLINK \l "_Toc205237780" </w:instrText>
      </w:r>
      <w:r>
        <w:fldChar w:fldCharType="separate"/>
      </w:r>
      <w:r>
        <w:rPr>
          <w:rStyle w:val="46"/>
          <w:rFonts w:ascii="Times New Roman"/>
        </w:rPr>
        <w:t>8.2 原材料进场与贮存</w:t>
      </w:r>
      <w:r>
        <w:rPr>
          <w:rStyle w:val="46"/>
          <w:rFonts w:ascii="Times New Roman"/>
        </w:rPr>
        <w:tab/>
      </w:r>
      <w:r>
        <w:rPr>
          <w:rStyle w:val="46"/>
          <w:rFonts w:ascii="Times New Roman"/>
        </w:rPr>
        <w:fldChar w:fldCharType="begin"/>
      </w:r>
      <w:r>
        <w:rPr>
          <w:rStyle w:val="46"/>
          <w:rFonts w:ascii="Times New Roman"/>
        </w:rPr>
        <w:instrText xml:space="preserve"> PAGEREF _Toc205237780 \h </w:instrText>
      </w:r>
      <w:r>
        <w:rPr>
          <w:rStyle w:val="46"/>
          <w:rFonts w:ascii="Times New Roman"/>
        </w:rPr>
        <w:fldChar w:fldCharType="separate"/>
      </w:r>
      <w:r>
        <w:rPr>
          <w:rStyle w:val="46"/>
          <w:rFonts w:ascii="Times New Roman"/>
        </w:rPr>
        <w:t>9</w:t>
      </w:r>
      <w:r>
        <w:rPr>
          <w:rStyle w:val="46"/>
          <w:rFonts w:ascii="Times New Roman"/>
        </w:rPr>
        <w:fldChar w:fldCharType="end"/>
      </w:r>
      <w:r>
        <w:rPr>
          <w:rStyle w:val="46"/>
          <w:rFonts w:ascii="Times New Roman"/>
        </w:rPr>
        <w:fldChar w:fldCharType="end"/>
      </w:r>
    </w:p>
    <w:p w14:paraId="23031C52">
      <w:pPr>
        <w:pStyle w:val="28"/>
        <w:tabs>
          <w:tab w:val="right" w:leader="dot" w:pos="9345"/>
        </w:tabs>
        <w:rPr>
          <w:rStyle w:val="46"/>
          <w:rFonts w:ascii="Times New Roman"/>
        </w:rPr>
      </w:pPr>
      <w:r>
        <w:fldChar w:fldCharType="begin"/>
      </w:r>
      <w:r>
        <w:instrText xml:space="preserve"> HYPERLINK \l "_Toc205237781" </w:instrText>
      </w:r>
      <w:r>
        <w:fldChar w:fldCharType="separate"/>
      </w:r>
      <w:r>
        <w:rPr>
          <w:rStyle w:val="46"/>
          <w:rFonts w:ascii="Times New Roman"/>
        </w:rPr>
        <w:t>8.3 搅拌</w:t>
      </w:r>
      <w:r>
        <w:rPr>
          <w:rStyle w:val="46"/>
          <w:rFonts w:ascii="Times New Roman"/>
        </w:rPr>
        <w:tab/>
      </w:r>
      <w:r>
        <w:rPr>
          <w:rStyle w:val="46"/>
          <w:rFonts w:ascii="Times New Roman"/>
        </w:rPr>
        <w:fldChar w:fldCharType="begin"/>
      </w:r>
      <w:r>
        <w:rPr>
          <w:rStyle w:val="46"/>
          <w:rFonts w:ascii="Times New Roman"/>
        </w:rPr>
        <w:instrText xml:space="preserve"> PAGEREF _Toc205237781 \h </w:instrText>
      </w:r>
      <w:r>
        <w:rPr>
          <w:rStyle w:val="46"/>
          <w:rFonts w:ascii="Times New Roman"/>
        </w:rPr>
        <w:fldChar w:fldCharType="separate"/>
      </w:r>
      <w:r>
        <w:rPr>
          <w:rStyle w:val="46"/>
          <w:rFonts w:ascii="Times New Roman"/>
        </w:rPr>
        <w:t>10</w:t>
      </w:r>
      <w:r>
        <w:rPr>
          <w:rStyle w:val="46"/>
          <w:rFonts w:ascii="Times New Roman"/>
        </w:rPr>
        <w:fldChar w:fldCharType="end"/>
      </w:r>
      <w:r>
        <w:rPr>
          <w:rStyle w:val="46"/>
          <w:rFonts w:ascii="Times New Roman"/>
        </w:rPr>
        <w:fldChar w:fldCharType="end"/>
      </w:r>
    </w:p>
    <w:p w14:paraId="5ED12CD3">
      <w:pPr>
        <w:pStyle w:val="28"/>
        <w:tabs>
          <w:tab w:val="right" w:leader="dot" w:pos="9345"/>
        </w:tabs>
        <w:rPr>
          <w:rStyle w:val="46"/>
          <w:rFonts w:ascii="Times New Roman"/>
        </w:rPr>
      </w:pPr>
      <w:r>
        <w:fldChar w:fldCharType="begin"/>
      </w:r>
      <w:r>
        <w:instrText xml:space="preserve"> HYPERLINK \l "_Toc205237782" </w:instrText>
      </w:r>
      <w:r>
        <w:fldChar w:fldCharType="separate"/>
      </w:r>
      <w:r>
        <w:rPr>
          <w:rStyle w:val="46"/>
          <w:rFonts w:ascii="Times New Roman"/>
        </w:rPr>
        <w:t>8.4 运输</w:t>
      </w:r>
      <w:r>
        <w:rPr>
          <w:rStyle w:val="46"/>
          <w:rFonts w:ascii="Times New Roman"/>
        </w:rPr>
        <w:tab/>
      </w:r>
      <w:r>
        <w:rPr>
          <w:rStyle w:val="46"/>
          <w:rFonts w:ascii="Times New Roman"/>
        </w:rPr>
        <w:fldChar w:fldCharType="begin"/>
      </w:r>
      <w:r>
        <w:rPr>
          <w:rStyle w:val="46"/>
          <w:rFonts w:ascii="Times New Roman"/>
        </w:rPr>
        <w:instrText xml:space="preserve"> PAGEREF _Toc205237782 \h </w:instrText>
      </w:r>
      <w:r>
        <w:rPr>
          <w:rStyle w:val="46"/>
          <w:rFonts w:ascii="Times New Roman"/>
        </w:rPr>
        <w:fldChar w:fldCharType="separate"/>
      </w:r>
      <w:r>
        <w:rPr>
          <w:rStyle w:val="46"/>
          <w:rFonts w:ascii="Times New Roman"/>
        </w:rPr>
        <w:t>10</w:t>
      </w:r>
      <w:r>
        <w:rPr>
          <w:rStyle w:val="46"/>
          <w:rFonts w:ascii="Times New Roman"/>
        </w:rPr>
        <w:fldChar w:fldCharType="end"/>
      </w:r>
      <w:r>
        <w:rPr>
          <w:rStyle w:val="46"/>
          <w:rFonts w:ascii="Times New Roman"/>
        </w:rPr>
        <w:fldChar w:fldCharType="end"/>
      </w:r>
    </w:p>
    <w:p w14:paraId="52B36A38">
      <w:pPr>
        <w:pStyle w:val="28"/>
        <w:tabs>
          <w:tab w:val="right" w:leader="dot" w:pos="9345"/>
        </w:tabs>
        <w:rPr>
          <w:rStyle w:val="46"/>
          <w:rFonts w:ascii="Times New Roman"/>
        </w:rPr>
      </w:pPr>
      <w:r>
        <w:fldChar w:fldCharType="begin"/>
      </w:r>
      <w:r>
        <w:instrText xml:space="preserve"> HYPERLINK \l "_Toc205237783" </w:instrText>
      </w:r>
      <w:r>
        <w:fldChar w:fldCharType="separate"/>
      </w:r>
      <w:r>
        <w:rPr>
          <w:rStyle w:val="46"/>
          <w:rFonts w:ascii="Times New Roman"/>
        </w:rPr>
        <w:t>8.5 浇筑</w:t>
      </w:r>
      <w:r>
        <w:rPr>
          <w:rStyle w:val="46"/>
          <w:rFonts w:ascii="Times New Roman"/>
        </w:rPr>
        <w:tab/>
      </w:r>
      <w:r>
        <w:rPr>
          <w:rStyle w:val="46"/>
          <w:rFonts w:ascii="Times New Roman"/>
        </w:rPr>
        <w:fldChar w:fldCharType="begin"/>
      </w:r>
      <w:r>
        <w:rPr>
          <w:rStyle w:val="46"/>
          <w:rFonts w:ascii="Times New Roman"/>
        </w:rPr>
        <w:instrText xml:space="preserve"> PAGEREF _Toc205237783 \h </w:instrText>
      </w:r>
      <w:r>
        <w:rPr>
          <w:rStyle w:val="46"/>
          <w:rFonts w:ascii="Times New Roman"/>
        </w:rPr>
        <w:fldChar w:fldCharType="separate"/>
      </w:r>
      <w:r>
        <w:rPr>
          <w:rStyle w:val="46"/>
          <w:rFonts w:ascii="Times New Roman"/>
        </w:rPr>
        <w:t>10</w:t>
      </w:r>
      <w:r>
        <w:rPr>
          <w:rStyle w:val="46"/>
          <w:rFonts w:ascii="Times New Roman"/>
        </w:rPr>
        <w:fldChar w:fldCharType="end"/>
      </w:r>
      <w:r>
        <w:rPr>
          <w:rStyle w:val="46"/>
          <w:rFonts w:ascii="Times New Roman"/>
        </w:rPr>
        <w:fldChar w:fldCharType="end"/>
      </w:r>
    </w:p>
    <w:p w14:paraId="1EC2B2E0">
      <w:pPr>
        <w:pStyle w:val="28"/>
        <w:tabs>
          <w:tab w:val="right" w:leader="dot" w:pos="9345"/>
        </w:tabs>
        <w:rPr>
          <w:rStyle w:val="46"/>
          <w:rFonts w:ascii="Times New Roman"/>
        </w:rPr>
      </w:pPr>
      <w:r>
        <w:fldChar w:fldCharType="begin"/>
      </w:r>
      <w:r>
        <w:instrText xml:space="preserve"> HYPERLINK \l "_Toc205237784" </w:instrText>
      </w:r>
      <w:r>
        <w:fldChar w:fldCharType="separate"/>
      </w:r>
      <w:r>
        <w:rPr>
          <w:rStyle w:val="46"/>
          <w:rFonts w:ascii="Times New Roman"/>
        </w:rPr>
        <w:t>8.6 养护与拆模</w:t>
      </w:r>
      <w:r>
        <w:rPr>
          <w:rStyle w:val="46"/>
          <w:rFonts w:ascii="Times New Roman"/>
        </w:rPr>
        <w:tab/>
      </w:r>
      <w:r>
        <w:rPr>
          <w:rStyle w:val="46"/>
          <w:rFonts w:ascii="Times New Roman"/>
        </w:rPr>
        <w:fldChar w:fldCharType="begin"/>
      </w:r>
      <w:r>
        <w:rPr>
          <w:rStyle w:val="46"/>
          <w:rFonts w:ascii="Times New Roman"/>
        </w:rPr>
        <w:instrText xml:space="preserve"> PAGEREF _Toc205237784 \h </w:instrText>
      </w:r>
      <w:r>
        <w:rPr>
          <w:rStyle w:val="46"/>
          <w:rFonts w:ascii="Times New Roman"/>
        </w:rPr>
        <w:fldChar w:fldCharType="separate"/>
      </w:r>
      <w:r>
        <w:rPr>
          <w:rStyle w:val="46"/>
          <w:rFonts w:ascii="Times New Roman"/>
        </w:rPr>
        <w:t>11</w:t>
      </w:r>
      <w:r>
        <w:rPr>
          <w:rStyle w:val="46"/>
          <w:rFonts w:ascii="Times New Roman"/>
        </w:rPr>
        <w:fldChar w:fldCharType="end"/>
      </w:r>
      <w:r>
        <w:rPr>
          <w:rStyle w:val="46"/>
          <w:rFonts w:ascii="Times New Roman"/>
        </w:rPr>
        <w:fldChar w:fldCharType="end"/>
      </w:r>
    </w:p>
    <w:p w14:paraId="778E71BE">
      <w:pPr>
        <w:pStyle w:val="28"/>
        <w:tabs>
          <w:tab w:val="right" w:leader="dot" w:pos="9345"/>
        </w:tabs>
        <w:rPr>
          <w:rStyle w:val="46"/>
          <w:rFonts w:ascii="Times New Roman"/>
        </w:rPr>
      </w:pPr>
      <w:r>
        <w:fldChar w:fldCharType="begin"/>
      </w:r>
      <w:r>
        <w:instrText xml:space="preserve"> HYPERLINK \l "_Toc205237785" </w:instrText>
      </w:r>
      <w:r>
        <w:fldChar w:fldCharType="separate"/>
      </w:r>
      <w:r>
        <w:rPr>
          <w:rStyle w:val="46"/>
          <w:rFonts w:ascii="Times New Roman"/>
        </w:rPr>
        <w:t>9 质量检验与验收</w:t>
      </w:r>
      <w:r>
        <w:rPr>
          <w:rStyle w:val="46"/>
          <w:rFonts w:ascii="Times New Roman"/>
        </w:rPr>
        <w:tab/>
      </w:r>
      <w:r>
        <w:rPr>
          <w:rStyle w:val="46"/>
          <w:rFonts w:ascii="Times New Roman"/>
        </w:rPr>
        <w:fldChar w:fldCharType="begin"/>
      </w:r>
      <w:r>
        <w:rPr>
          <w:rStyle w:val="46"/>
          <w:rFonts w:ascii="Times New Roman"/>
        </w:rPr>
        <w:instrText xml:space="preserve"> PAGEREF _Toc205237785 \h </w:instrText>
      </w:r>
      <w:r>
        <w:rPr>
          <w:rStyle w:val="46"/>
          <w:rFonts w:ascii="Times New Roman"/>
        </w:rPr>
        <w:fldChar w:fldCharType="separate"/>
      </w:r>
      <w:r>
        <w:rPr>
          <w:rStyle w:val="46"/>
          <w:rFonts w:ascii="Times New Roman"/>
        </w:rPr>
        <w:t>12</w:t>
      </w:r>
      <w:r>
        <w:rPr>
          <w:rStyle w:val="46"/>
          <w:rFonts w:ascii="Times New Roman"/>
        </w:rPr>
        <w:fldChar w:fldCharType="end"/>
      </w:r>
      <w:r>
        <w:rPr>
          <w:rStyle w:val="46"/>
          <w:rFonts w:ascii="Times New Roman"/>
        </w:rPr>
        <w:fldChar w:fldCharType="end"/>
      </w:r>
    </w:p>
    <w:p w14:paraId="14BD160C">
      <w:pPr>
        <w:pStyle w:val="28"/>
        <w:tabs>
          <w:tab w:val="right" w:leader="dot" w:pos="9345"/>
        </w:tabs>
        <w:rPr>
          <w:rStyle w:val="46"/>
          <w:rFonts w:ascii="Times New Roman"/>
        </w:rPr>
      </w:pPr>
      <w:r>
        <w:fldChar w:fldCharType="begin"/>
      </w:r>
      <w:r>
        <w:instrText xml:space="preserve"> HYPERLINK \l "_Toc205237786" </w:instrText>
      </w:r>
      <w:r>
        <w:fldChar w:fldCharType="separate"/>
      </w:r>
      <w:r>
        <w:rPr>
          <w:rStyle w:val="46"/>
          <w:rFonts w:ascii="Times New Roman"/>
        </w:rPr>
        <w:t>9.1 一般规定</w:t>
      </w:r>
      <w:r>
        <w:rPr>
          <w:rStyle w:val="46"/>
          <w:rFonts w:ascii="Times New Roman"/>
        </w:rPr>
        <w:tab/>
      </w:r>
      <w:r>
        <w:rPr>
          <w:rStyle w:val="46"/>
          <w:rFonts w:ascii="Times New Roman"/>
        </w:rPr>
        <w:fldChar w:fldCharType="begin"/>
      </w:r>
      <w:r>
        <w:rPr>
          <w:rStyle w:val="46"/>
          <w:rFonts w:ascii="Times New Roman"/>
        </w:rPr>
        <w:instrText xml:space="preserve"> PAGEREF _Toc205237786 \h </w:instrText>
      </w:r>
      <w:r>
        <w:rPr>
          <w:rStyle w:val="46"/>
          <w:rFonts w:ascii="Times New Roman"/>
        </w:rPr>
        <w:fldChar w:fldCharType="separate"/>
      </w:r>
      <w:r>
        <w:rPr>
          <w:rStyle w:val="46"/>
          <w:rFonts w:ascii="Times New Roman"/>
        </w:rPr>
        <w:t>12</w:t>
      </w:r>
      <w:r>
        <w:rPr>
          <w:rStyle w:val="46"/>
          <w:rFonts w:ascii="Times New Roman"/>
        </w:rPr>
        <w:fldChar w:fldCharType="end"/>
      </w:r>
      <w:r>
        <w:rPr>
          <w:rStyle w:val="46"/>
          <w:rFonts w:ascii="Times New Roman"/>
        </w:rPr>
        <w:fldChar w:fldCharType="end"/>
      </w:r>
    </w:p>
    <w:p w14:paraId="64BC23F4">
      <w:pPr>
        <w:pStyle w:val="28"/>
        <w:tabs>
          <w:tab w:val="right" w:leader="dot" w:pos="9345"/>
        </w:tabs>
        <w:rPr>
          <w:rStyle w:val="46"/>
          <w:rFonts w:ascii="Times New Roman"/>
        </w:rPr>
      </w:pPr>
      <w:r>
        <w:fldChar w:fldCharType="begin"/>
      </w:r>
      <w:r>
        <w:instrText xml:space="preserve"> HYPERLINK \l "_Toc205237787" </w:instrText>
      </w:r>
      <w:r>
        <w:fldChar w:fldCharType="separate"/>
      </w:r>
      <w:r>
        <w:rPr>
          <w:rStyle w:val="46"/>
          <w:rFonts w:ascii="Times New Roman"/>
        </w:rPr>
        <w:t>9.2 复合混凝土分项工程质量检验</w:t>
      </w:r>
      <w:r>
        <w:rPr>
          <w:rStyle w:val="46"/>
          <w:rFonts w:ascii="Times New Roman"/>
        </w:rPr>
        <w:tab/>
      </w:r>
      <w:r>
        <w:rPr>
          <w:rStyle w:val="46"/>
          <w:rFonts w:ascii="Times New Roman"/>
        </w:rPr>
        <w:fldChar w:fldCharType="begin"/>
      </w:r>
      <w:r>
        <w:rPr>
          <w:rStyle w:val="46"/>
          <w:rFonts w:ascii="Times New Roman"/>
        </w:rPr>
        <w:instrText xml:space="preserve"> PAGEREF _Toc205237787 \h </w:instrText>
      </w:r>
      <w:r>
        <w:rPr>
          <w:rStyle w:val="46"/>
          <w:rFonts w:ascii="Times New Roman"/>
        </w:rPr>
        <w:fldChar w:fldCharType="separate"/>
      </w:r>
      <w:r>
        <w:rPr>
          <w:rStyle w:val="46"/>
          <w:rFonts w:ascii="Times New Roman"/>
        </w:rPr>
        <w:t>12</w:t>
      </w:r>
      <w:r>
        <w:rPr>
          <w:rStyle w:val="46"/>
          <w:rFonts w:ascii="Times New Roman"/>
        </w:rPr>
        <w:fldChar w:fldCharType="end"/>
      </w:r>
      <w:r>
        <w:rPr>
          <w:rStyle w:val="46"/>
          <w:rFonts w:ascii="Times New Roman"/>
        </w:rPr>
        <w:fldChar w:fldCharType="end"/>
      </w:r>
    </w:p>
    <w:p w14:paraId="642FFBC0">
      <w:pPr>
        <w:pStyle w:val="28"/>
        <w:tabs>
          <w:tab w:val="right" w:leader="dot" w:pos="9345"/>
        </w:tabs>
        <w:rPr>
          <w:rStyle w:val="46"/>
          <w:rFonts w:ascii="Times New Roman"/>
        </w:rPr>
      </w:pPr>
      <w:r>
        <w:fldChar w:fldCharType="begin"/>
      </w:r>
      <w:r>
        <w:instrText xml:space="preserve"> HYPERLINK \l "_Toc205237788" </w:instrText>
      </w:r>
      <w:r>
        <w:fldChar w:fldCharType="separate"/>
      </w:r>
      <w:r>
        <w:rPr>
          <w:rStyle w:val="46"/>
          <w:rFonts w:ascii="Times New Roman"/>
        </w:rPr>
        <w:t>9.3 复合混凝土结构子分部质量验收</w:t>
      </w:r>
      <w:r>
        <w:rPr>
          <w:rStyle w:val="46"/>
          <w:rFonts w:ascii="Times New Roman"/>
        </w:rPr>
        <w:tab/>
      </w:r>
      <w:r>
        <w:rPr>
          <w:rStyle w:val="46"/>
          <w:rFonts w:ascii="Times New Roman"/>
        </w:rPr>
        <w:fldChar w:fldCharType="begin"/>
      </w:r>
      <w:r>
        <w:rPr>
          <w:rStyle w:val="46"/>
          <w:rFonts w:ascii="Times New Roman"/>
        </w:rPr>
        <w:instrText xml:space="preserve"> PAGEREF _Toc205237788 \h </w:instrText>
      </w:r>
      <w:r>
        <w:rPr>
          <w:rStyle w:val="46"/>
          <w:rFonts w:ascii="Times New Roman"/>
        </w:rPr>
        <w:fldChar w:fldCharType="separate"/>
      </w:r>
      <w:r>
        <w:rPr>
          <w:rStyle w:val="46"/>
          <w:rFonts w:ascii="Times New Roman"/>
        </w:rPr>
        <w:t>12</w:t>
      </w:r>
      <w:r>
        <w:rPr>
          <w:rStyle w:val="46"/>
          <w:rFonts w:ascii="Times New Roman"/>
        </w:rPr>
        <w:fldChar w:fldCharType="end"/>
      </w:r>
      <w:r>
        <w:rPr>
          <w:rStyle w:val="46"/>
          <w:rFonts w:ascii="Times New Roman"/>
        </w:rPr>
        <w:fldChar w:fldCharType="end"/>
      </w:r>
    </w:p>
    <w:p w14:paraId="5ED9AA63">
      <w:pPr>
        <w:pStyle w:val="28"/>
        <w:tabs>
          <w:tab w:val="right" w:leader="dot" w:pos="9345"/>
        </w:tabs>
        <w:rPr>
          <w:rStyle w:val="46"/>
          <w:rFonts w:ascii="Times New Roman"/>
        </w:rPr>
      </w:pPr>
      <w:r>
        <w:fldChar w:fldCharType="begin"/>
      </w:r>
      <w:r>
        <w:instrText xml:space="preserve"> HYPERLINK \l "_Toc205237785" </w:instrText>
      </w:r>
      <w:r>
        <w:fldChar w:fldCharType="separate"/>
      </w:r>
      <w:r>
        <w:rPr>
          <w:rStyle w:val="46"/>
          <w:rFonts w:hint="eastAsia" w:ascii="Times New Roman"/>
        </w:rPr>
        <w:t>10标准实施及评价</w:t>
      </w:r>
      <w:r>
        <w:rPr>
          <w:rStyle w:val="46"/>
          <w:rFonts w:ascii="Times New Roman"/>
        </w:rPr>
        <w:tab/>
      </w:r>
      <w:r>
        <w:rPr>
          <w:rStyle w:val="46"/>
          <w:rFonts w:ascii="Times New Roman"/>
        </w:rPr>
        <w:fldChar w:fldCharType="begin"/>
      </w:r>
      <w:r>
        <w:rPr>
          <w:rStyle w:val="46"/>
          <w:rFonts w:ascii="Times New Roman"/>
        </w:rPr>
        <w:instrText xml:space="preserve"> PAGEREF _Toc205237785 \h </w:instrText>
      </w:r>
      <w:r>
        <w:rPr>
          <w:rStyle w:val="46"/>
          <w:rFonts w:ascii="Times New Roman"/>
        </w:rPr>
        <w:fldChar w:fldCharType="separate"/>
      </w:r>
      <w:r>
        <w:rPr>
          <w:rStyle w:val="46"/>
          <w:rFonts w:ascii="Times New Roman"/>
        </w:rPr>
        <w:t>1</w:t>
      </w:r>
      <w:r>
        <w:rPr>
          <w:rStyle w:val="46"/>
          <w:rFonts w:hint="eastAsia" w:ascii="Times New Roman"/>
        </w:rPr>
        <w:t>3</w:t>
      </w:r>
      <w:r>
        <w:rPr>
          <w:rStyle w:val="46"/>
          <w:rFonts w:ascii="Times New Roman"/>
        </w:rPr>
        <w:fldChar w:fldCharType="end"/>
      </w:r>
      <w:r>
        <w:rPr>
          <w:rStyle w:val="46"/>
          <w:rFonts w:ascii="Times New Roman"/>
        </w:rPr>
        <w:fldChar w:fldCharType="end"/>
      </w:r>
    </w:p>
    <w:p w14:paraId="1821385C">
      <w:pPr>
        <w:pStyle w:val="28"/>
        <w:tabs>
          <w:tab w:val="right" w:leader="dot" w:pos="9345"/>
        </w:tabs>
        <w:rPr>
          <w:rStyle w:val="46"/>
          <w:rFonts w:ascii="Times New Roman"/>
        </w:rPr>
      </w:pPr>
      <w:r>
        <w:fldChar w:fldCharType="begin"/>
      </w:r>
      <w:r>
        <w:instrText xml:space="preserve"> HYPERLINK \l "_Toc205237789" </w:instrText>
      </w:r>
      <w:r>
        <w:fldChar w:fldCharType="separate"/>
      </w:r>
      <w:r>
        <w:rPr>
          <w:rStyle w:val="46"/>
          <w:rFonts w:ascii="Times New Roman"/>
        </w:rPr>
        <w:t>附录A （规范性） 结构实体检验用同条件养护试件强度检验</w:t>
      </w:r>
      <w:r>
        <w:rPr>
          <w:rStyle w:val="46"/>
          <w:rFonts w:ascii="Times New Roman"/>
        </w:rPr>
        <w:tab/>
      </w:r>
      <w:r>
        <w:rPr>
          <w:rStyle w:val="46"/>
          <w:rFonts w:ascii="Times New Roman"/>
        </w:rPr>
        <w:fldChar w:fldCharType="begin"/>
      </w:r>
      <w:r>
        <w:rPr>
          <w:rStyle w:val="46"/>
          <w:rFonts w:ascii="Times New Roman"/>
        </w:rPr>
        <w:instrText xml:space="preserve"> PAGEREF _Toc205237789 \h </w:instrText>
      </w:r>
      <w:r>
        <w:rPr>
          <w:rStyle w:val="46"/>
          <w:rFonts w:ascii="Times New Roman"/>
        </w:rPr>
        <w:fldChar w:fldCharType="separate"/>
      </w:r>
      <w:r>
        <w:rPr>
          <w:rStyle w:val="46"/>
          <w:rFonts w:ascii="Times New Roman"/>
        </w:rPr>
        <w:t>14</w:t>
      </w:r>
      <w:r>
        <w:rPr>
          <w:rStyle w:val="46"/>
          <w:rFonts w:ascii="Times New Roman"/>
        </w:rPr>
        <w:fldChar w:fldCharType="end"/>
      </w:r>
      <w:r>
        <w:rPr>
          <w:rStyle w:val="46"/>
          <w:rFonts w:ascii="Times New Roman"/>
        </w:rPr>
        <w:fldChar w:fldCharType="end"/>
      </w:r>
    </w:p>
    <w:p w14:paraId="480A7A36">
      <w:pPr>
        <w:pStyle w:val="28"/>
        <w:tabs>
          <w:tab w:val="right" w:leader="dot" w:pos="9345"/>
        </w:tabs>
        <w:rPr>
          <w:rStyle w:val="46"/>
          <w:rFonts w:ascii="Times New Roman"/>
        </w:rPr>
      </w:pPr>
      <w:r>
        <w:fldChar w:fldCharType="begin"/>
      </w:r>
      <w:r>
        <w:instrText xml:space="preserve"> HYPERLINK \l "_Toc205237789" </w:instrText>
      </w:r>
      <w:r>
        <w:fldChar w:fldCharType="separate"/>
      </w:r>
      <w:r>
        <w:rPr>
          <w:rStyle w:val="46"/>
          <w:rFonts w:ascii="Times New Roman"/>
        </w:rPr>
        <w:t>附录</w:t>
      </w:r>
      <w:r>
        <w:rPr>
          <w:rStyle w:val="46"/>
          <w:rFonts w:hint="eastAsia" w:ascii="Times New Roman"/>
        </w:rPr>
        <w:t>B</w:t>
      </w:r>
      <w:r>
        <w:rPr>
          <w:rStyle w:val="46"/>
          <w:rFonts w:ascii="Times New Roman"/>
        </w:rPr>
        <w:t xml:space="preserve"> （资料性）</w:t>
      </w:r>
      <w:r>
        <w:rPr>
          <w:rStyle w:val="46"/>
          <w:rFonts w:hint="eastAsia" w:ascii="Times New Roman"/>
        </w:rPr>
        <w:t xml:space="preserve"> 湖北省地方标准实施信息及意见反馈表</w:t>
      </w:r>
      <w:r>
        <w:rPr>
          <w:rStyle w:val="46"/>
          <w:rFonts w:ascii="Times New Roman"/>
        </w:rPr>
        <w:tab/>
      </w:r>
      <w:r>
        <w:rPr>
          <w:rStyle w:val="46"/>
          <w:rFonts w:ascii="Times New Roman"/>
        </w:rPr>
        <w:fldChar w:fldCharType="begin"/>
      </w:r>
      <w:r>
        <w:rPr>
          <w:rStyle w:val="46"/>
          <w:rFonts w:ascii="Times New Roman"/>
        </w:rPr>
        <w:instrText xml:space="preserve"> PAGEREF _Toc205237789 \h </w:instrText>
      </w:r>
      <w:r>
        <w:rPr>
          <w:rStyle w:val="46"/>
          <w:rFonts w:ascii="Times New Roman"/>
        </w:rPr>
        <w:fldChar w:fldCharType="separate"/>
      </w:r>
      <w:r>
        <w:rPr>
          <w:rStyle w:val="46"/>
          <w:rFonts w:ascii="Times New Roman"/>
        </w:rPr>
        <w:t>1</w:t>
      </w:r>
      <w:r>
        <w:rPr>
          <w:rStyle w:val="46"/>
          <w:rFonts w:hint="eastAsia" w:ascii="Times New Roman"/>
        </w:rPr>
        <w:t>6</w:t>
      </w:r>
      <w:r>
        <w:rPr>
          <w:rStyle w:val="46"/>
          <w:rFonts w:ascii="Times New Roman"/>
        </w:rPr>
        <w:fldChar w:fldCharType="end"/>
      </w:r>
      <w:r>
        <w:rPr>
          <w:rStyle w:val="46"/>
          <w:rFonts w:ascii="Times New Roman"/>
        </w:rPr>
        <w:fldChar w:fldCharType="end"/>
      </w:r>
    </w:p>
    <w:p w14:paraId="6593CD75">
      <w:pPr>
        <w:pStyle w:val="28"/>
        <w:tabs>
          <w:tab w:val="right" w:leader="dot" w:pos="9345"/>
        </w:tabs>
        <w:rPr>
          <w:rStyle w:val="46"/>
          <w:rFonts w:ascii="Times New Roman"/>
        </w:rPr>
      </w:pPr>
      <w:r>
        <w:fldChar w:fldCharType="begin"/>
      </w:r>
      <w:r>
        <w:instrText xml:space="preserve"> HYPERLINK \l "_Toc205237790" </w:instrText>
      </w:r>
      <w:r>
        <w:fldChar w:fldCharType="separate"/>
      </w:r>
      <w:r>
        <w:rPr>
          <w:rStyle w:val="46"/>
          <w:rFonts w:ascii="Times New Roman"/>
        </w:rPr>
        <w:t>条文说明</w:t>
      </w:r>
      <w:r>
        <w:rPr>
          <w:rStyle w:val="46"/>
          <w:rFonts w:ascii="Times New Roman"/>
        </w:rPr>
        <w:tab/>
      </w:r>
      <w:r>
        <w:rPr>
          <w:rStyle w:val="46"/>
          <w:rFonts w:ascii="Times New Roman"/>
        </w:rPr>
        <w:fldChar w:fldCharType="begin"/>
      </w:r>
      <w:r>
        <w:rPr>
          <w:rStyle w:val="46"/>
          <w:rFonts w:ascii="Times New Roman"/>
        </w:rPr>
        <w:instrText xml:space="preserve"> PAGEREF _Toc205237790 \h </w:instrText>
      </w:r>
      <w:r>
        <w:rPr>
          <w:rStyle w:val="46"/>
          <w:rFonts w:ascii="Times New Roman"/>
        </w:rPr>
        <w:fldChar w:fldCharType="separate"/>
      </w:r>
      <w:r>
        <w:rPr>
          <w:rStyle w:val="46"/>
          <w:rFonts w:ascii="Times New Roman"/>
        </w:rPr>
        <w:t>18</w:t>
      </w:r>
      <w:r>
        <w:rPr>
          <w:rStyle w:val="46"/>
          <w:rFonts w:ascii="Times New Roman"/>
        </w:rPr>
        <w:fldChar w:fldCharType="end"/>
      </w:r>
      <w:r>
        <w:rPr>
          <w:rStyle w:val="46"/>
          <w:rFonts w:ascii="Times New Roman"/>
        </w:rPr>
        <w:fldChar w:fldCharType="end"/>
      </w:r>
    </w:p>
    <w:p w14:paraId="53F47E11">
      <w:pPr>
        <w:pStyle w:val="28"/>
        <w:tabs>
          <w:tab w:val="right" w:leader="dot" w:pos="9345"/>
        </w:tabs>
        <w:rPr>
          <w:rFonts w:ascii="Times New Roman" w:hAnsi="Times New Roman" w:eastAsia="黑体"/>
        </w:rPr>
        <w:sectPr>
          <w:headerReference r:id="rId9" w:type="default"/>
          <w:footerReference r:id="rId11" w:type="default"/>
          <w:headerReference r:id="rId10" w:type="even"/>
          <w:footerReference r:id="rId12" w:type="even"/>
          <w:pgSz w:w="11906" w:h="16838"/>
          <w:pgMar w:top="1417" w:right="1134" w:bottom="1134" w:left="1417" w:header="1418" w:footer="1134" w:gutter="0"/>
          <w:pgNumType w:fmt="upperRoman" w:start="1"/>
          <w:cols w:space="720" w:num="1"/>
          <w:docGrid w:type="lines" w:linePitch="312" w:charSpace="0"/>
        </w:sectPr>
      </w:pPr>
      <w:r>
        <w:rPr>
          <w:rStyle w:val="46"/>
          <w:rFonts w:ascii="Times New Roman"/>
        </w:rPr>
        <w:fldChar w:fldCharType="end"/>
      </w:r>
    </w:p>
    <w:p w14:paraId="66D0F15F">
      <w:pPr>
        <w:pStyle w:val="121"/>
        <w:spacing w:before="850" w:after="680" w:afterLines="0"/>
        <w:rPr>
          <w:rFonts w:ascii="Times New Roman" w:hAnsi="Times New Roman"/>
          <w:spacing w:val="320"/>
        </w:rPr>
      </w:pPr>
      <w:r>
        <w:rPr>
          <w:rFonts w:ascii="Times New Roman" w:hAnsi="Times New Roman"/>
          <w:spacing w:val="320"/>
        </w:rPr>
        <w:t>前言</w:t>
      </w:r>
    </w:p>
    <w:p w14:paraId="3AC07CD0">
      <w:pPr>
        <w:pStyle w:val="50"/>
        <w:rPr>
          <w:rFonts w:ascii="Times New Roman"/>
        </w:rPr>
      </w:pPr>
      <w:r>
        <w:rPr>
          <w:rFonts w:ascii="Times New Roman"/>
        </w:rPr>
        <w:t>本文件按照GB/T 1.1－2020《标准化工作导则第1部分：标准的结构和编写》给出的规则起草。</w:t>
      </w:r>
    </w:p>
    <w:p w14:paraId="05DD0640">
      <w:pPr>
        <w:pStyle w:val="50"/>
        <w:rPr>
          <w:rFonts w:ascii="Times New Roman"/>
        </w:rPr>
      </w:pPr>
      <w:r>
        <w:rPr>
          <w:rFonts w:ascii="Times New Roman"/>
        </w:rPr>
        <w:t>本文件由湖北省住房和城乡建设厅提出并归口。</w:t>
      </w:r>
    </w:p>
    <w:p w14:paraId="6BCAD55E">
      <w:pPr>
        <w:pStyle w:val="50"/>
      </w:pPr>
      <w:r>
        <w:rPr>
          <w:rFonts w:ascii="Times New Roman"/>
        </w:rPr>
        <w:t>本文件</w:t>
      </w:r>
      <w:r>
        <w:rPr>
          <w:rFonts w:hint="eastAsia" w:ascii="Times New Roman"/>
        </w:rPr>
        <w:t>起草</w:t>
      </w:r>
      <w:r>
        <w:rPr>
          <w:rFonts w:ascii="Times New Roman"/>
        </w:rPr>
        <w:t>单位：</w:t>
      </w:r>
      <w:r>
        <w:t>湖北省建筑科学研究设计院股份有限公司、北京科技大学、湖北省建设科技与建筑节能办公室、武汉市建筑工程质量安全中心、湖北省建筑工程质量监督检验测试中心有限公司、</w:t>
      </w:r>
      <w:r>
        <w:rPr>
          <w:rFonts w:hint="eastAsia"/>
        </w:rPr>
        <w:t>黄石秦河新材料股份有限公司、武汉重德环保工程有限责任公司、建筑材料工业技术情报研究所、武汉鑫缘绿色冶金渣技术开发有限公司、中交特种工程有限公司、建筑材料工业技术监督研究中心、中国建筑科学研究院有限公司、北京建筑材料科学研究总院有限公司</w:t>
      </w:r>
      <w:r>
        <w:t>。</w:t>
      </w:r>
    </w:p>
    <w:p w14:paraId="76AD1DA5">
      <w:pPr>
        <w:pStyle w:val="50"/>
      </w:pPr>
      <w:r>
        <w:t>本文件主要起草人员：王康，巴浩静，刘士清，倪文，石世华，李山虎，</w:t>
      </w:r>
      <w:r>
        <w:rPr>
          <w:rFonts w:hint="eastAsia"/>
        </w:rPr>
        <w:t>李青，</w:t>
      </w:r>
      <w:r>
        <w:t>武俊宇，</w:t>
      </w:r>
      <w:r>
        <w:rPr>
          <w:rFonts w:hint="eastAsia"/>
        </w:rPr>
        <w:t>冀更新，詹佳辰，詹君宇，周国平，田健，龙永双，陈伟，王伟，卢曹波，郑永超，汪坤，李云云，朱立德，徐位，申智磊，李鑫磊。</w:t>
      </w:r>
    </w:p>
    <w:p w14:paraId="32505DED">
      <w:pPr>
        <w:pStyle w:val="50"/>
        <w:rPr>
          <w:rFonts w:ascii="Times New Roman"/>
        </w:rPr>
      </w:pPr>
      <w:r>
        <w:rPr>
          <w:rFonts w:hint="eastAsia" w:ascii="Times New Roman"/>
        </w:rPr>
        <w:t>本文件实施应用中的疑问，可咨询湖北省住房和城乡建设厅，联系电话：027-68873088，邮箱：bkc@hbszjt.net.cn。在执行过程中如有意见和建议请邮寄</w:t>
      </w:r>
      <w:r>
        <w:rPr>
          <w:rFonts w:ascii="Times New Roman"/>
        </w:rPr>
        <w:t>湖北省建筑科学研究设计院股份有限公司</w:t>
      </w:r>
      <w:r>
        <w:rPr>
          <w:rFonts w:hint="eastAsia" w:ascii="Times New Roman"/>
        </w:rPr>
        <w:t>（地址：湖北省武汉市武昌区中南路16号，邮编</w:t>
      </w:r>
      <w:r>
        <w:rPr>
          <w:rFonts w:ascii="Times New Roman"/>
        </w:rPr>
        <w:t>430060</w:t>
      </w:r>
      <w:r>
        <w:rPr>
          <w:rFonts w:hint="eastAsia" w:ascii="Times New Roman"/>
        </w:rPr>
        <w:t>，邮箱</w:t>
      </w:r>
      <w:r>
        <w:rPr>
          <w:rFonts w:ascii="Times New Roman"/>
        </w:rPr>
        <w:t>jyy_djun@csadi.cn</w:t>
      </w:r>
      <w:r>
        <w:rPr>
          <w:rFonts w:hint="eastAsia" w:ascii="Times New Roman"/>
        </w:rPr>
        <w:t>）</w:t>
      </w:r>
    </w:p>
    <w:p w14:paraId="5BFA7125">
      <w:pPr>
        <w:tabs>
          <w:tab w:val="left" w:pos="1034"/>
        </w:tabs>
        <w:jc w:val="left"/>
        <w:rPr>
          <w:rFonts w:ascii="Times New Roman" w:hAnsi="Times New Roman"/>
        </w:rPr>
        <w:sectPr>
          <w:pgSz w:w="11906" w:h="16838"/>
          <w:pgMar w:top="1417" w:right="1134" w:bottom="1134" w:left="1417" w:header="1418" w:footer="1134" w:gutter="0"/>
          <w:pgNumType w:fmt="upperRoman" w:start="1"/>
          <w:cols w:space="720" w:num="1"/>
          <w:docGrid w:type="lines" w:linePitch="312" w:charSpace="0"/>
        </w:sectPr>
      </w:pPr>
      <w:r>
        <w:rPr>
          <w:rFonts w:ascii="Times New Roman" w:hAnsi="Times New Roman"/>
        </w:rPr>
        <w:tab/>
      </w:r>
    </w:p>
    <w:p w14:paraId="5EA81142">
      <w:pPr>
        <w:spacing w:before="850" w:after="640" w:line="240" w:lineRule="auto"/>
        <w:jc w:val="center"/>
        <w:rPr>
          <w:rFonts w:ascii="Times New Roman" w:hAnsi="Times New Roman" w:eastAsia="黑体"/>
          <w:sz w:val="32"/>
          <w:szCs w:val="32"/>
        </w:rPr>
      </w:pPr>
      <w:bookmarkStart w:id="14" w:name="_Toc351014954"/>
      <w:r>
        <w:rPr>
          <w:rFonts w:ascii="Times New Roman" w:hAnsi="Times New Roman" w:eastAsia="黑体"/>
          <w:sz w:val="32"/>
          <w:szCs w:val="32"/>
        </w:rPr>
        <w:t>钢渣类固废基胶凝材料混凝土应用技术规程</w:t>
      </w:r>
      <w:bookmarkStart w:id="15" w:name="_Toc396893662"/>
      <w:bookmarkStart w:id="16" w:name="_Toc62058550"/>
      <w:bookmarkStart w:id="17" w:name="_Toc162893456"/>
      <w:bookmarkStart w:id="18" w:name="_Toc395621843"/>
    </w:p>
    <w:p w14:paraId="4B55FCEB">
      <w:pPr>
        <w:pStyle w:val="52"/>
        <w:spacing w:before="312" w:after="312"/>
        <w:rPr>
          <w:rFonts w:ascii="Times New Roman"/>
        </w:rPr>
      </w:pPr>
      <w:bookmarkStart w:id="19" w:name="_Toc205482046"/>
      <w:bookmarkStart w:id="20" w:name="_Toc204018278"/>
      <w:bookmarkStart w:id="21" w:name="_Toc205237749"/>
      <w:bookmarkStart w:id="22" w:name="_Toc11642"/>
      <w:bookmarkStart w:id="23" w:name="_Toc205222411"/>
      <w:bookmarkStart w:id="24" w:name="_Toc195801463"/>
      <w:bookmarkStart w:id="25" w:name="_Toc26374"/>
      <w:r>
        <w:rPr>
          <w:rFonts w:ascii="Times New Roman"/>
        </w:rPr>
        <w:t>范围</w:t>
      </w:r>
      <w:bookmarkEnd w:id="15"/>
      <w:bookmarkEnd w:id="16"/>
      <w:bookmarkEnd w:id="17"/>
      <w:bookmarkEnd w:id="19"/>
      <w:bookmarkEnd w:id="20"/>
      <w:bookmarkEnd w:id="21"/>
      <w:bookmarkEnd w:id="22"/>
      <w:bookmarkEnd w:id="23"/>
      <w:bookmarkEnd w:id="24"/>
      <w:bookmarkEnd w:id="25"/>
    </w:p>
    <w:p w14:paraId="0FC2395B">
      <w:pPr>
        <w:pStyle w:val="50"/>
        <w:rPr>
          <w:rFonts w:ascii="Times New Roman"/>
        </w:rPr>
      </w:pPr>
      <w:r>
        <w:rPr>
          <w:rFonts w:ascii="Times New Roman"/>
        </w:rPr>
        <w:t>本文件规定了钢铁渣复合胶凝材料混凝土应用的术语和定义、基本规定、原材料要求、配合比设计、混凝土性能、生产与施工、质量检验与验收。</w:t>
      </w:r>
    </w:p>
    <w:p w14:paraId="667F9916">
      <w:pPr>
        <w:pStyle w:val="50"/>
        <w:rPr>
          <w:rFonts w:ascii="Times New Roman"/>
        </w:rPr>
      </w:pPr>
      <w:r>
        <w:rPr>
          <w:rFonts w:ascii="Times New Roman"/>
        </w:rPr>
        <w:t>本文件适用于以粒化高炉矿渣、钢渣等固体废弃物为原料的钢铁渣复合胶凝材料混凝土及混凝土制品在房屋建筑和市政工程中的应用。</w:t>
      </w:r>
    </w:p>
    <w:p w14:paraId="399E16B0">
      <w:pPr>
        <w:pStyle w:val="52"/>
        <w:spacing w:before="312" w:after="312"/>
        <w:rPr>
          <w:rFonts w:ascii="Times New Roman"/>
        </w:rPr>
      </w:pPr>
      <w:bookmarkStart w:id="26" w:name="_Toc204018279"/>
      <w:bookmarkStart w:id="27" w:name="_Toc205237750"/>
      <w:bookmarkStart w:id="28" w:name="_Toc62058551"/>
      <w:bookmarkStart w:id="29" w:name="_Toc396893663"/>
      <w:bookmarkStart w:id="30" w:name="_Toc162893457"/>
      <w:bookmarkStart w:id="31" w:name="_Toc15334"/>
      <w:bookmarkStart w:id="32" w:name="_Toc9401"/>
      <w:bookmarkStart w:id="33" w:name="_Toc195801464"/>
      <w:bookmarkStart w:id="34" w:name="_Toc205482047"/>
      <w:bookmarkStart w:id="35" w:name="_Toc205222412"/>
      <w:r>
        <w:rPr>
          <w:rFonts w:ascii="Times New Roman"/>
        </w:rPr>
        <w:t>规范性引用文件</w:t>
      </w:r>
      <w:bookmarkEnd w:id="26"/>
      <w:bookmarkEnd w:id="27"/>
      <w:bookmarkEnd w:id="28"/>
      <w:bookmarkEnd w:id="29"/>
      <w:bookmarkEnd w:id="30"/>
      <w:bookmarkEnd w:id="31"/>
      <w:bookmarkEnd w:id="32"/>
      <w:bookmarkEnd w:id="33"/>
      <w:bookmarkEnd w:id="34"/>
      <w:bookmarkEnd w:id="35"/>
    </w:p>
    <w:p w14:paraId="1246764A">
      <w:pPr>
        <w:pStyle w:val="50"/>
        <w:rPr>
          <w:rFonts w:ascii="Times New Roman"/>
        </w:rPr>
      </w:pPr>
      <w:bookmarkStart w:id="36" w:name="_Toc395621844"/>
      <w:bookmarkStart w:id="37" w:name="_Toc396893664"/>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FF3D161">
      <w:pPr>
        <w:pStyle w:val="50"/>
        <w:rPr>
          <w:rFonts w:ascii="Times New Roman"/>
        </w:rPr>
      </w:pPr>
      <w:r>
        <w:rPr>
          <w:rFonts w:ascii="Times New Roman"/>
        </w:rPr>
        <w:t>GB 175  通用硅酸盐水泥</w:t>
      </w:r>
    </w:p>
    <w:p w14:paraId="50B3D504">
      <w:pPr>
        <w:pStyle w:val="50"/>
        <w:rPr>
          <w:rFonts w:ascii="Times New Roman"/>
        </w:rPr>
      </w:pPr>
      <w:r>
        <w:rPr>
          <w:rFonts w:ascii="Times New Roman"/>
        </w:rPr>
        <w:t>GB/T 176  水泥化学分析方法</w:t>
      </w:r>
    </w:p>
    <w:p w14:paraId="0AB0AF34">
      <w:pPr>
        <w:pStyle w:val="50"/>
        <w:rPr>
          <w:rFonts w:ascii="Times New Roman"/>
        </w:rPr>
      </w:pPr>
      <w:r>
        <w:rPr>
          <w:rFonts w:ascii="Times New Roman"/>
        </w:rPr>
        <w:t>GB/T 203  用于水泥中的粒化高炉矿渣</w:t>
      </w:r>
    </w:p>
    <w:p w14:paraId="77BD0F69">
      <w:pPr>
        <w:pStyle w:val="50"/>
        <w:rPr>
          <w:rFonts w:ascii="Times New Roman"/>
        </w:rPr>
      </w:pPr>
      <w:r>
        <w:rPr>
          <w:rFonts w:ascii="Times New Roman"/>
        </w:rPr>
        <w:t>GB/T 208  水泥密度测定方法</w:t>
      </w:r>
    </w:p>
    <w:p w14:paraId="37E13515">
      <w:pPr>
        <w:pStyle w:val="50"/>
        <w:rPr>
          <w:rFonts w:ascii="Times New Roman"/>
        </w:rPr>
      </w:pPr>
      <w:r>
        <w:rPr>
          <w:rFonts w:ascii="Times New Roman"/>
        </w:rPr>
        <w:t>GB/T 1345  水泥细度检验方法 筛析法</w:t>
      </w:r>
    </w:p>
    <w:p w14:paraId="5369266D">
      <w:pPr>
        <w:pStyle w:val="50"/>
        <w:rPr>
          <w:rFonts w:ascii="Times New Roman"/>
        </w:rPr>
      </w:pPr>
      <w:r>
        <w:rPr>
          <w:rFonts w:ascii="Times New Roman"/>
        </w:rPr>
        <w:t>GB/T 1346  水泥标准稠度用水量、凝结时间与安定性检验方法</w:t>
      </w:r>
    </w:p>
    <w:p w14:paraId="364E7B9A">
      <w:pPr>
        <w:pStyle w:val="50"/>
        <w:rPr>
          <w:rFonts w:ascii="Times New Roman"/>
        </w:rPr>
      </w:pPr>
      <w:r>
        <w:rPr>
          <w:rFonts w:ascii="Times New Roman"/>
        </w:rPr>
        <w:t>GB 5085.3  危险废物鉴别标准 浸出毒性鉴别</w:t>
      </w:r>
    </w:p>
    <w:p w14:paraId="2373B6B4">
      <w:pPr>
        <w:pStyle w:val="50"/>
        <w:rPr>
          <w:rFonts w:ascii="Times New Roman"/>
        </w:rPr>
      </w:pPr>
      <w:r>
        <w:rPr>
          <w:rFonts w:ascii="Times New Roman"/>
        </w:rPr>
        <w:t>GB 5086.1  固体废物 浸出毒性浸出方法 翻转法</w:t>
      </w:r>
    </w:p>
    <w:p w14:paraId="0FED7F69">
      <w:pPr>
        <w:pStyle w:val="50"/>
        <w:rPr>
          <w:rFonts w:ascii="Times New Roman"/>
        </w:rPr>
      </w:pPr>
      <w:r>
        <w:rPr>
          <w:rFonts w:ascii="Times New Roman"/>
        </w:rPr>
        <w:t>GB 6566  建筑材料放射性核素限量</w:t>
      </w:r>
    </w:p>
    <w:p w14:paraId="2D0E24C5">
      <w:pPr>
        <w:pStyle w:val="50"/>
        <w:rPr>
          <w:rFonts w:ascii="Times New Roman"/>
        </w:rPr>
      </w:pPr>
      <w:r>
        <w:rPr>
          <w:rFonts w:ascii="Times New Roman"/>
        </w:rPr>
        <w:t>GB/T 9142  建筑施工机械与设备 混凝土搅拌机</w:t>
      </w:r>
    </w:p>
    <w:p w14:paraId="4235F0AB">
      <w:pPr>
        <w:pStyle w:val="50"/>
        <w:rPr>
          <w:rFonts w:ascii="Times New Roman"/>
        </w:rPr>
      </w:pPr>
      <w:r>
        <w:rPr>
          <w:rFonts w:ascii="Times New Roman"/>
        </w:rPr>
        <w:t xml:space="preserve">GB/T 10171  建筑施工机械与设备 混凝土搅拌站（楼） </w:t>
      </w:r>
    </w:p>
    <w:p w14:paraId="25779652">
      <w:pPr>
        <w:pStyle w:val="50"/>
        <w:rPr>
          <w:rFonts w:ascii="Times New Roman"/>
        </w:rPr>
      </w:pPr>
      <w:r>
        <w:rPr>
          <w:rFonts w:ascii="Times New Roman"/>
        </w:rPr>
        <w:t>GB/T 12573  水泥取样方法</w:t>
      </w:r>
    </w:p>
    <w:p w14:paraId="6F86CC43">
      <w:pPr>
        <w:pStyle w:val="50"/>
        <w:rPr>
          <w:rFonts w:ascii="Times New Roman"/>
        </w:rPr>
      </w:pPr>
      <w:r>
        <w:rPr>
          <w:rFonts w:ascii="Times New Roman"/>
        </w:rPr>
        <w:t>GB/T 13476  先张法预应力混凝土管桩</w:t>
      </w:r>
    </w:p>
    <w:p w14:paraId="340A3DAA">
      <w:pPr>
        <w:pStyle w:val="50"/>
        <w:rPr>
          <w:rFonts w:ascii="Times New Roman"/>
        </w:rPr>
      </w:pPr>
      <w:r>
        <w:rPr>
          <w:rFonts w:ascii="Times New Roman"/>
        </w:rPr>
        <w:t>GB/T 14902  预拌混凝土</w:t>
      </w:r>
    </w:p>
    <w:p w14:paraId="7E29289F">
      <w:pPr>
        <w:pStyle w:val="50"/>
        <w:rPr>
          <w:rFonts w:ascii="Times New Roman"/>
        </w:rPr>
      </w:pPr>
      <w:r>
        <w:rPr>
          <w:rFonts w:ascii="Times New Roman"/>
        </w:rPr>
        <w:t>GB/T 15555.12  固体废物 腐蚀性测定 玻璃电极法</w:t>
      </w:r>
    </w:p>
    <w:p w14:paraId="03FE3414">
      <w:pPr>
        <w:pStyle w:val="50"/>
        <w:rPr>
          <w:rFonts w:ascii="Times New Roman"/>
        </w:rPr>
      </w:pPr>
      <w:r>
        <w:rPr>
          <w:rFonts w:ascii="Times New Roman"/>
        </w:rPr>
        <w:t>GB/T 21371  用于水泥中的工业副产石膏</w:t>
      </w:r>
    </w:p>
    <w:p w14:paraId="6231A0D4">
      <w:pPr>
        <w:pStyle w:val="50"/>
        <w:rPr>
          <w:rFonts w:ascii="Times New Roman"/>
        </w:rPr>
      </w:pPr>
      <w:r>
        <w:rPr>
          <w:rFonts w:ascii="Times New Roman"/>
        </w:rPr>
        <w:t>GB/T 25176  混凝土和砂浆用再生细骨料</w:t>
      </w:r>
    </w:p>
    <w:p w14:paraId="58514A43">
      <w:pPr>
        <w:pStyle w:val="50"/>
        <w:rPr>
          <w:rFonts w:ascii="Times New Roman"/>
        </w:rPr>
      </w:pPr>
      <w:r>
        <w:rPr>
          <w:rFonts w:ascii="Times New Roman"/>
        </w:rPr>
        <w:t>GB/T 25177  混凝土用再生粗骨料</w:t>
      </w:r>
    </w:p>
    <w:p w14:paraId="72A25904">
      <w:pPr>
        <w:pStyle w:val="50"/>
        <w:rPr>
          <w:rFonts w:ascii="Times New Roman"/>
        </w:rPr>
      </w:pPr>
      <w:r>
        <w:rPr>
          <w:rFonts w:ascii="Times New Roman"/>
        </w:rPr>
        <w:t>GB/T 28294  钢铁渣复合料</w:t>
      </w:r>
    </w:p>
    <w:p w14:paraId="6EA8A73B">
      <w:pPr>
        <w:pStyle w:val="50"/>
        <w:rPr>
          <w:rFonts w:ascii="Times New Roman"/>
        </w:rPr>
      </w:pPr>
      <w:r>
        <w:rPr>
          <w:rFonts w:ascii="Times New Roman"/>
        </w:rPr>
        <w:t>GB/T 31288  铁尾矿砂</w:t>
      </w:r>
    </w:p>
    <w:p w14:paraId="7051BC8E">
      <w:pPr>
        <w:pStyle w:val="50"/>
        <w:rPr>
          <w:rFonts w:ascii="Times New Roman"/>
        </w:rPr>
      </w:pPr>
      <w:r>
        <w:rPr>
          <w:rFonts w:ascii="Times New Roman"/>
        </w:rPr>
        <w:t>GB/T 41054  高性能混凝土技术条件</w:t>
      </w:r>
    </w:p>
    <w:p w14:paraId="14434056">
      <w:pPr>
        <w:pStyle w:val="50"/>
        <w:rPr>
          <w:rFonts w:ascii="Times New Roman"/>
        </w:rPr>
      </w:pPr>
      <w:r>
        <w:rPr>
          <w:rFonts w:ascii="Times New Roman"/>
        </w:rPr>
        <w:t>GB/T 50010  混凝土结构设计规范</w:t>
      </w:r>
    </w:p>
    <w:p w14:paraId="3047EF91">
      <w:pPr>
        <w:pStyle w:val="50"/>
        <w:rPr>
          <w:rFonts w:ascii="Times New Roman"/>
        </w:rPr>
      </w:pPr>
      <w:r>
        <w:rPr>
          <w:rFonts w:ascii="Times New Roman"/>
        </w:rPr>
        <w:t xml:space="preserve">GB/T 50080  普通混凝土拌合物性能试验方法标准 </w:t>
      </w:r>
    </w:p>
    <w:p w14:paraId="4DF73C94">
      <w:pPr>
        <w:pStyle w:val="50"/>
        <w:rPr>
          <w:rFonts w:ascii="Times New Roman"/>
        </w:rPr>
      </w:pPr>
      <w:r>
        <w:rPr>
          <w:rFonts w:ascii="Times New Roman"/>
        </w:rPr>
        <w:t xml:space="preserve">GB/T 50081  混凝土物理力学性能试验方法标准 </w:t>
      </w:r>
    </w:p>
    <w:p w14:paraId="50CF2690">
      <w:pPr>
        <w:pStyle w:val="50"/>
        <w:rPr>
          <w:rFonts w:ascii="Times New Roman"/>
        </w:rPr>
      </w:pPr>
      <w:r>
        <w:rPr>
          <w:rFonts w:ascii="Times New Roman"/>
        </w:rPr>
        <w:t xml:space="preserve">GB/T 50082  混凝土长期性能和耐久性能试验方法标准 </w:t>
      </w:r>
    </w:p>
    <w:p w14:paraId="743FC923">
      <w:pPr>
        <w:pStyle w:val="50"/>
        <w:rPr>
          <w:rFonts w:ascii="Times New Roman"/>
        </w:rPr>
      </w:pPr>
      <w:r>
        <w:rPr>
          <w:rFonts w:ascii="Times New Roman"/>
        </w:rPr>
        <w:t>GB/T 50107  混凝土强度检验评定标准</w:t>
      </w:r>
    </w:p>
    <w:p w14:paraId="7DB26194">
      <w:pPr>
        <w:pStyle w:val="50"/>
        <w:rPr>
          <w:rFonts w:ascii="Times New Roman"/>
        </w:rPr>
      </w:pPr>
      <w:r>
        <w:rPr>
          <w:rFonts w:ascii="Times New Roman"/>
        </w:rPr>
        <w:t>GB 50119  混凝土外加剂应用技术规范</w:t>
      </w:r>
    </w:p>
    <w:p w14:paraId="4B60F847">
      <w:pPr>
        <w:pStyle w:val="50"/>
        <w:rPr>
          <w:rFonts w:ascii="Times New Roman"/>
        </w:rPr>
      </w:pPr>
      <w:r>
        <w:rPr>
          <w:rFonts w:ascii="Times New Roman"/>
        </w:rPr>
        <w:t xml:space="preserve">GB 50164  混凝土质量控制标准 </w:t>
      </w:r>
    </w:p>
    <w:p w14:paraId="33E54C8A">
      <w:pPr>
        <w:pStyle w:val="50"/>
        <w:rPr>
          <w:rFonts w:ascii="Times New Roman"/>
        </w:rPr>
      </w:pPr>
      <w:r>
        <w:rPr>
          <w:rFonts w:ascii="Times New Roman"/>
        </w:rPr>
        <w:t>GB 50204  混凝土结构工程施工质量验收规范</w:t>
      </w:r>
    </w:p>
    <w:p w14:paraId="60071742">
      <w:pPr>
        <w:pStyle w:val="50"/>
        <w:rPr>
          <w:rFonts w:ascii="Times New Roman"/>
        </w:rPr>
      </w:pPr>
      <w:r>
        <w:rPr>
          <w:rFonts w:ascii="Times New Roman"/>
        </w:rPr>
        <w:t>GB 50666  混凝土结构工程施工规范</w:t>
      </w:r>
    </w:p>
    <w:p w14:paraId="14413DDC">
      <w:pPr>
        <w:pStyle w:val="50"/>
        <w:rPr>
          <w:rFonts w:ascii="Times New Roman"/>
        </w:rPr>
      </w:pPr>
      <w:r>
        <w:rPr>
          <w:rFonts w:ascii="Times New Roman"/>
        </w:rPr>
        <w:t xml:space="preserve">GB/T 50733  预防混凝土碱骨料反应技术规范 </w:t>
      </w:r>
    </w:p>
    <w:p w14:paraId="5966C83B">
      <w:pPr>
        <w:pStyle w:val="50"/>
        <w:rPr>
          <w:rFonts w:ascii="Times New Roman"/>
        </w:rPr>
      </w:pPr>
      <w:r>
        <w:rPr>
          <w:rFonts w:ascii="Times New Roman"/>
        </w:rPr>
        <w:t>CJJ 1  城市道路工程施工与质量验收规范</w:t>
      </w:r>
    </w:p>
    <w:p w14:paraId="0B305DF3">
      <w:pPr>
        <w:pStyle w:val="50"/>
        <w:rPr>
          <w:rFonts w:ascii="Times New Roman"/>
        </w:rPr>
      </w:pPr>
      <w:r>
        <w:rPr>
          <w:rFonts w:ascii="Times New Roman"/>
        </w:rPr>
        <w:t>CJJ 2  城市桥梁工程施工与质量验收规范</w:t>
      </w:r>
    </w:p>
    <w:p w14:paraId="5107EAD7">
      <w:pPr>
        <w:pStyle w:val="50"/>
        <w:rPr>
          <w:rFonts w:ascii="Times New Roman"/>
        </w:rPr>
      </w:pPr>
      <w:r>
        <w:rPr>
          <w:rFonts w:ascii="Times New Roman"/>
        </w:rPr>
        <w:t>JC/T 2647  预拌混凝土生产企业废水回收利用规范</w:t>
      </w:r>
    </w:p>
    <w:p w14:paraId="00B57961">
      <w:pPr>
        <w:pStyle w:val="50"/>
        <w:rPr>
          <w:rFonts w:ascii="Times New Roman"/>
        </w:rPr>
      </w:pPr>
      <w:r>
        <w:rPr>
          <w:rFonts w:ascii="Times New Roman"/>
        </w:rPr>
        <w:t>JC/T 2769  混凝土用铁尾矿碎石</w:t>
      </w:r>
    </w:p>
    <w:p w14:paraId="62C5C349">
      <w:pPr>
        <w:pStyle w:val="50"/>
        <w:rPr>
          <w:rFonts w:ascii="Times New Roman"/>
        </w:rPr>
      </w:pPr>
      <w:r>
        <w:rPr>
          <w:rFonts w:ascii="Times New Roman"/>
        </w:rPr>
        <w:t>JGJ 52  普通混凝土用砂、石质量及检验方法标准</w:t>
      </w:r>
    </w:p>
    <w:p w14:paraId="577B5D26">
      <w:pPr>
        <w:pStyle w:val="50"/>
        <w:rPr>
          <w:rFonts w:ascii="Times New Roman"/>
        </w:rPr>
      </w:pPr>
      <w:r>
        <w:rPr>
          <w:rFonts w:ascii="Times New Roman"/>
        </w:rPr>
        <w:t>JGJ 55  普通混凝土配合比设计规程</w:t>
      </w:r>
    </w:p>
    <w:p w14:paraId="0232D0A6">
      <w:pPr>
        <w:pStyle w:val="50"/>
        <w:rPr>
          <w:rFonts w:ascii="Times New Roman"/>
        </w:rPr>
      </w:pPr>
      <w:r>
        <w:rPr>
          <w:rFonts w:ascii="Times New Roman"/>
        </w:rPr>
        <w:t xml:space="preserve">JGJ 63  混凝土用水标准 </w:t>
      </w:r>
    </w:p>
    <w:p w14:paraId="0AB46F52">
      <w:pPr>
        <w:pStyle w:val="50"/>
        <w:rPr>
          <w:rFonts w:ascii="Times New Roman"/>
        </w:rPr>
      </w:pPr>
      <w:r>
        <w:rPr>
          <w:rFonts w:ascii="Times New Roman"/>
        </w:rPr>
        <w:t>JGJ/T 10  混凝土泵送施工技术规程</w:t>
      </w:r>
    </w:p>
    <w:p w14:paraId="2E56B9D2">
      <w:pPr>
        <w:pStyle w:val="50"/>
        <w:rPr>
          <w:rFonts w:ascii="Times New Roman"/>
        </w:rPr>
      </w:pPr>
      <w:r>
        <w:rPr>
          <w:rFonts w:ascii="Times New Roman"/>
        </w:rPr>
        <w:t>JGJ/T 104  建筑工程冬期施工规程</w:t>
      </w:r>
    </w:p>
    <w:p w14:paraId="2CB138C9">
      <w:pPr>
        <w:pStyle w:val="50"/>
        <w:rPr>
          <w:rFonts w:ascii="Times New Roman"/>
        </w:rPr>
      </w:pPr>
      <w:r>
        <w:rPr>
          <w:rFonts w:ascii="Times New Roman"/>
        </w:rPr>
        <w:t xml:space="preserve">JGJ/T 193  混凝土耐久性检验评定标准 </w:t>
      </w:r>
    </w:p>
    <w:p w14:paraId="7FFBD3BB">
      <w:pPr>
        <w:pStyle w:val="50"/>
        <w:rPr>
          <w:rFonts w:ascii="Times New Roman"/>
        </w:rPr>
      </w:pPr>
      <w:r>
        <w:rPr>
          <w:rFonts w:ascii="Times New Roman"/>
        </w:rPr>
        <w:t>JGJ/T 328  预拌混凝土绿色生产及管理技术规程</w:t>
      </w:r>
    </w:p>
    <w:p w14:paraId="549C4AA9">
      <w:pPr>
        <w:pStyle w:val="50"/>
        <w:rPr>
          <w:rFonts w:ascii="Times New Roman"/>
        </w:rPr>
      </w:pPr>
      <w:r>
        <w:rPr>
          <w:rFonts w:ascii="Times New Roman"/>
        </w:rPr>
        <w:t>YB/T 022  用于水泥中的钢渣</w:t>
      </w:r>
    </w:p>
    <w:p w14:paraId="43DED8CA">
      <w:pPr>
        <w:pStyle w:val="50"/>
        <w:rPr>
          <w:rFonts w:ascii="Times New Roman"/>
        </w:rPr>
      </w:pPr>
      <w:r>
        <w:rPr>
          <w:rFonts w:ascii="Times New Roman"/>
        </w:rPr>
        <w:t>YB/T 4561  用于水泥和混凝土中的铁尾矿粉</w:t>
      </w:r>
    </w:p>
    <w:p w14:paraId="0536B1CE">
      <w:pPr>
        <w:pStyle w:val="52"/>
        <w:spacing w:before="312" w:after="312"/>
        <w:rPr>
          <w:rFonts w:ascii="Times New Roman"/>
        </w:rPr>
      </w:pPr>
      <w:bookmarkStart w:id="38" w:name="_Toc10655"/>
      <w:bookmarkStart w:id="39" w:name="_Toc204018280"/>
      <w:bookmarkStart w:id="40" w:name="_Toc162893458"/>
      <w:bookmarkStart w:id="41" w:name="_Toc205222413"/>
      <w:bookmarkStart w:id="42" w:name="_Toc195801465"/>
      <w:bookmarkStart w:id="43" w:name="_Toc205237751"/>
      <w:bookmarkStart w:id="44" w:name="_Toc22035"/>
      <w:bookmarkStart w:id="45" w:name="_Toc205482048"/>
      <w:bookmarkStart w:id="46" w:name="_Toc62058552"/>
      <w:r>
        <w:rPr>
          <w:rFonts w:ascii="Times New Roman"/>
        </w:rPr>
        <w:t>术语</w:t>
      </w:r>
      <w:bookmarkEnd w:id="36"/>
      <w:r>
        <w:rPr>
          <w:rFonts w:ascii="Times New Roman"/>
        </w:rPr>
        <w:t>和定义</w:t>
      </w:r>
      <w:bookmarkEnd w:id="37"/>
      <w:bookmarkEnd w:id="38"/>
      <w:bookmarkEnd w:id="39"/>
      <w:bookmarkEnd w:id="40"/>
      <w:bookmarkEnd w:id="41"/>
      <w:bookmarkEnd w:id="42"/>
      <w:bookmarkEnd w:id="43"/>
      <w:bookmarkEnd w:id="44"/>
      <w:bookmarkEnd w:id="45"/>
      <w:bookmarkEnd w:id="46"/>
    </w:p>
    <w:p w14:paraId="7010735F">
      <w:pPr>
        <w:pStyle w:val="53"/>
        <w:rPr>
          <w:rFonts w:ascii="Times New Roman"/>
        </w:rPr>
      </w:pPr>
      <w:bookmarkStart w:id="47" w:name="_Toc205222339"/>
      <w:bookmarkEnd w:id="47"/>
      <w:bookmarkStart w:id="48" w:name="_Toc205237752"/>
      <w:bookmarkEnd w:id="48"/>
      <w:bookmarkStart w:id="49" w:name="_Toc205482049"/>
      <w:bookmarkEnd w:id="49"/>
      <w:bookmarkStart w:id="50" w:name="_Toc205222414"/>
      <w:bookmarkEnd w:id="50"/>
    </w:p>
    <w:p w14:paraId="76C1CE35">
      <w:pPr>
        <w:pStyle w:val="245"/>
        <w:numPr>
          <w:ilvl w:val="0"/>
          <w:numId w:val="0"/>
        </w:numPr>
        <w:ind w:left="420"/>
        <w:rPr>
          <w:rFonts w:ascii="Times New Roman"/>
        </w:rPr>
      </w:pPr>
      <w:bookmarkStart w:id="51" w:name="_Hlk80091015"/>
      <w:r>
        <w:rPr>
          <w:rFonts w:ascii="Times New Roman" w:eastAsia="黑体"/>
        </w:rPr>
        <w:t>钢铁渣复合胶凝材料</w:t>
      </w:r>
      <w:r>
        <w:rPr>
          <w:rFonts w:ascii="Times New Roman"/>
        </w:rPr>
        <w:t>　Iron and steel slag solid waste cementitious material</w:t>
      </w:r>
    </w:p>
    <w:bookmarkEnd w:id="51"/>
    <w:p w14:paraId="2DA12FDB">
      <w:pPr>
        <w:pStyle w:val="50"/>
        <w:rPr>
          <w:rFonts w:ascii="Times New Roman"/>
        </w:rPr>
      </w:pPr>
      <w:r>
        <w:rPr>
          <w:rFonts w:ascii="Times New Roman"/>
        </w:rPr>
        <w:t>以粒化高炉矿渣、钢渣、工业副产石膏、粉煤灰、铁尾矿等固体废弃物为原料，经加工磨细后按一定比例配制成的水硬性胶凝材料。以下简称复合胶材。</w:t>
      </w:r>
    </w:p>
    <w:p w14:paraId="34767026">
      <w:pPr>
        <w:pStyle w:val="50"/>
        <w:rPr>
          <w:rFonts w:ascii="Times New Roman"/>
        </w:rPr>
      </w:pPr>
      <w:r>
        <w:rPr>
          <w:rFonts w:ascii="Times New Roman"/>
        </w:rPr>
        <w:t>[来源：GB/T 28294-2024，3.3，有修改]</w:t>
      </w:r>
    </w:p>
    <w:p w14:paraId="68061A2D">
      <w:pPr>
        <w:pStyle w:val="53"/>
        <w:rPr>
          <w:rFonts w:ascii="Times New Roman"/>
        </w:rPr>
      </w:pPr>
      <w:bookmarkStart w:id="52" w:name="_Toc205222340"/>
      <w:bookmarkEnd w:id="52"/>
      <w:bookmarkStart w:id="53" w:name="_Toc205482050"/>
      <w:bookmarkEnd w:id="53"/>
      <w:bookmarkStart w:id="54" w:name="_Toc205237753"/>
      <w:bookmarkEnd w:id="54"/>
      <w:bookmarkStart w:id="55" w:name="_Toc205222415"/>
      <w:bookmarkEnd w:id="55"/>
    </w:p>
    <w:p w14:paraId="60F45283">
      <w:pPr>
        <w:pStyle w:val="245"/>
        <w:numPr>
          <w:ilvl w:val="0"/>
          <w:numId w:val="0"/>
        </w:numPr>
        <w:ind w:left="420"/>
        <w:rPr>
          <w:rFonts w:ascii="Times New Roman"/>
        </w:rPr>
      </w:pPr>
      <w:r>
        <w:rPr>
          <w:rFonts w:ascii="Times New Roman" w:eastAsia="黑体"/>
        </w:rPr>
        <w:t>铁尾矿砂</w:t>
      </w:r>
      <w:r>
        <w:rPr>
          <w:rFonts w:ascii="Times New Roman"/>
        </w:rPr>
        <w:t>　Iron tailings sand</w:t>
      </w:r>
    </w:p>
    <w:p w14:paraId="70F7C9F9">
      <w:pPr>
        <w:pStyle w:val="50"/>
        <w:rPr>
          <w:rFonts w:ascii="Times New Roman"/>
        </w:rPr>
      </w:pPr>
      <w:r>
        <w:rPr>
          <w:rFonts w:ascii="Times New Roman"/>
        </w:rPr>
        <w:t>铁矿石经磨细、分选后产生的粒径小于 4.75 mm的废弃颗粒。</w:t>
      </w:r>
    </w:p>
    <w:p w14:paraId="750CB84D">
      <w:pPr>
        <w:pStyle w:val="50"/>
        <w:rPr>
          <w:rFonts w:ascii="Times New Roman"/>
        </w:rPr>
      </w:pPr>
      <w:r>
        <w:rPr>
          <w:rFonts w:ascii="Times New Roman"/>
        </w:rPr>
        <w:t>[来源：GB/T 31288-2014，3.1]</w:t>
      </w:r>
    </w:p>
    <w:p w14:paraId="76232480">
      <w:pPr>
        <w:pStyle w:val="53"/>
        <w:rPr>
          <w:rFonts w:ascii="Times New Roman"/>
        </w:rPr>
      </w:pPr>
      <w:bookmarkStart w:id="56" w:name="_Toc205237754"/>
      <w:bookmarkEnd w:id="56"/>
      <w:bookmarkStart w:id="57" w:name="_Toc205482051"/>
      <w:bookmarkEnd w:id="57"/>
      <w:bookmarkStart w:id="58" w:name="_Toc205222416"/>
      <w:bookmarkEnd w:id="58"/>
      <w:bookmarkStart w:id="59" w:name="_Toc205222341"/>
      <w:bookmarkEnd w:id="59"/>
    </w:p>
    <w:p w14:paraId="2BB81525">
      <w:pPr>
        <w:pStyle w:val="245"/>
        <w:numPr>
          <w:ilvl w:val="0"/>
          <w:numId w:val="0"/>
        </w:numPr>
        <w:ind w:left="420"/>
        <w:rPr>
          <w:rFonts w:ascii="Times New Roman"/>
        </w:rPr>
      </w:pPr>
      <w:r>
        <w:rPr>
          <w:rFonts w:ascii="Times New Roman" w:eastAsia="黑体"/>
        </w:rPr>
        <w:t>铁矿废石</w:t>
      </w:r>
      <w:r>
        <w:rPr>
          <w:rFonts w:ascii="Times New Roman"/>
        </w:rPr>
        <w:t>　Iron tailings waste rock</w:t>
      </w:r>
    </w:p>
    <w:p w14:paraId="07620DF6">
      <w:pPr>
        <w:pStyle w:val="50"/>
        <w:rPr>
          <w:rFonts w:ascii="Times New Roman"/>
        </w:rPr>
      </w:pPr>
      <w:r>
        <w:rPr>
          <w:rFonts w:ascii="Times New Roman"/>
        </w:rPr>
        <w:t>铁矿开采过程中产生的剥离废石、掘进废石和预抛尾废石以及选矿过程中产生的粒径大于 4.75 mm的块状或粗颗粒岩石类废弃物。</w:t>
      </w:r>
    </w:p>
    <w:p w14:paraId="31B3BC75">
      <w:pPr>
        <w:pStyle w:val="50"/>
        <w:rPr>
          <w:rFonts w:ascii="Times New Roman"/>
        </w:rPr>
      </w:pPr>
      <w:r>
        <w:rPr>
          <w:rFonts w:ascii="Times New Roman"/>
        </w:rPr>
        <w:t>[来源：GB/T 44028-2024，3.1，有修改]</w:t>
      </w:r>
    </w:p>
    <w:p w14:paraId="14A1BB30">
      <w:pPr>
        <w:pStyle w:val="53"/>
        <w:rPr>
          <w:rFonts w:ascii="Times New Roman"/>
        </w:rPr>
      </w:pPr>
      <w:bookmarkStart w:id="60" w:name="_Toc205482052"/>
      <w:bookmarkEnd w:id="60"/>
      <w:bookmarkStart w:id="61" w:name="_Toc205222417"/>
      <w:bookmarkEnd w:id="61"/>
      <w:bookmarkStart w:id="62" w:name="_Toc205237755"/>
      <w:bookmarkEnd w:id="62"/>
      <w:bookmarkStart w:id="63" w:name="_Toc205222342"/>
      <w:bookmarkEnd w:id="63"/>
    </w:p>
    <w:p w14:paraId="1BC2569F">
      <w:pPr>
        <w:pStyle w:val="245"/>
        <w:numPr>
          <w:ilvl w:val="0"/>
          <w:numId w:val="0"/>
        </w:numPr>
        <w:ind w:left="420"/>
        <w:rPr>
          <w:rFonts w:ascii="Times New Roman"/>
        </w:rPr>
      </w:pPr>
      <w:r>
        <w:rPr>
          <w:rFonts w:ascii="Times New Roman" w:eastAsia="黑体"/>
        </w:rPr>
        <w:t>铁矿废石机制砂</w:t>
      </w:r>
      <w:r>
        <w:rPr>
          <w:rFonts w:ascii="Times New Roman"/>
        </w:rPr>
        <w:t>　Mechanism sand of iron tailings waste rock</w:t>
      </w:r>
    </w:p>
    <w:p w14:paraId="160E85FA">
      <w:pPr>
        <w:pStyle w:val="50"/>
        <w:rPr>
          <w:rFonts w:ascii="Times New Roman"/>
        </w:rPr>
      </w:pPr>
      <w:r>
        <w:rPr>
          <w:rFonts w:ascii="Times New Roman"/>
        </w:rPr>
        <w:t>由铁矿废石经除土处理，由机械破碎筛分制成的粒径小于</w:t>
      </w:r>
      <w:r>
        <w:rPr>
          <w:rFonts w:hint="eastAsia" w:ascii="Times New Roman"/>
        </w:rPr>
        <w:t xml:space="preserve"> </w:t>
      </w:r>
      <w:r>
        <w:rPr>
          <w:rFonts w:ascii="Times New Roman"/>
        </w:rPr>
        <w:t>4.75 mm的岩石颗粒但不包括软质风化的颗粒。</w:t>
      </w:r>
    </w:p>
    <w:p w14:paraId="16631EEB">
      <w:pPr>
        <w:pStyle w:val="53"/>
        <w:rPr>
          <w:rFonts w:ascii="Times New Roman"/>
        </w:rPr>
      </w:pPr>
      <w:bookmarkStart w:id="64" w:name="_Toc205237756"/>
      <w:bookmarkEnd w:id="64"/>
      <w:bookmarkStart w:id="65" w:name="_Toc205482053"/>
      <w:bookmarkEnd w:id="65"/>
      <w:bookmarkStart w:id="66" w:name="_Toc205222418"/>
      <w:bookmarkEnd w:id="66"/>
      <w:bookmarkStart w:id="67" w:name="_Toc205222343"/>
      <w:bookmarkEnd w:id="67"/>
    </w:p>
    <w:p w14:paraId="7DEC62F5">
      <w:pPr>
        <w:pStyle w:val="245"/>
        <w:numPr>
          <w:ilvl w:val="0"/>
          <w:numId w:val="0"/>
        </w:numPr>
        <w:ind w:left="420"/>
        <w:rPr>
          <w:rFonts w:ascii="Times New Roman"/>
        </w:rPr>
      </w:pPr>
      <w:r>
        <w:rPr>
          <w:rFonts w:ascii="Times New Roman" w:eastAsia="黑体"/>
        </w:rPr>
        <w:t>钢铁渣复合胶凝材料混凝土</w:t>
      </w:r>
      <w:r>
        <w:rPr>
          <w:rFonts w:ascii="Times New Roman"/>
        </w:rPr>
        <w:t>　Iron and steel slag solid waste cementitious material concrete</w:t>
      </w:r>
    </w:p>
    <w:p w14:paraId="533C308B">
      <w:pPr>
        <w:pStyle w:val="50"/>
        <w:rPr>
          <w:rFonts w:ascii="Times New Roman"/>
        </w:rPr>
      </w:pPr>
      <w:r>
        <w:rPr>
          <w:rFonts w:ascii="Times New Roman"/>
        </w:rPr>
        <w:t>由钢铁渣复合胶凝材料、水泥、骨料、外加剂、水及其他矿物掺合料等原材料制成的混凝土。以下简称</w:t>
      </w:r>
      <w:bookmarkStart w:id="68" w:name="_Hlk204009025"/>
      <w:r>
        <w:rPr>
          <w:rFonts w:ascii="Times New Roman"/>
        </w:rPr>
        <w:t>复合混凝土</w:t>
      </w:r>
      <w:bookmarkEnd w:id="68"/>
      <w:r>
        <w:rPr>
          <w:rFonts w:ascii="Times New Roman"/>
        </w:rPr>
        <w:t>。</w:t>
      </w:r>
    </w:p>
    <w:p w14:paraId="4B29181E">
      <w:pPr>
        <w:pStyle w:val="53"/>
        <w:rPr>
          <w:rFonts w:ascii="Times New Roman"/>
        </w:rPr>
      </w:pPr>
      <w:bookmarkStart w:id="69" w:name="_Toc205222344"/>
      <w:bookmarkEnd w:id="69"/>
      <w:bookmarkStart w:id="70" w:name="_Toc205222419"/>
      <w:bookmarkEnd w:id="70"/>
      <w:bookmarkStart w:id="71" w:name="_Toc205482054"/>
      <w:bookmarkEnd w:id="71"/>
      <w:bookmarkStart w:id="72" w:name="_Toc205237757"/>
      <w:bookmarkEnd w:id="72"/>
    </w:p>
    <w:p w14:paraId="1893A8F9">
      <w:pPr>
        <w:pStyle w:val="50"/>
        <w:rPr>
          <w:rFonts w:ascii="Times New Roman" w:eastAsia="黑体"/>
        </w:rPr>
      </w:pPr>
      <w:r>
        <w:rPr>
          <w:rFonts w:ascii="Times New Roman" w:eastAsia="黑体"/>
        </w:rPr>
        <w:t xml:space="preserve">总胶凝材料　Total cementitious material </w:t>
      </w:r>
    </w:p>
    <w:p w14:paraId="14545DD0">
      <w:pPr>
        <w:pStyle w:val="50"/>
        <w:rPr>
          <w:rFonts w:ascii="Times New Roman"/>
        </w:rPr>
      </w:pPr>
      <w:r>
        <w:rPr>
          <w:rFonts w:ascii="Times New Roman"/>
        </w:rPr>
        <w:t>复合混凝土原材料中具有胶结作用的钢铁渣复合胶凝材料、水泥及其他矿物掺合料的总称。</w:t>
      </w:r>
    </w:p>
    <w:bookmarkEnd w:id="14"/>
    <w:bookmarkEnd w:id="18"/>
    <w:p w14:paraId="538833F6">
      <w:pPr>
        <w:pStyle w:val="52"/>
        <w:spacing w:before="312" w:after="312"/>
        <w:rPr>
          <w:rFonts w:ascii="Times New Roman"/>
        </w:rPr>
      </w:pPr>
      <w:bookmarkStart w:id="73" w:name="_Toc205482055"/>
      <w:bookmarkStart w:id="74" w:name="_Toc214"/>
      <w:bookmarkStart w:id="75" w:name="_Toc204018281"/>
      <w:bookmarkStart w:id="76" w:name="_Toc62058553"/>
      <w:bookmarkStart w:id="77" w:name="_Toc395621845"/>
      <w:bookmarkStart w:id="78" w:name="_Toc205237758"/>
      <w:bookmarkStart w:id="79" w:name="_Toc195801466"/>
      <w:bookmarkStart w:id="80" w:name="_Toc162893459"/>
      <w:bookmarkStart w:id="81" w:name="_Toc351014956"/>
      <w:bookmarkStart w:id="82" w:name="_Toc29745"/>
      <w:bookmarkStart w:id="83" w:name="_Toc205222420"/>
      <w:bookmarkStart w:id="84" w:name="_Toc396893665"/>
      <w:r>
        <w:rPr>
          <w:rFonts w:ascii="Times New Roman"/>
        </w:rPr>
        <w:t>基本规定</w:t>
      </w:r>
      <w:bookmarkEnd w:id="73"/>
      <w:bookmarkEnd w:id="74"/>
      <w:bookmarkEnd w:id="75"/>
      <w:bookmarkEnd w:id="76"/>
      <w:bookmarkEnd w:id="77"/>
      <w:bookmarkEnd w:id="78"/>
      <w:bookmarkEnd w:id="79"/>
      <w:bookmarkEnd w:id="80"/>
      <w:bookmarkEnd w:id="81"/>
      <w:bookmarkEnd w:id="82"/>
      <w:bookmarkEnd w:id="83"/>
      <w:bookmarkEnd w:id="84"/>
    </w:p>
    <w:p w14:paraId="5AD6312C">
      <w:pPr>
        <w:pStyle w:val="53"/>
        <w:rPr>
          <w:rFonts w:hint="eastAsia" w:asciiTheme="minorEastAsia" w:hAnsiTheme="minorEastAsia" w:eastAsiaTheme="minorEastAsia" w:cstheme="minorEastAsia"/>
        </w:rPr>
      </w:pPr>
      <w:bookmarkStart w:id="85" w:name="_Toc205237759"/>
      <w:bookmarkStart w:id="86" w:name="_Toc205482056"/>
      <w:bookmarkStart w:id="87" w:name="_Toc205222346"/>
      <w:bookmarkStart w:id="88" w:name="_Toc205222421"/>
      <w:bookmarkStart w:id="89" w:name="_Toc204017184"/>
      <w:bookmarkStart w:id="90" w:name="_Toc18800"/>
      <w:bookmarkStart w:id="91" w:name="_Toc2075"/>
      <w:bookmarkStart w:id="92" w:name="_Toc10688"/>
      <w:bookmarkStart w:id="93" w:name="_Toc23813"/>
      <w:bookmarkStart w:id="94" w:name="_Toc15357"/>
      <w:bookmarkStart w:id="95" w:name="_Toc204018282"/>
      <w:bookmarkStart w:id="96" w:name="_Toc351014957"/>
      <w:bookmarkStart w:id="97" w:name="_Toc395621846"/>
      <w:bookmarkStart w:id="98" w:name="_Toc62058554"/>
      <w:bookmarkStart w:id="99" w:name="_Toc396893666"/>
      <w:r>
        <w:rPr>
          <w:rFonts w:hint="eastAsia" w:asciiTheme="minorEastAsia" w:hAnsiTheme="minorEastAsia" w:eastAsiaTheme="minorEastAsia" w:cstheme="minorEastAsia"/>
        </w:rPr>
        <w:t>复合混凝土结构设计中，复合混凝土强度等级、轴心抗压强度、轴心抗拉强度、弹性模量等力学性能应符合GB/T 50010的规定。</w:t>
      </w:r>
      <w:bookmarkEnd w:id="85"/>
      <w:bookmarkEnd w:id="86"/>
      <w:bookmarkEnd w:id="87"/>
      <w:bookmarkEnd w:id="88"/>
    </w:p>
    <w:bookmarkEnd w:id="89"/>
    <w:bookmarkEnd w:id="90"/>
    <w:bookmarkEnd w:id="91"/>
    <w:bookmarkEnd w:id="92"/>
    <w:bookmarkEnd w:id="93"/>
    <w:bookmarkEnd w:id="94"/>
    <w:bookmarkEnd w:id="95"/>
    <w:p w14:paraId="0FAABD2E">
      <w:pPr>
        <w:pStyle w:val="53"/>
        <w:rPr>
          <w:rFonts w:hint="eastAsia" w:asciiTheme="minorEastAsia" w:hAnsiTheme="minorEastAsia" w:eastAsiaTheme="minorEastAsia" w:cstheme="minorEastAsia"/>
        </w:rPr>
      </w:pPr>
      <w:bookmarkStart w:id="100" w:name="_Toc205222347"/>
      <w:bookmarkStart w:id="101" w:name="_Toc205482057"/>
      <w:bookmarkStart w:id="102" w:name="_Toc205237760"/>
      <w:bookmarkStart w:id="103" w:name="_Toc205222422"/>
      <w:r>
        <w:rPr>
          <w:rFonts w:hint="eastAsia" w:asciiTheme="minorEastAsia" w:hAnsiTheme="minorEastAsia" w:eastAsiaTheme="minorEastAsia" w:cstheme="minorEastAsia"/>
        </w:rPr>
        <w:t>复合混凝土的现浇混凝土分项工程、装配式结构分项工程和其他相关分项工程的设计和施工应符合GB 50666和GB 50204的规定。</w:t>
      </w:r>
      <w:bookmarkEnd w:id="100"/>
      <w:bookmarkEnd w:id="101"/>
      <w:bookmarkEnd w:id="102"/>
      <w:bookmarkEnd w:id="103"/>
    </w:p>
    <w:p w14:paraId="0A50E008">
      <w:pPr>
        <w:pStyle w:val="53"/>
        <w:rPr>
          <w:rFonts w:hint="eastAsia" w:asciiTheme="minorEastAsia" w:hAnsiTheme="minorEastAsia" w:eastAsiaTheme="minorEastAsia" w:cstheme="minorEastAsia"/>
        </w:rPr>
      </w:pPr>
      <w:bookmarkStart w:id="104" w:name="_Toc205222423"/>
      <w:bookmarkStart w:id="105" w:name="_Toc6311"/>
      <w:bookmarkStart w:id="106" w:name="_Toc205222348"/>
      <w:bookmarkStart w:id="107" w:name="_Toc27212"/>
      <w:bookmarkStart w:id="108" w:name="_Toc205237761"/>
      <w:bookmarkStart w:id="109" w:name="_Toc21926"/>
      <w:bookmarkStart w:id="110" w:name="_Toc204018284"/>
      <w:bookmarkStart w:id="111" w:name="_Toc22459"/>
      <w:bookmarkStart w:id="112" w:name="_Toc205482058"/>
      <w:bookmarkStart w:id="113" w:name="_Toc22028"/>
      <w:bookmarkStart w:id="114" w:name="_Toc204017186"/>
      <w:r>
        <w:rPr>
          <w:rFonts w:hint="eastAsia" w:asciiTheme="minorEastAsia" w:hAnsiTheme="minorEastAsia" w:eastAsiaTheme="minorEastAsia" w:cstheme="minorEastAsia"/>
        </w:rPr>
        <w:t>复合混凝土生产和施工单位应根据结构、构件或制品情况、环境条件、原材料情况以及对混凝土性能的要求等，提出施工养护方案或生产养护制度，并应严格执行，且应符合GB 50164的规定。</w:t>
      </w:r>
      <w:bookmarkEnd w:id="104"/>
      <w:bookmarkEnd w:id="105"/>
      <w:bookmarkEnd w:id="106"/>
      <w:bookmarkEnd w:id="107"/>
      <w:bookmarkEnd w:id="108"/>
      <w:bookmarkEnd w:id="109"/>
      <w:bookmarkEnd w:id="110"/>
      <w:bookmarkEnd w:id="111"/>
      <w:bookmarkEnd w:id="112"/>
      <w:bookmarkEnd w:id="113"/>
      <w:bookmarkEnd w:id="114"/>
    </w:p>
    <w:p w14:paraId="2DD9DA64">
      <w:pPr>
        <w:pStyle w:val="53"/>
        <w:rPr>
          <w:rFonts w:hint="eastAsia" w:asciiTheme="minorEastAsia" w:hAnsiTheme="minorEastAsia" w:eastAsiaTheme="minorEastAsia" w:cstheme="minorEastAsia"/>
        </w:rPr>
      </w:pPr>
      <w:bookmarkStart w:id="115" w:name="_Toc205222349"/>
      <w:bookmarkStart w:id="116" w:name="_Toc205222424"/>
      <w:bookmarkStart w:id="117" w:name="_Toc22458"/>
      <w:bookmarkStart w:id="118" w:name="_Toc22629"/>
      <w:bookmarkStart w:id="119" w:name="_Toc204017187"/>
      <w:bookmarkStart w:id="120" w:name="_Toc6988"/>
      <w:bookmarkStart w:id="121" w:name="_Toc205482059"/>
      <w:bookmarkStart w:id="122" w:name="_Toc22166"/>
      <w:bookmarkStart w:id="123" w:name="_Toc24594"/>
      <w:bookmarkStart w:id="124" w:name="_Toc204018285"/>
      <w:bookmarkStart w:id="125" w:name="_Toc205237762"/>
      <w:r>
        <w:rPr>
          <w:rFonts w:hint="eastAsia" w:asciiTheme="minorEastAsia" w:hAnsiTheme="minorEastAsia" w:eastAsiaTheme="minorEastAsia" w:cstheme="minorEastAsia"/>
        </w:rPr>
        <w:t>复合混凝土在长期使用过程中，其性能应保持稳定，在荷载长期作用下的变形性能（如徐变、收缩等）应符合设计及GB/T 50010中关于长期性能的规定。在满足设计要求的条件下，复合混凝土的长期性能和耐久性能检验评定龄期宜采用56 d或84 d。</w:t>
      </w:r>
      <w:bookmarkEnd w:id="115"/>
      <w:bookmarkEnd w:id="116"/>
      <w:bookmarkEnd w:id="117"/>
      <w:bookmarkEnd w:id="118"/>
      <w:bookmarkEnd w:id="119"/>
      <w:bookmarkEnd w:id="120"/>
      <w:bookmarkEnd w:id="121"/>
      <w:bookmarkEnd w:id="122"/>
      <w:bookmarkEnd w:id="123"/>
      <w:bookmarkEnd w:id="124"/>
      <w:bookmarkEnd w:id="125"/>
    </w:p>
    <w:p w14:paraId="6CEC7FFF">
      <w:pPr>
        <w:pStyle w:val="52"/>
        <w:spacing w:before="312" w:after="312"/>
        <w:rPr>
          <w:rFonts w:ascii="Times New Roman"/>
        </w:rPr>
      </w:pPr>
      <w:bookmarkStart w:id="126" w:name="_Toc195801467"/>
      <w:bookmarkStart w:id="127" w:name="_Toc205237763"/>
      <w:bookmarkStart w:id="128" w:name="_Toc205222425"/>
      <w:bookmarkStart w:id="129" w:name="_Toc205482060"/>
      <w:bookmarkStart w:id="130" w:name="_Toc162893460"/>
      <w:bookmarkStart w:id="131" w:name="_Toc29452"/>
      <w:bookmarkStart w:id="132" w:name="_Toc204018288"/>
      <w:bookmarkStart w:id="133" w:name="_Toc3429"/>
      <w:r>
        <w:rPr>
          <w:rFonts w:ascii="Times New Roman"/>
        </w:rPr>
        <w:t>原材料</w:t>
      </w:r>
      <w:bookmarkEnd w:id="96"/>
      <w:bookmarkEnd w:id="97"/>
      <w:bookmarkEnd w:id="98"/>
      <w:bookmarkEnd w:id="99"/>
      <w:r>
        <w:rPr>
          <w:rFonts w:ascii="Times New Roman"/>
        </w:rPr>
        <w:t>要求</w:t>
      </w:r>
      <w:bookmarkEnd w:id="126"/>
      <w:bookmarkEnd w:id="127"/>
      <w:bookmarkEnd w:id="128"/>
      <w:bookmarkEnd w:id="129"/>
      <w:bookmarkEnd w:id="130"/>
      <w:bookmarkEnd w:id="131"/>
      <w:bookmarkEnd w:id="132"/>
      <w:bookmarkEnd w:id="133"/>
    </w:p>
    <w:p w14:paraId="7527DB4A">
      <w:pPr>
        <w:pStyle w:val="53"/>
        <w:rPr>
          <w:rFonts w:ascii="Times New Roman"/>
        </w:rPr>
      </w:pPr>
      <w:bookmarkStart w:id="134" w:name="_Toc205237764"/>
      <w:bookmarkStart w:id="135" w:name="_Toc205222426"/>
      <w:bookmarkStart w:id="136" w:name="_Toc204018289"/>
      <w:bookmarkStart w:id="137" w:name="_Toc205482061"/>
      <w:r>
        <w:rPr>
          <w:rFonts w:ascii="Times New Roman"/>
        </w:rPr>
        <w:t>复合胶材</w:t>
      </w:r>
      <w:bookmarkEnd w:id="134"/>
      <w:bookmarkEnd w:id="135"/>
      <w:bookmarkEnd w:id="136"/>
      <w:bookmarkEnd w:id="137"/>
    </w:p>
    <w:p w14:paraId="1C610A8D">
      <w:pPr>
        <w:pStyle w:val="49"/>
        <w:rPr>
          <w:rFonts w:ascii="Times New Roman" w:hAnsi="Times New Roman"/>
        </w:rPr>
      </w:pPr>
      <w:bookmarkStart w:id="138" w:name="_Toc205482062"/>
      <w:bookmarkStart w:id="139" w:name="_Toc205222427"/>
      <w:bookmarkStart w:id="140" w:name="_Toc6223"/>
      <w:bookmarkStart w:id="141" w:name="_Toc204018290"/>
      <w:bookmarkStart w:id="142" w:name="_Toc4260"/>
      <w:r>
        <w:rPr>
          <w:rFonts w:ascii="Times New Roman" w:hAnsi="Times New Roman"/>
        </w:rPr>
        <w:t>复合胶材的分类、组分及各组分含量应符合GB/T 28294中的要求。</w:t>
      </w:r>
      <w:bookmarkEnd w:id="138"/>
      <w:bookmarkEnd w:id="139"/>
      <w:bookmarkEnd w:id="140"/>
      <w:bookmarkEnd w:id="141"/>
      <w:bookmarkEnd w:id="142"/>
    </w:p>
    <w:p w14:paraId="7AF3605E">
      <w:pPr>
        <w:pStyle w:val="49"/>
        <w:rPr>
          <w:rFonts w:ascii="Times New Roman" w:hAnsi="Times New Roman"/>
        </w:rPr>
      </w:pPr>
      <w:bookmarkStart w:id="143" w:name="_Toc205222428"/>
      <w:bookmarkStart w:id="144" w:name="_Toc205482063"/>
      <w:bookmarkStart w:id="145" w:name="_Toc9235"/>
      <w:bookmarkStart w:id="146" w:name="_Toc6835"/>
      <w:bookmarkStart w:id="147" w:name="_Toc204018291"/>
      <w:r>
        <w:rPr>
          <w:rFonts w:ascii="Times New Roman" w:hAnsi="Times New Roman"/>
        </w:rPr>
        <w:t>复合胶材的性能应符合下列规定：</w:t>
      </w:r>
      <w:bookmarkEnd w:id="143"/>
      <w:bookmarkEnd w:id="144"/>
      <w:bookmarkEnd w:id="145"/>
      <w:bookmarkEnd w:id="146"/>
      <w:bookmarkEnd w:id="147"/>
    </w:p>
    <w:p w14:paraId="21F72EE7">
      <w:pPr>
        <w:pStyle w:val="197"/>
        <w:numPr>
          <w:ilvl w:val="0"/>
          <w:numId w:val="33"/>
        </w:numPr>
        <w:rPr>
          <w:rFonts w:ascii="Times New Roman"/>
        </w:rPr>
      </w:pPr>
      <w:r>
        <w:rPr>
          <w:rFonts w:ascii="Times New Roman"/>
        </w:rPr>
        <w:t>复合胶材的强度应符合表1的规定；</w:t>
      </w:r>
    </w:p>
    <w:p w14:paraId="5762329A">
      <w:pPr>
        <w:pStyle w:val="197"/>
        <w:numPr>
          <w:ilvl w:val="0"/>
          <w:numId w:val="33"/>
        </w:numPr>
        <w:rPr>
          <w:rFonts w:ascii="Times New Roman"/>
        </w:rPr>
      </w:pPr>
      <w:r>
        <w:rPr>
          <w:rFonts w:ascii="Times New Roman"/>
        </w:rPr>
        <w:t>复合胶材除强度外的技术指标及试验方法应符合表2的规定。</w:t>
      </w:r>
    </w:p>
    <w:p w14:paraId="00F539D1">
      <w:pPr>
        <w:pStyle w:val="136"/>
        <w:rPr>
          <w:rFonts w:ascii="Times New Roman"/>
        </w:rPr>
      </w:pPr>
      <w:r>
        <w:rPr>
          <w:rFonts w:ascii="Times New Roman"/>
        </w:rPr>
        <w:t>复合胶材的强度指标</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328"/>
        <w:gridCol w:w="1328"/>
        <w:gridCol w:w="1330"/>
        <w:gridCol w:w="1328"/>
        <w:gridCol w:w="1329"/>
        <w:gridCol w:w="1324"/>
      </w:tblGrid>
      <w:tr w14:paraId="4FE3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38" w:type="pct"/>
            <w:vMerge w:val="restart"/>
            <w:tcBorders>
              <w:top w:val="single" w:color="auto" w:sz="4" w:space="0"/>
              <w:left w:val="single" w:color="auto" w:sz="4" w:space="0"/>
            </w:tcBorders>
            <w:vAlign w:val="center"/>
          </w:tcPr>
          <w:p w14:paraId="6342FCE2">
            <w:pPr>
              <w:pStyle w:val="50"/>
              <w:ind w:firstLine="0" w:firstLineChars="0"/>
              <w:jc w:val="center"/>
              <w:rPr>
                <w:rFonts w:ascii="Times New Roman"/>
                <w:sz w:val="18"/>
                <w:szCs w:val="18"/>
              </w:rPr>
            </w:pPr>
            <w:r>
              <w:rPr>
                <w:rFonts w:ascii="Times New Roman"/>
                <w:sz w:val="18"/>
                <w:szCs w:val="18"/>
              </w:rPr>
              <w:t>等级</w:t>
            </w:r>
          </w:p>
        </w:tc>
        <w:tc>
          <w:tcPr>
            <w:tcW w:w="2083" w:type="pct"/>
            <w:gridSpan w:val="3"/>
            <w:tcBorders>
              <w:top w:val="single" w:color="auto" w:sz="4" w:space="0"/>
            </w:tcBorders>
            <w:vAlign w:val="center"/>
          </w:tcPr>
          <w:p w14:paraId="2D1EB5A6">
            <w:pPr>
              <w:pStyle w:val="50"/>
              <w:ind w:firstLine="0" w:firstLineChars="0"/>
              <w:jc w:val="center"/>
              <w:rPr>
                <w:rFonts w:ascii="Times New Roman"/>
                <w:sz w:val="18"/>
                <w:szCs w:val="18"/>
              </w:rPr>
            </w:pPr>
            <w:r>
              <w:rPr>
                <w:rFonts w:ascii="Times New Roman"/>
                <w:sz w:val="18"/>
                <w:szCs w:val="18"/>
              </w:rPr>
              <w:t>抗压强度/MPa</w:t>
            </w:r>
          </w:p>
        </w:tc>
        <w:tc>
          <w:tcPr>
            <w:tcW w:w="2080" w:type="pct"/>
            <w:gridSpan w:val="3"/>
            <w:tcBorders>
              <w:top w:val="single" w:color="auto" w:sz="4" w:space="0"/>
              <w:right w:val="single" w:color="auto" w:sz="4" w:space="0"/>
            </w:tcBorders>
            <w:vAlign w:val="center"/>
          </w:tcPr>
          <w:p w14:paraId="337647BC">
            <w:pPr>
              <w:pStyle w:val="50"/>
              <w:ind w:firstLine="0" w:firstLineChars="0"/>
              <w:jc w:val="center"/>
              <w:rPr>
                <w:rFonts w:ascii="Times New Roman"/>
                <w:sz w:val="18"/>
                <w:szCs w:val="18"/>
              </w:rPr>
            </w:pPr>
            <w:r>
              <w:rPr>
                <w:rFonts w:ascii="Times New Roman"/>
                <w:sz w:val="18"/>
                <w:szCs w:val="18"/>
              </w:rPr>
              <w:t>抗折强度/MPa</w:t>
            </w:r>
          </w:p>
        </w:tc>
      </w:tr>
      <w:tr w14:paraId="2FF1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38" w:type="pct"/>
            <w:vMerge w:val="continue"/>
            <w:tcBorders>
              <w:left w:val="single" w:color="auto" w:sz="4" w:space="0"/>
            </w:tcBorders>
            <w:vAlign w:val="center"/>
          </w:tcPr>
          <w:p w14:paraId="7BB7DEF0">
            <w:pPr>
              <w:pStyle w:val="50"/>
              <w:ind w:firstLine="0" w:firstLineChars="0"/>
              <w:jc w:val="center"/>
              <w:rPr>
                <w:rFonts w:ascii="Times New Roman"/>
                <w:sz w:val="18"/>
                <w:szCs w:val="18"/>
              </w:rPr>
            </w:pPr>
          </w:p>
        </w:tc>
        <w:tc>
          <w:tcPr>
            <w:tcW w:w="694" w:type="pct"/>
            <w:vAlign w:val="center"/>
          </w:tcPr>
          <w:p w14:paraId="0CC4AE94">
            <w:pPr>
              <w:pStyle w:val="50"/>
              <w:ind w:firstLine="0" w:firstLineChars="0"/>
              <w:jc w:val="center"/>
              <w:rPr>
                <w:rFonts w:ascii="Times New Roman"/>
                <w:sz w:val="18"/>
                <w:szCs w:val="18"/>
              </w:rPr>
            </w:pPr>
            <w:r>
              <w:rPr>
                <w:rFonts w:ascii="Times New Roman"/>
                <w:sz w:val="18"/>
                <w:szCs w:val="18"/>
              </w:rPr>
              <w:t>3d</w:t>
            </w:r>
          </w:p>
        </w:tc>
        <w:tc>
          <w:tcPr>
            <w:tcW w:w="694" w:type="pct"/>
            <w:vAlign w:val="center"/>
          </w:tcPr>
          <w:p w14:paraId="7D28770C">
            <w:pPr>
              <w:pStyle w:val="50"/>
              <w:ind w:firstLine="0" w:firstLineChars="0"/>
              <w:jc w:val="center"/>
              <w:rPr>
                <w:rFonts w:ascii="Times New Roman"/>
                <w:sz w:val="18"/>
                <w:szCs w:val="18"/>
              </w:rPr>
            </w:pPr>
            <w:r>
              <w:rPr>
                <w:rFonts w:ascii="Times New Roman"/>
                <w:sz w:val="18"/>
                <w:szCs w:val="18"/>
              </w:rPr>
              <w:t>28d</w:t>
            </w:r>
          </w:p>
        </w:tc>
        <w:tc>
          <w:tcPr>
            <w:tcW w:w="695" w:type="pct"/>
            <w:vAlign w:val="center"/>
          </w:tcPr>
          <w:p w14:paraId="7CC31640">
            <w:pPr>
              <w:pStyle w:val="50"/>
              <w:ind w:firstLine="0" w:firstLineChars="0"/>
              <w:jc w:val="center"/>
              <w:rPr>
                <w:rFonts w:ascii="Times New Roman"/>
                <w:sz w:val="18"/>
                <w:szCs w:val="18"/>
              </w:rPr>
            </w:pPr>
            <w:r>
              <w:rPr>
                <w:rFonts w:ascii="Times New Roman"/>
                <w:sz w:val="18"/>
                <w:szCs w:val="18"/>
              </w:rPr>
              <w:t>56d</w:t>
            </w:r>
          </w:p>
        </w:tc>
        <w:tc>
          <w:tcPr>
            <w:tcW w:w="694" w:type="pct"/>
            <w:vAlign w:val="center"/>
          </w:tcPr>
          <w:p w14:paraId="17609BE2">
            <w:pPr>
              <w:pStyle w:val="50"/>
              <w:ind w:firstLine="0" w:firstLineChars="0"/>
              <w:jc w:val="center"/>
              <w:rPr>
                <w:rFonts w:ascii="Times New Roman"/>
                <w:sz w:val="18"/>
                <w:szCs w:val="18"/>
              </w:rPr>
            </w:pPr>
            <w:r>
              <w:rPr>
                <w:rFonts w:ascii="Times New Roman"/>
                <w:sz w:val="18"/>
                <w:szCs w:val="18"/>
              </w:rPr>
              <w:t>3d</w:t>
            </w:r>
          </w:p>
        </w:tc>
        <w:tc>
          <w:tcPr>
            <w:tcW w:w="694" w:type="pct"/>
            <w:vAlign w:val="center"/>
          </w:tcPr>
          <w:p w14:paraId="01717450">
            <w:pPr>
              <w:pStyle w:val="50"/>
              <w:ind w:firstLine="0" w:firstLineChars="0"/>
              <w:jc w:val="center"/>
              <w:rPr>
                <w:rFonts w:ascii="Times New Roman"/>
                <w:sz w:val="18"/>
                <w:szCs w:val="18"/>
              </w:rPr>
            </w:pPr>
            <w:r>
              <w:rPr>
                <w:rFonts w:ascii="Times New Roman"/>
                <w:sz w:val="18"/>
                <w:szCs w:val="18"/>
              </w:rPr>
              <w:t>28d</w:t>
            </w:r>
          </w:p>
        </w:tc>
        <w:tc>
          <w:tcPr>
            <w:tcW w:w="692" w:type="pct"/>
            <w:tcBorders>
              <w:right w:val="single" w:color="auto" w:sz="4" w:space="0"/>
            </w:tcBorders>
            <w:vAlign w:val="center"/>
          </w:tcPr>
          <w:p w14:paraId="056E51ED">
            <w:pPr>
              <w:pStyle w:val="50"/>
              <w:ind w:firstLine="0" w:firstLineChars="0"/>
              <w:jc w:val="center"/>
              <w:rPr>
                <w:rFonts w:ascii="Times New Roman"/>
                <w:sz w:val="18"/>
                <w:szCs w:val="18"/>
              </w:rPr>
            </w:pPr>
            <w:r>
              <w:rPr>
                <w:rFonts w:ascii="Times New Roman"/>
                <w:sz w:val="18"/>
                <w:szCs w:val="18"/>
              </w:rPr>
              <w:t>56d</w:t>
            </w:r>
          </w:p>
        </w:tc>
      </w:tr>
      <w:tr w14:paraId="4309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38" w:type="pct"/>
            <w:tcBorders>
              <w:left w:val="single" w:color="auto" w:sz="4" w:space="0"/>
            </w:tcBorders>
            <w:vAlign w:val="center"/>
          </w:tcPr>
          <w:p w14:paraId="376D8863">
            <w:pPr>
              <w:pStyle w:val="50"/>
              <w:ind w:firstLine="0" w:firstLineChars="0"/>
              <w:jc w:val="center"/>
              <w:rPr>
                <w:rFonts w:ascii="Times New Roman"/>
                <w:sz w:val="18"/>
                <w:szCs w:val="18"/>
              </w:rPr>
            </w:pPr>
            <w:r>
              <w:rPr>
                <w:rFonts w:ascii="Times New Roman"/>
                <w:sz w:val="18"/>
                <w:szCs w:val="18"/>
              </w:rPr>
              <w:t>SCM 22.5</w:t>
            </w:r>
          </w:p>
        </w:tc>
        <w:tc>
          <w:tcPr>
            <w:tcW w:w="694" w:type="pct"/>
            <w:vAlign w:val="center"/>
          </w:tcPr>
          <w:p w14:paraId="08C95981">
            <w:pPr>
              <w:pStyle w:val="50"/>
              <w:ind w:firstLine="0" w:firstLineChars="0"/>
              <w:jc w:val="center"/>
              <w:rPr>
                <w:rFonts w:ascii="Times New Roman"/>
                <w:sz w:val="18"/>
                <w:szCs w:val="18"/>
              </w:rPr>
            </w:pPr>
            <w:r>
              <w:rPr>
                <w:rFonts w:ascii="Times New Roman"/>
                <w:sz w:val="18"/>
                <w:szCs w:val="18"/>
              </w:rPr>
              <w:t>≥5.0</w:t>
            </w:r>
          </w:p>
        </w:tc>
        <w:tc>
          <w:tcPr>
            <w:tcW w:w="694" w:type="pct"/>
            <w:vAlign w:val="center"/>
          </w:tcPr>
          <w:p w14:paraId="682D6826">
            <w:pPr>
              <w:pStyle w:val="50"/>
              <w:ind w:firstLine="0" w:firstLineChars="0"/>
              <w:jc w:val="center"/>
              <w:rPr>
                <w:rFonts w:ascii="Times New Roman"/>
                <w:sz w:val="18"/>
                <w:szCs w:val="18"/>
              </w:rPr>
            </w:pPr>
            <w:r>
              <w:rPr>
                <w:rFonts w:ascii="Times New Roman"/>
                <w:sz w:val="18"/>
                <w:szCs w:val="18"/>
              </w:rPr>
              <w:t>≥22.5</w:t>
            </w:r>
          </w:p>
        </w:tc>
        <w:tc>
          <w:tcPr>
            <w:tcW w:w="695" w:type="pct"/>
            <w:vAlign w:val="center"/>
          </w:tcPr>
          <w:p w14:paraId="61764C68">
            <w:pPr>
              <w:pStyle w:val="50"/>
              <w:ind w:firstLine="0" w:firstLineChars="0"/>
              <w:jc w:val="center"/>
              <w:rPr>
                <w:rFonts w:ascii="Times New Roman"/>
                <w:sz w:val="18"/>
                <w:szCs w:val="18"/>
              </w:rPr>
            </w:pPr>
            <w:r>
              <w:rPr>
                <w:rFonts w:ascii="Times New Roman"/>
                <w:sz w:val="18"/>
                <w:szCs w:val="18"/>
              </w:rPr>
              <w:t>≥25.0</w:t>
            </w:r>
          </w:p>
        </w:tc>
        <w:tc>
          <w:tcPr>
            <w:tcW w:w="694" w:type="pct"/>
            <w:vAlign w:val="center"/>
          </w:tcPr>
          <w:p w14:paraId="21B00985">
            <w:pPr>
              <w:pStyle w:val="50"/>
              <w:ind w:firstLine="0" w:firstLineChars="0"/>
              <w:jc w:val="center"/>
              <w:rPr>
                <w:rFonts w:ascii="Times New Roman"/>
                <w:sz w:val="18"/>
                <w:szCs w:val="18"/>
              </w:rPr>
            </w:pPr>
            <w:r>
              <w:rPr>
                <w:rFonts w:ascii="Times New Roman"/>
                <w:sz w:val="18"/>
                <w:szCs w:val="18"/>
              </w:rPr>
              <w:t>≥1.0</w:t>
            </w:r>
          </w:p>
        </w:tc>
        <w:tc>
          <w:tcPr>
            <w:tcW w:w="694" w:type="pct"/>
            <w:vAlign w:val="center"/>
          </w:tcPr>
          <w:p w14:paraId="7C80B363">
            <w:pPr>
              <w:pStyle w:val="50"/>
              <w:ind w:firstLine="0" w:firstLineChars="0"/>
              <w:jc w:val="center"/>
              <w:rPr>
                <w:rFonts w:ascii="Times New Roman"/>
                <w:sz w:val="18"/>
                <w:szCs w:val="18"/>
              </w:rPr>
            </w:pPr>
            <w:r>
              <w:rPr>
                <w:rFonts w:ascii="Times New Roman"/>
                <w:sz w:val="18"/>
                <w:szCs w:val="18"/>
              </w:rPr>
              <w:t>≥3.5</w:t>
            </w:r>
          </w:p>
        </w:tc>
        <w:tc>
          <w:tcPr>
            <w:tcW w:w="692" w:type="pct"/>
            <w:tcBorders>
              <w:right w:val="single" w:color="auto" w:sz="4" w:space="0"/>
            </w:tcBorders>
            <w:vAlign w:val="center"/>
          </w:tcPr>
          <w:p w14:paraId="202ECDB9">
            <w:pPr>
              <w:pStyle w:val="50"/>
              <w:ind w:firstLine="0" w:firstLineChars="0"/>
              <w:jc w:val="center"/>
              <w:rPr>
                <w:rFonts w:ascii="Times New Roman"/>
                <w:sz w:val="18"/>
                <w:szCs w:val="18"/>
              </w:rPr>
            </w:pPr>
            <w:r>
              <w:rPr>
                <w:rFonts w:ascii="Times New Roman"/>
                <w:sz w:val="18"/>
                <w:szCs w:val="18"/>
              </w:rPr>
              <w:t>≥4.0</w:t>
            </w:r>
          </w:p>
        </w:tc>
      </w:tr>
      <w:tr w14:paraId="2D44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38" w:type="pct"/>
            <w:tcBorders>
              <w:left w:val="single" w:color="auto" w:sz="4" w:space="0"/>
            </w:tcBorders>
            <w:vAlign w:val="center"/>
          </w:tcPr>
          <w:p w14:paraId="50008C14">
            <w:pPr>
              <w:pStyle w:val="50"/>
              <w:ind w:firstLine="0" w:firstLineChars="0"/>
              <w:jc w:val="center"/>
              <w:rPr>
                <w:rFonts w:ascii="Times New Roman"/>
                <w:sz w:val="18"/>
                <w:szCs w:val="18"/>
              </w:rPr>
            </w:pPr>
            <w:r>
              <w:rPr>
                <w:rFonts w:ascii="Times New Roman"/>
                <w:sz w:val="18"/>
                <w:szCs w:val="18"/>
              </w:rPr>
              <w:t>SCM 32.5</w:t>
            </w:r>
          </w:p>
        </w:tc>
        <w:tc>
          <w:tcPr>
            <w:tcW w:w="694" w:type="pct"/>
            <w:vAlign w:val="center"/>
          </w:tcPr>
          <w:p w14:paraId="3DFB8C50">
            <w:pPr>
              <w:pStyle w:val="50"/>
              <w:ind w:firstLine="0" w:firstLineChars="0"/>
              <w:jc w:val="center"/>
              <w:rPr>
                <w:rFonts w:ascii="Times New Roman"/>
                <w:sz w:val="18"/>
                <w:szCs w:val="18"/>
              </w:rPr>
            </w:pPr>
            <w:r>
              <w:rPr>
                <w:rFonts w:ascii="Times New Roman"/>
                <w:sz w:val="18"/>
                <w:szCs w:val="18"/>
              </w:rPr>
              <w:t>≥12.0</w:t>
            </w:r>
          </w:p>
        </w:tc>
        <w:tc>
          <w:tcPr>
            <w:tcW w:w="694" w:type="pct"/>
            <w:vAlign w:val="center"/>
          </w:tcPr>
          <w:p w14:paraId="0E3B6EE0">
            <w:pPr>
              <w:pStyle w:val="50"/>
              <w:ind w:firstLine="0" w:firstLineChars="0"/>
              <w:jc w:val="center"/>
              <w:rPr>
                <w:rFonts w:ascii="Times New Roman"/>
                <w:sz w:val="18"/>
                <w:szCs w:val="18"/>
              </w:rPr>
            </w:pPr>
            <w:r>
              <w:rPr>
                <w:rFonts w:ascii="Times New Roman"/>
                <w:sz w:val="18"/>
                <w:szCs w:val="18"/>
              </w:rPr>
              <w:t>≥32.5</w:t>
            </w:r>
          </w:p>
        </w:tc>
        <w:tc>
          <w:tcPr>
            <w:tcW w:w="695" w:type="pct"/>
            <w:vAlign w:val="center"/>
          </w:tcPr>
          <w:p w14:paraId="5E33B976">
            <w:pPr>
              <w:pStyle w:val="50"/>
              <w:ind w:firstLine="0" w:firstLineChars="0"/>
              <w:jc w:val="center"/>
              <w:rPr>
                <w:rFonts w:ascii="Times New Roman"/>
                <w:sz w:val="18"/>
                <w:szCs w:val="18"/>
              </w:rPr>
            </w:pPr>
            <w:r>
              <w:rPr>
                <w:rFonts w:ascii="Times New Roman"/>
                <w:sz w:val="18"/>
                <w:szCs w:val="18"/>
              </w:rPr>
              <w:t>≥35.0</w:t>
            </w:r>
          </w:p>
        </w:tc>
        <w:tc>
          <w:tcPr>
            <w:tcW w:w="694" w:type="pct"/>
            <w:vAlign w:val="center"/>
          </w:tcPr>
          <w:p w14:paraId="2E87110A">
            <w:pPr>
              <w:pStyle w:val="50"/>
              <w:ind w:firstLine="0" w:firstLineChars="0"/>
              <w:jc w:val="center"/>
              <w:rPr>
                <w:rFonts w:ascii="Times New Roman"/>
                <w:sz w:val="18"/>
                <w:szCs w:val="18"/>
              </w:rPr>
            </w:pPr>
            <w:r>
              <w:rPr>
                <w:rFonts w:ascii="Times New Roman"/>
                <w:sz w:val="18"/>
                <w:szCs w:val="18"/>
              </w:rPr>
              <w:t>≥3.0</w:t>
            </w:r>
          </w:p>
        </w:tc>
        <w:tc>
          <w:tcPr>
            <w:tcW w:w="694" w:type="pct"/>
            <w:vAlign w:val="center"/>
          </w:tcPr>
          <w:p w14:paraId="3DE7A53F">
            <w:pPr>
              <w:pStyle w:val="50"/>
              <w:ind w:firstLine="0" w:firstLineChars="0"/>
              <w:jc w:val="center"/>
              <w:rPr>
                <w:rFonts w:ascii="Times New Roman"/>
                <w:sz w:val="18"/>
                <w:szCs w:val="18"/>
              </w:rPr>
            </w:pPr>
            <w:r>
              <w:rPr>
                <w:rFonts w:ascii="Times New Roman"/>
                <w:sz w:val="18"/>
                <w:szCs w:val="18"/>
              </w:rPr>
              <w:t>≥5.5</w:t>
            </w:r>
          </w:p>
        </w:tc>
        <w:tc>
          <w:tcPr>
            <w:tcW w:w="692" w:type="pct"/>
            <w:tcBorders>
              <w:right w:val="single" w:color="auto" w:sz="4" w:space="0"/>
            </w:tcBorders>
            <w:vAlign w:val="center"/>
          </w:tcPr>
          <w:p w14:paraId="016E69EE">
            <w:pPr>
              <w:pStyle w:val="50"/>
              <w:ind w:firstLine="0" w:firstLineChars="0"/>
              <w:jc w:val="center"/>
              <w:rPr>
                <w:rFonts w:ascii="Times New Roman"/>
                <w:sz w:val="18"/>
                <w:szCs w:val="18"/>
              </w:rPr>
            </w:pPr>
            <w:r>
              <w:rPr>
                <w:rFonts w:ascii="Times New Roman"/>
                <w:sz w:val="18"/>
                <w:szCs w:val="18"/>
              </w:rPr>
              <w:t>≥6.0</w:t>
            </w:r>
          </w:p>
        </w:tc>
      </w:tr>
      <w:tr w14:paraId="401E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38" w:type="pct"/>
            <w:tcBorders>
              <w:left w:val="single" w:color="auto" w:sz="4" w:space="0"/>
              <w:bottom w:val="single" w:color="auto" w:sz="4" w:space="0"/>
            </w:tcBorders>
            <w:vAlign w:val="center"/>
          </w:tcPr>
          <w:p w14:paraId="1FAACC33">
            <w:pPr>
              <w:pStyle w:val="50"/>
              <w:ind w:firstLine="0" w:firstLineChars="0"/>
              <w:jc w:val="center"/>
              <w:rPr>
                <w:rFonts w:ascii="Times New Roman"/>
                <w:sz w:val="18"/>
                <w:szCs w:val="18"/>
              </w:rPr>
            </w:pPr>
            <w:r>
              <w:rPr>
                <w:rFonts w:ascii="Times New Roman"/>
                <w:sz w:val="18"/>
                <w:szCs w:val="18"/>
              </w:rPr>
              <w:t>SCM 42.5</w:t>
            </w:r>
          </w:p>
        </w:tc>
        <w:tc>
          <w:tcPr>
            <w:tcW w:w="694" w:type="pct"/>
            <w:tcBorders>
              <w:bottom w:val="single" w:color="auto" w:sz="4" w:space="0"/>
            </w:tcBorders>
            <w:vAlign w:val="center"/>
          </w:tcPr>
          <w:p w14:paraId="4569BDD9">
            <w:pPr>
              <w:pStyle w:val="50"/>
              <w:ind w:firstLine="0" w:firstLineChars="0"/>
              <w:jc w:val="center"/>
              <w:rPr>
                <w:rFonts w:ascii="Times New Roman"/>
                <w:sz w:val="18"/>
                <w:szCs w:val="18"/>
              </w:rPr>
            </w:pPr>
            <w:r>
              <w:rPr>
                <w:rFonts w:ascii="Times New Roman"/>
                <w:sz w:val="18"/>
                <w:szCs w:val="18"/>
              </w:rPr>
              <w:t>≥17.0</w:t>
            </w:r>
          </w:p>
        </w:tc>
        <w:tc>
          <w:tcPr>
            <w:tcW w:w="694" w:type="pct"/>
            <w:tcBorders>
              <w:bottom w:val="single" w:color="auto" w:sz="4" w:space="0"/>
            </w:tcBorders>
            <w:vAlign w:val="center"/>
          </w:tcPr>
          <w:p w14:paraId="212EF9DB">
            <w:pPr>
              <w:pStyle w:val="50"/>
              <w:ind w:firstLine="0" w:firstLineChars="0"/>
              <w:jc w:val="center"/>
              <w:rPr>
                <w:rFonts w:ascii="Times New Roman"/>
                <w:sz w:val="18"/>
                <w:szCs w:val="18"/>
              </w:rPr>
            </w:pPr>
            <w:r>
              <w:rPr>
                <w:rFonts w:ascii="Times New Roman"/>
                <w:sz w:val="18"/>
                <w:szCs w:val="18"/>
              </w:rPr>
              <w:t>≥42.5</w:t>
            </w:r>
          </w:p>
        </w:tc>
        <w:tc>
          <w:tcPr>
            <w:tcW w:w="695" w:type="pct"/>
            <w:tcBorders>
              <w:bottom w:val="single" w:color="auto" w:sz="4" w:space="0"/>
            </w:tcBorders>
            <w:vAlign w:val="center"/>
          </w:tcPr>
          <w:p w14:paraId="5DF23F7E">
            <w:pPr>
              <w:pStyle w:val="50"/>
              <w:ind w:firstLine="0" w:firstLineChars="0"/>
              <w:jc w:val="center"/>
              <w:rPr>
                <w:rFonts w:ascii="Times New Roman"/>
                <w:sz w:val="18"/>
                <w:szCs w:val="18"/>
              </w:rPr>
            </w:pPr>
            <w:r>
              <w:rPr>
                <w:rFonts w:ascii="Times New Roman"/>
                <w:sz w:val="18"/>
                <w:szCs w:val="18"/>
              </w:rPr>
              <w:t>≥45.0</w:t>
            </w:r>
          </w:p>
        </w:tc>
        <w:tc>
          <w:tcPr>
            <w:tcW w:w="694" w:type="pct"/>
            <w:tcBorders>
              <w:bottom w:val="single" w:color="auto" w:sz="4" w:space="0"/>
            </w:tcBorders>
            <w:vAlign w:val="center"/>
          </w:tcPr>
          <w:p w14:paraId="525F9190">
            <w:pPr>
              <w:pStyle w:val="50"/>
              <w:ind w:firstLine="0" w:firstLineChars="0"/>
              <w:jc w:val="center"/>
              <w:rPr>
                <w:rFonts w:ascii="Times New Roman"/>
                <w:sz w:val="18"/>
                <w:szCs w:val="18"/>
              </w:rPr>
            </w:pPr>
            <w:r>
              <w:rPr>
                <w:rFonts w:ascii="Times New Roman"/>
                <w:sz w:val="18"/>
                <w:szCs w:val="18"/>
              </w:rPr>
              <w:t>≥4.0</w:t>
            </w:r>
          </w:p>
        </w:tc>
        <w:tc>
          <w:tcPr>
            <w:tcW w:w="694" w:type="pct"/>
            <w:tcBorders>
              <w:bottom w:val="single" w:color="auto" w:sz="4" w:space="0"/>
            </w:tcBorders>
            <w:vAlign w:val="center"/>
          </w:tcPr>
          <w:p w14:paraId="40681B3C">
            <w:pPr>
              <w:pStyle w:val="50"/>
              <w:ind w:firstLine="0" w:firstLineChars="0"/>
              <w:jc w:val="center"/>
              <w:rPr>
                <w:rFonts w:ascii="Times New Roman"/>
                <w:sz w:val="18"/>
                <w:szCs w:val="18"/>
              </w:rPr>
            </w:pPr>
            <w:r>
              <w:rPr>
                <w:rFonts w:ascii="Times New Roman"/>
                <w:sz w:val="18"/>
                <w:szCs w:val="18"/>
              </w:rPr>
              <w:t>≥6.5</w:t>
            </w:r>
          </w:p>
        </w:tc>
        <w:tc>
          <w:tcPr>
            <w:tcW w:w="692" w:type="pct"/>
            <w:tcBorders>
              <w:bottom w:val="single" w:color="auto" w:sz="4" w:space="0"/>
              <w:right w:val="single" w:color="auto" w:sz="4" w:space="0"/>
            </w:tcBorders>
            <w:vAlign w:val="center"/>
          </w:tcPr>
          <w:p w14:paraId="787BB4AB">
            <w:pPr>
              <w:pStyle w:val="50"/>
              <w:ind w:firstLine="0" w:firstLineChars="0"/>
              <w:jc w:val="center"/>
              <w:rPr>
                <w:rFonts w:ascii="Times New Roman"/>
                <w:sz w:val="18"/>
                <w:szCs w:val="18"/>
              </w:rPr>
            </w:pPr>
            <w:r>
              <w:rPr>
                <w:rFonts w:ascii="Times New Roman"/>
                <w:sz w:val="18"/>
                <w:szCs w:val="18"/>
              </w:rPr>
              <w:t>≥7.0</w:t>
            </w:r>
          </w:p>
        </w:tc>
      </w:tr>
    </w:tbl>
    <w:p w14:paraId="1321F7FC">
      <w:pPr>
        <w:pStyle w:val="136"/>
        <w:numPr>
          <w:ilvl w:val="0"/>
          <w:numId w:val="0"/>
        </w:numPr>
        <w:jc w:val="both"/>
        <w:rPr>
          <w:rFonts w:ascii="Times New Roman"/>
        </w:rPr>
      </w:pPr>
    </w:p>
    <w:p w14:paraId="3324E55C">
      <w:pPr>
        <w:pStyle w:val="136"/>
        <w:rPr>
          <w:rFonts w:ascii="Times New Roman"/>
        </w:rPr>
      </w:pPr>
      <w:r>
        <w:rPr>
          <w:rFonts w:ascii="Times New Roman"/>
        </w:rPr>
        <w:t>复合胶材其他项目技术指标及试验方法</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4"/>
        <w:gridCol w:w="3015"/>
        <w:gridCol w:w="3032"/>
      </w:tblGrid>
      <w:tr w14:paraId="43F3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841" w:type="pct"/>
            <w:vAlign w:val="center"/>
          </w:tcPr>
          <w:p w14:paraId="48104910">
            <w:pPr>
              <w:pStyle w:val="50"/>
              <w:ind w:left="-424" w:firstLine="0" w:firstLineChars="0"/>
              <w:jc w:val="center"/>
              <w:rPr>
                <w:rFonts w:ascii="Times New Roman"/>
                <w:sz w:val="18"/>
                <w:szCs w:val="18"/>
              </w:rPr>
            </w:pPr>
            <w:r>
              <w:rPr>
                <w:rFonts w:ascii="Times New Roman"/>
                <w:sz w:val="18"/>
                <w:szCs w:val="18"/>
              </w:rPr>
              <w:t>项目</w:t>
            </w:r>
          </w:p>
        </w:tc>
        <w:tc>
          <w:tcPr>
            <w:tcW w:w="1575" w:type="pct"/>
            <w:vAlign w:val="center"/>
          </w:tcPr>
          <w:p w14:paraId="54943708">
            <w:pPr>
              <w:pStyle w:val="50"/>
              <w:ind w:left="-424" w:firstLine="0" w:firstLineChars="0"/>
              <w:jc w:val="center"/>
              <w:rPr>
                <w:rFonts w:ascii="Times New Roman"/>
                <w:sz w:val="18"/>
                <w:szCs w:val="18"/>
              </w:rPr>
            </w:pPr>
            <w:r>
              <w:rPr>
                <w:rFonts w:ascii="Times New Roman"/>
                <w:sz w:val="18"/>
                <w:szCs w:val="18"/>
              </w:rPr>
              <w:t>指标要求</w:t>
            </w:r>
          </w:p>
        </w:tc>
        <w:tc>
          <w:tcPr>
            <w:tcW w:w="1584" w:type="pct"/>
            <w:vAlign w:val="center"/>
          </w:tcPr>
          <w:p w14:paraId="59B74E29">
            <w:pPr>
              <w:pStyle w:val="50"/>
              <w:ind w:left="-424" w:firstLine="0" w:firstLineChars="0"/>
              <w:jc w:val="center"/>
              <w:rPr>
                <w:rFonts w:ascii="Times New Roman"/>
                <w:sz w:val="18"/>
                <w:szCs w:val="18"/>
              </w:rPr>
            </w:pPr>
            <w:r>
              <w:rPr>
                <w:rFonts w:ascii="Times New Roman"/>
                <w:sz w:val="18"/>
                <w:szCs w:val="18"/>
              </w:rPr>
              <w:t>试验方法</w:t>
            </w:r>
          </w:p>
        </w:tc>
      </w:tr>
      <w:tr w14:paraId="4E26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841" w:type="pct"/>
            <w:vAlign w:val="center"/>
          </w:tcPr>
          <w:p w14:paraId="34231AD4">
            <w:pPr>
              <w:pStyle w:val="50"/>
              <w:ind w:left="-424" w:firstLine="0" w:firstLineChars="0"/>
              <w:jc w:val="center"/>
              <w:rPr>
                <w:rFonts w:ascii="Times New Roman"/>
                <w:sz w:val="18"/>
                <w:szCs w:val="18"/>
              </w:rPr>
            </w:pPr>
            <w:r>
              <w:rPr>
                <w:rFonts w:ascii="Times New Roman"/>
                <w:sz w:val="18"/>
                <w:szCs w:val="18"/>
              </w:rPr>
              <w:t>三氧化硫（质量百分数）/%</w:t>
            </w:r>
          </w:p>
        </w:tc>
        <w:tc>
          <w:tcPr>
            <w:tcW w:w="1575" w:type="pct"/>
            <w:vAlign w:val="center"/>
          </w:tcPr>
          <w:p w14:paraId="14BD65D5">
            <w:pPr>
              <w:pStyle w:val="50"/>
              <w:ind w:left="-424" w:firstLine="0" w:firstLineChars="0"/>
              <w:jc w:val="center"/>
              <w:rPr>
                <w:rFonts w:ascii="Times New Roman"/>
                <w:sz w:val="18"/>
                <w:szCs w:val="18"/>
              </w:rPr>
            </w:pPr>
            <w:r>
              <w:rPr>
                <w:rFonts w:ascii="Times New Roman"/>
                <w:sz w:val="18"/>
                <w:szCs w:val="18"/>
              </w:rPr>
              <w:t>≥5.0且</w:t>
            </w:r>
            <w:r>
              <w:rPr>
                <w:rFonts w:ascii="Times New Roman"/>
                <w:sz w:val="18"/>
                <w:szCs w:val="18"/>
              </w:rPr>
              <w:sym w:font="Symbol" w:char="003C"/>
            </w:r>
            <w:r>
              <w:rPr>
                <w:rFonts w:ascii="Times New Roman"/>
                <w:sz w:val="18"/>
                <w:szCs w:val="18"/>
              </w:rPr>
              <w:t>12.0</w:t>
            </w:r>
          </w:p>
        </w:tc>
        <w:tc>
          <w:tcPr>
            <w:tcW w:w="1584" w:type="pct"/>
            <w:vMerge w:val="restart"/>
            <w:vAlign w:val="center"/>
          </w:tcPr>
          <w:p w14:paraId="5E5F7639">
            <w:pPr>
              <w:pStyle w:val="50"/>
              <w:ind w:left="-424" w:firstLine="0" w:firstLineChars="0"/>
              <w:jc w:val="center"/>
              <w:rPr>
                <w:rFonts w:ascii="Times New Roman"/>
                <w:sz w:val="18"/>
                <w:szCs w:val="18"/>
              </w:rPr>
            </w:pPr>
            <w:r>
              <w:rPr>
                <w:rFonts w:ascii="Times New Roman"/>
                <w:sz w:val="18"/>
                <w:szCs w:val="18"/>
              </w:rPr>
              <w:t>GB/T 176</w:t>
            </w:r>
          </w:p>
        </w:tc>
      </w:tr>
      <w:tr w14:paraId="1FD5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841" w:type="pct"/>
            <w:vAlign w:val="center"/>
          </w:tcPr>
          <w:p w14:paraId="24385575">
            <w:pPr>
              <w:pStyle w:val="50"/>
              <w:ind w:left="-424" w:firstLine="0" w:firstLineChars="0"/>
              <w:jc w:val="center"/>
              <w:rPr>
                <w:rFonts w:ascii="Times New Roman"/>
                <w:sz w:val="18"/>
                <w:szCs w:val="18"/>
              </w:rPr>
            </w:pPr>
            <w:r>
              <w:rPr>
                <w:rFonts w:ascii="Times New Roman"/>
                <w:sz w:val="18"/>
                <w:szCs w:val="18"/>
              </w:rPr>
              <w:t>氯离子含量（质量百分数）/%</w:t>
            </w:r>
          </w:p>
        </w:tc>
        <w:tc>
          <w:tcPr>
            <w:tcW w:w="1575" w:type="pct"/>
            <w:vAlign w:val="center"/>
          </w:tcPr>
          <w:p w14:paraId="469858CF">
            <w:pPr>
              <w:pStyle w:val="50"/>
              <w:ind w:left="-424" w:firstLine="0" w:firstLineChars="0"/>
              <w:jc w:val="center"/>
              <w:rPr>
                <w:rFonts w:ascii="Times New Roman"/>
                <w:sz w:val="18"/>
                <w:szCs w:val="18"/>
              </w:rPr>
            </w:pPr>
            <w:r>
              <w:rPr>
                <w:rFonts w:ascii="Times New Roman"/>
                <w:sz w:val="18"/>
                <w:szCs w:val="18"/>
              </w:rPr>
              <w:t>≤0.1</w:t>
            </w:r>
          </w:p>
        </w:tc>
        <w:tc>
          <w:tcPr>
            <w:tcW w:w="1584" w:type="pct"/>
            <w:vMerge w:val="continue"/>
            <w:vAlign w:val="center"/>
          </w:tcPr>
          <w:p w14:paraId="7429B545">
            <w:pPr>
              <w:pStyle w:val="50"/>
              <w:ind w:left="-424" w:firstLine="0" w:firstLineChars="0"/>
              <w:jc w:val="center"/>
              <w:rPr>
                <w:rFonts w:ascii="Times New Roman"/>
                <w:sz w:val="18"/>
                <w:szCs w:val="18"/>
              </w:rPr>
            </w:pPr>
          </w:p>
        </w:tc>
      </w:tr>
      <w:tr w14:paraId="3A2CA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841" w:type="pct"/>
            <w:vAlign w:val="center"/>
          </w:tcPr>
          <w:p w14:paraId="7AD27016">
            <w:pPr>
              <w:pStyle w:val="50"/>
              <w:ind w:left="-424" w:firstLine="0" w:firstLineChars="0"/>
              <w:jc w:val="center"/>
              <w:rPr>
                <w:rFonts w:ascii="Times New Roman"/>
                <w:sz w:val="18"/>
                <w:szCs w:val="18"/>
              </w:rPr>
            </w:pPr>
            <w:r>
              <w:rPr>
                <w:rFonts w:ascii="Times New Roman"/>
                <w:sz w:val="18"/>
                <w:szCs w:val="18"/>
              </w:rPr>
              <w:t>密度/(g/cm</w:t>
            </w:r>
            <w:r>
              <w:rPr>
                <w:rFonts w:ascii="Times New Roman"/>
                <w:sz w:val="18"/>
                <w:szCs w:val="18"/>
                <w:vertAlign w:val="superscript"/>
              </w:rPr>
              <w:t>3</w:t>
            </w:r>
            <w:r>
              <w:rPr>
                <w:rFonts w:ascii="Times New Roman"/>
                <w:sz w:val="18"/>
                <w:szCs w:val="18"/>
              </w:rPr>
              <w:t>)</w:t>
            </w:r>
          </w:p>
        </w:tc>
        <w:tc>
          <w:tcPr>
            <w:tcW w:w="1575" w:type="pct"/>
            <w:vAlign w:val="center"/>
          </w:tcPr>
          <w:p w14:paraId="37F45385">
            <w:pPr>
              <w:pStyle w:val="50"/>
              <w:ind w:left="-424" w:firstLine="0" w:firstLineChars="0"/>
              <w:jc w:val="center"/>
              <w:rPr>
                <w:rFonts w:ascii="Times New Roman"/>
                <w:sz w:val="18"/>
                <w:szCs w:val="18"/>
              </w:rPr>
            </w:pPr>
            <w:r>
              <w:rPr>
                <w:rFonts w:ascii="Times New Roman"/>
                <w:sz w:val="18"/>
                <w:szCs w:val="18"/>
              </w:rPr>
              <w:t>≥2.8</w:t>
            </w:r>
          </w:p>
        </w:tc>
        <w:tc>
          <w:tcPr>
            <w:tcW w:w="1584" w:type="pct"/>
            <w:vAlign w:val="center"/>
          </w:tcPr>
          <w:p w14:paraId="30750348">
            <w:pPr>
              <w:pStyle w:val="50"/>
              <w:ind w:left="-424" w:firstLine="0" w:firstLineChars="0"/>
              <w:jc w:val="center"/>
              <w:rPr>
                <w:rFonts w:ascii="Times New Roman"/>
                <w:sz w:val="18"/>
                <w:szCs w:val="18"/>
              </w:rPr>
            </w:pPr>
            <w:r>
              <w:rPr>
                <w:rFonts w:ascii="Times New Roman"/>
                <w:sz w:val="18"/>
                <w:szCs w:val="18"/>
              </w:rPr>
              <w:t>GB/T 208</w:t>
            </w:r>
          </w:p>
        </w:tc>
      </w:tr>
      <w:tr w14:paraId="6E26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841" w:type="pct"/>
            <w:vAlign w:val="center"/>
          </w:tcPr>
          <w:p w14:paraId="2EE4FE28">
            <w:pPr>
              <w:pStyle w:val="50"/>
              <w:ind w:left="-424" w:firstLine="0" w:firstLineChars="0"/>
              <w:jc w:val="center"/>
              <w:rPr>
                <w:rFonts w:ascii="Times New Roman"/>
                <w:sz w:val="18"/>
                <w:szCs w:val="18"/>
              </w:rPr>
            </w:pPr>
            <w:r>
              <w:rPr>
                <w:rFonts w:ascii="Times New Roman"/>
                <w:sz w:val="18"/>
                <w:szCs w:val="18"/>
              </w:rPr>
              <w:t>细度（45μm方孔筛筛余）/%</w:t>
            </w:r>
          </w:p>
        </w:tc>
        <w:tc>
          <w:tcPr>
            <w:tcW w:w="1575" w:type="pct"/>
            <w:vAlign w:val="center"/>
          </w:tcPr>
          <w:p w14:paraId="7AF650C5">
            <w:pPr>
              <w:pStyle w:val="50"/>
              <w:ind w:left="-424" w:firstLine="0" w:firstLineChars="0"/>
              <w:jc w:val="center"/>
              <w:rPr>
                <w:rFonts w:ascii="Times New Roman"/>
                <w:sz w:val="18"/>
                <w:szCs w:val="18"/>
              </w:rPr>
            </w:pPr>
            <w:r>
              <w:rPr>
                <w:rFonts w:ascii="Times New Roman"/>
                <w:sz w:val="18"/>
                <w:szCs w:val="18"/>
              </w:rPr>
              <w:t>≤10.0</w:t>
            </w:r>
          </w:p>
        </w:tc>
        <w:tc>
          <w:tcPr>
            <w:tcW w:w="1584" w:type="pct"/>
            <w:vAlign w:val="center"/>
          </w:tcPr>
          <w:p w14:paraId="46476E86">
            <w:pPr>
              <w:pStyle w:val="50"/>
              <w:ind w:left="-424" w:firstLine="0" w:firstLineChars="0"/>
              <w:jc w:val="center"/>
              <w:rPr>
                <w:rFonts w:ascii="Times New Roman"/>
                <w:sz w:val="18"/>
                <w:szCs w:val="18"/>
              </w:rPr>
            </w:pPr>
            <w:r>
              <w:rPr>
                <w:rFonts w:ascii="Times New Roman"/>
                <w:sz w:val="18"/>
                <w:szCs w:val="18"/>
              </w:rPr>
              <w:t>GB/T 1345</w:t>
            </w:r>
          </w:p>
        </w:tc>
      </w:tr>
      <w:tr w14:paraId="2635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841" w:type="pct"/>
            <w:vAlign w:val="center"/>
          </w:tcPr>
          <w:p w14:paraId="383F37D3">
            <w:pPr>
              <w:pStyle w:val="50"/>
              <w:ind w:left="-424" w:firstLine="0" w:firstLineChars="0"/>
              <w:jc w:val="center"/>
              <w:rPr>
                <w:rFonts w:ascii="Times New Roman"/>
                <w:sz w:val="18"/>
                <w:szCs w:val="18"/>
              </w:rPr>
            </w:pPr>
            <w:r>
              <w:rPr>
                <w:rFonts w:ascii="Times New Roman"/>
                <w:sz w:val="18"/>
                <w:szCs w:val="18"/>
              </w:rPr>
              <w:t>初凝时间/min</w:t>
            </w:r>
          </w:p>
        </w:tc>
        <w:tc>
          <w:tcPr>
            <w:tcW w:w="1575" w:type="pct"/>
            <w:vAlign w:val="center"/>
          </w:tcPr>
          <w:p w14:paraId="78C8C3C7">
            <w:pPr>
              <w:pStyle w:val="50"/>
              <w:ind w:left="-424" w:firstLine="0" w:firstLineChars="0"/>
              <w:jc w:val="center"/>
              <w:rPr>
                <w:rFonts w:ascii="Times New Roman"/>
                <w:sz w:val="18"/>
                <w:szCs w:val="18"/>
              </w:rPr>
            </w:pPr>
            <w:r>
              <w:rPr>
                <w:rFonts w:ascii="Times New Roman"/>
                <w:sz w:val="18"/>
                <w:szCs w:val="18"/>
              </w:rPr>
              <w:t>≥45</w:t>
            </w:r>
          </w:p>
        </w:tc>
        <w:tc>
          <w:tcPr>
            <w:tcW w:w="1584" w:type="pct"/>
            <w:vMerge w:val="restart"/>
            <w:vAlign w:val="center"/>
          </w:tcPr>
          <w:p w14:paraId="45BA83D2">
            <w:pPr>
              <w:pStyle w:val="50"/>
              <w:ind w:left="-424" w:firstLine="0" w:firstLineChars="0"/>
              <w:jc w:val="center"/>
              <w:rPr>
                <w:rFonts w:ascii="Times New Roman"/>
                <w:sz w:val="18"/>
                <w:szCs w:val="18"/>
              </w:rPr>
            </w:pPr>
            <w:r>
              <w:rPr>
                <w:rFonts w:ascii="Times New Roman"/>
                <w:sz w:val="18"/>
                <w:szCs w:val="18"/>
              </w:rPr>
              <w:t>GB/T 1346</w:t>
            </w:r>
          </w:p>
        </w:tc>
      </w:tr>
      <w:tr w14:paraId="4488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841" w:type="pct"/>
            <w:vAlign w:val="center"/>
          </w:tcPr>
          <w:p w14:paraId="126DA007">
            <w:pPr>
              <w:pStyle w:val="50"/>
              <w:ind w:left="-424" w:firstLine="0" w:firstLineChars="0"/>
              <w:jc w:val="center"/>
              <w:rPr>
                <w:rFonts w:ascii="Times New Roman"/>
                <w:sz w:val="18"/>
                <w:szCs w:val="18"/>
              </w:rPr>
            </w:pPr>
            <w:r>
              <w:rPr>
                <w:rFonts w:ascii="Times New Roman"/>
                <w:sz w:val="18"/>
                <w:szCs w:val="18"/>
              </w:rPr>
              <w:t>终凝时间/min</w:t>
            </w:r>
          </w:p>
        </w:tc>
        <w:tc>
          <w:tcPr>
            <w:tcW w:w="1575" w:type="pct"/>
            <w:vAlign w:val="center"/>
          </w:tcPr>
          <w:p w14:paraId="471DE99B">
            <w:pPr>
              <w:pStyle w:val="50"/>
              <w:ind w:left="-424" w:firstLine="0" w:firstLineChars="0"/>
              <w:jc w:val="center"/>
              <w:rPr>
                <w:rFonts w:ascii="Times New Roman"/>
                <w:sz w:val="18"/>
                <w:szCs w:val="18"/>
              </w:rPr>
            </w:pPr>
            <w:r>
              <w:rPr>
                <w:rFonts w:ascii="Times New Roman"/>
                <w:sz w:val="18"/>
                <w:szCs w:val="18"/>
              </w:rPr>
              <w:sym w:font="Symbol" w:char="00A3"/>
            </w:r>
            <w:r>
              <w:rPr>
                <w:rFonts w:ascii="Times New Roman"/>
                <w:sz w:val="18"/>
                <w:szCs w:val="18"/>
              </w:rPr>
              <w:t>600</w:t>
            </w:r>
          </w:p>
        </w:tc>
        <w:tc>
          <w:tcPr>
            <w:tcW w:w="1584" w:type="pct"/>
            <w:vMerge w:val="continue"/>
            <w:vAlign w:val="center"/>
          </w:tcPr>
          <w:p w14:paraId="291BA1CF">
            <w:pPr>
              <w:spacing w:line="240" w:lineRule="exact"/>
              <w:jc w:val="center"/>
              <w:rPr>
                <w:rFonts w:ascii="Times New Roman" w:hAnsi="Times New Roman"/>
                <w:sz w:val="18"/>
                <w:szCs w:val="18"/>
              </w:rPr>
            </w:pPr>
          </w:p>
        </w:tc>
      </w:tr>
      <w:tr w14:paraId="5AA9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841" w:type="pct"/>
            <w:vAlign w:val="center"/>
          </w:tcPr>
          <w:p w14:paraId="4BCB5658">
            <w:pPr>
              <w:pStyle w:val="50"/>
              <w:ind w:left="-424" w:firstLine="0" w:firstLineChars="0"/>
              <w:jc w:val="center"/>
              <w:rPr>
                <w:rFonts w:ascii="Times New Roman"/>
                <w:sz w:val="18"/>
                <w:szCs w:val="18"/>
              </w:rPr>
            </w:pPr>
            <w:r>
              <w:rPr>
                <w:rFonts w:ascii="Times New Roman"/>
                <w:sz w:val="18"/>
                <w:szCs w:val="18"/>
              </w:rPr>
              <w:t>安定性</w:t>
            </w:r>
          </w:p>
        </w:tc>
        <w:tc>
          <w:tcPr>
            <w:tcW w:w="1575" w:type="pct"/>
            <w:vAlign w:val="center"/>
          </w:tcPr>
          <w:p w14:paraId="1D89E2CE">
            <w:pPr>
              <w:pStyle w:val="50"/>
              <w:ind w:left="-424" w:firstLine="0" w:firstLineChars="0"/>
              <w:jc w:val="center"/>
              <w:rPr>
                <w:rFonts w:ascii="Times New Roman"/>
                <w:sz w:val="18"/>
                <w:szCs w:val="18"/>
              </w:rPr>
            </w:pPr>
            <w:r>
              <w:rPr>
                <w:rFonts w:ascii="Times New Roman"/>
                <w:sz w:val="18"/>
                <w:szCs w:val="18"/>
              </w:rPr>
              <w:t>合格</w:t>
            </w:r>
          </w:p>
        </w:tc>
        <w:tc>
          <w:tcPr>
            <w:tcW w:w="1584" w:type="pct"/>
            <w:vMerge w:val="continue"/>
            <w:vAlign w:val="center"/>
          </w:tcPr>
          <w:p w14:paraId="7A93B9BF">
            <w:pPr>
              <w:spacing w:line="240" w:lineRule="exact"/>
              <w:jc w:val="center"/>
              <w:rPr>
                <w:rFonts w:ascii="Times New Roman" w:hAnsi="Times New Roman"/>
                <w:sz w:val="18"/>
                <w:szCs w:val="18"/>
              </w:rPr>
            </w:pPr>
          </w:p>
        </w:tc>
      </w:tr>
    </w:tbl>
    <w:p w14:paraId="24BF9188">
      <w:pPr>
        <w:pStyle w:val="49"/>
        <w:rPr>
          <w:rFonts w:ascii="Times New Roman" w:hAnsi="Times New Roman"/>
        </w:rPr>
      </w:pPr>
      <w:bookmarkStart w:id="148" w:name="_Toc205222429"/>
      <w:bookmarkStart w:id="149" w:name="_Toc205482064"/>
      <w:bookmarkStart w:id="150" w:name="_Toc204018292"/>
      <w:r>
        <w:rPr>
          <w:rFonts w:ascii="Times New Roman" w:hAnsi="Times New Roman"/>
        </w:rPr>
        <w:t>复合胶材的放射性要求和检验方法应符合GB 6566的有关规定。</w:t>
      </w:r>
      <w:bookmarkEnd w:id="148"/>
      <w:bookmarkEnd w:id="149"/>
    </w:p>
    <w:p w14:paraId="097AEDB6">
      <w:pPr>
        <w:pStyle w:val="49"/>
        <w:rPr>
          <w:rFonts w:ascii="Times New Roman" w:hAnsi="Times New Roman"/>
        </w:rPr>
      </w:pPr>
      <w:bookmarkStart w:id="151" w:name="_Toc205482065"/>
      <w:bookmarkStart w:id="152" w:name="_Toc205222430"/>
      <w:r>
        <w:rPr>
          <w:rFonts w:ascii="Times New Roman" w:hAnsi="Times New Roman"/>
        </w:rPr>
        <w:t>复合胶材的浸出毒性要求应符合GB 5085.3的有关规定。浸出毒性检验方法应符合GB 5086.1的有关规定。</w:t>
      </w:r>
      <w:bookmarkEnd w:id="151"/>
      <w:bookmarkEnd w:id="152"/>
    </w:p>
    <w:p w14:paraId="21FD4121">
      <w:pPr>
        <w:pStyle w:val="53"/>
        <w:rPr>
          <w:rFonts w:ascii="Times New Roman"/>
        </w:rPr>
      </w:pPr>
      <w:bookmarkStart w:id="153" w:name="_Toc205222431"/>
      <w:bookmarkStart w:id="154" w:name="_Toc205237765"/>
      <w:bookmarkStart w:id="155" w:name="_Toc205482066"/>
      <w:r>
        <w:rPr>
          <w:rFonts w:ascii="Times New Roman"/>
        </w:rPr>
        <w:t>水泥</w:t>
      </w:r>
      <w:bookmarkEnd w:id="150"/>
      <w:bookmarkEnd w:id="153"/>
      <w:bookmarkEnd w:id="154"/>
      <w:bookmarkEnd w:id="155"/>
    </w:p>
    <w:p w14:paraId="23400C91">
      <w:pPr>
        <w:pStyle w:val="49"/>
        <w:rPr>
          <w:rFonts w:ascii="Times New Roman" w:hAnsi="Times New Roman"/>
        </w:rPr>
      </w:pPr>
      <w:bookmarkStart w:id="156" w:name="_Toc205482067"/>
      <w:bookmarkStart w:id="157" w:name="_Toc204018293"/>
      <w:bookmarkStart w:id="158" w:name="_Toc205222432"/>
      <w:r>
        <w:rPr>
          <w:rFonts w:ascii="Times New Roman" w:hAnsi="Times New Roman"/>
        </w:rPr>
        <w:t>水泥应符合GB 175的规定，复合混凝土宜采用硅酸盐水泥或普通硅酸盐水泥，强度等级宜为42.5及以上。</w:t>
      </w:r>
      <w:bookmarkEnd w:id="156"/>
      <w:bookmarkEnd w:id="157"/>
      <w:bookmarkEnd w:id="158"/>
    </w:p>
    <w:p w14:paraId="3DCDF572">
      <w:pPr>
        <w:pStyle w:val="53"/>
        <w:rPr>
          <w:rFonts w:ascii="Times New Roman"/>
        </w:rPr>
      </w:pPr>
      <w:bookmarkStart w:id="159" w:name="_Toc205222433"/>
      <w:bookmarkStart w:id="160" w:name="_Toc205482068"/>
      <w:bookmarkStart w:id="161" w:name="_Toc204018294"/>
      <w:bookmarkStart w:id="162" w:name="_Toc205237766"/>
      <w:r>
        <w:rPr>
          <w:rFonts w:ascii="Times New Roman"/>
        </w:rPr>
        <w:t>矿物掺合料</w:t>
      </w:r>
      <w:bookmarkEnd w:id="159"/>
      <w:bookmarkEnd w:id="160"/>
      <w:bookmarkEnd w:id="161"/>
      <w:bookmarkEnd w:id="162"/>
    </w:p>
    <w:p w14:paraId="478AC41B">
      <w:pPr>
        <w:pStyle w:val="49"/>
        <w:rPr>
          <w:rFonts w:ascii="Times New Roman" w:hAnsi="Times New Roman"/>
        </w:rPr>
      </w:pPr>
      <w:bookmarkStart w:id="163" w:name="_Toc205222434"/>
      <w:bookmarkStart w:id="164" w:name="_Toc204018295"/>
      <w:bookmarkStart w:id="165" w:name="_Toc205482069"/>
      <w:r>
        <w:rPr>
          <w:rFonts w:ascii="Times New Roman" w:hAnsi="Times New Roman"/>
        </w:rPr>
        <w:t>矿物掺合料应符合GB/T 41054中的要求。</w:t>
      </w:r>
      <w:bookmarkEnd w:id="163"/>
      <w:bookmarkEnd w:id="164"/>
      <w:bookmarkEnd w:id="165"/>
    </w:p>
    <w:p w14:paraId="12BC69D0">
      <w:pPr>
        <w:pStyle w:val="53"/>
        <w:rPr>
          <w:rFonts w:ascii="Times New Roman"/>
        </w:rPr>
      </w:pPr>
      <w:bookmarkStart w:id="166" w:name="_Toc5682"/>
      <w:bookmarkStart w:id="167" w:name="_Toc205237767"/>
      <w:bookmarkStart w:id="168" w:name="_Toc7804"/>
      <w:bookmarkStart w:id="169" w:name="_Toc205482070"/>
      <w:bookmarkStart w:id="170" w:name="_Toc205222435"/>
      <w:bookmarkStart w:id="171" w:name="_Toc195801469"/>
      <w:bookmarkStart w:id="172" w:name="_Toc204018296"/>
      <w:bookmarkStart w:id="173" w:name="_Toc162893462"/>
      <w:r>
        <w:rPr>
          <w:rFonts w:ascii="Times New Roman"/>
        </w:rPr>
        <w:t>骨料</w:t>
      </w:r>
      <w:bookmarkEnd w:id="166"/>
      <w:bookmarkEnd w:id="167"/>
      <w:bookmarkEnd w:id="168"/>
      <w:bookmarkEnd w:id="169"/>
      <w:bookmarkEnd w:id="170"/>
      <w:bookmarkEnd w:id="171"/>
      <w:bookmarkEnd w:id="172"/>
      <w:bookmarkEnd w:id="173"/>
    </w:p>
    <w:p w14:paraId="3306A7BB">
      <w:pPr>
        <w:pStyle w:val="49"/>
        <w:rPr>
          <w:rFonts w:ascii="Times New Roman" w:hAnsi="Times New Roman"/>
        </w:rPr>
      </w:pPr>
      <w:bookmarkStart w:id="174" w:name="_Toc204018297"/>
      <w:bookmarkStart w:id="175" w:name="_Toc205222436"/>
      <w:bookmarkStart w:id="176" w:name="_Toc205482071"/>
      <w:bookmarkStart w:id="177" w:name="_Toc3901"/>
      <w:bookmarkStart w:id="178" w:name="_Toc12977"/>
      <w:r>
        <w:rPr>
          <w:rFonts w:ascii="Times New Roman" w:hAnsi="Times New Roman"/>
        </w:rPr>
        <w:t>细骨料包括天然砂、机制砂、铁尾矿砂、铁矿废石机制砂及再生细骨料。</w:t>
      </w:r>
      <w:bookmarkEnd w:id="174"/>
      <w:bookmarkEnd w:id="175"/>
      <w:bookmarkEnd w:id="176"/>
    </w:p>
    <w:bookmarkEnd w:id="177"/>
    <w:bookmarkEnd w:id="178"/>
    <w:p w14:paraId="54E7C3B3">
      <w:pPr>
        <w:pStyle w:val="49"/>
        <w:rPr>
          <w:rFonts w:ascii="Times New Roman" w:hAnsi="Times New Roman"/>
        </w:rPr>
      </w:pPr>
      <w:bookmarkStart w:id="179" w:name="_Toc5650"/>
      <w:bookmarkStart w:id="180" w:name="_Toc205482072"/>
      <w:bookmarkStart w:id="181" w:name="_Toc204018299"/>
      <w:bookmarkStart w:id="182" w:name="_Toc30677"/>
      <w:bookmarkStart w:id="183" w:name="_Toc205222437"/>
      <w:r>
        <w:rPr>
          <w:rFonts w:ascii="Times New Roman" w:hAnsi="Times New Roman"/>
        </w:rPr>
        <w:t>细骨料的细度模数宜控制在2.3～3.0范围内。</w:t>
      </w:r>
      <w:bookmarkEnd w:id="179"/>
      <w:bookmarkEnd w:id="180"/>
      <w:bookmarkEnd w:id="181"/>
      <w:bookmarkEnd w:id="182"/>
      <w:bookmarkEnd w:id="183"/>
    </w:p>
    <w:p w14:paraId="12872D59">
      <w:pPr>
        <w:pStyle w:val="49"/>
        <w:rPr>
          <w:rFonts w:ascii="Times New Roman" w:hAnsi="Times New Roman"/>
        </w:rPr>
      </w:pPr>
      <w:bookmarkStart w:id="184" w:name="_Toc15636"/>
      <w:bookmarkStart w:id="185" w:name="_Toc205482073"/>
      <w:bookmarkStart w:id="186" w:name="_Toc20447"/>
      <w:bookmarkStart w:id="187" w:name="_Toc204018300"/>
      <w:bookmarkStart w:id="188" w:name="_Toc205222438"/>
      <w:r>
        <w:rPr>
          <w:rFonts w:ascii="Times New Roman" w:hAnsi="Times New Roman"/>
        </w:rPr>
        <w:t>细骨料的技术指标及试验方法应符合表3的规定。</w:t>
      </w:r>
      <w:bookmarkEnd w:id="184"/>
      <w:bookmarkEnd w:id="185"/>
      <w:bookmarkEnd w:id="186"/>
      <w:bookmarkEnd w:id="187"/>
      <w:bookmarkEnd w:id="188"/>
    </w:p>
    <w:p w14:paraId="299CA248">
      <w:pPr>
        <w:pStyle w:val="136"/>
        <w:rPr>
          <w:rFonts w:ascii="Times New Roman"/>
        </w:rPr>
      </w:pPr>
      <w:r>
        <w:rPr>
          <w:rFonts w:ascii="Times New Roman"/>
        </w:rPr>
        <w:t>细骨料技术指标及试验方法</w:t>
      </w:r>
    </w:p>
    <w:tbl>
      <w:tblPr>
        <w:tblStyle w:val="40"/>
        <w:tblpPr w:leftFromText="180" w:rightFromText="180" w:vertAnchor="text" w:tblpXSpec="center" w:tblpY="1"/>
        <w:tblOverlap w:val="never"/>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922"/>
        <w:gridCol w:w="1196"/>
        <w:gridCol w:w="1499"/>
        <w:gridCol w:w="4072"/>
      </w:tblGrid>
      <w:tr w14:paraId="58A5C3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61" w:type="pct"/>
            <w:tcBorders>
              <w:top w:val="single" w:color="auto" w:sz="4" w:space="0"/>
              <w:left w:val="single" w:color="auto" w:sz="4" w:space="0"/>
            </w:tcBorders>
            <w:vAlign w:val="center"/>
          </w:tcPr>
          <w:p w14:paraId="39C344E7">
            <w:pPr>
              <w:pStyle w:val="50"/>
              <w:ind w:firstLine="0" w:firstLineChars="0"/>
              <w:jc w:val="center"/>
              <w:rPr>
                <w:rFonts w:ascii="Times New Roman"/>
                <w:sz w:val="18"/>
                <w:szCs w:val="18"/>
              </w:rPr>
            </w:pPr>
            <w:r>
              <w:rPr>
                <w:rFonts w:ascii="Times New Roman"/>
                <w:sz w:val="18"/>
                <w:szCs w:val="18"/>
              </w:rPr>
              <w:t>序号</w:t>
            </w:r>
          </w:p>
        </w:tc>
        <w:tc>
          <w:tcPr>
            <w:tcW w:w="1629" w:type="pct"/>
            <w:gridSpan w:val="2"/>
            <w:tcBorders>
              <w:top w:val="single" w:color="auto" w:sz="4" w:space="0"/>
            </w:tcBorders>
            <w:vAlign w:val="center"/>
          </w:tcPr>
          <w:p w14:paraId="6B863AC1">
            <w:pPr>
              <w:pStyle w:val="50"/>
              <w:ind w:firstLine="0" w:firstLineChars="0"/>
              <w:jc w:val="center"/>
              <w:rPr>
                <w:rFonts w:ascii="Times New Roman"/>
                <w:sz w:val="18"/>
                <w:szCs w:val="18"/>
              </w:rPr>
            </w:pPr>
            <w:r>
              <w:rPr>
                <w:rFonts w:ascii="Times New Roman"/>
                <w:sz w:val="18"/>
                <w:szCs w:val="18"/>
              </w:rPr>
              <w:t>项目</w:t>
            </w:r>
          </w:p>
        </w:tc>
        <w:tc>
          <w:tcPr>
            <w:tcW w:w="783" w:type="pct"/>
            <w:tcBorders>
              <w:top w:val="single" w:color="auto" w:sz="4" w:space="0"/>
            </w:tcBorders>
            <w:vAlign w:val="center"/>
          </w:tcPr>
          <w:p w14:paraId="3B59B781">
            <w:pPr>
              <w:pStyle w:val="50"/>
              <w:ind w:firstLine="0" w:firstLineChars="0"/>
              <w:jc w:val="center"/>
              <w:rPr>
                <w:rFonts w:ascii="Times New Roman"/>
                <w:sz w:val="18"/>
                <w:szCs w:val="18"/>
              </w:rPr>
            </w:pPr>
            <w:r>
              <w:rPr>
                <w:rFonts w:ascii="Times New Roman"/>
                <w:sz w:val="18"/>
                <w:szCs w:val="18"/>
              </w:rPr>
              <w:t>指标要求</w:t>
            </w:r>
          </w:p>
        </w:tc>
        <w:tc>
          <w:tcPr>
            <w:tcW w:w="2127" w:type="pct"/>
            <w:tcBorders>
              <w:top w:val="single" w:color="auto" w:sz="4" w:space="0"/>
              <w:right w:val="single" w:color="auto" w:sz="4" w:space="0"/>
            </w:tcBorders>
            <w:vAlign w:val="center"/>
          </w:tcPr>
          <w:p w14:paraId="12312F69">
            <w:pPr>
              <w:pStyle w:val="50"/>
              <w:ind w:firstLine="0" w:firstLineChars="0"/>
              <w:jc w:val="center"/>
              <w:rPr>
                <w:rFonts w:ascii="Times New Roman"/>
                <w:sz w:val="18"/>
                <w:szCs w:val="18"/>
              </w:rPr>
            </w:pPr>
            <w:r>
              <w:rPr>
                <w:rFonts w:ascii="Times New Roman"/>
                <w:sz w:val="18"/>
                <w:szCs w:val="18"/>
              </w:rPr>
              <w:t>试验方法</w:t>
            </w:r>
          </w:p>
        </w:tc>
      </w:tr>
      <w:tr w14:paraId="45878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tcBorders>
              <w:left w:val="single" w:color="auto" w:sz="4" w:space="0"/>
            </w:tcBorders>
            <w:vAlign w:val="center"/>
          </w:tcPr>
          <w:p w14:paraId="0BC7F78D">
            <w:pPr>
              <w:pStyle w:val="50"/>
              <w:ind w:firstLine="0" w:firstLineChars="0"/>
              <w:jc w:val="center"/>
              <w:rPr>
                <w:rFonts w:ascii="Times New Roman"/>
                <w:sz w:val="18"/>
                <w:szCs w:val="18"/>
              </w:rPr>
            </w:pPr>
            <w:r>
              <w:rPr>
                <w:rFonts w:ascii="Times New Roman"/>
                <w:sz w:val="18"/>
                <w:szCs w:val="18"/>
              </w:rPr>
              <w:t>1</w:t>
            </w:r>
          </w:p>
        </w:tc>
        <w:tc>
          <w:tcPr>
            <w:tcW w:w="1629" w:type="pct"/>
            <w:gridSpan w:val="2"/>
            <w:vAlign w:val="center"/>
          </w:tcPr>
          <w:p w14:paraId="78C8038B">
            <w:pPr>
              <w:pStyle w:val="50"/>
              <w:ind w:firstLine="0" w:firstLineChars="0"/>
              <w:jc w:val="center"/>
              <w:rPr>
                <w:rFonts w:ascii="Times New Roman"/>
                <w:sz w:val="18"/>
                <w:szCs w:val="18"/>
              </w:rPr>
            </w:pPr>
            <w:r>
              <w:rPr>
                <w:rFonts w:ascii="Times New Roman"/>
                <w:sz w:val="18"/>
                <w:szCs w:val="18"/>
              </w:rPr>
              <w:t>泥块含量（按质量计）/%</w:t>
            </w:r>
          </w:p>
        </w:tc>
        <w:tc>
          <w:tcPr>
            <w:tcW w:w="783" w:type="pct"/>
            <w:vAlign w:val="center"/>
          </w:tcPr>
          <w:p w14:paraId="440EDB28">
            <w:pPr>
              <w:pStyle w:val="50"/>
              <w:ind w:firstLine="0" w:firstLineChars="0"/>
              <w:jc w:val="center"/>
              <w:rPr>
                <w:rFonts w:ascii="Times New Roman"/>
                <w:sz w:val="18"/>
                <w:szCs w:val="18"/>
              </w:rPr>
            </w:pPr>
            <w:r>
              <w:rPr>
                <w:rFonts w:ascii="Times New Roman"/>
                <w:sz w:val="18"/>
                <w:szCs w:val="18"/>
              </w:rPr>
              <w:t>≤1.0</w:t>
            </w:r>
          </w:p>
        </w:tc>
        <w:tc>
          <w:tcPr>
            <w:tcW w:w="2127" w:type="pct"/>
            <w:vMerge w:val="restart"/>
            <w:tcBorders>
              <w:right w:val="single" w:color="auto" w:sz="4" w:space="0"/>
            </w:tcBorders>
            <w:vAlign w:val="center"/>
          </w:tcPr>
          <w:p w14:paraId="011AA8C7">
            <w:pPr>
              <w:pStyle w:val="50"/>
              <w:ind w:firstLine="0" w:firstLineChars="0"/>
              <w:jc w:val="center"/>
              <w:rPr>
                <w:rFonts w:ascii="Times New Roman"/>
                <w:sz w:val="18"/>
                <w:szCs w:val="18"/>
              </w:rPr>
            </w:pPr>
            <w:r>
              <w:rPr>
                <w:rFonts w:ascii="Times New Roman"/>
                <w:sz w:val="18"/>
                <w:szCs w:val="18"/>
              </w:rPr>
              <w:t>JGJ 52</w:t>
            </w:r>
          </w:p>
        </w:tc>
      </w:tr>
      <w:tr w14:paraId="5404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Merge w:val="restart"/>
            <w:tcBorders>
              <w:left w:val="single" w:color="auto" w:sz="4" w:space="0"/>
            </w:tcBorders>
            <w:vAlign w:val="center"/>
          </w:tcPr>
          <w:p w14:paraId="5B25D18A">
            <w:pPr>
              <w:pStyle w:val="50"/>
              <w:ind w:firstLine="0" w:firstLineChars="0"/>
              <w:jc w:val="center"/>
              <w:rPr>
                <w:rFonts w:ascii="Times New Roman"/>
                <w:sz w:val="18"/>
                <w:szCs w:val="18"/>
              </w:rPr>
            </w:pPr>
            <w:r>
              <w:rPr>
                <w:rFonts w:ascii="Times New Roman"/>
                <w:sz w:val="18"/>
                <w:szCs w:val="18"/>
              </w:rPr>
              <w:t>2</w:t>
            </w:r>
          </w:p>
        </w:tc>
        <w:tc>
          <w:tcPr>
            <w:tcW w:w="1004" w:type="pct"/>
            <w:vMerge w:val="restart"/>
            <w:vAlign w:val="center"/>
          </w:tcPr>
          <w:p w14:paraId="4E6B17C9">
            <w:pPr>
              <w:pStyle w:val="50"/>
              <w:ind w:firstLine="0" w:firstLineChars="0"/>
              <w:jc w:val="center"/>
              <w:rPr>
                <w:rFonts w:ascii="Times New Roman"/>
                <w:sz w:val="18"/>
                <w:szCs w:val="18"/>
              </w:rPr>
            </w:pPr>
            <w:r>
              <w:rPr>
                <w:rFonts w:ascii="Times New Roman"/>
                <w:sz w:val="18"/>
                <w:szCs w:val="18"/>
              </w:rPr>
              <w:t>石粉含量（按质量计）/%</w:t>
            </w:r>
          </w:p>
        </w:tc>
        <w:tc>
          <w:tcPr>
            <w:tcW w:w="625" w:type="pct"/>
            <w:vAlign w:val="center"/>
          </w:tcPr>
          <w:p w14:paraId="10C631F6">
            <w:pPr>
              <w:pStyle w:val="50"/>
              <w:ind w:firstLine="0" w:firstLineChars="0"/>
              <w:jc w:val="center"/>
              <w:rPr>
                <w:rFonts w:ascii="Times New Roman"/>
                <w:sz w:val="18"/>
                <w:szCs w:val="18"/>
              </w:rPr>
            </w:pPr>
            <w:r>
              <w:rPr>
                <w:rFonts w:ascii="Times New Roman"/>
                <w:sz w:val="18"/>
                <w:szCs w:val="18"/>
              </w:rPr>
              <w:t>MB≥1.40</w:t>
            </w:r>
          </w:p>
        </w:tc>
        <w:tc>
          <w:tcPr>
            <w:tcW w:w="783" w:type="pct"/>
            <w:vAlign w:val="center"/>
          </w:tcPr>
          <w:p w14:paraId="042BF6CE">
            <w:pPr>
              <w:pStyle w:val="50"/>
              <w:ind w:firstLine="0" w:firstLineChars="0"/>
              <w:jc w:val="center"/>
              <w:rPr>
                <w:rFonts w:ascii="Times New Roman"/>
                <w:sz w:val="18"/>
                <w:szCs w:val="18"/>
              </w:rPr>
            </w:pPr>
            <w:r>
              <w:rPr>
                <w:rFonts w:ascii="Times New Roman"/>
                <w:sz w:val="18"/>
                <w:szCs w:val="18"/>
              </w:rPr>
              <w:t>≤3.0</w:t>
            </w:r>
          </w:p>
        </w:tc>
        <w:tc>
          <w:tcPr>
            <w:tcW w:w="2127" w:type="pct"/>
            <w:vMerge w:val="continue"/>
            <w:tcBorders>
              <w:right w:val="single" w:color="auto" w:sz="4" w:space="0"/>
            </w:tcBorders>
            <w:vAlign w:val="center"/>
          </w:tcPr>
          <w:p w14:paraId="0D4F0C49">
            <w:pPr>
              <w:pStyle w:val="50"/>
              <w:ind w:firstLine="0" w:firstLineChars="0"/>
              <w:jc w:val="center"/>
              <w:rPr>
                <w:rFonts w:ascii="Times New Roman"/>
                <w:sz w:val="18"/>
                <w:szCs w:val="18"/>
              </w:rPr>
            </w:pPr>
          </w:p>
        </w:tc>
      </w:tr>
      <w:tr w14:paraId="6378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vMerge w:val="continue"/>
            <w:tcBorders>
              <w:left w:val="single" w:color="auto" w:sz="4" w:space="0"/>
            </w:tcBorders>
            <w:vAlign w:val="center"/>
          </w:tcPr>
          <w:p w14:paraId="45B01676">
            <w:pPr>
              <w:pStyle w:val="50"/>
              <w:ind w:firstLine="0" w:firstLineChars="0"/>
              <w:jc w:val="center"/>
              <w:rPr>
                <w:rFonts w:ascii="Times New Roman"/>
                <w:sz w:val="18"/>
                <w:szCs w:val="18"/>
              </w:rPr>
            </w:pPr>
          </w:p>
        </w:tc>
        <w:tc>
          <w:tcPr>
            <w:tcW w:w="1004" w:type="pct"/>
            <w:vMerge w:val="continue"/>
            <w:vAlign w:val="center"/>
          </w:tcPr>
          <w:p w14:paraId="2ABAF3D2">
            <w:pPr>
              <w:pStyle w:val="50"/>
              <w:ind w:firstLine="0" w:firstLineChars="0"/>
              <w:jc w:val="center"/>
              <w:rPr>
                <w:rFonts w:ascii="Times New Roman"/>
                <w:sz w:val="18"/>
                <w:szCs w:val="18"/>
              </w:rPr>
            </w:pPr>
          </w:p>
        </w:tc>
        <w:tc>
          <w:tcPr>
            <w:tcW w:w="625" w:type="pct"/>
            <w:vAlign w:val="center"/>
          </w:tcPr>
          <w:p w14:paraId="40696491">
            <w:pPr>
              <w:pStyle w:val="50"/>
              <w:ind w:firstLine="0" w:firstLineChars="0"/>
              <w:jc w:val="center"/>
              <w:rPr>
                <w:rFonts w:ascii="Times New Roman"/>
                <w:sz w:val="18"/>
                <w:szCs w:val="18"/>
              </w:rPr>
            </w:pPr>
            <w:r>
              <w:rPr>
                <w:rFonts w:ascii="Times New Roman"/>
                <w:sz w:val="18"/>
                <w:szCs w:val="18"/>
              </w:rPr>
              <w:t>MB＜1.40</w:t>
            </w:r>
          </w:p>
        </w:tc>
        <w:tc>
          <w:tcPr>
            <w:tcW w:w="783" w:type="pct"/>
            <w:vAlign w:val="center"/>
          </w:tcPr>
          <w:p w14:paraId="30C5F3FB">
            <w:pPr>
              <w:pStyle w:val="50"/>
              <w:ind w:firstLine="0" w:firstLineChars="0"/>
              <w:jc w:val="center"/>
              <w:rPr>
                <w:rFonts w:ascii="Times New Roman"/>
                <w:sz w:val="18"/>
                <w:szCs w:val="18"/>
              </w:rPr>
            </w:pPr>
            <w:r>
              <w:rPr>
                <w:rFonts w:ascii="Times New Roman"/>
                <w:sz w:val="18"/>
                <w:szCs w:val="18"/>
              </w:rPr>
              <w:t>≤7.0</w:t>
            </w:r>
          </w:p>
        </w:tc>
        <w:tc>
          <w:tcPr>
            <w:tcW w:w="2127" w:type="pct"/>
            <w:vMerge w:val="continue"/>
            <w:tcBorders>
              <w:right w:val="single" w:color="auto" w:sz="4" w:space="0"/>
            </w:tcBorders>
            <w:vAlign w:val="center"/>
          </w:tcPr>
          <w:p w14:paraId="5F4FB582">
            <w:pPr>
              <w:pStyle w:val="50"/>
              <w:ind w:firstLine="0" w:firstLineChars="0"/>
              <w:jc w:val="center"/>
              <w:rPr>
                <w:rFonts w:ascii="Times New Roman"/>
                <w:sz w:val="18"/>
                <w:szCs w:val="18"/>
              </w:rPr>
            </w:pPr>
          </w:p>
        </w:tc>
      </w:tr>
      <w:tr w14:paraId="56E8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tcBorders>
              <w:left w:val="single" w:color="auto" w:sz="4" w:space="0"/>
            </w:tcBorders>
            <w:vAlign w:val="center"/>
          </w:tcPr>
          <w:p w14:paraId="2C4474E6">
            <w:pPr>
              <w:pStyle w:val="50"/>
              <w:ind w:firstLine="0" w:firstLineChars="0"/>
              <w:jc w:val="center"/>
              <w:rPr>
                <w:rFonts w:ascii="Times New Roman"/>
                <w:sz w:val="18"/>
                <w:szCs w:val="18"/>
              </w:rPr>
            </w:pPr>
            <w:r>
              <w:rPr>
                <w:rFonts w:ascii="Times New Roman"/>
                <w:sz w:val="18"/>
                <w:szCs w:val="18"/>
              </w:rPr>
              <w:t>3</w:t>
            </w:r>
          </w:p>
        </w:tc>
        <w:tc>
          <w:tcPr>
            <w:tcW w:w="1629" w:type="pct"/>
            <w:gridSpan w:val="2"/>
            <w:vAlign w:val="center"/>
          </w:tcPr>
          <w:p w14:paraId="6DAD0822">
            <w:pPr>
              <w:pStyle w:val="50"/>
              <w:ind w:firstLine="0" w:firstLineChars="0"/>
              <w:jc w:val="center"/>
              <w:rPr>
                <w:rFonts w:ascii="Times New Roman"/>
                <w:sz w:val="18"/>
                <w:szCs w:val="18"/>
              </w:rPr>
            </w:pPr>
            <w:r>
              <w:rPr>
                <w:rFonts w:ascii="Times New Roman"/>
                <w:sz w:val="18"/>
                <w:szCs w:val="18"/>
              </w:rPr>
              <w:t>坚固性（质量损失）/%</w:t>
            </w:r>
          </w:p>
        </w:tc>
        <w:tc>
          <w:tcPr>
            <w:tcW w:w="783" w:type="pct"/>
            <w:vAlign w:val="center"/>
          </w:tcPr>
          <w:p w14:paraId="12572D62">
            <w:pPr>
              <w:pStyle w:val="50"/>
              <w:ind w:firstLine="0" w:firstLineChars="0"/>
              <w:jc w:val="center"/>
              <w:rPr>
                <w:rFonts w:ascii="Times New Roman"/>
                <w:sz w:val="18"/>
                <w:szCs w:val="18"/>
              </w:rPr>
            </w:pPr>
            <w:r>
              <w:rPr>
                <w:rFonts w:ascii="Times New Roman"/>
                <w:sz w:val="18"/>
                <w:szCs w:val="18"/>
              </w:rPr>
              <w:t>≤8</w:t>
            </w:r>
          </w:p>
        </w:tc>
        <w:tc>
          <w:tcPr>
            <w:tcW w:w="2127" w:type="pct"/>
            <w:vMerge w:val="continue"/>
            <w:tcBorders>
              <w:right w:val="single" w:color="auto" w:sz="4" w:space="0"/>
            </w:tcBorders>
            <w:vAlign w:val="center"/>
          </w:tcPr>
          <w:p w14:paraId="61515CEC">
            <w:pPr>
              <w:pStyle w:val="50"/>
              <w:ind w:firstLine="0" w:firstLineChars="0"/>
              <w:jc w:val="center"/>
              <w:rPr>
                <w:rFonts w:ascii="Times New Roman"/>
                <w:sz w:val="18"/>
                <w:szCs w:val="18"/>
              </w:rPr>
            </w:pPr>
          </w:p>
        </w:tc>
      </w:tr>
      <w:tr w14:paraId="5586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tcBorders>
              <w:left w:val="single" w:color="auto" w:sz="4" w:space="0"/>
            </w:tcBorders>
            <w:vAlign w:val="center"/>
          </w:tcPr>
          <w:p w14:paraId="05B6829D">
            <w:pPr>
              <w:pStyle w:val="50"/>
              <w:ind w:firstLine="0" w:firstLineChars="0"/>
              <w:jc w:val="center"/>
              <w:rPr>
                <w:rFonts w:ascii="Times New Roman"/>
                <w:sz w:val="18"/>
                <w:szCs w:val="18"/>
              </w:rPr>
            </w:pPr>
            <w:r>
              <w:rPr>
                <w:rFonts w:ascii="Times New Roman"/>
                <w:sz w:val="18"/>
                <w:szCs w:val="18"/>
              </w:rPr>
              <w:t>4</w:t>
            </w:r>
          </w:p>
        </w:tc>
        <w:tc>
          <w:tcPr>
            <w:tcW w:w="1629" w:type="pct"/>
            <w:gridSpan w:val="2"/>
            <w:vAlign w:val="center"/>
          </w:tcPr>
          <w:p w14:paraId="78F9AFF7">
            <w:pPr>
              <w:pStyle w:val="50"/>
              <w:ind w:firstLine="0" w:firstLineChars="0"/>
              <w:jc w:val="center"/>
              <w:rPr>
                <w:rFonts w:ascii="Times New Roman"/>
                <w:sz w:val="18"/>
                <w:szCs w:val="18"/>
              </w:rPr>
            </w:pPr>
            <w:r>
              <w:rPr>
                <w:rFonts w:ascii="Times New Roman"/>
                <w:sz w:val="18"/>
                <w:szCs w:val="18"/>
              </w:rPr>
              <w:t>单级最大压碎指标/%</w:t>
            </w:r>
          </w:p>
        </w:tc>
        <w:tc>
          <w:tcPr>
            <w:tcW w:w="783" w:type="pct"/>
            <w:vAlign w:val="center"/>
          </w:tcPr>
          <w:p w14:paraId="50248487">
            <w:pPr>
              <w:pStyle w:val="50"/>
              <w:ind w:firstLine="0" w:firstLineChars="0"/>
              <w:jc w:val="center"/>
              <w:rPr>
                <w:rFonts w:ascii="Times New Roman"/>
                <w:sz w:val="18"/>
                <w:szCs w:val="18"/>
              </w:rPr>
            </w:pPr>
            <w:r>
              <w:rPr>
                <w:rFonts w:ascii="Times New Roman"/>
                <w:sz w:val="18"/>
                <w:szCs w:val="18"/>
              </w:rPr>
              <w:t>≤25</w:t>
            </w:r>
          </w:p>
        </w:tc>
        <w:tc>
          <w:tcPr>
            <w:tcW w:w="2127" w:type="pct"/>
            <w:vMerge w:val="continue"/>
            <w:tcBorders>
              <w:right w:val="single" w:color="auto" w:sz="4" w:space="0"/>
            </w:tcBorders>
            <w:vAlign w:val="center"/>
          </w:tcPr>
          <w:p w14:paraId="168E2A46">
            <w:pPr>
              <w:pStyle w:val="50"/>
              <w:ind w:firstLine="0" w:firstLineChars="0"/>
              <w:jc w:val="center"/>
              <w:rPr>
                <w:rFonts w:ascii="Times New Roman"/>
                <w:sz w:val="18"/>
                <w:szCs w:val="18"/>
              </w:rPr>
            </w:pPr>
          </w:p>
        </w:tc>
      </w:tr>
      <w:tr w14:paraId="3357B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tcBorders>
              <w:left w:val="single" w:color="auto" w:sz="4" w:space="0"/>
            </w:tcBorders>
            <w:vAlign w:val="center"/>
          </w:tcPr>
          <w:p w14:paraId="066BE471">
            <w:pPr>
              <w:pStyle w:val="50"/>
              <w:ind w:firstLine="0" w:firstLineChars="0"/>
              <w:jc w:val="center"/>
              <w:rPr>
                <w:rFonts w:ascii="Times New Roman"/>
                <w:sz w:val="18"/>
                <w:szCs w:val="18"/>
              </w:rPr>
            </w:pPr>
            <w:r>
              <w:rPr>
                <w:rFonts w:ascii="Times New Roman"/>
                <w:sz w:val="18"/>
                <w:szCs w:val="18"/>
              </w:rPr>
              <w:t>5</w:t>
            </w:r>
          </w:p>
        </w:tc>
        <w:tc>
          <w:tcPr>
            <w:tcW w:w="1629" w:type="pct"/>
            <w:gridSpan w:val="2"/>
            <w:vAlign w:val="center"/>
          </w:tcPr>
          <w:p w14:paraId="6DCB3807">
            <w:pPr>
              <w:pStyle w:val="50"/>
              <w:ind w:firstLine="0" w:firstLineChars="0"/>
              <w:jc w:val="center"/>
              <w:rPr>
                <w:rFonts w:ascii="Times New Roman"/>
                <w:sz w:val="18"/>
                <w:szCs w:val="18"/>
              </w:rPr>
            </w:pPr>
            <w:r>
              <w:rPr>
                <w:rFonts w:ascii="Times New Roman"/>
                <w:sz w:val="18"/>
                <w:szCs w:val="18"/>
              </w:rPr>
              <w:t>表观密度/(kg/m</w:t>
            </w:r>
            <w:r>
              <w:rPr>
                <w:rFonts w:ascii="Times New Roman"/>
                <w:sz w:val="18"/>
                <w:szCs w:val="18"/>
                <w:vertAlign w:val="superscript"/>
              </w:rPr>
              <w:t>3</w:t>
            </w:r>
            <w:r>
              <w:rPr>
                <w:rFonts w:ascii="Times New Roman"/>
                <w:sz w:val="18"/>
                <w:szCs w:val="18"/>
              </w:rPr>
              <w:t>)</w:t>
            </w:r>
          </w:p>
        </w:tc>
        <w:tc>
          <w:tcPr>
            <w:tcW w:w="783" w:type="pct"/>
            <w:vAlign w:val="center"/>
          </w:tcPr>
          <w:p w14:paraId="78FCFCD6">
            <w:pPr>
              <w:pStyle w:val="50"/>
              <w:ind w:firstLine="0" w:firstLineChars="0"/>
              <w:jc w:val="center"/>
              <w:rPr>
                <w:rFonts w:ascii="Times New Roman"/>
                <w:sz w:val="18"/>
                <w:szCs w:val="18"/>
              </w:rPr>
            </w:pPr>
            <w:r>
              <w:rPr>
                <w:rFonts w:ascii="Times New Roman"/>
                <w:sz w:val="18"/>
                <w:szCs w:val="18"/>
              </w:rPr>
              <w:t>≥2500</w:t>
            </w:r>
          </w:p>
        </w:tc>
        <w:tc>
          <w:tcPr>
            <w:tcW w:w="2127" w:type="pct"/>
            <w:vMerge w:val="continue"/>
            <w:tcBorders>
              <w:right w:val="single" w:color="auto" w:sz="4" w:space="0"/>
            </w:tcBorders>
            <w:vAlign w:val="center"/>
          </w:tcPr>
          <w:p w14:paraId="671587D8">
            <w:pPr>
              <w:spacing w:line="240" w:lineRule="auto"/>
              <w:jc w:val="center"/>
              <w:rPr>
                <w:rFonts w:ascii="Times New Roman" w:hAnsi="Times New Roman"/>
                <w:sz w:val="18"/>
                <w:szCs w:val="18"/>
              </w:rPr>
            </w:pPr>
          </w:p>
        </w:tc>
      </w:tr>
      <w:tr w14:paraId="19183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tcBorders>
              <w:left w:val="single" w:color="auto" w:sz="4" w:space="0"/>
            </w:tcBorders>
            <w:vAlign w:val="center"/>
          </w:tcPr>
          <w:p w14:paraId="7ADD839C">
            <w:pPr>
              <w:pStyle w:val="50"/>
              <w:ind w:firstLine="0" w:firstLineChars="0"/>
              <w:jc w:val="center"/>
              <w:rPr>
                <w:rFonts w:ascii="Times New Roman"/>
                <w:sz w:val="18"/>
                <w:szCs w:val="18"/>
              </w:rPr>
            </w:pPr>
            <w:r>
              <w:rPr>
                <w:rFonts w:ascii="Times New Roman"/>
                <w:sz w:val="18"/>
                <w:szCs w:val="18"/>
              </w:rPr>
              <w:t>6</w:t>
            </w:r>
          </w:p>
        </w:tc>
        <w:tc>
          <w:tcPr>
            <w:tcW w:w="1629" w:type="pct"/>
            <w:gridSpan w:val="2"/>
            <w:vAlign w:val="center"/>
          </w:tcPr>
          <w:p w14:paraId="42A973C0">
            <w:pPr>
              <w:pStyle w:val="50"/>
              <w:ind w:firstLine="0" w:firstLineChars="0"/>
              <w:jc w:val="center"/>
              <w:rPr>
                <w:rFonts w:ascii="Times New Roman"/>
                <w:sz w:val="18"/>
                <w:szCs w:val="18"/>
              </w:rPr>
            </w:pPr>
            <w:r>
              <w:rPr>
                <w:rFonts w:ascii="Times New Roman"/>
                <w:sz w:val="18"/>
                <w:szCs w:val="18"/>
              </w:rPr>
              <w:t>松散堆积空隙率/%</w:t>
            </w:r>
          </w:p>
        </w:tc>
        <w:tc>
          <w:tcPr>
            <w:tcW w:w="783" w:type="pct"/>
            <w:vAlign w:val="center"/>
          </w:tcPr>
          <w:p w14:paraId="2F38974D">
            <w:pPr>
              <w:pStyle w:val="50"/>
              <w:ind w:firstLine="0" w:firstLineChars="0"/>
              <w:jc w:val="center"/>
              <w:rPr>
                <w:rFonts w:ascii="Times New Roman"/>
                <w:sz w:val="18"/>
                <w:szCs w:val="18"/>
              </w:rPr>
            </w:pPr>
            <w:r>
              <w:rPr>
                <w:rFonts w:ascii="Times New Roman"/>
                <w:sz w:val="18"/>
                <w:szCs w:val="18"/>
              </w:rPr>
              <w:t>≤43.0</w:t>
            </w:r>
          </w:p>
        </w:tc>
        <w:tc>
          <w:tcPr>
            <w:tcW w:w="2127" w:type="pct"/>
            <w:vMerge w:val="continue"/>
            <w:tcBorders>
              <w:right w:val="single" w:color="auto" w:sz="4" w:space="0"/>
            </w:tcBorders>
            <w:vAlign w:val="center"/>
          </w:tcPr>
          <w:p w14:paraId="34EA4928">
            <w:pPr>
              <w:spacing w:line="240" w:lineRule="auto"/>
              <w:jc w:val="center"/>
              <w:rPr>
                <w:rFonts w:ascii="Times New Roman" w:hAnsi="Times New Roman"/>
                <w:sz w:val="18"/>
                <w:szCs w:val="18"/>
              </w:rPr>
            </w:pPr>
          </w:p>
        </w:tc>
      </w:tr>
    </w:tbl>
    <w:p w14:paraId="0772C811">
      <w:pPr>
        <w:spacing w:before="156" w:beforeLines="50" w:after="156" w:afterLines="50" w:line="240" w:lineRule="auto"/>
        <w:jc w:val="center"/>
        <w:rPr>
          <w:rFonts w:hint="eastAsia" w:ascii="Times New Roman" w:hAnsi="Times New Roman" w:eastAsia="黑体"/>
          <w:lang w:val="en-US" w:eastAsia="zh-CN"/>
        </w:rPr>
      </w:pPr>
      <w:r>
        <w:rPr>
          <w:rFonts w:ascii="Times New Roman" w:hAnsi="Times New Roman" w:eastAsia="黑体"/>
        </w:rPr>
        <w:t>表3　细骨料技术指标及试验方法</w:t>
      </w:r>
      <w:r>
        <w:rPr>
          <w:rFonts w:hint="eastAsia" w:ascii="Times New Roman" w:hAnsi="Times New Roman" w:eastAsia="黑体"/>
          <w:lang w:eastAsia="zh-CN"/>
        </w:rPr>
        <w:t>（续）</w:t>
      </w:r>
    </w:p>
    <w:tbl>
      <w:tblPr>
        <w:tblStyle w:val="40"/>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3118"/>
        <w:gridCol w:w="1499"/>
        <w:gridCol w:w="4072"/>
      </w:tblGrid>
      <w:tr w14:paraId="058E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tcBorders>
              <w:left w:val="single" w:color="auto" w:sz="4" w:space="0"/>
            </w:tcBorders>
            <w:vAlign w:val="center"/>
          </w:tcPr>
          <w:p w14:paraId="5FB91AEE">
            <w:pPr>
              <w:pStyle w:val="50"/>
              <w:ind w:firstLine="0" w:firstLineChars="0"/>
              <w:jc w:val="center"/>
              <w:rPr>
                <w:rFonts w:ascii="Times New Roman"/>
                <w:sz w:val="18"/>
                <w:szCs w:val="18"/>
              </w:rPr>
            </w:pPr>
            <w:r>
              <w:rPr>
                <w:rFonts w:ascii="Times New Roman"/>
                <w:sz w:val="18"/>
                <w:szCs w:val="18"/>
              </w:rPr>
              <w:t>序号</w:t>
            </w:r>
          </w:p>
        </w:tc>
        <w:tc>
          <w:tcPr>
            <w:tcW w:w="1629" w:type="pct"/>
            <w:vAlign w:val="center"/>
          </w:tcPr>
          <w:p w14:paraId="3EF3C8CC">
            <w:pPr>
              <w:pStyle w:val="50"/>
              <w:ind w:firstLine="0" w:firstLineChars="0"/>
              <w:jc w:val="center"/>
              <w:rPr>
                <w:rFonts w:ascii="Times New Roman"/>
                <w:sz w:val="18"/>
                <w:szCs w:val="18"/>
              </w:rPr>
            </w:pPr>
            <w:r>
              <w:rPr>
                <w:rFonts w:ascii="Times New Roman"/>
                <w:sz w:val="18"/>
                <w:szCs w:val="18"/>
              </w:rPr>
              <w:t>项目</w:t>
            </w:r>
          </w:p>
        </w:tc>
        <w:tc>
          <w:tcPr>
            <w:tcW w:w="783" w:type="pct"/>
            <w:vAlign w:val="center"/>
          </w:tcPr>
          <w:p w14:paraId="69F37E9D">
            <w:pPr>
              <w:pStyle w:val="50"/>
              <w:ind w:firstLine="0" w:firstLineChars="0"/>
              <w:jc w:val="center"/>
              <w:rPr>
                <w:rFonts w:ascii="Times New Roman"/>
                <w:sz w:val="18"/>
                <w:szCs w:val="18"/>
              </w:rPr>
            </w:pPr>
            <w:r>
              <w:rPr>
                <w:rFonts w:ascii="Times New Roman"/>
                <w:sz w:val="18"/>
                <w:szCs w:val="18"/>
              </w:rPr>
              <w:t>指标要求</w:t>
            </w:r>
          </w:p>
        </w:tc>
        <w:tc>
          <w:tcPr>
            <w:tcW w:w="2127" w:type="pct"/>
            <w:tcBorders>
              <w:right w:val="single" w:color="auto" w:sz="4" w:space="0"/>
            </w:tcBorders>
            <w:vAlign w:val="center"/>
          </w:tcPr>
          <w:p w14:paraId="2C3ED892">
            <w:pPr>
              <w:spacing w:line="240" w:lineRule="auto"/>
              <w:jc w:val="center"/>
              <w:rPr>
                <w:rFonts w:ascii="Times New Roman"/>
                <w:sz w:val="18"/>
                <w:szCs w:val="18"/>
              </w:rPr>
            </w:pPr>
            <w:r>
              <w:rPr>
                <w:rFonts w:ascii="Times New Roman"/>
                <w:sz w:val="18"/>
                <w:szCs w:val="18"/>
              </w:rPr>
              <w:t>试验方法</w:t>
            </w:r>
          </w:p>
        </w:tc>
      </w:tr>
      <w:tr w14:paraId="41A2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tcBorders>
              <w:left w:val="single" w:color="auto" w:sz="4" w:space="0"/>
            </w:tcBorders>
            <w:vAlign w:val="center"/>
          </w:tcPr>
          <w:p w14:paraId="481F6AD5">
            <w:pPr>
              <w:pStyle w:val="50"/>
              <w:ind w:firstLine="0" w:firstLineChars="0"/>
              <w:jc w:val="center"/>
              <w:rPr>
                <w:rFonts w:ascii="Times New Roman"/>
                <w:sz w:val="18"/>
                <w:szCs w:val="18"/>
              </w:rPr>
            </w:pPr>
            <w:r>
              <w:rPr>
                <w:rFonts w:ascii="Times New Roman"/>
                <w:sz w:val="18"/>
                <w:szCs w:val="18"/>
              </w:rPr>
              <w:t>7</w:t>
            </w:r>
          </w:p>
        </w:tc>
        <w:tc>
          <w:tcPr>
            <w:tcW w:w="1629" w:type="pct"/>
            <w:vAlign w:val="center"/>
          </w:tcPr>
          <w:p w14:paraId="2D77D9C5">
            <w:pPr>
              <w:pStyle w:val="50"/>
              <w:ind w:firstLine="0" w:firstLineChars="0"/>
              <w:jc w:val="center"/>
              <w:rPr>
                <w:rFonts w:ascii="Times New Roman"/>
                <w:sz w:val="18"/>
                <w:szCs w:val="18"/>
              </w:rPr>
            </w:pPr>
            <w:r>
              <w:rPr>
                <w:rFonts w:ascii="Times New Roman"/>
                <w:sz w:val="18"/>
                <w:szCs w:val="18"/>
              </w:rPr>
              <w:t>饱和面干吸水率/%</w:t>
            </w:r>
          </w:p>
        </w:tc>
        <w:tc>
          <w:tcPr>
            <w:tcW w:w="783" w:type="pct"/>
            <w:vAlign w:val="center"/>
          </w:tcPr>
          <w:p w14:paraId="79612797">
            <w:pPr>
              <w:pStyle w:val="50"/>
              <w:ind w:firstLine="0" w:firstLineChars="0"/>
              <w:jc w:val="center"/>
              <w:rPr>
                <w:rFonts w:ascii="Times New Roman"/>
                <w:sz w:val="18"/>
                <w:szCs w:val="18"/>
              </w:rPr>
            </w:pPr>
            <w:r>
              <w:rPr>
                <w:rFonts w:ascii="Times New Roman"/>
                <w:sz w:val="18"/>
                <w:szCs w:val="18"/>
              </w:rPr>
              <w:t>≤2.0</w:t>
            </w:r>
          </w:p>
        </w:tc>
        <w:tc>
          <w:tcPr>
            <w:tcW w:w="2127" w:type="pct"/>
            <w:vMerge w:val="restart"/>
            <w:tcBorders>
              <w:right w:val="single" w:color="auto" w:sz="4" w:space="0"/>
            </w:tcBorders>
            <w:vAlign w:val="center"/>
          </w:tcPr>
          <w:p w14:paraId="612911B2">
            <w:pPr>
              <w:spacing w:line="240" w:lineRule="auto"/>
              <w:jc w:val="center"/>
              <w:rPr>
                <w:rFonts w:ascii="Times New Roman" w:hAnsi="Times New Roman"/>
                <w:sz w:val="18"/>
                <w:szCs w:val="18"/>
              </w:rPr>
            </w:pPr>
            <w:r>
              <w:rPr>
                <w:rFonts w:ascii="Times New Roman"/>
                <w:sz w:val="18"/>
                <w:szCs w:val="18"/>
              </w:rPr>
              <w:t>JGJ 52</w:t>
            </w:r>
          </w:p>
        </w:tc>
      </w:tr>
      <w:tr w14:paraId="2CCC5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1" w:type="pct"/>
            <w:tcBorders>
              <w:left w:val="single" w:color="auto" w:sz="4" w:space="0"/>
              <w:bottom w:val="single" w:color="auto" w:sz="4" w:space="0"/>
            </w:tcBorders>
            <w:vAlign w:val="center"/>
          </w:tcPr>
          <w:p w14:paraId="5A0997CB">
            <w:pPr>
              <w:pStyle w:val="50"/>
              <w:ind w:firstLine="0" w:firstLineChars="0"/>
              <w:jc w:val="center"/>
              <w:rPr>
                <w:rFonts w:ascii="Times New Roman"/>
                <w:sz w:val="18"/>
                <w:szCs w:val="18"/>
              </w:rPr>
            </w:pPr>
            <w:r>
              <w:rPr>
                <w:rFonts w:ascii="Times New Roman"/>
                <w:sz w:val="18"/>
                <w:szCs w:val="18"/>
              </w:rPr>
              <w:t>8</w:t>
            </w:r>
          </w:p>
        </w:tc>
        <w:tc>
          <w:tcPr>
            <w:tcW w:w="1629" w:type="pct"/>
            <w:tcBorders>
              <w:bottom w:val="single" w:color="auto" w:sz="4" w:space="0"/>
            </w:tcBorders>
            <w:vAlign w:val="center"/>
          </w:tcPr>
          <w:p w14:paraId="04B21BCB">
            <w:pPr>
              <w:pStyle w:val="50"/>
              <w:ind w:firstLine="0" w:firstLineChars="0"/>
              <w:jc w:val="center"/>
              <w:rPr>
                <w:rFonts w:ascii="Times New Roman"/>
                <w:sz w:val="18"/>
                <w:szCs w:val="18"/>
              </w:rPr>
            </w:pPr>
            <w:r>
              <w:rPr>
                <w:rFonts w:ascii="Times New Roman"/>
                <w:sz w:val="18"/>
                <w:szCs w:val="18"/>
              </w:rPr>
              <w:t>片状颗粒含量/%</w:t>
            </w:r>
          </w:p>
        </w:tc>
        <w:tc>
          <w:tcPr>
            <w:tcW w:w="783" w:type="pct"/>
            <w:tcBorders>
              <w:bottom w:val="single" w:color="auto" w:sz="4" w:space="0"/>
            </w:tcBorders>
            <w:vAlign w:val="center"/>
          </w:tcPr>
          <w:p w14:paraId="179A9D77">
            <w:pPr>
              <w:pStyle w:val="50"/>
              <w:ind w:firstLine="0" w:firstLineChars="0"/>
              <w:jc w:val="center"/>
              <w:rPr>
                <w:rFonts w:ascii="Times New Roman"/>
                <w:sz w:val="18"/>
                <w:szCs w:val="18"/>
              </w:rPr>
            </w:pPr>
            <w:r>
              <w:rPr>
                <w:rFonts w:ascii="Times New Roman"/>
                <w:sz w:val="18"/>
                <w:szCs w:val="18"/>
              </w:rPr>
              <w:t>≤15</w:t>
            </w:r>
          </w:p>
        </w:tc>
        <w:tc>
          <w:tcPr>
            <w:tcW w:w="2127" w:type="pct"/>
            <w:vMerge w:val="continue"/>
            <w:tcBorders>
              <w:bottom w:val="single" w:color="auto" w:sz="4" w:space="0"/>
              <w:right w:val="single" w:color="auto" w:sz="4" w:space="0"/>
            </w:tcBorders>
            <w:vAlign w:val="center"/>
          </w:tcPr>
          <w:p w14:paraId="343D3408">
            <w:pPr>
              <w:spacing w:line="240" w:lineRule="auto"/>
              <w:jc w:val="center"/>
              <w:rPr>
                <w:rFonts w:ascii="Times New Roman" w:hAnsi="Times New Roman"/>
                <w:sz w:val="18"/>
                <w:szCs w:val="18"/>
              </w:rPr>
            </w:pPr>
          </w:p>
        </w:tc>
      </w:tr>
    </w:tbl>
    <w:p w14:paraId="13616C7E">
      <w:pPr>
        <w:pStyle w:val="50"/>
        <w:rPr>
          <w:rFonts w:ascii="Times New Roman"/>
        </w:rPr>
      </w:pPr>
    </w:p>
    <w:p w14:paraId="5EA87562">
      <w:pPr>
        <w:pStyle w:val="49"/>
        <w:rPr>
          <w:rFonts w:ascii="Times New Roman" w:hAnsi="Times New Roman"/>
        </w:rPr>
      </w:pPr>
      <w:bookmarkStart w:id="189" w:name="_Toc205482074"/>
      <w:bookmarkStart w:id="190" w:name="_Toc16821"/>
      <w:bookmarkStart w:id="191" w:name="_Toc205222439"/>
      <w:bookmarkStart w:id="192" w:name="_Toc204018301"/>
      <w:bookmarkStart w:id="193" w:name="_Toc27354"/>
      <w:r>
        <w:rPr>
          <w:rFonts w:ascii="Times New Roman" w:hAnsi="Times New Roman"/>
        </w:rPr>
        <w:t>细骨料中如含有云母、轻物质、有机物、氯化物、硫化物及硫酸盐等有害物质，其限量及试验方法应符合表4的规定。</w:t>
      </w:r>
      <w:bookmarkEnd w:id="189"/>
      <w:bookmarkEnd w:id="190"/>
      <w:bookmarkEnd w:id="191"/>
      <w:bookmarkEnd w:id="192"/>
      <w:bookmarkEnd w:id="193"/>
    </w:p>
    <w:p w14:paraId="70415642">
      <w:pPr>
        <w:pStyle w:val="136"/>
        <w:rPr>
          <w:rFonts w:ascii="Times New Roman"/>
        </w:rPr>
      </w:pPr>
      <w:r>
        <w:rPr>
          <w:rFonts w:ascii="Times New Roman"/>
        </w:rPr>
        <w:t>细骨料中的有害物质限量及试验方法</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4975"/>
        <w:gridCol w:w="1382"/>
        <w:gridCol w:w="2362"/>
      </w:tblGrid>
      <w:tr w14:paraId="4A1C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45" w:type="pct"/>
            <w:tcBorders>
              <w:top w:val="single" w:color="auto" w:sz="4" w:space="0"/>
              <w:left w:val="single" w:color="auto" w:sz="4" w:space="0"/>
            </w:tcBorders>
            <w:vAlign w:val="center"/>
          </w:tcPr>
          <w:p w14:paraId="006BDA41">
            <w:pPr>
              <w:pStyle w:val="50"/>
              <w:ind w:firstLine="0" w:firstLineChars="0"/>
              <w:jc w:val="center"/>
              <w:rPr>
                <w:rFonts w:ascii="Times New Roman"/>
                <w:sz w:val="18"/>
                <w:szCs w:val="18"/>
              </w:rPr>
            </w:pPr>
            <w:r>
              <w:rPr>
                <w:rFonts w:ascii="Times New Roman"/>
                <w:sz w:val="18"/>
                <w:szCs w:val="18"/>
              </w:rPr>
              <w:t>序号</w:t>
            </w:r>
          </w:p>
        </w:tc>
        <w:tc>
          <w:tcPr>
            <w:tcW w:w="2599" w:type="pct"/>
            <w:tcBorders>
              <w:top w:val="single" w:color="auto" w:sz="4" w:space="0"/>
            </w:tcBorders>
            <w:vAlign w:val="center"/>
          </w:tcPr>
          <w:p w14:paraId="7885CD5D">
            <w:pPr>
              <w:pStyle w:val="50"/>
              <w:ind w:firstLine="0" w:firstLineChars="0"/>
              <w:jc w:val="center"/>
              <w:rPr>
                <w:rFonts w:ascii="Times New Roman"/>
                <w:sz w:val="18"/>
                <w:szCs w:val="18"/>
              </w:rPr>
            </w:pPr>
            <w:r>
              <w:rPr>
                <w:rFonts w:ascii="Times New Roman"/>
                <w:sz w:val="18"/>
                <w:szCs w:val="18"/>
              </w:rPr>
              <w:t>项目</w:t>
            </w:r>
          </w:p>
        </w:tc>
        <w:tc>
          <w:tcPr>
            <w:tcW w:w="722" w:type="pct"/>
            <w:tcBorders>
              <w:top w:val="single" w:color="auto" w:sz="4" w:space="0"/>
            </w:tcBorders>
            <w:vAlign w:val="center"/>
          </w:tcPr>
          <w:p w14:paraId="149ECC5C">
            <w:pPr>
              <w:pStyle w:val="50"/>
              <w:ind w:firstLine="0" w:firstLineChars="0"/>
              <w:jc w:val="center"/>
              <w:rPr>
                <w:rFonts w:ascii="Times New Roman"/>
                <w:sz w:val="18"/>
                <w:szCs w:val="18"/>
              </w:rPr>
            </w:pPr>
            <w:r>
              <w:rPr>
                <w:rFonts w:ascii="Times New Roman"/>
                <w:sz w:val="18"/>
                <w:szCs w:val="18"/>
              </w:rPr>
              <w:t>限量</w:t>
            </w:r>
          </w:p>
        </w:tc>
        <w:tc>
          <w:tcPr>
            <w:tcW w:w="1234" w:type="pct"/>
            <w:tcBorders>
              <w:top w:val="single" w:color="auto" w:sz="4" w:space="0"/>
              <w:right w:val="single" w:color="auto" w:sz="4" w:space="0"/>
            </w:tcBorders>
            <w:vAlign w:val="center"/>
          </w:tcPr>
          <w:p w14:paraId="3AAA5D2C">
            <w:pPr>
              <w:pStyle w:val="50"/>
              <w:ind w:firstLine="0" w:firstLineChars="0"/>
              <w:jc w:val="center"/>
              <w:rPr>
                <w:rFonts w:ascii="Times New Roman"/>
                <w:sz w:val="18"/>
                <w:szCs w:val="18"/>
              </w:rPr>
            </w:pPr>
            <w:r>
              <w:rPr>
                <w:rFonts w:ascii="Times New Roman"/>
                <w:sz w:val="18"/>
                <w:szCs w:val="18"/>
              </w:rPr>
              <w:t>试验方法</w:t>
            </w:r>
          </w:p>
        </w:tc>
      </w:tr>
      <w:tr w14:paraId="3209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45" w:type="pct"/>
            <w:tcBorders>
              <w:left w:val="single" w:color="auto" w:sz="4" w:space="0"/>
              <w:bottom w:val="single" w:color="auto" w:sz="4" w:space="0"/>
            </w:tcBorders>
            <w:vAlign w:val="center"/>
          </w:tcPr>
          <w:p w14:paraId="7B542ECB">
            <w:pPr>
              <w:pStyle w:val="50"/>
              <w:ind w:firstLine="0" w:firstLineChars="0"/>
              <w:jc w:val="center"/>
              <w:rPr>
                <w:rFonts w:ascii="Times New Roman"/>
                <w:sz w:val="18"/>
                <w:szCs w:val="18"/>
              </w:rPr>
            </w:pPr>
            <w:r>
              <w:rPr>
                <w:rFonts w:ascii="Times New Roman"/>
                <w:sz w:val="18"/>
                <w:szCs w:val="18"/>
              </w:rPr>
              <w:t>1</w:t>
            </w:r>
          </w:p>
        </w:tc>
        <w:tc>
          <w:tcPr>
            <w:tcW w:w="2599" w:type="pct"/>
            <w:tcBorders>
              <w:bottom w:val="single" w:color="auto" w:sz="4" w:space="0"/>
            </w:tcBorders>
            <w:vAlign w:val="center"/>
          </w:tcPr>
          <w:p w14:paraId="09B33920">
            <w:pPr>
              <w:pStyle w:val="50"/>
              <w:ind w:firstLine="0" w:firstLineChars="0"/>
              <w:jc w:val="center"/>
              <w:rPr>
                <w:rFonts w:ascii="Times New Roman"/>
                <w:sz w:val="18"/>
                <w:szCs w:val="18"/>
              </w:rPr>
            </w:pPr>
            <w:r>
              <w:rPr>
                <w:rFonts w:ascii="Times New Roman"/>
                <w:sz w:val="18"/>
                <w:szCs w:val="18"/>
              </w:rPr>
              <w:t>云母含量（按质量计）/%</w:t>
            </w:r>
          </w:p>
        </w:tc>
        <w:tc>
          <w:tcPr>
            <w:tcW w:w="722" w:type="pct"/>
            <w:tcBorders>
              <w:bottom w:val="single" w:color="auto" w:sz="4" w:space="0"/>
            </w:tcBorders>
            <w:vAlign w:val="center"/>
          </w:tcPr>
          <w:p w14:paraId="73013900">
            <w:pPr>
              <w:pStyle w:val="50"/>
              <w:ind w:firstLine="0" w:firstLineChars="0"/>
              <w:jc w:val="center"/>
              <w:rPr>
                <w:rFonts w:ascii="Times New Roman"/>
                <w:sz w:val="18"/>
                <w:szCs w:val="18"/>
              </w:rPr>
            </w:pPr>
            <w:r>
              <w:rPr>
                <w:rFonts w:ascii="Times New Roman"/>
                <w:sz w:val="18"/>
                <w:szCs w:val="18"/>
              </w:rPr>
              <w:t>≤2.0</w:t>
            </w:r>
          </w:p>
        </w:tc>
        <w:tc>
          <w:tcPr>
            <w:tcW w:w="1234" w:type="pct"/>
            <w:vMerge w:val="restart"/>
            <w:tcBorders>
              <w:right w:val="single" w:color="auto" w:sz="4" w:space="0"/>
            </w:tcBorders>
            <w:vAlign w:val="center"/>
          </w:tcPr>
          <w:p w14:paraId="68F611A8">
            <w:pPr>
              <w:pStyle w:val="50"/>
              <w:ind w:firstLine="0" w:firstLineChars="0"/>
              <w:jc w:val="center"/>
              <w:rPr>
                <w:rFonts w:ascii="Times New Roman"/>
                <w:sz w:val="18"/>
                <w:szCs w:val="18"/>
              </w:rPr>
            </w:pPr>
            <w:r>
              <w:rPr>
                <w:rFonts w:ascii="Times New Roman"/>
                <w:sz w:val="18"/>
                <w:szCs w:val="18"/>
              </w:rPr>
              <w:t>JGJ 52</w:t>
            </w:r>
          </w:p>
        </w:tc>
      </w:tr>
      <w:tr w14:paraId="6982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45" w:type="pct"/>
            <w:tcBorders>
              <w:top w:val="single" w:color="auto" w:sz="4" w:space="0"/>
              <w:left w:val="single" w:color="auto" w:sz="4" w:space="0"/>
              <w:bottom w:val="single" w:color="auto" w:sz="4" w:space="0"/>
            </w:tcBorders>
            <w:vAlign w:val="center"/>
          </w:tcPr>
          <w:p w14:paraId="27693FF4">
            <w:pPr>
              <w:pStyle w:val="50"/>
              <w:ind w:firstLine="0" w:firstLineChars="0"/>
              <w:jc w:val="center"/>
              <w:rPr>
                <w:rFonts w:ascii="Times New Roman"/>
                <w:sz w:val="18"/>
                <w:szCs w:val="18"/>
              </w:rPr>
            </w:pPr>
            <w:r>
              <w:rPr>
                <w:rFonts w:ascii="Times New Roman"/>
                <w:sz w:val="18"/>
                <w:szCs w:val="18"/>
              </w:rPr>
              <w:t>2</w:t>
            </w:r>
          </w:p>
        </w:tc>
        <w:tc>
          <w:tcPr>
            <w:tcW w:w="2599" w:type="pct"/>
            <w:tcBorders>
              <w:top w:val="single" w:color="auto" w:sz="4" w:space="0"/>
              <w:bottom w:val="single" w:color="auto" w:sz="4" w:space="0"/>
            </w:tcBorders>
            <w:vAlign w:val="center"/>
          </w:tcPr>
          <w:p w14:paraId="059F9AA2">
            <w:pPr>
              <w:pStyle w:val="50"/>
              <w:ind w:firstLine="0" w:firstLineChars="0"/>
              <w:jc w:val="center"/>
              <w:rPr>
                <w:rFonts w:ascii="Times New Roman"/>
                <w:sz w:val="18"/>
                <w:szCs w:val="18"/>
              </w:rPr>
            </w:pPr>
            <w:r>
              <w:rPr>
                <w:rFonts w:ascii="Times New Roman"/>
                <w:sz w:val="18"/>
                <w:szCs w:val="18"/>
              </w:rPr>
              <w:t>轻物质含量（按质量计）/%</w:t>
            </w:r>
          </w:p>
        </w:tc>
        <w:tc>
          <w:tcPr>
            <w:tcW w:w="722" w:type="pct"/>
            <w:tcBorders>
              <w:top w:val="single" w:color="auto" w:sz="4" w:space="0"/>
              <w:bottom w:val="single" w:color="auto" w:sz="4" w:space="0"/>
            </w:tcBorders>
            <w:vAlign w:val="center"/>
          </w:tcPr>
          <w:p w14:paraId="6C655A29">
            <w:pPr>
              <w:pStyle w:val="50"/>
              <w:ind w:firstLine="0" w:firstLineChars="0"/>
              <w:jc w:val="center"/>
              <w:rPr>
                <w:rFonts w:ascii="Times New Roman"/>
                <w:sz w:val="18"/>
                <w:szCs w:val="18"/>
              </w:rPr>
            </w:pPr>
            <w:r>
              <w:rPr>
                <w:rFonts w:ascii="Times New Roman"/>
                <w:sz w:val="18"/>
                <w:szCs w:val="18"/>
              </w:rPr>
              <w:t>≤1.0</w:t>
            </w:r>
          </w:p>
        </w:tc>
        <w:tc>
          <w:tcPr>
            <w:tcW w:w="1234" w:type="pct"/>
            <w:vMerge w:val="continue"/>
            <w:tcBorders>
              <w:right w:val="single" w:color="auto" w:sz="4" w:space="0"/>
            </w:tcBorders>
            <w:vAlign w:val="center"/>
          </w:tcPr>
          <w:p w14:paraId="75155950">
            <w:pPr>
              <w:spacing w:line="240" w:lineRule="auto"/>
              <w:jc w:val="center"/>
              <w:rPr>
                <w:rFonts w:ascii="Times New Roman" w:hAnsi="Times New Roman"/>
                <w:sz w:val="18"/>
                <w:szCs w:val="18"/>
              </w:rPr>
            </w:pPr>
          </w:p>
        </w:tc>
      </w:tr>
      <w:tr w14:paraId="2220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45" w:type="pct"/>
            <w:tcBorders>
              <w:top w:val="single" w:color="auto" w:sz="4" w:space="0"/>
              <w:left w:val="single" w:color="auto" w:sz="4" w:space="0"/>
              <w:bottom w:val="single" w:color="auto" w:sz="4" w:space="0"/>
            </w:tcBorders>
            <w:vAlign w:val="center"/>
          </w:tcPr>
          <w:p w14:paraId="4E94A8E4">
            <w:pPr>
              <w:pStyle w:val="50"/>
              <w:ind w:firstLine="0" w:firstLineChars="0"/>
              <w:jc w:val="center"/>
              <w:rPr>
                <w:rFonts w:ascii="Times New Roman"/>
                <w:sz w:val="18"/>
                <w:szCs w:val="18"/>
              </w:rPr>
            </w:pPr>
            <w:r>
              <w:rPr>
                <w:rFonts w:ascii="Times New Roman"/>
                <w:sz w:val="18"/>
                <w:szCs w:val="18"/>
              </w:rPr>
              <w:t>3</w:t>
            </w:r>
          </w:p>
        </w:tc>
        <w:tc>
          <w:tcPr>
            <w:tcW w:w="2599" w:type="pct"/>
            <w:tcBorders>
              <w:top w:val="single" w:color="auto" w:sz="4" w:space="0"/>
              <w:bottom w:val="single" w:color="auto" w:sz="4" w:space="0"/>
            </w:tcBorders>
            <w:vAlign w:val="center"/>
          </w:tcPr>
          <w:p w14:paraId="5E51B3C3">
            <w:pPr>
              <w:pStyle w:val="50"/>
              <w:ind w:firstLine="0" w:firstLineChars="0"/>
              <w:jc w:val="center"/>
              <w:rPr>
                <w:rFonts w:ascii="Times New Roman"/>
                <w:sz w:val="18"/>
                <w:szCs w:val="18"/>
              </w:rPr>
            </w:pPr>
            <w:r>
              <w:rPr>
                <w:rFonts w:ascii="Times New Roman"/>
                <w:sz w:val="18"/>
                <w:szCs w:val="18"/>
              </w:rPr>
              <w:t>有机物含量</w:t>
            </w:r>
          </w:p>
        </w:tc>
        <w:tc>
          <w:tcPr>
            <w:tcW w:w="722" w:type="pct"/>
            <w:tcBorders>
              <w:top w:val="single" w:color="auto" w:sz="4" w:space="0"/>
              <w:bottom w:val="single" w:color="auto" w:sz="4" w:space="0"/>
            </w:tcBorders>
            <w:vAlign w:val="center"/>
          </w:tcPr>
          <w:p w14:paraId="3CE85635">
            <w:pPr>
              <w:pStyle w:val="50"/>
              <w:ind w:firstLine="0" w:firstLineChars="0"/>
              <w:jc w:val="center"/>
              <w:rPr>
                <w:rFonts w:ascii="Times New Roman"/>
                <w:sz w:val="18"/>
                <w:szCs w:val="18"/>
              </w:rPr>
            </w:pPr>
            <w:r>
              <w:rPr>
                <w:rFonts w:ascii="Times New Roman"/>
                <w:sz w:val="18"/>
                <w:szCs w:val="18"/>
              </w:rPr>
              <w:t>颜色不应深于标准色</w:t>
            </w:r>
          </w:p>
        </w:tc>
        <w:tc>
          <w:tcPr>
            <w:tcW w:w="1234" w:type="pct"/>
            <w:vMerge w:val="continue"/>
            <w:tcBorders>
              <w:right w:val="single" w:color="auto" w:sz="4" w:space="0"/>
            </w:tcBorders>
            <w:vAlign w:val="center"/>
          </w:tcPr>
          <w:p w14:paraId="17BA89EB">
            <w:pPr>
              <w:spacing w:line="240" w:lineRule="auto"/>
              <w:jc w:val="center"/>
              <w:rPr>
                <w:rFonts w:ascii="Times New Roman" w:hAnsi="Times New Roman"/>
                <w:sz w:val="18"/>
                <w:szCs w:val="18"/>
              </w:rPr>
            </w:pPr>
          </w:p>
        </w:tc>
      </w:tr>
      <w:tr w14:paraId="728A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45" w:type="pct"/>
            <w:tcBorders>
              <w:top w:val="single" w:color="auto" w:sz="4" w:space="0"/>
              <w:left w:val="single" w:color="auto" w:sz="4" w:space="0"/>
              <w:bottom w:val="single" w:color="auto" w:sz="4" w:space="0"/>
            </w:tcBorders>
            <w:vAlign w:val="center"/>
          </w:tcPr>
          <w:p w14:paraId="3E0C25DE">
            <w:pPr>
              <w:pStyle w:val="50"/>
              <w:ind w:firstLine="0" w:firstLineChars="0"/>
              <w:jc w:val="center"/>
              <w:rPr>
                <w:rFonts w:ascii="Times New Roman"/>
                <w:sz w:val="18"/>
                <w:szCs w:val="18"/>
              </w:rPr>
            </w:pPr>
            <w:r>
              <w:rPr>
                <w:rFonts w:ascii="Times New Roman"/>
                <w:sz w:val="18"/>
                <w:szCs w:val="18"/>
              </w:rPr>
              <w:t>4</w:t>
            </w:r>
          </w:p>
        </w:tc>
        <w:tc>
          <w:tcPr>
            <w:tcW w:w="2599" w:type="pct"/>
            <w:tcBorders>
              <w:top w:val="single" w:color="auto" w:sz="4" w:space="0"/>
              <w:bottom w:val="single" w:color="auto" w:sz="4" w:space="0"/>
            </w:tcBorders>
            <w:vAlign w:val="center"/>
          </w:tcPr>
          <w:p w14:paraId="5B790A10">
            <w:pPr>
              <w:pStyle w:val="50"/>
              <w:ind w:firstLine="0" w:firstLineChars="0"/>
              <w:jc w:val="center"/>
              <w:rPr>
                <w:rFonts w:ascii="Times New Roman"/>
                <w:sz w:val="18"/>
                <w:szCs w:val="18"/>
              </w:rPr>
            </w:pPr>
            <w:r>
              <w:rPr>
                <w:rFonts w:ascii="Times New Roman"/>
                <w:sz w:val="18"/>
                <w:szCs w:val="18"/>
              </w:rPr>
              <w:t>硫化物及硫酸盐含量（折算成SO</w:t>
            </w:r>
            <w:r>
              <w:rPr>
                <w:rFonts w:ascii="Times New Roman"/>
                <w:sz w:val="18"/>
                <w:szCs w:val="18"/>
                <w:vertAlign w:val="subscript"/>
              </w:rPr>
              <w:t>3</w:t>
            </w:r>
            <w:r>
              <w:rPr>
                <w:rFonts w:ascii="Times New Roman"/>
                <w:sz w:val="18"/>
                <w:szCs w:val="18"/>
              </w:rPr>
              <w:t>按质量计）/%</w:t>
            </w:r>
          </w:p>
        </w:tc>
        <w:tc>
          <w:tcPr>
            <w:tcW w:w="722" w:type="pct"/>
            <w:tcBorders>
              <w:top w:val="single" w:color="auto" w:sz="4" w:space="0"/>
              <w:bottom w:val="single" w:color="auto" w:sz="4" w:space="0"/>
            </w:tcBorders>
            <w:vAlign w:val="center"/>
          </w:tcPr>
          <w:p w14:paraId="3176ED1F">
            <w:pPr>
              <w:pStyle w:val="50"/>
              <w:ind w:firstLine="0" w:firstLineChars="0"/>
              <w:jc w:val="center"/>
              <w:rPr>
                <w:rFonts w:ascii="Times New Roman"/>
                <w:sz w:val="18"/>
                <w:szCs w:val="18"/>
              </w:rPr>
            </w:pPr>
            <w:r>
              <w:rPr>
                <w:rFonts w:ascii="Times New Roman"/>
                <w:sz w:val="18"/>
                <w:szCs w:val="18"/>
              </w:rPr>
              <w:t>≤1.0</w:t>
            </w:r>
          </w:p>
        </w:tc>
        <w:tc>
          <w:tcPr>
            <w:tcW w:w="1234" w:type="pct"/>
            <w:vMerge w:val="continue"/>
            <w:tcBorders>
              <w:right w:val="single" w:color="auto" w:sz="4" w:space="0"/>
            </w:tcBorders>
            <w:vAlign w:val="center"/>
          </w:tcPr>
          <w:p w14:paraId="43CDEC51">
            <w:pPr>
              <w:spacing w:line="240" w:lineRule="auto"/>
              <w:jc w:val="center"/>
              <w:rPr>
                <w:rFonts w:ascii="Times New Roman" w:hAnsi="Times New Roman"/>
                <w:sz w:val="18"/>
                <w:szCs w:val="18"/>
              </w:rPr>
            </w:pPr>
          </w:p>
        </w:tc>
      </w:tr>
      <w:tr w14:paraId="4EF18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45" w:type="pct"/>
            <w:tcBorders>
              <w:top w:val="single" w:color="auto" w:sz="4" w:space="0"/>
              <w:left w:val="single" w:color="auto" w:sz="4" w:space="0"/>
              <w:bottom w:val="single" w:color="auto" w:sz="4" w:space="0"/>
            </w:tcBorders>
            <w:vAlign w:val="center"/>
          </w:tcPr>
          <w:p w14:paraId="68729899">
            <w:pPr>
              <w:pStyle w:val="50"/>
              <w:ind w:firstLine="0" w:firstLineChars="0"/>
              <w:jc w:val="center"/>
              <w:rPr>
                <w:rFonts w:ascii="Times New Roman"/>
                <w:sz w:val="18"/>
                <w:szCs w:val="18"/>
              </w:rPr>
            </w:pPr>
            <w:r>
              <w:rPr>
                <w:rFonts w:ascii="Times New Roman"/>
                <w:sz w:val="18"/>
                <w:szCs w:val="18"/>
              </w:rPr>
              <w:t>5</w:t>
            </w:r>
          </w:p>
        </w:tc>
        <w:tc>
          <w:tcPr>
            <w:tcW w:w="2599" w:type="pct"/>
            <w:tcBorders>
              <w:top w:val="single" w:color="auto" w:sz="4" w:space="0"/>
              <w:bottom w:val="single" w:color="auto" w:sz="4" w:space="0"/>
            </w:tcBorders>
            <w:vAlign w:val="center"/>
          </w:tcPr>
          <w:p w14:paraId="7EC6454B">
            <w:pPr>
              <w:pStyle w:val="50"/>
              <w:ind w:firstLine="0" w:firstLineChars="0"/>
              <w:jc w:val="center"/>
              <w:rPr>
                <w:rFonts w:ascii="Times New Roman"/>
                <w:sz w:val="18"/>
                <w:szCs w:val="18"/>
              </w:rPr>
            </w:pPr>
            <w:r>
              <w:rPr>
                <w:rFonts w:ascii="Times New Roman"/>
                <w:sz w:val="18"/>
                <w:szCs w:val="18"/>
              </w:rPr>
              <w:t>氯化物（以氯离子质量计）/%</w:t>
            </w:r>
          </w:p>
        </w:tc>
        <w:tc>
          <w:tcPr>
            <w:tcW w:w="722" w:type="pct"/>
            <w:tcBorders>
              <w:top w:val="single" w:color="auto" w:sz="4" w:space="0"/>
              <w:bottom w:val="single" w:color="auto" w:sz="4" w:space="0"/>
            </w:tcBorders>
            <w:vAlign w:val="center"/>
          </w:tcPr>
          <w:p w14:paraId="6B0B7D71">
            <w:pPr>
              <w:pStyle w:val="50"/>
              <w:ind w:firstLine="0" w:firstLineChars="0"/>
              <w:jc w:val="center"/>
              <w:rPr>
                <w:rFonts w:ascii="Times New Roman"/>
                <w:sz w:val="18"/>
                <w:szCs w:val="18"/>
              </w:rPr>
            </w:pPr>
            <w:r>
              <w:rPr>
                <w:rFonts w:ascii="Times New Roman"/>
                <w:sz w:val="18"/>
                <w:szCs w:val="18"/>
              </w:rPr>
              <w:t>≤0.02</w:t>
            </w:r>
          </w:p>
        </w:tc>
        <w:tc>
          <w:tcPr>
            <w:tcW w:w="1234" w:type="pct"/>
            <w:vMerge w:val="continue"/>
            <w:tcBorders>
              <w:bottom w:val="single" w:color="auto" w:sz="4" w:space="0"/>
              <w:right w:val="single" w:color="auto" w:sz="4" w:space="0"/>
            </w:tcBorders>
            <w:vAlign w:val="center"/>
          </w:tcPr>
          <w:p w14:paraId="455F23D5">
            <w:pPr>
              <w:spacing w:line="240" w:lineRule="auto"/>
              <w:jc w:val="center"/>
              <w:rPr>
                <w:rFonts w:ascii="Times New Roman" w:hAnsi="Times New Roman"/>
                <w:sz w:val="18"/>
                <w:szCs w:val="18"/>
              </w:rPr>
            </w:pPr>
          </w:p>
        </w:tc>
      </w:tr>
    </w:tbl>
    <w:p w14:paraId="7D2BD492">
      <w:pPr>
        <w:rPr>
          <w:rFonts w:ascii="Times New Roman" w:hAnsi="Times New Roman"/>
        </w:rPr>
      </w:pPr>
      <w:bookmarkStart w:id="194" w:name="_Toc204018302"/>
      <w:bookmarkStart w:id="195" w:name="_Toc205222440"/>
    </w:p>
    <w:p w14:paraId="7244C54F">
      <w:pPr>
        <w:pStyle w:val="49"/>
        <w:rPr>
          <w:rFonts w:ascii="Times New Roman" w:hAnsi="Times New Roman"/>
        </w:rPr>
      </w:pPr>
      <w:bookmarkStart w:id="196" w:name="_Toc205482075"/>
      <w:r>
        <w:rPr>
          <w:rFonts w:ascii="Times New Roman" w:hAnsi="Times New Roman"/>
        </w:rPr>
        <w:t>细骨料为铁尾矿砂、铁矿废石机制砂及再生细骨料时，pH 值宜大于或等于7.0且小于12.5；细骨料 pH 值测定方法应符合GB/T 15555.12的规定；当细骨料为再生细骨料时，还应符合</w:t>
      </w:r>
      <w:bookmarkEnd w:id="194"/>
      <w:bookmarkStart w:id="197" w:name="_Toc204018303"/>
      <w:r>
        <w:rPr>
          <w:rFonts w:ascii="Times New Roman" w:hAnsi="Times New Roman"/>
        </w:rPr>
        <w:t>GB/T 25176。</w:t>
      </w:r>
      <w:bookmarkEnd w:id="195"/>
      <w:bookmarkEnd w:id="196"/>
    </w:p>
    <w:bookmarkEnd w:id="197"/>
    <w:p w14:paraId="1735ADC6">
      <w:pPr>
        <w:pStyle w:val="49"/>
        <w:rPr>
          <w:rFonts w:ascii="Times New Roman" w:hAnsi="Times New Roman"/>
        </w:rPr>
      </w:pPr>
      <w:bookmarkStart w:id="198" w:name="_Toc205482076"/>
      <w:bookmarkStart w:id="199" w:name="_Toc205222441"/>
      <w:bookmarkStart w:id="200" w:name="_Toc204018304"/>
      <w:bookmarkStart w:id="201" w:name="_Toc28410"/>
      <w:bookmarkStart w:id="202" w:name="_Toc12688"/>
      <w:r>
        <w:rPr>
          <w:rFonts w:ascii="Times New Roman" w:hAnsi="Times New Roman"/>
        </w:rPr>
        <w:t>粗骨料包括碎石、卵石、铁矿废石及再生粗骨料。</w:t>
      </w:r>
      <w:bookmarkEnd w:id="198"/>
      <w:bookmarkEnd w:id="199"/>
      <w:bookmarkEnd w:id="200"/>
    </w:p>
    <w:bookmarkEnd w:id="201"/>
    <w:bookmarkEnd w:id="202"/>
    <w:p w14:paraId="3135E05E">
      <w:pPr>
        <w:pStyle w:val="49"/>
        <w:rPr>
          <w:rFonts w:ascii="Times New Roman" w:hAnsi="Times New Roman"/>
        </w:rPr>
      </w:pPr>
      <w:bookmarkStart w:id="203" w:name="_Toc28291"/>
      <w:bookmarkStart w:id="204" w:name="_Toc205482077"/>
      <w:bookmarkStart w:id="205" w:name="_Toc25957"/>
      <w:bookmarkStart w:id="206" w:name="_Toc204018306"/>
      <w:bookmarkStart w:id="207" w:name="_Toc205222442"/>
      <w:r>
        <w:rPr>
          <w:rFonts w:ascii="Times New Roman" w:hAnsi="Times New Roman"/>
        </w:rPr>
        <w:t>粗骨料技术要求及试验方法应符合表4的规定。</w:t>
      </w:r>
      <w:bookmarkEnd w:id="203"/>
      <w:bookmarkEnd w:id="204"/>
      <w:bookmarkEnd w:id="205"/>
      <w:bookmarkEnd w:id="206"/>
      <w:bookmarkEnd w:id="207"/>
    </w:p>
    <w:p w14:paraId="0269297D">
      <w:pPr>
        <w:pStyle w:val="136"/>
        <w:rPr>
          <w:rFonts w:ascii="Times New Roman"/>
        </w:rPr>
      </w:pPr>
      <w:r>
        <w:rPr>
          <w:rFonts w:ascii="Times New Roman"/>
        </w:rPr>
        <w:t>粗骨料技术指标及试验方法</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448"/>
        <w:gridCol w:w="4973"/>
        <w:gridCol w:w="1446"/>
      </w:tblGrid>
      <w:tr w14:paraId="700F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68" w:type="pct"/>
            <w:tcBorders>
              <w:top w:val="single" w:color="auto" w:sz="4" w:space="0"/>
              <w:left w:val="single" w:color="auto" w:sz="4" w:space="0"/>
              <w:bottom w:val="single" w:color="auto" w:sz="4" w:space="0"/>
            </w:tcBorders>
            <w:vAlign w:val="center"/>
          </w:tcPr>
          <w:p w14:paraId="14000B10">
            <w:pPr>
              <w:pStyle w:val="50"/>
              <w:ind w:firstLine="0" w:firstLineChars="0"/>
              <w:jc w:val="center"/>
              <w:rPr>
                <w:rFonts w:ascii="Times New Roman"/>
                <w:sz w:val="18"/>
                <w:szCs w:val="18"/>
              </w:rPr>
            </w:pPr>
            <w:r>
              <w:rPr>
                <w:rFonts w:ascii="Times New Roman"/>
                <w:sz w:val="18"/>
                <w:szCs w:val="18"/>
              </w:rPr>
              <w:t>序号</w:t>
            </w:r>
          </w:p>
        </w:tc>
        <w:tc>
          <w:tcPr>
            <w:tcW w:w="1279" w:type="pct"/>
            <w:tcBorders>
              <w:top w:val="single" w:color="auto" w:sz="4" w:space="0"/>
              <w:bottom w:val="single" w:color="auto" w:sz="4" w:space="0"/>
            </w:tcBorders>
            <w:vAlign w:val="center"/>
          </w:tcPr>
          <w:p w14:paraId="0B87EABA">
            <w:pPr>
              <w:pStyle w:val="50"/>
              <w:ind w:firstLine="0" w:firstLineChars="0"/>
              <w:jc w:val="center"/>
              <w:rPr>
                <w:rFonts w:ascii="Times New Roman"/>
                <w:sz w:val="18"/>
                <w:szCs w:val="18"/>
              </w:rPr>
            </w:pPr>
            <w:r>
              <w:rPr>
                <w:rFonts w:ascii="Times New Roman"/>
                <w:sz w:val="18"/>
                <w:szCs w:val="18"/>
              </w:rPr>
              <w:t>项目</w:t>
            </w:r>
          </w:p>
        </w:tc>
        <w:tc>
          <w:tcPr>
            <w:tcW w:w="2598" w:type="pct"/>
            <w:tcBorders>
              <w:top w:val="single" w:color="auto" w:sz="4" w:space="0"/>
              <w:bottom w:val="single" w:color="auto" w:sz="4" w:space="0"/>
            </w:tcBorders>
            <w:vAlign w:val="center"/>
          </w:tcPr>
          <w:p w14:paraId="1A7D12B6">
            <w:pPr>
              <w:pStyle w:val="50"/>
              <w:ind w:firstLine="0" w:firstLineChars="0"/>
              <w:jc w:val="center"/>
              <w:rPr>
                <w:rFonts w:ascii="Times New Roman"/>
                <w:sz w:val="18"/>
                <w:szCs w:val="18"/>
              </w:rPr>
            </w:pPr>
            <w:r>
              <w:rPr>
                <w:rFonts w:ascii="Times New Roman"/>
                <w:sz w:val="18"/>
                <w:szCs w:val="18"/>
              </w:rPr>
              <w:t>指标要求</w:t>
            </w:r>
          </w:p>
        </w:tc>
        <w:tc>
          <w:tcPr>
            <w:tcW w:w="755" w:type="pct"/>
            <w:tcBorders>
              <w:top w:val="single" w:color="auto" w:sz="4" w:space="0"/>
              <w:bottom w:val="single" w:color="auto" w:sz="4" w:space="0"/>
              <w:right w:val="single" w:color="auto" w:sz="4" w:space="0"/>
            </w:tcBorders>
            <w:vAlign w:val="center"/>
          </w:tcPr>
          <w:p w14:paraId="2FB511BD">
            <w:pPr>
              <w:pStyle w:val="50"/>
              <w:ind w:firstLine="0" w:firstLineChars="0"/>
              <w:jc w:val="center"/>
              <w:rPr>
                <w:rFonts w:ascii="Times New Roman"/>
                <w:sz w:val="18"/>
                <w:szCs w:val="18"/>
              </w:rPr>
            </w:pPr>
            <w:r>
              <w:rPr>
                <w:rFonts w:ascii="Times New Roman"/>
                <w:sz w:val="18"/>
                <w:szCs w:val="18"/>
              </w:rPr>
              <w:t>试验方法</w:t>
            </w:r>
          </w:p>
        </w:tc>
      </w:tr>
      <w:tr w14:paraId="76DF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68" w:type="pct"/>
            <w:tcBorders>
              <w:left w:val="single" w:color="auto" w:sz="4" w:space="0"/>
            </w:tcBorders>
            <w:vAlign w:val="center"/>
          </w:tcPr>
          <w:p w14:paraId="3771C65B">
            <w:pPr>
              <w:pStyle w:val="50"/>
              <w:ind w:firstLine="0" w:firstLineChars="0"/>
              <w:jc w:val="center"/>
              <w:rPr>
                <w:rFonts w:ascii="Times New Roman"/>
                <w:sz w:val="18"/>
                <w:szCs w:val="18"/>
              </w:rPr>
            </w:pPr>
            <w:r>
              <w:rPr>
                <w:rFonts w:ascii="Times New Roman"/>
                <w:sz w:val="18"/>
                <w:szCs w:val="18"/>
              </w:rPr>
              <w:t>1</w:t>
            </w:r>
          </w:p>
        </w:tc>
        <w:tc>
          <w:tcPr>
            <w:tcW w:w="1279" w:type="pct"/>
            <w:vAlign w:val="center"/>
          </w:tcPr>
          <w:p w14:paraId="5E5B4812">
            <w:pPr>
              <w:pStyle w:val="50"/>
              <w:ind w:firstLine="0" w:firstLineChars="0"/>
              <w:jc w:val="center"/>
              <w:rPr>
                <w:rFonts w:ascii="Times New Roman"/>
                <w:sz w:val="18"/>
                <w:szCs w:val="18"/>
              </w:rPr>
            </w:pPr>
            <w:r>
              <w:rPr>
                <w:rFonts w:ascii="Times New Roman"/>
                <w:sz w:val="18"/>
                <w:szCs w:val="18"/>
              </w:rPr>
              <w:t>泥块含量（按质量计）/%</w:t>
            </w:r>
          </w:p>
        </w:tc>
        <w:tc>
          <w:tcPr>
            <w:tcW w:w="2598" w:type="pct"/>
            <w:vAlign w:val="center"/>
          </w:tcPr>
          <w:p w14:paraId="6D6A2D09">
            <w:pPr>
              <w:pStyle w:val="50"/>
              <w:ind w:firstLine="0" w:firstLineChars="0"/>
              <w:jc w:val="center"/>
              <w:rPr>
                <w:rFonts w:ascii="Times New Roman"/>
                <w:sz w:val="18"/>
                <w:szCs w:val="18"/>
              </w:rPr>
            </w:pPr>
            <w:r>
              <w:rPr>
                <w:rFonts w:ascii="Times New Roman"/>
                <w:sz w:val="18"/>
                <w:szCs w:val="18"/>
              </w:rPr>
              <w:t>≤0.5</w:t>
            </w:r>
          </w:p>
        </w:tc>
        <w:tc>
          <w:tcPr>
            <w:tcW w:w="755" w:type="pct"/>
            <w:vMerge w:val="restart"/>
            <w:tcBorders>
              <w:right w:val="single" w:color="auto" w:sz="4" w:space="0"/>
            </w:tcBorders>
            <w:vAlign w:val="center"/>
          </w:tcPr>
          <w:p w14:paraId="0DAE68E8">
            <w:pPr>
              <w:pStyle w:val="50"/>
              <w:ind w:firstLine="0" w:firstLineChars="0"/>
              <w:jc w:val="center"/>
              <w:rPr>
                <w:rFonts w:ascii="Times New Roman"/>
                <w:sz w:val="18"/>
                <w:szCs w:val="18"/>
              </w:rPr>
            </w:pPr>
            <w:r>
              <w:rPr>
                <w:rFonts w:ascii="Times New Roman"/>
                <w:sz w:val="18"/>
                <w:szCs w:val="18"/>
              </w:rPr>
              <w:t>JGJ 52</w:t>
            </w:r>
          </w:p>
        </w:tc>
      </w:tr>
      <w:tr w14:paraId="7F75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68" w:type="pct"/>
            <w:tcBorders>
              <w:left w:val="single" w:color="auto" w:sz="4" w:space="0"/>
            </w:tcBorders>
            <w:vAlign w:val="center"/>
          </w:tcPr>
          <w:p w14:paraId="6C755197">
            <w:pPr>
              <w:pStyle w:val="50"/>
              <w:ind w:firstLine="0" w:firstLineChars="0"/>
              <w:jc w:val="center"/>
              <w:rPr>
                <w:rFonts w:ascii="Times New Roman"/>
                <w:sz w:val="18"/>
                <w:szCs w:val="18"/>
              </w:rPr>
            </w:pPr>
            <w:r>
              <w:rPr>
                <w:rFonts w:ascii="Times New Roman"/>
                <w:sz w:val="18"/>
                <w:szCs w:val="18"/>
              </w:rPr>
              <w:t>2</w:t>
            </w:r>
          </w:p>
        </w:tc>
        <w:tc>
          <w:tcPr>
            <w:tcW w:w="1279" w:type="pct"/>
            <w:vAlign w:val="center"/>
          </w:tcPr>
          <w:p w14:paraId="4E66E714">
            <w:pPr>
              <w:pStyle w:val="50"/>
              <w:ind w:firstLine="0" w:firstLineChars="0"/>
              <w:jc w:val="center"/>
              <w:rPr>
                <w:rFonts w:ascii="Times New Roman"/>
                <w:sz w:val="18"/>
                <w:szCs w:val="18"/>
              </w:rPr>
            </w:pPr>
            <w:r>
              <w:rPr>
                <w:rFonts w:ascii="Times New Roman"/>
                <w:sz w:val="18"/>
                <w:szCs w:val="18"/>
              </w:rPr>
              <w:t>针、片状颗粒含量/%</w:t>
            </w:r>
          </w:p>
        </w:tc>
        <w:tc>
          <w:tcPr>
            <w:tcW w:w="2598" w:type="pct"/>
            <w:vAlign w:val="center"/>
          </w:tcPr>
          <w:p w14:paraId="058F09DF">
            <w:pPr>
              <w:pStyle w:val="50"/>
              <w:ind w:firstLine="0" w:firstLineChars="0"/>
              <w:jc w:val="center"/>
              <w:rPr>
                <w:rFonts w:ascii="Times New Roman"/>
                <w:sz w:val="18"/>
                <w:szCs w:val="18"/>
              </w:rPr>
            </w:pPr>
            <w:r>
              <w:rPr>
                <w:rFonts w:ascii="Times New Roman"/>
                <w:sz w:val="18"/>
                <w:szCs w:val="18"/>
              </w:rPr>
              <w:t>≤15</w:t>
            </w:r>
          </w:p>
        </w:tc>
        <w:tc>
          <w:tcPr>
            <w:tcW w:w="755" w:type="pct"/>
            <w:vMerge w:val="continue"/>
            <w:tcBorders>
              <w:right w:val="single" w:color="auto" w:sz="4" w:space="0"/>
            </w:tcBorders>
            <w:vAlign w:val="center"/>
          </w:tcPr>
          <w:p w14:paraId="7EE66811">
            <w:pPr>
              <w:pStyle w:val="50"/>
              <w:ind w:firstLine="0" w:firstLineChars="0"/>
              <w:jc w:val="center"/>
              <w:rPr>
                <w:rFonts w:ascii="Times New Roman"/>
                <w:sz w:val="18"/>
                <w:szCs w:val="18"/>
              </w:rPr>
            </w:pPr>
          </w:p>
        </w:tc>
      </w:tr>
      <w:tr w14:paraId="0D7D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68" w:type="pct"/>
            <w:tcBorders>
              <w:left w:val="single" w:color="auto" w:sz="4" w:space="0"/>
            </w:tcBorders>
            <w:vAlign w:val="center"/>
          </w:tcPr>
          <w:p w14:paraId="50B35119">
            <w:pPr>
              <w:pStyle w:val="50"/>
              <w:ind w:firstLine="0" w:firstLineChars="0"/>
              <w:jc w:val="center"/>
              <w:rPr>
                <w:rFonts w:ascii="Times New Roman"/>
                <w:sz w:val="18"/>
                <w:szCs w:val="18"/>
              </w:rPr>
            </w:pPr>
            <w:r>
              <w:rPr>
                <w:rFonts w:ascii="Times New Roman"/>
                <w:sz w:val="18"/>
                <w:szCs w:val="18"/>
              </w:rPr>
              <w:t>3</w:t>
            </w:r>
          </w:p>
        </w:tc>
        <w:tc>
          <w:tcPr>
            <w:tcW w:w="1279" w:type="pct"/>
            <w:vAlign w:val="center"/>
          </w:tcPr>
          <w:p w14:paraId="397A2A27">
            <w:pPr>
              <w:pStyle w:val="50"/>
              <w:ind w:firstLine="0" w:firstLineChars="0"/>
              <w:jc w:val="center"/>
              <w:rPr>
                <w:rFonts w:ascii="Times New Roman"/>
                <w:sz w:val="18"/>
                <w:szCs w:val="18"/>
              </w:rPr>
            </w:pPr>
            <w:r>
              <w:rPr>
                <w:rFonts w:ascii="Times New Roman"/>
                <w:sz w:val="18"/>
                <w:szCs w:val="18"/>
              </w:rPr>
              <w:t>坚固性（质量损失）/%</w:t>
            </w:r>
          </w:p>
        </w:tc>
        <w:tc>
          <w:tcPr>
            <w:tcW w:w="2598" w:type="pct"/>
            <w:vAlign w:val="center"/>
          </w:tcPr>
          <w:p w14:paraId="73A2A39E">
            <w:pPr>
              <w:pStyle w:val="50"/>
              <w:ind w:firstLine="0" w:firstLineChars="0"/>
              <w:jc w:val="center"/>
              <w:rPr>
                <w:rFonts w:ascii="Times New Roman"/>
                <w:sz w:val="18"/>
                <w:szCs w:val="18"/>
              </w:rPr>
            </w:pPr>
            <w:r>
              <w:rPr>
                <w:rFonts w:ascii="Times New Roman"/>
                <w:sz w:val="18"/>
                <w:szCs w:val="18"/>
              </w:rPr>
              <w:t>≤8</w:t>
            </w:r>
          </w:p>
        </w:tc>
        <w:tc>
          <w:tcPr>
            <w:tcW w:w="755" w:type="pct"/>
            <w:vMerge w:val="continue"/>
            <w:tcBorders>
              <w:right w:val="single" w:color="auto" w:sz="4" w:space="0"/>
            </w:tcBorders>
            <w:vAlign w:val="center"/>
          </w:tcPr>
          <w:p w14:paraId="066F1E40">
            <w:pPr>
              <w:pStyle w:val="50"/>
              <w:ind w:firstLine="0" w:firstLineChars="0"/>
              <w:jc w:val="center"/>
              <w:rPr>
                <w:rFonts w:ascii="Times New Roman"/>
                <w:sz w:val="18"/>
                <w:szCs w:val="18"/>
              </w:rPr>
            </w:pPr>
          </w:p>
        </w:tc>
      </w:tr>
      <w:tr w14:paraId="7576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68" w:type="pct"/>
            <w:tcBorders>
              <w:left w:val="single" w:color="auto" w:sz="4" w:space="0"/>
            </w:tcBorders>
            <w:vAlign w:val="center"/>
          </w:tcPr>
          <w:p w14:paraId="22F3689A">
            <w:pPr>
              <w:pStyle w:val="50"/>
              <w:ind w:firstLine="0" w:firstLineChars="0"/>
              <w:jc w:val="center"/>
              <w:rPr>
                <w:rFonts w:ascii="Times New Roman"/>
                <w:sz w:val="18"/>
                <w:szCs w:val="18"/>
              </w:rPr>
            </w:pPr>
            <w:r>
              <w:rPr>
                <w:rFonts w:ascii="Times New Roman"/>
                <w:sz w:val="18"/>
                <w:szCs w:val="18"/>
              </w:rPr>
              <w:t>4</w:t>
            </w:r>
          </w:p>
        </w:tc>
        <w:tc>
          <w:tcPr>
            <w:tcW w:w="1279" w:type="pct"/>
            <w:vAlign w:val="center"/>
          </w:tcPr>
          <w:p w14:paraId="501D07A8">
            <w:pPr>
              <w:pStyle w:val="50"/>
              <w:ind w:firstLine="0" w:firstLineChars="0"/>
              <w:jc w:val="center"/>
              <w:rPr>
                <w:rFonts w:ascii="Times New Roman"/>
                <w:sz w:val="18"/>
                <w:szCs w:val="18"/>
              </w:rPr>
            </w:pPr>
            <w:r>
              <w:rPr>
                <w:rFonts w:ascii="Times New Roman"/>
                <w:sz w:val="18"/>
                <w:szCs w:val="18"/>
              </w:rPr>
              <w:t>压碎指标/%</w:t>
            </w:r>
          </w:p>
        </w:tc>
        <w:tc>
          <w:tcPr>
            <w:tcW w:w="2598" w:type="pct"/>
            <w:vAlign w:val="center"/>
          </w:tcPr>
          <w:p w14:paraId="033AA9E6">
            <w:pPr>
              <w:pStyle w:val="50"/>
              <w:ind w:firstLine="0" w:firstLineChars="0"/>
              <w:jc w:val="center"/>
              <w:rPr>
                <w:rFonts w:ascii="Times New Roman"/>
                <w:sz w:val="18"/>
                <w:szCs w:val="18"/>
              </w:rPr>
            </w:pPr>
            <w:r>
              <w:rPr>
                <w:rFonts w:ascii="Times New Roman"/>
                <w:sz w:val="18"/>
                <w:szCs w:val="18"/>
              </w:rPr>
              <w:t>≤12</w:t>
            </w:r>
          </w:p>
        </w:tc>
        <w:tc>
          <w:tcPr>
            <w:tcW w:w="755" w:type="pct"/>
            <w:vMerge w:val="continue"/>
            <w:tcBorders>
              <w:right w:val="single" w:color="auto" w:sz="4" w:space="0"/>
            </w:tcBorders>
            <w:vAlign w:val="center"/>
          </w:tcPr>
          <w:p w14:paraId="6B139C95">
            <w:pPr>
              <w:pStyle w:val="50"/>
              <w:ind w:firstLine="0" w:firstLineChars="0"/>
              <w:jc w:val="center"/>
              <w:rPr>
                <w:rFonts w:ascii="Times New Roman"/>
                <w:sz w:val="18"/>
                <w:szCs w:val="18"/>
              </w:rPr>
            </w:pPr>
          </w:p>
        </w:tc>
      </w:tr>
      <w:tr w14:paraId="1AF33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68" w:type="pct"/>
            <w:tcBorders>
              <w:left w:val="single" w:color="auto" w:sz="4" w:space="0"/>
            </w:tcBorders>
            <w:vAlign w:val="center"/>
          </w:tcPr>
          <w:p w14:paraId="39FA8306">
            <w:pPr>
              <w:pStyle w:val="50"/>
              <w:ind w:firstLine="0" w:firstLineChars="0"/>
              <w:jc w:val="center"/>
              <w:rPr>
                <w:rFonts w:ascii="Times New Roman"/>
                <w:sz w:val="18"/>
                <w:szCs w:val="18"/>
              </w:rPr>
            </w:pPr>
            <w:r>
              <w:rPr>
                <w:rFonts w:ascii="Times New Roman"/>
                <w:sz w:val="18"/>
                <w:szCs w:val="18"/>
              </w:rPr>
              <w:t>5</w:t>
            </w:r>
          </w:p>
        </w:tc>
        <w:tc>
          <w:tcPr>
            <w:tcW w:w="1279" w:type="pct"/>
            <w:vAlign w:val="center"/>
          </w:tcPr>
          <w:p w14:paraId="3BB0E8D4">
            <w:pPr>
              <w:pStyle w:val="50"/>
              <w:ind w:firstLine="0" w:firstLineChars="0"/>
              <w:jc w:val="center"/>
              <w:rPr>
                <w:rFonts w:ascii="Times New Roman"/>
                <w:sz w:val="18"/>
                <w:szCs w:val="18"/>
              </w:rPr>
            </w:pPr>
            <w:r>
              <w:rPr>
                <w:rFonts w:ascii="Times New Roman"/>
                <w:sz w:val="18"/>
                <w:szCs w:val="18"/>
              </w:rPr>
              <w:t>表观密度/(kg/m</w:t>
            </w:r>
            <w:r>
              <w:rPr>
                <w:rFonts w:ascii="Times New Roman"/>
                <w:sz w:val="18"/>
                <w:szCs w:val="18"/>
                <w:vertAlign w:val="superscript"/>
              </w:rPr>
              <w:t>3</w:t>
            </w:r>
            <w:r>
              <w:rPr>
                <w:rFonts w:ascii="Times New Roman"/>
                <w:sz w:val="18"/>
                <w:szCs w:val="18"/>
              </w:rPr>
              <w:t>)</w:t>
            </w:r>
          </w:p>
        </w:tc>
        <w:tc>
          <w:tcPr>
            <w:tcW w:w="2598" w:type="pct"/>
            <w:vAlign w:val="center"/>
          </w:tcPr>
          <w:p w14:paraId="08A2B909">
            <w:pPr>
              <w:pStyle w:val="50"/>
              <w:ind w:firstLine="0" w:firstLineChars="0"/>
              <w:jc w:val="center"/>
              <w:rPr>
                <w:rFonts w:ascii="Times New Roman"/>
                <w:sz w:val="18"/>
                <w:szCs w:val="18"/>
              </w:rPr>
            </w:pPr>
            <w:r>
              <w:rPr>
                <w:rFonts w:ascii="Times New Roman"/>
                <w:sz w:val="18"/>
                <w:szCs w:val="18"/>
              </w:rPr>
              <w:t>≥2600</w:t>
            </w:r>
          </w:p>
        </w:tc>
        <w:tc>
          <w:tcPr>
            <w:tcW w:w="755" w:type="pct"/>
            <w:vMerge w:val="continue"/>
            <w:tcBorders>
              <w:right w:val="single" w:color="auto" w:sz="4" w:space="0"/>
            </w:tcBorders>
            <w:vAlign w:val="center"/>
          </w:tcPr>
          <w:p w14:paraId="46E16F37">
            <w:pPr>
              <w:pStyle w:val="50"/>
              <w:ind w:firstLine="0" w:firstLineChars="0"/>
              <w:jc w:val="center"/>
              <w:rPr>
                <w:rFonts w:ascii="Times New Roman"/>
                <w:sz w:val="18"/>
                <w:szCs w:val="18"/>
              </w:rPr>
            </w:pPr>
          </w:p>
        </w:tc>
      </w:tr>
      <w:tr w14:paraId="65F4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68" w:type="pct"/>
            <w:tcBorders>
              <w:left w:val="single" w:color="auto" w:sz="4" w:space="0"/>
            </w:tcBorders>
            <w:vAlign w:val="center"/>
          </w:tcPr>
          <w:p w14:paraId="5377A173">
            <w:pPr>
              <w:pStyle w:val="50"/>
              <w:ind w:firstLine="0" w:firstLineChars="0"/>
              <w:jc w:val="center"/>
              <w:rPr>
                <w:rFonts w:ascii="Times New Roman"/>
                <w:sz w:val="18"/>
                <w:szCs w:val="18"/>
              </w:rPr>
            </w:pPr>
            <w:r>
              <w:rPr>
                <w:rFonts w:ascii="Times New Roman"/>
                <w:sz w:val="18"/>
                <w:szCs w:val="18"/>
              </w:rPr>
              <w:t>6</w:t>
            </w:r>
          </w:p>
        </w:tc>
        <w:tc>
          <w:tcPr>
            <w:tcW w:w="1279" w:type="pct"/>
            <w:vAlign w:val="center"/>
          </w:tcPr>
          <w:p w14:paraId="3403877F">
            <w:pPr>
              <w:pStyle w:val="50"/>
              <w:ind w:firstLine="0" w:firstLineChars="0"/>
              <w:jc w:val="center"/>
              <w:rPr>
                <w:rFonts w:ascii="Times New Roman"/>
                <w:sz w:val="18"/>
                <w:szCs w:val="18"/>
              </w:rPr>
            </w:pPr>
            <w:r>
              <w:rPr>
                <w:rFonts w:ascii="Times New Roman"/>
                <w:sz w:val="18"/>
                <w:szCs w:val="18"/>
              </w:rPr>
              <w:t>连续级配松散堆积空隙率/%</w:t>
            </w:r>
          </w:p>
        </w:tc>
        <w:tc>
          <w:tcPr>
            <w:tcW w:w="2598" w:type="pct"/>
            <w:vAlign w:val="center"/>
          </w:tcPr>
          <w:p w14:paraId="33715612">
            <w:pPr>
              <w:pStyle w:val="50"/>
              <w:ind w:firstLine="0" w:firstLineChars="0"/>
              <w:jc w:val="center"/>
              <w:rPr>
                <w:rFonts w:ascii="Times New Roman"/>
                <w:sz w:val="18"/>
                <w:szCs w:val="18"/>
              </w:rPr>
            </w:pPr>
            <w:r>
              <w:rPr>
                <w:rFonts w:ascii="Times New Roman"/>
                <w:sz w:val="18"/>
                <w:szCs w:val="18"/>
              </w:rPr>
              <w:sym w:font="Symbol" w:char="00A3"/>
            </w:r>
            <w:r>
              <w:rPr>
                <w:rFonts w:ascii="Times New Roman"/>
                <w:sz w:val="18"/>
                <w:szCs w:val="18"/>
              </w:rPr>
              <w:t>43</w:t>
            </w:r>
          </w:p>
        </w:tc>
        <w:tc>
          <w:tcPr>
            <w:tcW w:w="755" w:type="pct"/>
            <w:vMerge w:val="continue"/>
            <w:tcBorders>
              <w:right w:val="single" w:color="auto" w:sz="4" w:space="0"/>
            </w:tcBorders>
            <w:vAlign w:val="center"/>
          </w:tcPr>
          <w:p w14:paraId="54872C6E">
            <w:pPr>
              <w:pStyle w:val="50"/>
              <w:ind w:firstLine="0" w:firstLineChars="0"/>
              <w:jc w:val="center"/>
              <w:rPr>
                <w:rFonts w:ascii="Times New Roman"/>
                <w:sz w:val="18"/>
                <w:szCs w:val="18"/>
              </w:rPr>
            </w:pPr>
          </w:p>
        </w:tc>
      </w:tr>
      <w:tr w14:paraId="0CF7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68" w:type="pct"/>
            <w:tcBorders>
              <w:left w:val="single" w:color="auto" w:sz="4" w:space="0"/>
              <w:bottom w:val="single" w:color="auto" w:sz="4" w:space="0"/>
            </w:tcBorders>
            <w:vAlign w:val="center"/>
          </w:tcPr>
          <w:p w14:paraId="04A59DD5">
            <w:pPr>
              <w:pStyle w:val="50"/>
              <w:ind w:firstLine="0" w:firstLineChars="0"/>
              <w:jc w:val="center"/>
              <w:rPr>
                <w:rFonts w:ascii="Times New Roman"/>
                <w:sz w:val="18"/>
                <w:szCs w:val="18"/>
              </w:rPr>
            </w:pPr>
            <w:r>
              <w:rPr>
                <w:rFonts w:ascii="Times New Roman"/>
                <w:sz w:val="18"/>
                <w:szCs w:val="18"/>
              </w:rPr>
              <w:t>7</w:t>
            </w:r>
          </w:p>
        </w:tc>
        <w:tc>
          <w:tcPr>
            <w:tcW w:w="1279" w:type="pct"/>
            <w:tcBorders>
              <w:bottom w:val="single" w:color="auto" w:sz="4" w:space="0"/>
            </w:tcBorders>
            <w:vAlign w:val="center"/>
          </w:tcPr>
          <w:p w14:paraId="7D96D198">
            <w:pPr>
              <w:pStyle w:val="50"/>
              <w:ind w:firstLine="0" w:firstLineChars="0"/>
              <w:jc w:val="center"/>
              <w:rPr>
                <w:rFonts w:ascii="Times New Roman"/>
                <w:sz w:val="18"/>
                <w:szCs w:val="18"/>
              </w:rPr>
            </w:pPr>
            <w:r>
              <w:rPr>
                <w:rFonts w:ascii="Times New Roman"/>
                <w:sz w:val="18"/>
                <w:szCs w:val="18"/>
              </w:rPr>
              <w:t>吸水率/%</w:t>
            </w:r>
          </w:p>
        </w:tc>
        <w:tc>
          <w:tcPr>
            <w:tcW w:w="2598" w:type="pct"/>
            <w:tcBorders>
              <w:bottom w:val="single" w:color="auto" w:sz="4" w:space="0"/>
            </w:tcBorders>
            <w:vAlign w:val="center"/>
          </w:tcPr>
          <w:p w14:paraId="3396C0FB">
            <w:pPr>
              <w:pStyle w:val="50"/>
              <w:ind w:firstLine="0" w:firstLineChars="0"/>
              <w:jc w:val="center"/>
              <w:rPr>
                <w:rFonts w:ascii="Times New Roman"/>
                <w:sz w:val="18"/>
                <w:szCs w:val="18"/>
              </w:rPr>
            </w:pPr>
            <w:r>
              <w:rPr>
                <w:rFonts w:ascii="Times New Roman"/>
                <w:sz w:val="18"/>
                <w:szCs w:val="18"/>
              </w:rPr>
              <w:t>≤1.5</w:t>
            </w:r>
          </w:p>
        </w:tc>
        <w:tc>
          <w:tcPr>
            <w:tcW w:w="755" w:type="pct"/>
            <w:vMerge w:val="continue"/>
            <w:tcBorders>
              <w:right w:val="single" w:color="auto" w:sz="4" w:space="0"/>
            </w:tcBorders>
            <w:vAlign w:val="center"/>
          </w:tcPr>
          <w:p w14:paraId="34380BD3">
            <w:pPr>
              <w:pStyle w:val="50"/>
              <w:ind w:firstLine="0" w:firstLineChars="0"/>
              <w:jc w:val="center"/>
              <w:rPr>
                <w:rFonts w:ascii="Times New Roman"/>
                <w:sz w:val="18"/>
                <w:szCs w:val="18"/>
              </w:rPr>
            </w:pPr>
          </w:p>
        </w:tc>
      </w:tr>
      <w:tr w14:paraId="0795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68" w:type="pct"/>
            <w:tcBorders>
              <w:top w:val="single" w:color="auto" w:sz="4" w:space="0"/>
              <w:left w:val="single" w:color="auto" w:sz="4" w:space="0"/>
              <w:bottom w:val="single" w:color="auto" w:sz="4" w:space="0"/>
              <w:right w:val="single" w:color="auto" w:sz="4" w:space="0"/>
            </w:tcBorders>
            <w:vAlign w:val="center"/>
          </w:tcPr>
          <w:p w14:paraId="03CF84B7">
            <w:pPr>
              <w:pStyle w:val="50"/>
              <w:ind w:firstLine="0" w:firstLineChars="0"/>
              <w:jc w:val="center"/>
              <w:rPr>
                <w:rFonts w:ascii="Times New Roman"/>
                <w:sz w:val="18"/>
                <w:szCs w:val="18"/>
              </w:rPr>
            </w:pPr>
            <w:r>
              <w:rPr>
                <w:rFonts w:ascii="Times New Roman"/>
                <w:sz w:val="18"/>
                <w:szCs w:val="18"/>
              </w:rPr>
              <w:t>8</w:t>
            </w:r>
          </w:p>
        </w:tc>
        <w:tc>
          <w:tcPr>
            <w:tcW w:w="1279" w:type="pct"/>
            <w:tcBorders>
              <w:top w:val="single" w:color="auto" w:sz="4" w:space="0"/>
              <w:left w:val="single" w:color="auto" w:sz="4" w:space="0"/>
              <w:bottom w:val="single" w:color="auto" w:sz="4" w:space="0"/>
              <w:right w:val="single" w:color="auto" w:sz="4" w:space="0"/>
            </w:tcBorders>
            <w:vAlign w:val="center"/>
          </w:tcPr>
          <w:p w14:paraId="416797E5">
            <w:pPr>
              <w:pStyle w:val="50"/>
              <w:ind w:firstLine="0" w:firstLineChars="0"/>
              <w:jc w:val="center"/>
              <w:rPr>
                <w:rFonts w:ascii="Times New Roman"/>
                <w:sz w:val="18"/>
                <w:szCs w:val="18"/>
              </w:rPr>
            </w:pPr>
            <w:r>
              <w:rPr>
                <w:rFonts w:ascii="Times New Roman"/>
                <w:sz w:val="18"/>
                <w:szCs w:val="18"/>
              </w:rPr>
              <w:t>岩石抗压强度*/MPa</w:t>
            </w:r>
          </w:p>
        </w:tc>
        <w:tc>
          <w:tcPr>
            <w:tcW w:w="2598" w:type="pct"/>
            <w:tcBorders>
              <w:top w:val="single" w:color="auto" w:sz="4" w:space="0"/>
              <w:left w:val="single" w:color="auto" w:sz="4" w:space="0"/>
              <w:bottom w:val="single" w:color="auto" w:sz="4" w:space="0"/>
              <w:right w:val="single" w:color="auto" w:sz="4" w:space="0"/>
            </w:tcBorders>
            <w:vAlign w:val="center"/>
          </w:tcPr>
          <w:p w14:paraId="56CB8950">
            <w:pPr>
              <w:pStyle w:val="50"/>
              <w:ind w:firstLine="0" w:firstLineChars="0"/>
              <w:jc w:val="center"/>
              <w:rPr>
                <w:rFonts w:ascii="Times New Roman"/>
                <w:sz w:val="18"/>
                <w:szCs w:val="18"/>
              </w:rPr>
            </w:pPr>
            <w:r>
              <w:rPr>
                <w:rFonts w:ascii="Times New Roman"/>
                <w:sz w:val="18"/>
                <w:szCs w:val="18"/>
              </w:rPr>
              <w:t>在水饱和状态下，其抗压强度火成岩应不低于80MPa，变质岩应不低于60MPa，水成岩应不低于45MPa；用于配制低塑性混凝土（坍落度小于90mm）、干硬性混凝土的粗骨料岩石抗压强度宜高于混凝土强度等级值的1.3倍。</w:t>
            </w:r>
          </w:p>
        </w:tc>
        <w:tc>
          <w:tcPr>
            <w:tcW w:w="755" w:type="pct"/>
            <w:vMerge w:val="continue"/>
            <w:tcBorders>
              <w:right w:val="single" w:color="auto" w:sz="4" w:space="0"/>
            </w:tcBorders>
            <w:vAlign w:val="center"/>
          </w:tcPr>
          <w:p w14:paraId="519445D7">
            <w:pPr>
              <w:pStyle w:val="50"/>
              <w:ind w:firstLine="0" w:firstLineChars="0"/>
              <w:jc w:val="center"/>
              <w:rPr>
                <w:rFonts w:ascii="Times New Roman"/>
                <w:sz w:val="18"/>
                <w:szCs w:val="18"/>
              </w:rPr>
            </w:pPr>
          </w:p>
        </w:tc>
      </w:tr>
      <w:tr w14:paraId="0741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blHeader/>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4ABF3DFE">
            <w:pPr>
              <w:snapToGrid w:val="0"/>
              <w:spacing w:line="348" w:lineRule="exact"/>
              <w:rPr>
                <w:rFonts w:ascii="Times New Roman" w:hAnsi="Times New Roman"/>
                <w:sz w:val="18"/>
                <w:szCs w:val="18"/>
              </w:rPr>
            </w:pPr>
            <w:r>
              <w:rPr>
                <w:rFonts w:ascii="Times New Roman" w:hAnsi="Times New Roman"/>
                <w:sz w:val="18"/>
                <w:szCs w:val="18"/>
              </w:rPr>
              <w:t>*当粗骨料有原石条件下，粗骨料的强度可采用岩石抗压强度指标测试。</w:t>
            </w:r>
          </w:p>
        </w:tc>
      </w:tr>
    </w:tbl>
    <w:p w14:paraId="0C7733C3">
      <w:pPr>
        <w:pStyle w:val="49"/>
        <w:numPr>
          <w:ilvl w:val="0"/>
          <w:numId w:val="0"/>
        </w:numPr>
        <w:rPr>
          <w:rFonts w:ascii="Times New Roman" w:hAnsi="Times New Roman"/>
        </w:rPr>
      </w:pPr>
      <w:bookmarkStart w:id="208" w:name="_Toc14686"/>
      <w:bookmarkStart w:id="209" w:name="_Toc18696"/>
    </w:p>
    <w:p w14:paraId="6511B8BB">
      <w:pPr>
        <w:pStyle w:val="49"/>
        <w:rPr>
          <w:rFonts w:ascii="Times New Roman" w:hAnsi="Times New Roman"/>
        </w:rPr>
      </w:pPr>
      <w:bookmarkStart w:id="210" w:name="_Toc205482078"/>
      <w:bookmarkStart w:id="211" w:name="_Toc204018307"/>
      <w:bookmarkStart w:id="212" w:name="_Toc205222443"/>
      <w:r>
        <w:rPr>
          <w:rFonts w:ascii="Times New Roman" w:hAnsi="Times New Roman"/>
        </w:rPr>
        <w:t>粗骨料中有害物质限量及试验方法应符合表6的规定。</w:t>
      </w:r>
      <w:bookmarkEnd w:id="208"/>
      <w:bookmarkEnd w:id="209"/>
      <w:bookmarkEnd w:id="210"/>
      <w:bookmarkEnd w:id="211"/>
      <w:bookmarkEnd w:id="212"/>
    </w:p>
    <w:p w14:paraId="58432DB3">
      <w:pPr>
        <w:pStyle w:val="50"/>
        <w:rPr>
          <w:rFonts w:ascii="Times New Roman"/>
        </w:rPr>
      </w:pPr>
    </w:p>
    <w:p w14:paraId="7C6BDCC6">
      <w:pPr>
        <w:pStyle w:val="136"/>
        <w:rPr>
          <w:rFonts w:ascii="Times New Roman"/>
        </w:rPr>
      </w:pPr>
      <w:r>
        <w:rPr>
          <w:rFonts w:ascii="Times New Roman"/>
        </w:rPr>
        <w:t>粗骨料中有害物质限量及试验方法</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4517"/>
        <w:gridCol w:w="1313"/>
        <w:gridCol w:w="2813"/>
      </w:tblGrid>
      <w:tr w14:paraId="10A8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5" w:type="pct"/>
            <w:tcBorders>
              <w:top w:val="single" w:color="auto" w:sz="4" w:space="0"/>
              <w:left w:val="single" w:color="auto" w:sz="4" w:space="0"/>
              <w:bottom w:val="single" w:color="auto" w:sz="4" w:space="0"/>
            </w:tcBorders>
            <w:vAlign w:val="center"/>
          </w:tcPr>
          <w:p w14:paraId="3904DB08">
            <w:pPr>
              <w:pStyle w:val="50"/>
              <w:ind w:firstLine="0" w:firstLineChars="0"/>
              <w:jc w:val="center"/>
              <w:rPr>
                <w:rFonts w:ascii="Times New Roman"/>
                <w:sz w:val="18"/>
                <w:szCs w:val="18"/>
              </w:rPr>
            </w:pPr>
            <w:r>
              <w:rPr>
                <w:rFonts w:ascii="Times New Roman"/>
                <w:sz w:val="18"/>
                <w:szCs w:val="18"/>
              </w:rPr>
              <w:t>序号</w:t>
            </w:r>
          </w:p>
        </w:tc>
        <w:tc>
          <w:tcPr>
            <w:tcW w:w="2359" w:type="pct"/>
            <w:tcBorders>
              <w:top w:val="single" w:color="auto" w:sz="4" w:space="0"/>
              <w:bottom w:val="single" w:color="auto" w:sz="4" w:space="0"/>
            </w:tcBorders>
            <w:vAlign w:val="center"/>
          </w:tcPr>
          <w:p w14:paraId="3941518D">
            <w:pPr>
              <w:pStyle w:val="50"/>
              <w:ind w:firstLine="0" w:firstLineChars="0"/>
              <w:jc w:val="center"/>
              <w:rPr>
                <w:rFonts w:ascii="Times New Roman"/>
                <w:sz w:val="18"/>
                <w:szCs w:val="18"/>
              </w:rPr>
            </w:pPr>
            <w:r>
              <w:rPr>
                <w:rFonts w:ascii="Times New Roman"/>
                <w:sz w:val="18"/>
                <w:szCs w:val="18"/>
              </w:rPr>
              <w:t>项目</w:t>
            </w:r>
          </w:p>
        </w:tc>
        <w:tc>
          <w:tcPr>
            <w:tcW w:w="686" w:type="pct"/>
            <w:tcBorders>
              <w:top w:val="single" w:color="auto" w:sz="4" w:space="0"/>
              <w:bottom w:val="single" w:color="auto" w:sz="4" w:space="0"/>
            </w:tcBorders>
            <w:vAlign w:val="center"/>
          </w:tcPr>
          <w:p w14:paraId="191DC9DF">
            <w:pPr>
              <w:pStyle w:val="50"/>
              <w:ind w:firstLine="0" w:firstLineChars="0"/>
              <w:jc w:val="center"/>
              <w:rPr>
                <w:rFonts w:ascii="Times New Roman"/>
                <w:sz w:val="18"/>
                <w:szCs w:val="18"/>
              </w:rPr>
            </w:pPr>
            <w:r>
              <w:rPr>
                <w:rFonts w:ascii="Times New Roman"/>
                <w:sz w:val="18"/>
                <w:szCs w:val="18"/>
              </w:rPr>
              <w:t>限量</w:t>
            </w:r>
          </w:p>
        </w:tc>
        <w:tc>
          <w:tcPr>
            <w:tcW w:w="1469" w:type="pct"/>
            <w:tcBorders>
              <w:top w:val="single" w:color="auto" w:sz="4" w:space="0"/>
              <w:bottom w:val="single" w:color="auto" w:sz="4" w:space="0"/>
              <w:right w:val="single" w:color="auto" w:sz="4" w:space="0"/>
            </w:tcBorders>
            <w:vAlign w:val="center"/>
          </w:tcPr>
          <w:p w14:paraId="18986A48">
            <w:pPr>
              <w:pStyle w:val="50"/>
              <w:ind w:firstLine="0" w:firstLineChars="0"/>
              <w:jc w:val="center"/>
              <w:rPr>
                <w:rFonts w:ascii="Times New Roman"/>
                <w:sz w:val="18"/>
                <w:szCs w:val="18"/>
              </w:rPr>
            </w:pPr>
            <w:r>
              <w:rPr>
                <w:rFonts w:ascii="Times New Roman"/>
                <w:sz w:val="18"/>
                <w:szCs w:val="18"/>
              </w:rPr>
              <w:t>试验方法</w:t>
            </w:r>
          </w:p>
        </w:tc>
      </w:tr>
      <w:tr w14:paraId="61D4C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5" w:type="pct"/>
            <w:tcBorders>
              <w:top w:val="single" w:color="auto" w:sz="4" w:space="0"/>
              <w:left w:val="single" w:color="auto" w:sz="4" w:space="0"/>
              <w:bottom w:val="single" w:color="auto" w:sz="4" w:space="0"/>
              <w:right w:val="single" w:color="auto" w:sz="4" w:space="0"/>
            </w:tcBorders>
            <w:vAlign w:val="center"/>
          </w:tcPr>
          <w:p w14:paraId="62F4F3D2">
            <w:pPr>
              <w:pStyle w:val="50"/>
              <w:ind w:firstLine="0" w:firstLineChars="0"/>
              <w:jc w:val="center"/>
              <w:rPr>
                <w:rFonts w:ascii="Times New Roman"/>
                <w:sz w:val="18"/>
                <w:szCs w:val="18"/>
              </w:rPr>
            </w:pPr>
            <w:r>
              <w:rPr>
                <w:rFonts w:ascii="Times New Roman"/>
                <w:sz w:val="18"/>
                <w:szCs w:val="18"/>
              </w:rPr>
              <w:t>1</w:t>
            </w:r>
          </w:p>
        </w:tc>
        <w:tc>
          <w:tcPr>
            <w:tcW w:w="2359" w:type="pct"/>
            <w:tcBorders>
              <w:top w:val="single" w:color="auto" w:sz="4" w:space="0"/>
              <w:left w:val="single" w:color="auto" w:sz="4" w:space="0"/>
              <w:bottom w:val="single" w:color="auto" w:sz="4" w:space="0"/>
              <w:right w:val="single" w:color="auto" w:sz="4" w:space="0"/>
            </w:tcBorders>
            <w:vAlign w:val="center"/>
          </w:tcPr>
          <w:p w14:paraId="7BCE35CF">
            <w:pPr>
              <w:pStyle w:val="50"/>
              <w:ind w:firstLine="0" w:firstLineChars="0"/>
              <w:jc w:val="center"/>
              <w:rPr>
                <w:rFonts w:ascii="Times New Roman"/>
                <w:sz w:val="18"/>
                <w:szCs w:val="18"/>
              </w:rPr>
            </w:pPr>
            <w:r>
              <w:rPr>
                <w:rFonts w:ascii="Times New Roman"/>
                <w:sz w:val="18"/>
                <w:szCs w:val="18"/>
              </w:rPr>
              <w:t>有机物</w:t>
            </w:r>
          </w:p>
        </w:tc>
        <w:tc>
          <w:tcPr>
            <w:tcW w:w="686" w:type="pct"/>
            <w:tcBorders>
              <w:top w:val="single" w:color="auto" w:sz="4" w:space="0"/>
              <w:left w:val="single" w:color="auto" w:sz="4" w:space="0"/>
              <w:bottom w:val="single" w:color="auto" w:sz="4" w:space="0"/>
              <w:right w:val="single" w:color="auto" w:sz="4" w:space="0"/>
            </w:tcBorders>
            <w:vAlign w:val="center"/>
          </w:tcPr>
          <w:p w14:paraId="31A03E57">
            <w:pPr>
              <w:pStyle w:val="50"/>
              <w:ind w:firstLine="0" w:firstLineChars="0"/>
              <w:jc w:val="center"/>
              <w:rPr>
                <w:rFonts w:ascii="Times New Roman"/>
                <w:sz w:val="18"/>
                <w:szCs w:val="18"/>
              </w:rPr>
            </w:pPr>
            <w:r>
              <w:rPr>
                <w:rFonts w:ascii="Times New Roman"/>
                <w:sz w:val="18"/>
                <w:szCs w:val="18"/>
              </w:rPr>
              <w:t>颜色不应深于标准色</w:t>
            </w:r>
          </w:p>
        </w:tc>
        <w:tc>
          <w:tcPr>
            <w:tcW w:w="1469" w:type="pct"/>
            <w:vMerge w:val="restart"/>
            <w:tcBorders>
              <w:top w:val="single" w:color="auto" w:sz="4" w:space="0"/>
              <w:left w:val="single" w:color="auto" w:sz="4" w:space="0"/>
              <w:bottom w:val="single" w:color="auto" w:sz="4" w:space="0"/>
              <w:right w:val="single" w:color="auto" w:sz="4" w:space="0"/>
            </w:tcBorders>
            <w:vAlign w:val="center"/>
          </w:tcPr>
          <w:p w14:paraId="751B1D03">
            <w:pPr>
              <w:pStyle w:val="50"/>
              <w:ind w:firstLine="0" w:firstLineChars="0"/>
              <w:jc w:val="center"/>
              <w:rPr>
                <w:rFonts w:ascii="Times New Roman"/>
                <w:sz w:val="18"/>
                <w:szCs w:val="18"/>
              </w:rPr>
            </w:pPr>
            <w:r>
              <w:rPr>
                <w:rFonts w:ascii="Times New Roman"/>
                <w:sz w:val="18"/>
                <w:szCs w:val="18"/>
              </w:rPr>
              <w:t>JGJ 52</w:t>
            </w:r>
          </w:p>
        </w:tc>
      </w:tr>
      <w:tr w14:paraId="35A5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5" w:type="pct"/>
            <w:tcBorders>
              <w:top w:val="single" w:color="auto" w:sz="4" w:space="0"/>
              <w:left w:val="single" w:color="auto" w:sz="4" w:space="0"/>
              <w:bottom w:val="single" w:color="auto" w:sz="4" w:space="0"/>
              <w:right w:val="single" w:color="auto" w:sz="4" w:space="0"/>
            </w:tcBorders>
            <w:vAlign w:val="center"/>
          </w:tcPr>
          <w:p w14:paraId="6EF2A941">
            <w:pPr>
              <w:pStyle w:val="50"/>
              <w:ind w:firstLine="0" w:firstLineChars="0"/>
              <w:jc w:val="center"/>
              <w:rPr>
                <w:rFonts w:ascii="Times New Roman"/>
                <w:sz w:val="18"/>
                <w:szCs w:val="18"/>
              </w:rPr>
            </w:pPr>
            <w:r>
              <w:rPr>
                <w:rFonts w:ascii="Times New Roman"/>
                <w:sz w:val="18"/>
                <w:szCs w:val="18"/>
              </w:rPr>
              <w:t>2</w:t>
            </w:r>
          </w:p>
        </w:tc>
        <w:tc>
          <w:tcPr>
            <w:tcW w:w="2359" w:type="pct"/>
            <w:tcBorders>
              <w:top w:val="single" w:color="auto" w:sz="4" w:space="0"/>
              <w:left w:val="single" w:color="auto" w:sz="4" w:space="0"/>
              <w:bottom w:val="single" w:color="auto" w:sz="4" w:space="0"/>
              <w:right w:val="single" w:color="auto" w:sz="4" w:space="0"/>
            </w:tcBorders>
            <w:vAlign w:val="center"/>
          </w:tcPr>
          <w:p w14:paraId="78F85E67">
            <w:pPr>
              <w:pStyle w:val="50"/>
              <w:ind w:firstLine="0" w:firstLineChars="0"/>
              <w:jc w:val="center"/>
              <w:rPr>
                <w:rFonts w:ascii="Times New Roman"/>
                <w:sz w:val="18"/>
                <w:szCs w:val="18"/>
              </w:rPr>
            </w:pPr>
            <w:r>
              <w:rPr>
                <w:rFonts w:ascii="Times New Roman"/>
                <w:sz w:val="18"/>
                <w:szCs w:val="18"/>
              </w:rPr>
              <w:t>硫化物及硫酸盐含量（按SO</w:t>
            </w:r>
            <w:r>
              <w:rPr>
                <w:rFonts w:ascii="Times New Roman"/>
                <w:sz w:val="18"/>
                <w:szCs w:val="18"/>
                <w:vertAlign w:val="subscript"/>
              </w:rPr>
              <w:t>3</w:t>
            </w:r>
            <w:r>
              <w:rPr>
                <w:rFonts w:ascii="Times New Roman"/>
                <w:sz w:val="18"/>
                <w:szCs w:val="18"/>
              </w:rPr>
              <w:t>质量计）/％</w:t>
            </w:r>
          </w:p>
        </w:tc>
        <w:tc>
          <w:tcPr>
            <w:tcW w:w="686" w:type="pct"/>
            <w:tcBorders>
              <w:top w:val="single" w:color="auto" w:sz="4" w:space="0"/>
              <w:left w:val="single" w:color="auto" w:sz="4" w:space="0"/>
              <w:bottom w:val="single" w:color="auto" w:sz="4" w:space="0"/>
              <w:right w:val="single" w:color="auto" w:sz="4" w:space="0"/>
            </w:tcBorders>
            <w:vAlign w:val="center"/>
          </w:tcPr>
          <w:p w14:paraId="49A94D81">
            <w:pPr>
              <w:pStyle w:val="50"/>
              <w:ind w:firstLine="0" w:firstLineChars="0"/>
              <w:jc w:val="center"/>
              <w:rPr>
                <w:rFonts w:ascii="Times New Roman"/>
                <w:sz w:val="18"/>
                <w:szCs w:val="18"/>
              </w:rPr>
            </w:pPr>
            <w:r>
              <w:rPr>
                <w:rFonts w:ascii="Times New Roman"/>
                <w:sz w:val="18"/>
                <w:szCs w:val="18"/>
              </w:rPr>
              <w:t>≤1.0</w:t>
            </w:r>
          </w:p>
        </w:tc>
        <w:tc>
          <w:tcPr>
            <w:tcW w:w="1469" w:type="pct"/>
            <w:vMerge w:val="continue"/>
            <w:tcBorders>
              <w:top w:val="single" w:color="auto" w:sz="4" w:space="0"/>
              <w:left w:val="single" w:color="auto" w:sz="4" w:space="0"/>
              <w:bottom w:val="single" w:color="auto" w:sz="4" w:space="0"/>
              <w:right w:val="single" w:color="auto" w:sz="4" w:space="0"/>
            </w:tcBorders>
            <w:vAlign w:val="center"/>
          </w:tcPr>
          <w:p w14:paraId="6EC4F0BF">
            <w:pPr>
              <w:pStyle w:val="50"/>
              <w:ind w:firstLine="0" w:firstLineChars="0"/>
              <w:jc w:val="center"/>
              <w:rPr>
                <w:rFonts w:ascii="Times New Roman"/>
                <w:sz w:val="18"/>
                <w:szCs w:val="18"/>
              </w:rPr>
            </w:pPr>
          </w:p>
        </w:tc>
      </w:tr>
      <w:tr w14:paraId="2F71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5" w:type="pct"/>
            <w:tcBorders>
              <w:top w:val="single" w:color="auto" w:sz="4" w:space="0"/>
              <w:left w:val="single" w:color="auto" w:sz="4" w:space="0"/>
              <w:bottom w:val="single" w:color="auto" w:sz="4" w:space="0"/>
              <w:right w:val="single" w:color="auto" w:sz="4" w:space="0"/>
            </w:tcBorders>
            <w:vAlign w:val="center"/>
          </w:tcPr>
          <w:p w14:paraId="4AC041C7">
            <w:pPr>
              <w:pStyle w:val="50"/>
              <w:ind w:firstLine="0" w:firstLineChars="0"/>
              <w:jc w:val="center"/>
              <w:rPr>
                <w:rFonts w:ascii="Times New Roman"/>
                <w:sz w:val="18"/>
                <w:szCs w:val="18"/>
              </w:rPr>
            </w:pPr>
            <w:r>
              <w:rPr>
                <w:rFonts w:ascii="Times New Roman"/>
                <w:sz w:val="18"/>
                <w:szCs w:val="18"/>
              </w:rPr>
              <w:t>3</w:t>
            </w:r>
          </w:p>
        </w:tc>
        <w:tc>
          <w:tcPr>
            <w:tcW w:w="2359" w:type="pct"/>
            <w:tcBorders>
              <w:top w:val="single" w:color="auto" w:sz="4" w:space="0"/>
              <w:left w:val="single" w:color="auto" w:sz="4" w:space="0"/>
              <w:bottom w:val="single" w:color="auto" w:sz="4" w:space="0"/>
              <w:right w:val="single" w:color="auto" w:sz="4" w:space="0"/>
            </w:tcBorders>
            <w:vAlign w:val="center"/>
          </w:tcPr>
          <w:p w14:paraId="4305B52B">
            <w:pPr>
              <w:pStyle w:val="50"/>
              <w:ind w:firstLine="0" w:firstLineChars="0"/>
              <w:jc w:val="center"/>
              <w:rPr>
                <w:rFonts w:ascii="Times New Roman"/>
                <w:sz w:val="18"/>
                <w:szCs w:val="18"/>
              </w:rPr>
            </w:pPr>
            <w:r>
              <w:rPr>
                <w:rFonts w:ascii="Times New Roman"/>
                <w:sz w:val="18"/>
                <w:szCs w:val="18"/>
              </w:rPr>
              <w:t>氯化物（以氯离子质量计）/%</w:t>
            </w:r>
          </w:p>
        </w:tc>
        <w:tc>
          <w:tcPr>
            <w:tcW w:w="686" w:type="pct"/>
            <w:tcBorders>
              <w:top w:val="single" w:color="auto" w:sz="4" w:space="0"/>
              <w:left w:val="single" w:color="auto" w:sz="4" w:space="0"/>
              <w:bottom w:val="single" w:color="auto" w:sz="4" w:space="0"/>
              <w:right w:val="single" w:color="auto" w:sz="4" w:space="0"/>
            </w:tcBorders>
            <w:vAlign w:val="center"/>
          </w:tcPr>
          <w:p w14:paraId="1B451FAA">
            <w:pPr>
              <w:pStyle w:val="50"/>
              <w:ind w:firstLine="0" w:firstLineChars="0"/>
              <w:jc w:val="center"/>
              <w:rPr>
                <w:rFonts w:ascii="Times New Roman"/>
                <w:sz w:val="18"/>
                <w:szCs w:val="18"/>
              </w:rPr>
            </w:pPr>
            <w:r>
              <w:rPr>
                <w:rFonts w:ascii="Times New Roman"/>
                <w:sz w:val="18"/>
                <w:szCs w:val="18"/>
              </w:rPr>
              <w:t>≤0.02</w:t>
            </w:r>
          </w:p>
        </w:tc>
        <w:tc>
          <w:tcPr>
            <w:tcW w:w="1469" w:type="pct"/>
            <w:vMerge w:val="continue"/>
            <w:tcBorders>
              <w:top w:val="single" w:color="auto" w:sz="4" w:space="0"/>
              <w:left w:val="single" w:color="auto" w:sz="4" w:space="0"/>
              <w:bottom w:val="single" w:color="auto" w:sz="4" w:space="0"/>
              <w:right w:val="single" w:color="auto" w:sz="4" w:space="0"/>
            </w:tcBorders>
            <w:vAlign w:val="center"/>
          </w:tcPr>
          <w:p w14:paraId="52D55F1C">
            <w:pPr>
              <w:pStyle w:val="50"/>
              <w:ind w:firstLine="0" w:firstLineChars="0"/>
              <w:jc w:val="center"/>
              <w:rPr>
                <w:rFonts w:ascii="Times New Roman"/>
                <w:sz w:val="18"/>
                <w:szCs w:val="18"/>
              </w:rPr>
            </w:pPr>
          </w:p>
        </w:tc>
      </w:tr>
      <w:tr w14:paraId="2F34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5" w:type="pct"/>
            <w:tcBorders>
              <w:top w:val="single" w:color="auto" w:sz="4" w:space="0"/>
              <w:left w:val="single" w:color="auto" w:sz="4" w:space="0"/>
              <w:bottom w:val="single" w:color="auto" w:sz="4" w:space="0"/>
              <w:right w:val="single" w:color="auto" w:sz="4" w:space="0"/>
            </w:tcBorders>
            <w:vAlign w:val="center"/>
          </w:tcPr>
          <w:p w14:paraId="08EF6F14">
            <w:pPr>
              <w:pStyle w:val="50"/>
              <w:ind w:firstLine="0" w:firstLineChars="0"/>
              <w:jc w:val="center"/>
              <w:rPr>
                <w:rFonts w:ascii="Times New Roman"/>
                <w:sz w:val="18"/>
                <w:szCs w:val="18"/>
              </w:rPr>
            </w:pPr>
            <w:r>
              <w:rPr>
                <w:rFonts w:ascii="Times New Roman"/>
                <w:sz w:val="18"/>
                <w:szCs w:val="18"/>
              </w:rPr>
              <w:t>4</w:t>
            </w:r>
          </w:p>
        </w:tc>
        <w:tc>
          <w:tcPr>
            <w:tcW w:w="2359" w:type="pct"/>
            <w:tcBorders>
              <w:top w:val="single" w:color="auto" w:sz="4" w:space="0"/>
              <w:left w:val="single" w:color="auto" w:sz="4" w:space="0"/>
              <w:bottom w:val="single" w:color="auto" w:sz="4" w:space="0"/>
              <w:right w:val="single" w:color="auto" w:sz="4" w:space="0"/>
            </w:tcBorders>
            <w:vAlign w:val="center"/>
          </w:tcPr>
          <w:p w14:paraId="21250238">
            <w:pPr>
              <w:pStyle w:val="50"/>
              <w:ind w:firstLine="0" w:firstLineChars="0"/>
              <w:jc w:val="center"/>
              <w:rPr>
                <w:rFonts w:ascii="Times New Roman"/>
                <w:sz w:val="18"/>
                <w:szCs w:val="18"/>
              </w:rPr>
            </w:pPr>
            <w:r>
              <w:rPr>
                <w:rFonts w:ascii="Times New Roman"/>
                <w:sz w:val="18"/>
                <w:szCs w:val="18"/>
              </w:rPr>
              <w:t>放射性</w:t>
            </w:r>
          </w:p>
        </w:tc>
        <w:tc>
          <w:tcPr>
            <w:tcW w:w="686" w:type="pct"/>
            <w:tcBorders>
              <w:top w:val="single" w:color="auto" w:sz="4" w:space="0"/>
              <w:left w:val="single" w:color="auto" w:sz="4" w:space="0"/>
              <w:bottom w:val="single" w:color="auto" w:sz="4" w:space="0"/>
              <w:right w:val="single" w:color="auto" w:sz="4" w:space="0"/>
            </w:tcBorders>
            <w:vAlign w:val="center"/>
          </w:tcPr>
          <w:p w14:paraId="7A45497A">
            <w:pPr>
              <w:pStyle w:val="50"/>
              <w:ind w:firstLine="0" w:firstLineChars="0"/>
              <w:jc w:val="center"/>
              <w:rPr>
                <w:rFonts w:ascii="Times New Roman"/>
                <w:sz w:val="18"/>
                <w:szCs w:val="18"/>
              </w:rPr>
            </w:pPr>
            <w:r>
              <w:rPr>
                <w:rFonts w:ascii="Times New Roman"/>
                <w:sz w:val="18"/>
                <w:szCs w:val="18"/>
              </w:rPr>
              <w:t>I</w:t>
            </w:r>
            <w:r>
              <w:rPr>
                <w:rFonts w:ascii="Times New Roman"/>
                <w:sz w:val="18"/>
                <w:szCs w:val="18"/>
                <w:vertAlign w:val="subscript"/>
              </w:rPr>
              <w:t>Ra</w:t>
            </w:r>
            <w:r>
              <w:rPr>
                <w:rFonts w:ascii="Times New Roman"/>
                <w:sz w:val="18"/>
                <w:szCs w:val="18"/>
              </w:rPr>
              <w:t>≤1.0，I</w:t>
            </w:r>
            <w:r>
              <w:rPr>
                <w:rFonts w:ascii="Times New Roman"/>
                <w:sz w:val="18"/>
                <w:szCs w:val="18"/>
                <w:vertAlign w:val="subscript"/>
              </w:rPr>
              <w:t>r</w:t>
            </w:r>
            <w:r>
              <w:rPr>
                <w:rFonts w:ascii="Times New Roman"/>
                <w:sz w:val="18"/>
                <w:szCs w:val="18"/>
              </w:rPr>
              <w:t>≤1.0</w:t>
            </w:r>
          </w:p>
        </w:tc>
        <w:tc>
          <w:tcPr>
            <w:tcW w:w="1469" w:type="pct"/>
            <w:tcBorders>
              <w:top w:val="single" w:color="auto" w:sz="4" w:space="0"/>
              <w:left w:val="single" w:color="auto" w:sz="4" w:space="0"/>
              <w:bottom w:val="single" w:color="auto" w:sz="4" w:space="0"/>
              <w:right w:val="single" w:color="auto" w:sz="4" w:space="0"/>
            </w:tcBorders>
            <w:vAlign w:val="center"/>
          </w:tcPr>
          <w:p w14:paraId="1B122FA3">
            <w:pPr>
              <w:pStyle w:val="50"/>
              <w:ind w:firstLine="0" w:firstLineChars="0"/>
              <w:jc w:val="center"/>
              <w:rPr>
                <w:rFonts w:ascii="Times New Roman"/>
                <w:sz w:val="18"/>
                <w:szCs w:val="18"/>
              </w:rPr>
            </w:pPr>
            <w:r>
              <w:rPr>
                <w:rFonts w:ascii="Times New Roman"/>
                <w:sz w:val="18"/>
                <w:szCs w:val="18"/>
              </w:rPr>
              <w:t>GB 6566</w:t>
            </w:r>
          </w:p>
        </w:tc>
      </w:tr>
    </w:tbl>
    <w:p w14:paraId="2C3CB3EF">
      <w:pPr>
        <w:rPr>
          <w:rFonts w:ascii="Times New Roman" w:hAnsi="Times New Roman"/>
        </w:rPr>
      </w:pPr>
      <w:bookmarkStart w:id="213" w:name="_Toc162893463"/>
      <w:bookmarkStart w:id="214" w:name="_Toc25678"/>
      <w:bookmarkStart w:id="215" w:name="_Toc4292"/>
      <w:bookmarkStart w:id="216" w:name="_Toc195801471"/>
    </w:p>
    <w:p w14:paraId="1FA74850">
      <w:pPr>
        <w:pStyle w:val="49"/>
        <w:rPr>
          <w:rFonts w:ascii="Times New Roman" w:hAnsi="Times New Roman"/>
        </w:rPr>
      </w:pPr>
      <w:bookmarkStart w:id="217" w:name="_Toc205482079"/>
      <w:bookmarkStart w:id="218" w:name="_Toc205222444"/>
      <w:r>
        <w:rPr>
          <w:rFonts w:ascii="Times New Roman" w:hAnsi="Times New Roman"/>
        </w:rPr>
        <w:t>当粗骨料为再生粗骨料时，应符合GB/T 25177 的规定。</w:t>
      </w:r>
      <w:bookmarkEnd w:id="217"/>
      <w:bookmarkEnd w:id="218"/>
    </w:p>
    <w:p w14:paraId="5CD638B2">
      <w:pPr>
        <w:pStyle w:val="53"/>
        <w:rPr>
          <w:rFonts w:ascii="Times New Roman"/>
        </w:rPr>
      </w:pPr>
      <w:bookmarkStart w:id="219" w:name="_Toc205237768"/>
      <w:bookmarkStart w:id="220" w:name="_Toc205222445"/>
      <w:bookmarkStart w:id="221" w:name="_Toc204018308"/>
      <w:bookmarkStart w:id="222" w:name="_Toc205482080"/>
      <w:r>
        <w:rPr>
          <w:rFonts w:ascii="Times New Roman"/>
        </w:rPr>
        <w:t>外加剂</w:t>
      </w:r>
      <w:bookmarkEnd w:id="213"/>
      <w:bookmarkEnd w:id="214"/>
      <w:bookmarkEnd w:id="215"/>
      <w:bookmarkEnd w:id="216"/>
      <w:bookmarkEnd w:id="219"/>
      <w:bookmarkEnd w:id="220"/>
      <w:bookmarkEnd w:id="221"/>
      <w:bookmarkEnd w:id="222"/>
    </w:p>
    <w:p w14:paraId="2AF85A13">
      <w:pPr>
        <w:pStyle w:val="49"/>
        <w:rPr>
          <w:rFonts w:ascii="Times New Roman" w:hAnsi="Times New Roman"/>
        </w:rPr>
      </w:pPr>
      <w:bookmarkStart w:id="223" w:name="_Toc205222446"/>
      <w:bookmarkStart w:id="224" w:name="_Toc27092"/>
      <w:bookmarkStart w:id="225" w:name="_Toc27368"/>
      <w:bookmarkStart w:id="226" w:name="_Toc204018309"/>
      <w:bookmarkStart w:id="227" w:name="_Toc205482081"/>
      <w:r>
        <w:rPr>
          <w:rFonts w:ascii="Times New Roman" w:hAnsi="Times New Roman"/>
        </w:rPr>
        <w:t>外加剂性能应符合GB 50119中的规定。</w:t>
      </w:r>
      <w:bookmarkEnd w:id="223"/>
      <w:bookmarkEnd w:id="224"/>
      <w:bookmarkEnd w:id="225"/>
      <w:bookmarkEnd w:id="226"/>
      <w:bookmarkEnd w:id="227"/>
    </w:p>
    <w:p w14:paraId="51C4FB27">
      <w:pPr>
        <w:pStyle w:val="49"/>
        <w:rPr>
          <w:rFonts w:ascii="Times New Roman" w:hAnsi="Times New Roman"/>
        </w:rPr>
      </w:pPr>
      <w:bookmarkStart w:id="228" w:name="_Toc205482082"/>
      <w:bookmarkStart w:id="229" w:name="_Toc30026"/>
      <w:bookmarkStart w:id="230" w:name="_Toc205222447"/>
      <w:bookmarkStart w:id="231" w:name="_Toc778"/>
      <w:bookmarkStart w:id="232" w:name="_Toc204018310"/>
      <w:r>
        <w:rPr>
          <w:rFonts w:ascii="Times New Roman" w:hAnsi="Times New Roman"/>
        </w:rPr>
        <w:t>外加剂应与复合胶材具有良好的适应性或相容性。</w:t>
      </w:r>
      <w:bookmarkEnd w:id="228"/>
      <w:bookmarkEnd w:id="229"/>
      <w:bookmarkEnd w:id="230"/>
      <w:bookmarkEnd w:id="231"/>
      <w:bookmarkEnd w:id="232"/>
    </w:p>
    <w:p w14:paraId="3F9A6ADA">
      <w:pPr>
        <w:pStyle w:val="53"/>
        <w:rPr>
          <w:rFonts w:ascii="Times New Roman"/>
        </w:rPr>
      </w:pPr>
      <w:bookmarkStart w:id="233" w:name="_Toc162893464"/>
      <w:bookmarkStart w:id="234" w:name="_Toc204018311"/>
      <w:bookmarkStart w:id="235" w:name="_Toc205482083"/>
      <w:bookmarkStart w:id="236" w:name="_Toc205237769"/>
      <w:bookmarkStart w:id="237" w:name="_Toc205222448"/>
      <w:bookmarkStart w:id="238" w:name="_Toc195801472"/>
      <w:bookmarkStart w:id="239" w:name="_Toc12355"/>
      <w:bookmarkStart w:id="240" w:name="_Toc22692"/>
      <w:r>
        <w:rPr>
          <w:rFonts w:ascii="Times New Roman"/>
        </w:rPr>
        <w:t>水</w:t>
      </w:r>
      <w:bookmarkEnd w:id="233"/>
      <w:bookmarkEnd w:id="234"/>
      <w:bookmarkEnd w:id="235"/>
      <w:bookmarkEnd w:id="236"/>
      <w:bookmarkEnd w:id="237"/>
      <w:bookmarkEnd w:id="238"/>
      <w:bookmarkEnd w:id="239"/>
      <w:bookmarkEnd w:id="240"/>
    </w:p>
    <w:p w14:paraId="62E9D054">
      <w:pPr>
        <w:pStyle w:val="49"/>
        <w:rPr>
          <w:rFonts w:ascii="Times New Roman" w:hAnsi="Times New Roman"/>
        </w:rPr>
      </w:pPr>
      <w:bookmarkStart w:id="241" w:name="_Toc82"/>
      <w:bookmarkStart w:id="242" w:name="_Toc204018312"/>
      <w:bookmarkStart w:id="243" w:name="_Toc7013"/>
      <w:bookmarkStart w:id="244" w:name="_Toc205222449"/>
      <w:bookmarkStart w:id="245" w:name="_Toc205482084"/>
      <w:r>
        <w:rPr>
          <w:rFonts w:ascii="Times New Roman" w:hAnsi="Times New Roman"/>
        </w:rPr>
        <w:t>复合混凝土用水应符合JGJ 63的规定。</w:t>
      </w:r>
      <w:bookmarkEnd w:id="241"/>
      <w:bookmarkEnd w:id="242"/>
      <w:bookmarkEnd w:id="243"/>
      <w:bookmarkEnd w:id="244"/>
      <w:bookmarkEnd w:id="245"/>
    </w:p>
    <w:p w14:paraId="3CF7EE89">
      <w:pPr>
        <w:pStyle w:val="49"/>
        <w:rPr>
          <w:rFonts w:ascii="Times New Roman" w:hAnsi="Times New Roman"/>
        </w:rPr>
      </w:pPr>
      <w:bookmarkStart w:id="246" w:name="_Toc205482085"/>
      <w:bookmarkStart w:id="247" w:name="_Toc18059"/>
      <w:bookmarkStart w:id="248" w:name="_Toc204018313"/>
      <w:bookmarkStart w:id="249" w:name="_Toc205222450"/>
      <w:bookmarkStart w:id="250" w:name="_Toc11078"/>
      <w:r>
        <w:rPr>
          <w:rFonts w:ascii="Times New Roman" w:hAnsi="Times New Roman"/>
        </w:rPr>
        <w:t>按比例掺用设备洗涮水、废浆水和废弃新拌混凝土处理过程中产生的废水形成的拌合用水，应符合JC/T 2647的要求，并应进行混凝土性能的试验验证。</w:t>
      </w:r>
      <w:bookmarkEnd w:id="246"/>
      <w:bookmarkEnd w:id="247"/>
      <w:bookmarkEnd w:id="248"/>
      <w:bookmarkEnd w:id="249"/>
      <w:bookmarkEnd w:id="250"/>
    </w:p>
    <w:p w14:paraId="3402CED7">
      <w:pPr>
        <w:pStyle w:val="52"/>
        <w:spacing w:before="312" w:after="312"/>
        <w:rPr>
          <w:rFonts w:ascii="Times New Roman"/>
        </w:rPr>
      </w:pPr>
      <w:bookmarkStart w:id="251" w:name="_Toc205222451"/>
      <w:bookmarkStart w:id="252" w:name="_Toc28842"/>
      <w:bookmarkStart w:id="253" w:name="_Toc204018314"/>
      <w:bookmarkStart w:id="254" w:name="_Toc162893469"/>
      <w:bookmarkStart w:id="255" w:name="_Toc205237770"/>
      <w:bookmarkStart w:id="256" w:name="_Toc195801473"/>
      <w:bookmarkStart w:id="257" w:name="_Toc16102"/>
      <w:bookmarkStart w:id="258" w:name="_Toc205482086"/>
      <w:bookmarkStart w:id="259" w:name="_Toc351014960"/>
      <w:r>
        <w:rPr>
          <w:rFonts w:ascii="Times New Roman"/>
        </w:rPr>
        <w:t>混凝土性能</w:t>
      </w:r>
      <w:bookmarkEnd w:id="251"/>
      <w:bookmarkEnd w:id="252"/>
      <w:bookmarkEnd w:id="253"/>
      <w:bookmarkEnd w:id="254"/>
      <w:bookmarkEnd w:id="255"/>
      <w:bookmarkEnd w:id="256"/>
      <w:bookmarkEnd w:id="257"/>
      <w:bookmarkEnd w:id="258"/>
      <w:r>
        <w:rPr>
          <w:rFonts w:ascii="Times New Roman"/>
        </w:rPr>
        <w:t xml:space="preserve"> </w:t>
      </w:r>
    </w:p>
    <w:p w14:paraId="31894C13">
      <w:pPr>
        <w:pStyle w:val="53"/>
        <w:rPr>
          <w:rFonts w:ascii="Times New Roman"/>
        </w:rPr>
      </w:pPr>
      <w:bookmarkStart w:id="260" w:name="_Toc162893470"/>
      <w:bookmarkStart w:id="261" w:name="_Toc5953"/>
      <w:bookmarkStart w:id="262" w:name="_Toc195801474"/>
      <w:bookmarkStart w:id="263" w:name="_Toc204018315"/>
      <w:bookmarkStart w:id="264" w:name="_Toc23562"/>
      <w:bookmarkStart w:id="265" w:name="_Toc205482087"/>
      <w:bookmarkStart w:id="266" w:name="_Toc205237771"/>
      <w:bookmarkStart w:id="267" w:name="_Toc205222452"/>
      <w:r>
        <w:rPr>
          <w:rFonts w:ascii="Times New Roman"/>
        </w:rPr>
        <w:t>拌合物性能</w:t>
      </w:r>
      <w:bookmarkEnd w:id="260"/>
      <w:bookmarkEnd w:id="261"/>
      <w:bookmarkEnd w:id="262"/>
      <w:bookmarkEnd w:id="263"/>
      <w:bookmarkEnd w:id="264"/>
      <w:bookmarkEnd w:id="265"/>
      <w:bookmarkEnd w:id="266"/>
      <w:bookmarkEnd w:id="267"/>
    </w:p>
    <w:bookmarkEnd w:id="259"/>
    <w:p w14:paraId="6988BE33">
      <w:pPr>
        <w:pStyle w:val="49"/>
        <w:rPr>
          <w:rFonts w:ascii="Times New Roman" w:hAnsi="Times New Roman"/>
        </w:rPr>
      </w:pPr>
      <w:bookmarkStart w:id="268" w:name="_Toc8814"/>
      <w:bookmarkStart w:id="269" w:name="_Toc204018316"/>
      <w:bookmarkStart w:id="270" w:name="_Toc205482088"/>
      <w:bookmarkStart w:id="271" w:name="_Toc205222453"/>
      <w:bookmarkStart w:id="272" w:name="_Toc22366"/>
      <w:r>
        <w:rPr>
          <w:rFonts w:ascii="Times New Roman" w:hAnsi="Times New Roman"/>
        </w:rPr>
        <w:t>复合混凝土拌合物应具有良好的和易性，不应离析或泌水，且坍落度、扩展度、坍落度经时损失和凝结时间应满足施工要求。</w:t>
      </w:r>
      <w:bookmarkEnd w:id="268"/>
      <w:bookmarkEnd w:id="269"/>
      <w:bookmarkEnd w:id="270"/>
      <w:bookmarkEnd w:id="271"/>
      <w:bookmarkEnd w:id="272"/>
    </w:p>
    <w:p w14:paraId="6D5B47EE">
      <w:pPr>
        <w:pStyle w:val="49"/>
        <w:rPr>
          <w:rFonts w:ascii="Times New Roman" w:hAnsi="Times New Roman"/>
        </w:rPr>
      </w:pPr>
      <w:bookmarkStart w:id="273" w:name="_Toc205222454"/>
      <w:bookmarkStart w:id="274" w:name="_Toc31994"/>
      <w:bookmarkStart w:id="275" w:name="_Toc6744"/>
      <w:bookmarkStart w:id="276" w:name="_Toc204018317"/>
      <w:bookmarkStart w:id="277" w:name="_Toc205482089"/>
      <w:r>
        <w:rPr>
          <w:rFonts w:ascii="Times New Roman" w:hAnsi="Times New Roman"/>
        </w:rPr>
        <w:t>复合混凝土拌合物坍落度、扩展度等级划分及允许偏差、拌合物中水溶性氯离子最大含量应符合GB 50164规定。在满足施工工艺要求的前提下，宜采用较小的坍落度。</w:t>
      </w:r>
      <w:bookmarkEnd w:id="273"/>
      <w:bookmarkEnd w:id="274"/>
      <w:bookmarkEnd w:id="275"/>
      <w:bookmarkEnd w:id="276"/>
      <w:bookmarkEnd w:id="277"/>
    </w:p>
    <w:p w14:paraId="2F217B68">
      <w:pPr>
        <w:pStyle w:val="49"/>
        <w:rPr>
          <w:rFonts w:ascii="Times New Roman" w:hAnsi="Times New Roman"/>
        </w:rPr>
      </w:pPr>
      <w:bookmarkStart w:id="278" w:name="_Toc205482090"/>
      <w:bookmarkStart w:id="279" w:name="_Toc205222455"/>
      <w:bookmarkStart w:id="280" w:name="_Toc15338"/>
      <w:bookmarkStart w:id="281" w:name="_Toc204018318"/>
      <w:bookmarkStart w:id="282" w:name="_Toc32495"/>
      <w:r>
        <w:rPr>
          <w:rFonts w:ascii="Times New Roman" w:hAnsi="Times New Roman"/>
        </w:rPr>
        <w:t>复合混凝土拌合物性能应符合以下要求：</w:t>
      </w:r>
      <w:bookmarkEnd w:id="278"/>
      <w:bookmarkEnd w:id="279"/>
    </w:p>
    <w:p w14:paraId="0A970A64">
      <w:pPr>
        <w:pStyle w:val="197"/>
        <w:numPr>
          <w:ilvl w:val="0"/>
          <w:numId w:val="34"/>
        </w:numPr>
        <w:rPr>
          <w:rFonts w:ascii="Times New Roman"/>
        </w:rPr>
      </w:pPr>
      <w:r>
        <w:rPr>
          <w:rFonts w:ascii="Times New Roman"/>
        </w:rPr>
        <w:t>用于先张法预应力混凝土管桩时，符合GB/T 13476的要求；</w:t>
      </w:r>
    </w:p>
    <w:p w14:paraId="3E485623">
      <w:pPr>
        <w:pStyle w:val="197"/>
        <w:numPr>
          <w:ilvl w:val="0"/>
          <w:numId w:val="34"/>
        </w:numPr>
        <w:rPr>
          <w:rFonts w:ascii="Times New Roman"/>
        </w:rPr>
      </w:pPr>
      <w:r>
        <w:rPr>
          <w:rFonts w:ascii="Times New Roman"/>
        </w:rPr>
        <w:t>用于其他预制制品时，应满足该制品制造工艺的要求。</w:t>
      </w:r>
      <w:bookmarkEnd w:id="280"/>
      <w:bookmarkEnd w:id="281"/>
      <w:bookmarkEnd w:id="282"/>
    </w:p>
    <w:p w14:paraId="6EFFCB06">
      <w:pPr>
        <w:pStyle w:val="49"/>
        <w:rPr>
          <w:rFonts w:ascii="Times New Roman" w:hAnsi="Times New Roman"/>
        </w:rPr>
      </w:pPr>
      <w:bookmarkStart w:id="283" w:name="_Toc205222456"/>
      <w:bookmarkStart w:id="284" w:name="_Toc205482091"/>
      <w:bookmarkStart w:id="285" w:name="_Toc31505"/>
      <w:bookmarkStart w:id="286" w:name="_Toc204018319"/>
      <w:bookmarkStart w:id="287" w:name="_Toc32584"/>
      <w:r>
        <w:rPr>
          <w:rFonts w:ascii="Times New Roman" w:hAnsi="Times New Roman"/>
        </w:rPr>
        <w:t>复合混凝土拌合物性能试验方法应符合GB/T 50080的规定。</w:t>
      </w:r>
      <w:bookmarkEnd w:id="283"/>
      <w:bookmarkEnd w:id="284"/>
      <w:bookmarkEnd w:id="285"/>
      <w:bookmarkEnd w:id="286"/>
      <w:bookmarkEnd w:id="287"/>
    </w:p>
    <w:p w14:paraId="1454D58D">
      <w:pPr>
        <w:pStyle w:val="53"/>
        <w:rPr>
          <w:rFonts w:ascii="Times New Roman"/>
        </w:rPr>
      </w:pPr>
      <w:bookmarkStart w:id="288" w:name="_Toc22157"/>
      <w:bookmarkStart w:id="289" w:name="_Toc205222457"/>
      <w:bookmarkStart w:id="290" w:name="_Toc205482092"/>
      <w:bookmarkStart w:id="291" w:name="_Toc205237772"/>
      <w:bookmarkStart w:id="292" w:name="_Toc195801475"/>
      <w:bookmarkStart w:id="293" w:name="_Toc162893471"/>
      <w:bookmarkStart w:id="294" w:name="_Toc204018320"/>
      <w:bookmarkStart w:id="295" w:name="_Toc10491"/>
      <w:r>
        <w:rPr>
          <w:rFonts w:ascii="Times New Roman"/>
        </w:rPr>
        <w:t>力学性能</w:t>
      </w:r>
      <w:bookmarkEnd w:id="288"/>
      <w:bookmarkEnd w:id="289"/>
      <w:bookmarkEnd w:id="290"/>
      <w:bookmarkEnd w:id="291"/>
      <w:bookmarkEnd w:id="292"/>
      <w:bookmarkEnd w:id="293"/>
      <w:bookmarkEnd w:id="294"/>
      <w:bookmarkEnd w:id="295"/>
    </w:p>
    <w:p w14:paraId="1C5A60BD">
      <w:pPr>
        <w:pStyle w:val="49"/>
        <w:rPr>
          <w:rFonts w:ascii="Times New Roman" w:hAnsi="Times New Roman"/>
        </w:rPr>
      </w:pPr>
      <w:bookmarkStart w:id="296" w:name="_Toc205222458"/>
      <w:bookmarkStart w:id="297" w:name="_Toc204018321"/>
      <w:bookmarkStart w:id="298" w:name="_Toc205482093"/>
      <w:bookmarkStart w:id="299" w:name="_Toc6018"/>
      <w:bookmarkStart w:id="300" w:name="_Toc23819"/>
      <w:r>
        <w:rPr>
          <w:rFonts w:ascii="Times New Roman" w:hAnsi="Times New Roman"/>
        </w:rPr>
        <w:t>复合混凝土抗压强度等级应按立方体抗压强度标准值（MPa）划分为C15、C20、C25、C30、C35、C40、C45、C50、C55、C60、C65、C70、C75、C80，其中C70～C80仅适用于预制构件混凝土。</w:t>
      </w:r>
      <w:bookmarkEnd w:id="296"/>
      <w:bookmarkEnd w:id="297"/>
      <w:bookmarkEnd w:id="298"/>
      <w:bookmarkEnd w:id="299"/>
      <w:bookmarkEnd w:id="300"/>
    </w:p>
    <w:p w14:paraId="55158DE5">
      <w:pPr>
        <w:pStyle w:val="49"/>
        <w:rPr>
          <w:rFonts w:ascii="Times New Roman" w:hAnsi="Times New Roman"/>
        </w:rPr>
      </w:pPr>
      <w:bookmarkStart w:id="301" w:name="_Toc204018323"/>
      <w:bookmarkStart w:id="302" w:name="_Toc205222459"/>
      <w:bookmarkStart w:id="303" w:name="_Toc26436"/>
      <w:bookmarkStart w:id="304" w:name="_Toc205482094"/>
      <w:bookmarkStart w:id="305" w:name="_Toc1772"/>
      <w:r>
        <w:rPr>
          <w:rFonts w:ascii="Times New Roman" w:hAnsi="Times New Roman"/>
        </w:rPr>
        <w:t>复合混凝土力学性能试验方法应符合GB/T 50081的规定。</w:t>
      </w:r>
      <w:bookmarkEnd w:id="301"/>
      <w:bookmarkEnd w:id="302"/>
      <w:bookmarkEnd w:id="303"/>
      <w:bookmarkEnd w:id="304"/>
      <w:bookmarkEnd w:id="305"/>
    </w:p>
    <w:p w14:paraId="6D8C59DE">
      <w:pPr>
        <w:pStyle w:val="53"/>
        <w:rPr>
          <w:rFonts w:ascii="Times New Roman"/>
        </w:rPr>
      </w:pPr>
      <w:bookmarkStart w:id="306" w:name="_Toc205482095"/>
      <w:bookmarkStart w:id="307" w:name="_Toc204018324"/>
      <w:bookmarkStart w:id="308" w:name="_Toc195801476"/>
      <w:bookmarkStart w:id="309" w:name="_Toc29834"/>
      <w:bookmarkStart w:id="310" w:name="_Toc205222460"/>
      <w:bookmarkStart w:id="311" w:name="_Toc162893472"/>
      <w:bookmarkStart w:id="312" w:name="_Toc205237773"/>
      <w:bookmarkStart w:id="313" w:name="_Toc19667"/>
      <w:r>
        <w:rPr>
          <w:rFonts w:ascii="Times New Roman"/>
        </w:rPr>
        <w:t>长期性能和耐久性能</w:t>
      </w:r>
      <w:bookmarkEnd w:id="306"/>
      <w:bookmarkEnd w:id="307"/>
      <w:bookmarkEnd w:id="308"/>
      <w:bookmarkEnd w:id="309"/>
      <w:bookmarkEnd w:id="310"/>
      <w:bookmarkEnd w:id="311"/>
      <w:bookmarkEnd w:id="312"/>
      <w:bookmarkEnd w:id="313"/>
    </w:p>
    <w:p w14:paraId="76DEBFA4">
      <w:pPr>
        <w:pStyle w:val="49"/>
        <w:rPr>
          <w:rFonts w:ascii="Times New Roman" w:hAnsi="Times New Roman"/>
        </w:rPr>
      </w:pPr>
      <w:bookmarkStart w:id="314" w:name="_Toc11493"/>
      <w:bookmarkStart w:id="315" w:name="_Toc205222461"/>
      <w:bookmarkStart w:id="316" w:name="_Toc205482096"/>
      <w:bookmarkStart w:id="317" w:name="_Toc21396"/>
      <w:bookmarkStart w:id="318" w:name="_Toc204018325"/>
      <w:r>
        <w:rPr>
          <w:rFonts w:ascii="Times New Roman" w:hAnsi="Times New Roman"/>
        </w:rPr>
        <w:t>复合混凝土长期性能和耐久性能应满足设计要求，试验方法应符合GB/T 50082的规定。</w:t>
      </w:r>
      <w:bookmarkEnd w:id="314"/>
      <w:bookmarkEnd w:id="315"/>
      <w:bookmarkEnd w:id="316"/>
      <w:bookmarkEnd w:id="317"/>
      <w:bookmarkEnd w:id="318"/>
    </w:p>
    <w:p w14:paraId="5FE1874A">
      <w:pPr>
        <w:pStyle w:val="49"/>
        <w:rPr>
          <w:rFonts w:ascii="Times New Roman" w:hAnsi="Times New Roman"/>
        </w:rPr>
      </w:pPr>
      <w:bookmarkStart w:id="319" w:name="_Toc205222462"/>
      <w:bookmarkStart w:id="320" w:name="_Toc32014"/>
      <w:bookmarkStart w:id="321" w:name="_Toc204018326"/>
      <w:bookmarkStart w:id="322" w:name="_Toc205482097"/>
      <w:bookmarkStart w:id="323" w:name="_Toc1877"/>
      <w:r>
        <w:rPr>
          <w:rFonts w:ascii="Times New Roman" w:hAnsi="Times New Roman"/>
        </w:rPr>
        <w:t>复合混凝土碱骨料反应符合GB/T 50733的规定。</w:t>
      </w:r>
      <w:bookmarkEnd w:id="319"/>
      <w:bookmarkEnd w:id="320"/>
      <w:bookmarkEnd w:id="321"/>
      <w:bookmarkEnd w:id="322"/>
      <w:bookmarkEnd w:id="323"/>
    </w:p>
    <w:p w14:paraId="7E7D99DE">
      <w:pPr>
        <w:pStyle w:val="49"/>
        <w:rPr>
          <w:rFonts w:ascii="Times New Roman" w:hAnsi="Times New Roman"/>
        </w:rPr>
      </w:pPr>
      <w:bookmarkStart w:id="324" w:name="_Toc205482098"/>
      <w:bookmarkStart w:id="325" w:name="_Toc204018327"/>
      <w:bookmarkStart w:id="326" w:name="_Toc2339"/>
      <w:bookmarkStart w:id="327" w:name="_Toc205222463"/>
      <w:bookmarkStart w:id="328" w:name="_Toc27239"/>
      <w:r>
        <w:rPr>
          <w:rFonts w:ascii="Times New Roman" w:hAnsi="Times New Roman"/>
        </w:rPr>
        <w:t>复合混凝土的耐久性等级划分，应符合GB 50164的规定。</w:t>
      </w:r>
      <w:bookmarkEnd w:id="324"/>
      <w:bookmarkEnd w:id="325"/>
      <w:bookmarkEnd w:id="326"/>
      <w:bookmarkEnd w:id="327"/>
      <w:bookmarkEnd w:id="328"/>
    </w:p>
    <w:p w14:paraId="0F79E926">
      <w:pPr>
        <w:pStyle w:val="52"/>
        <w:spacing w:before="312" w:after="312"/>
        <w:rPr>
          <w:rFonts w:ascii="Times New Roman"/>
        </w:rPr>
      </w:pPr>
      <w:bookmarkStart w:id="329" w:name="_Toc195801477"/>
      <w:bookmarkStart w:id="330" w:name="_Toc15739"/>
      <w:bookmarkStart w:id="331" w:name="_Toc205482099"/>
      <w:bookmarkStart w:id="332" w:name="_Toc204018328"/>
      <w:bookmarkStart w:id="333" w:name="_Toc15377"/>
      <w:bookmarkStart w:id="334" w:name="_Toc205237774"/>
      <w:bookmarkStart w:id="335" w:name="_Toc162893466"/>
      <w:bookmarkStart w:id="336" w:name="_Toc205222464"/>
      <w:bookmarkStart w:id="337" w:name="_Toc351014958"/>
      <w:r>
        <w:rPr>
          <w:rFonts w:ascii="Times New Roman"/>
        </w:rPr>
        <w:t>配合比设计</w:t>
      </w:r>
      <w:bookmarkEnd w:id="329"/>
      <w:bookmarkEnd w:id="330"/>
      <w:bookmarkEnd w:id="331"/>
      <w:bookmarkEnd w:id="332"/>
      <w:bookmarkEnd w:id="333"/>
      <w:bookmarkEnd w:id="334"/>
      <w:bookmarkEnd w:id="335"/>
      <w:bookmarkEnd w:id="336"/>
    </w:p>
    <w:bookmarkEnd w:id="337"/>
    <w:p w14:paraId="4B9A4106">
      <w:pPr>
        <w:pStyle w:val="53"/>
        <w:rPr>
          <w:rFonts w:ascii="Times New Roman"/>
        </w:rPr>
      </w:pPr>
      <w:bookmarkStart w:id="338" w:name="_Toc195801478"/>
      <w:bookmarkStart w:id="339" w:name="_Toc205482100"/>
      <w:bookmarkStart w:id="340" w:name="_Toc205237775"/>
      <w:bookmarkStart w:id="341" w:name="_Toc62058560"/>
      <w:bookmarkStart w:id="342" w:name="_Toc396893677"/>
      <w:bookmarkStart w:id="343" w:name="_Toc8289"/>
      <w:bookmarkStart w:id="344" w:name="_Toc395621857"/>
      <w:bookmarkStart w:id="345" w:name="_Toc205222465"/>
      <w:bookmarkStart w:id="346" w:name="_Toc204018329"/>
      <w:bookmarkStart w:id="347" w:name="_Toc162893467"/>
      <w:bookmarkStart w:id="348" w:name="_Toc92"/>
      <w:bookmarkStart w:id="349" w:name="_Toc351014959"/>
      <w:r>
        <w:rPr>
          <w:rFonts w:ascii="Times New Roman"/>
        </w:rPr>
        <w:t>一般规定</w:t>
      </w:r>
      <w:bookmarkEnd w:id="338"/>
      <w:bookmarkEnd w:id="339"/>
      <w:bookmarkEnd w:id="340"/>
      <w:bookmarkEnd w:id="341"/>
      <w:bookmarkEnd w:id="342"/>
      <w:bookmarkEnd w:id="343"/>
      <w:bookmarkEnd w:id="344"/>
      <w:bookmarkEnd w:id="345"/>
      <w:bookmarkEnd w:id="346"/>
      <w:bookmarkEnd w:id="347"/>
      <w:bookmarkEnd w:id="348"/>
    </w:p>
    <w:p w14:paraId="7A05087A">
      <w:pPr>
        <w:pStyle w:val="49"/>
        <w:rPr>
          <w:rFonts w:ascii="Times New Roman" w:hAnsi="Times New Roman"/>
        </w:rPr>
      </w:pPr>
      <w:bookmarkStart w:id="350" w:name="_Toc205482101"/>
      <w:bookmarkStart w:id="351" w:name="_Toc205222466"/>
      <w:bookmarkStart w:id="352" w:name="_Toc204018330"/>
      <w:bookmarkStart w:id="353" w:name="_Toc13374"/>
      <w:bookmarkStart w:id="354" w:name="_Toc12392"/>
      <w:r>
        <w:rPr>
          <w:rFonts w:ascii="Times New Roman" w:hAnsi="Times New Roman"/>
        </w:rPr>
        <w:t>复合混凝土配比按JGJ 55中的规定进行设计。强度等级为SCM42.5的复合胶材可等量替代水泥，等量替代后的胶凝材料按照42.5强度等级水泥进行混凝土配合比设计；其他强度等级的复合胶材与水泥混合后，复合胶凝材料28</w:t>
      </w:r>
      <w:r>
        <w:rPr>
          <w:rFonts w:hint="eastAsia" w:ascii="Times New Roman" w:hAnsi="Times New Roman"/>
        </w:rPr>
        <w:t xml:space="preserve"> </w:t>
      </w:r>
      <w:r>
        <w:rPr>
          <w:rFonts w:ascii="Times New Roman" w:hAnsi="Times New Roman"/>
        </w:rPr>
        <w:t>d胶砂抗压强度，应实测，且试验方法应按现行国家标准GB/T 17671执行。根据混凝土强度等级、耐久性和工作性等要求进行配合比设计。</w:t>
      </w:r>
      <w:bookmarkEnd w:id="350"/>
      <w:bookmarkEnd w:id="351"/>
      <w:bookmarkEnd w:id="352"/>
    </w:p>
    <w:p w14:paraId="431EDF52">
      <w:pPr>
        <w:pStyle w:val="49"/>
        <w:rPr>
          <w:rFonts w:ascii="Times New Roman" w:hAnsi="Times New Roman"/>
        </w:rPr>
      </w:pPr>
      <w:bookmarkStart w:id="355" w:name="_Toc205482102"/>
      <w:bookmarkStart w:id="356" w:name="_Toc204018331"/>
      <w:bookmarkStart w:id="357" w:name="_Toc205222467"/>
      <w:r>
        <w:rPr>
          <w:rFonts w:ascii="Times New Roman" w:hAnsi="Times New Roman"/>
        </w:rPr>
        <w:t>复合混凝土配制过程中，宜采用低水胶比、低单位体积用水量，C30等级以上的混凝土设计用水量不宜超过165 kg/m</w:t>
      </w:r>
      <w:r>
        <w:rPr>
          <w:rFonts w:ascii="Times New Roman" w:hAnsi="Times New Roman"/>
          <w:vertAlign w:val="superscript"/>
        </w:rPr>
        <w:t>3</w:t>
      </w:r>
      <w:r>
        <w:rPr>
          <w:rFonts w:ascii="Times New Roman" w:hAnsi="Times New Roman"/>
        </w:rPr>
        <w:t>。</w:t>
      </w:r>
      <w:bookmarkEnd w:id="353"/>
      <w:bookmarkEnd w:id="354"/>
      <w:bookmarkEnd w:id="355"/>
      <w:bookmarkEnd w:id="356"/>
      <w:bookmarkEnd w:id="357"/>
    </w:p>
    <w:p w14:paraId="1DAAE904">
      <w:pPr>
        <w:pStyle w:val="49"/>
        <w:rPr>
          <w:rFonts w:ascii="Times New Roman" w:hAnsi="Times New Roman"/>
        </w:rPr>
      </w:pPr>
      <w:bookmarkStart w:id="358" w:name="_Toc205222468"/>
      <w:bookmarkStart w:id="359" w:name="_Toc205482103"/>
      <w:bookmarkStart w:id="360" w:name="_Toc11498"/>
      <w:bookmarkStart w:id="361" w:name="_Toc4140"/>
      <w:bookmarkStart w:id="362" w:name="_Toc204018332"/>
      <w:r>
        <w:rPr>
          <w:rFonts w:ascii="Times New Roman" w:hAnsi="Times New Roman"/>
        </w:rPr>
        <w:t>配制C25及以下等级混凝土时，复合胶材用量（含其他矿物掺合料）不宜低于340</w:t>
      </w:r>
      <w:r>
        <w:rPr>
          <w:rFonts w:ascii="Times New Roman" w:hAnsi="Times New Roman"/>
          <w:sz w:val="18"/>
          <w:szCs w:val="18"/>
        </w:rPr>
        <w:t xml:space="preserve"> </w:t>
      </w:r>
      <w:r>
        <w:rPr>
          <w:rFonts w:ascii="Times New Roman" w:hAnsi="Times New Roman"/>
          <w:szCs w:val="21"/>
        </w:rPr>
        <w:t>kg/m</w:t>
      </w:r>
      <w:r>
        <w:rPr>
          <w:rFonts w:ascii="Times New Roman" w:hAnsi="Times New Roman"/>
          <w:szCs w:val="21"/>
          <w:vertAlign w:val="superscript"/>
        </w:rPr>
        <w:t>3</w:t>
      </w:r>
      <w:r>
        <w:rPr>
          <w:rFonts w:ascii="Times New Roman" w:hAnsi="Times New Roman"/>
        </w:rPr>
        <w:t xml:space="preserve">；配制C50及以上等级混凝土时，复合胶材用量不宜高于500 </w:t>
      </w:r>
      <w:r>
        <w:rPr>
          <w:rFonts w:ascii="Times New Roman" w:hAnsi="Times New Roman"/>
          <w:szCs w:val="21"/>
        </w:rPr>
        <w:t>kg/m</w:t>
      </w:r>
      <w:r>
        <w:rPr>
          <w:rFonts w:ascii="Times New Roman" w:hAnsi="Times New Roman"/>
          <w:szCs w:val="21"/>
          <w:vertAlign w:val="superscript"/>
        </w:rPr>
        <w:t>3</w:t>
      </w:r>
      <w:r>
        <w:rPr>
          <w:rFonts w:ascii="Times New Roman" w:hAnsi="Times New Roman"/>
        </w:rPr>
        <w:t>。</w:t>
      </w:r>
      <w:bookmarkEnd w:id="358"/>
      <w:bookmarkEnd w:id="359"/>
      <w:bookmarkEnd w:id="360"/>
      <w:bookmarkEnd w:id="361"/>
      <w:bookmarkEnd w:id="362"/>
    </w:p>
    <w:p w14:paraId="087FA891">
      <w:pPr>
        <w:pStyle w:val="53"/>
        <w:rPr>
          <w:rFonts w:ascii="Times New Roman"/>
        </w:rPr>
      </w:pPr>
      <w:bookmarkStart w:id="363" w:name="_Toc205222469"/>
      <w:bookmarkStart w:id="364" w:name="_Toc26623"/>
      <w:bookmarkStart w:id="365" w:name="_Toc162893468"/>
      <w:bookmarkStart w:id="366" w:name="_Toc195801479"/>
      <w:bookmarkStart w:id="367" w:name="_Toc205482104"/>
      <w:bookmarkStart w:id="368" w:name="_Toc28002"/>
      <w:bookmarkStart w:id="369" w:name="_Toc204018333"/>
      <w:bookmarkStart w:id="370" w:name="_Toc205237776"/>
      <w:r>
        <w:rPr>
          <w:rFonts w:ascii="Times New Roman"/>
        </w:rPr>
        <w:t>主要参数</w:t>
      </w:r>
      <w:bookmarkEnd w:id="363"/>
      <w:bookmarkEnd w:id="364"/>
      <w:bookmarkEnd w:id="365"/>
      <w:bookmarkEnd w:id="366"/>
      <w:bookmarkEnd w:id="367"/>
      <w:bookmarkEnd w:id="368"/>
      <w:bookmarkEnd w:id="369"/>
      <w:bookmarkEnd w:id="370"/>
    </w:p>
    <w:p w14:paraId="18DD5EE8">
      <w:pPr>
        <w:pStyle w:val="49"/>
        <w:rPr>
          <w:rFonts w:ascii="Times New Roman" w:hAnsi="Times New Roman"/>
        </w:rPr>
      </w:pPr>
      <w:bookmarkStart w:id="371" w:name="_Toc13875"/>
      <w:bookmarkStart w:id="372" w:name="_Toc205222470"/>
      <w:bookmarkStart w:id="373" w:name="_Toc204018334"/>
      <w:bookmarkStart w:id="374" w:name="_Toc205482105"/>
      <w:bookmarkStart w:id="375" w:name="_Toc18211"/>
      <w:r>
        <w:rPr>
          <w:rFonts w:ascii="Times New Roman" w:hAnsi="Times New Roman"/>
        </w:rPr>
        <w:t>配制复合混凝土时，水胶比、总胶凝材料用量及水泥用量宜符合表7的规定。</w:t>
      </w:r>
      <w:bookmarkEnd w:id="371"/>
      <w:bookmarkEnd w:id="372"/>
      <w:bookmarkEnd w:id="373"/>
      <w:bookmarkEnd w:id="374"/>
      <w:bookmarkEnd w:id="375"/>
    </w:p>
    <w:p w14:paraId="74F9C2EF">
      <w:pPr>
        <w:pStyle w:val="136"/>
        <w:rPr>
          <w:rFonts w:ascii="Times New Roman"/>
        </w:rPr>
      </w:pPr>
      <w:r>
        <w:rPr>
          <w:rFonts w:ascii="Times New Roman"/>
        </w:rPr>
        <w:t>复合混凝土的水胶比、总胶凝材料用量和水泥用量</w:t>
      </w:r>
    </w:p>
    <w:tbl>
      <w:tblPr>
        <w:tblStyle w:val="40"/>
        <w:tblW w:w="5000" w:type="pct"/>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0" w:type="dxa"/>
          <w:bottom w:w="0" w:type="dxa"/>
          <w:right w:w="0" w:type="dxa"/>
        </w:tblCellMar>
      </w:tblPr>
      <w:tblGrid>
        <w:gridCol w:w="1309"/>
        <w:gridCol w:w="2012"/>
        <w:gridCol w:w="3023"/>
        <w:gridCol w:w="3021"/>
      </w:tblGrid>
      <w:tr w14:paraId="37C3663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99" w:type="pct"/>
            <w:tcBorders>
              <w:top w:val="single" w:color="auto" w:sz="4" w:space="0"/>
              <w:left w:val="single" w:color="auto" w:sz="4" w:space="0"/>
              <w:bottom w:val="single" w:color="000000" w:sz="4" w:space="0"/>
              <w:right w:val="single" w:color="000000" w:sz="4" w:space="0"/>
            </w:tcBorders>
            <w:vAlign w:val="center"/>
          </w:tcPr>
          <w:p w14:paraId="0C715CB4">
            <w:pPr>
              <w:pStyle w:val="50"/>
              <w:ind w:firstLine="0" w:firstLineChars="0"/>
              <w:jc w:val="center"/>
              <w:rPr>
                <w:rFonts w:ascii="Times New Roman"/>
                <w:sz w:val="18"/>
                <w:szCs w:val="18"/>
              </w:rPr>
            </w:pPr>
            <w:r>
              <w:rPr>
                <w:rFonts w:ascii="Times New Roman"/>
                <w:sz w:val="18"/>
                <w:szCs w:val="18"/>
              </w:rPr>
              <w:t>强度等级</w:t>
            </w:r>
          </w:p>
        </w:tc>
        <w:tc>
          <w:tcPr>
            <w:tcW w:w="1074" w:type="pct"/>
            <w:tcBorders>
              <w:top w:val="single" w:color="auto" w:sz="4" w:space="0"/>
              <w:left w:val="single" w:color="000000" w:sz="4" w:space="0"/>
              <w:bottom w:val="single" w:color="000000" w:sz="4" w:space="0"/>
              <w:right w:val="single" w:color="000000" w:sz="4" w:space="0"/>
            </w:tcBorders>
            <w:vAlign w:val="center"/>
          </w:tcPr>
          <w:p w14:paraId="423EC510">
            <w:pPr>
              <w:pStyle w:val="50"/>
              <w:ind w:firstLine="0" w:firstLineChars="0"/>
              <w:jc w:val="center"/>
              <w:rPr>
                <w:rFonts w:ascii="Times New Roman"/>
                <w:sz w:val="18"/>
                <w:szCs w:val="18"/>
              </w:rPr>
            </w:pPr>
            <w:r>
              <w:rPr>
                <w:rFonts w:ascii="Times New Roman"/>
                <w:sz w:val="18"/>
                <w:szCs w:val="18"/>
              </w:rPr>
              <w:t>水胶比</w:t>
            </w:r>
          </w:p>
        </w:tc>
        <w:tc>
          <w:tcPr>
            <w:tcW w:w="1614" w:type="pct"/>
            <w:tcBorders>
              <w:top w:val="single" w:color="auto" w:sz="4" w:space="0"/>
              <w:left w:val="single" w:color="000000" w:sz="4" w:space="0"/>
              <w:bottom w:val="single" w:color="000000" w:sz="4" w:space="0"/>
              <w:right w:val="single" w:color="auto" w:sz="4" w:space="0"/>
            </w:tcBorders>
            <w:vAlign w:val="center"/>
          </w:tcPr>
          <w:p w14:paraId="2617BC27">
            <w:pPr>
              <w:pStyle w:val="50"/>
              <w:ind w:firstLine="0" w:firstLineChars="0"/>
              <w:jc w:val="center"/>
              <w:rPr>
                <w:rFonts w:ascii="Times New Roman"/>
                <w:sz w:val="18"/>
                <w:szCs w:val="18"/>
              </w:rPr>
            </w:pPr>
            <w:r>
              <w:rPr>
                <w:rFonts w:ascii="Times New Roman"/>
                <w:sz w:val="18"/>
                <w:szCs w:val="18"/>
              </w:rPr>
              <w:t>总胶凝材料用量/(kg/m</w:t>
            </w:r>
            <w:r>
              <w:rPr>
                <w:rFonts w:ascii="Times New Roman"/>
                <w:sz w:val="18"/>
                <w:szCs w:val="18"/>
                <w:vertAlign w:val="superscript"/>
              </w:rPr>
              <w:t>3</w:t>
            </w:r>
            <w:r>
              <w:rPr>
                <w:rFonts w:ascii="Times New Roman"/>
                <w:sz w:val="18"/>
                <w:szCs w:val="18"/>
              </w:rPr>
              <w:t>)</w:t>
            </w:r>
          </w:p>
        </w:tc>
        <w:tc>
          <w:tcPr>
            <w:tcW w:w="1613" w:type="pct"/>
            <w:tcBorders>
              <w:top w:val="single" w:color="auto" w:sz="4" w:space="0"/>
              <w:left w:val="single" w:color="000000" w:sz="4" w:space="0"/>
              <w:bottom w:val="single" w:color="000000" w:sz="4" w:space="0"/>
              <w:right w:val="single" w:color="auto" w:sz="4" w:space="0"/>
            </w:tcBorders>
            <w:vAlign w:val="center"/>
          </w:tcPr>
          <w:p w14:paraId="0F7A2F20">
            <w:pPr>
              <w:pStyle w:val="50"/>
              <w:ind w:firstLine="0" w:firstLineChars="0"/>
              <w:jc w:val="center"/>
              <w:rPr>
                <w:rFonts w:ascii="Times New Roman"/>
                <w:sz w:val="18"/>
                <w:szCs w:val="18"/>
              </w:rPr>
            </w:pPr>
            <w:r>
              <w:rPr>
                <w:rFonts w:ascii="Times New Roman"/>
                <w:sz w:val="18"/>
                <w:szCs w:val="18"/>
              </w:rPr>
              <w:t>水泥用量/(kg/m</w:t>
            </w:r>
            <w:r>
              <w:rPr>
                <w:rFonts w:ascii="Times New Roman"/>
                <w:sz w:val="18"/>
                <w:szCs w:val="18"/>
                <w:vertAlign w:val="superscript"/>
              </w:rPr>
              <w:t>3</w:t>
            </w:r>
            <w:r>
              <w:rPr>
                <w:rFonts w:ascii="Times New Roman"/>
                <w:sz w:val="18"/>
                <w:szCs w:val="18"/>
              </w:rPr>
              <w:t>)</w:t>
            </w:r>
          </w:p>
        </w:tc>
      </w:tr>
      <w:tr w14:paraId="26E86FC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99" w:type="pct"/>
            <w:tcBorders>
              <w:top w:val="single" w:color="auto" w:sz="4" w:space="0"/>
              <w:left w:val="single" w:color="auto" w:sz="4" w:space="0"/>
              <w:bottom w:val="single" w:color="000000" w:sz="4" w:space="0"/>
              <w:right w:val="single" w:color="000000" w:sz="4" w:space="0"/>
            </w:tcBorders>
            <w:vAlign w:val="center"/>
          </w:tcPr>
          <w:p w14:paraId="5A7C51A9">
            <w:pPr>
              <w:pStyle w:val="50"/>
              <w:ind w:firstLine="0" w:firstLineChars="0"/>
              <w:jc w:val="center"/>
              <w:rPr>
                <w:rFonts w:ascii="Times New Roman"/>
                <w:sz w:val="18"/>
                <w:szCs w:val="18"/>
              </w:rPr>
            </w:pPr>
            <w:r>
              <w:rPr>
                <w:rFonts w:ascii="Times New Roman"/>
                <w:sz w:val="18"/>
                <w:szCs w:val="18"/>
              </w:rPr>
              <w:t>C15</w:t>
            </w:r>
          </w:p>
        </w:tc>
        <w:tc>
          <w:tcPr>
            <w:tcW w:w="1074" w:type="pct"/>
            <w:tcBorders>
              <w:top w:val="single" w:color="auto" w:sz="4" w:space="0"/>
              <w:left w:val="single" w:color="000000" w:sz="4" w:space="0"/>
              <w:bottom w:val="single" w:color="000000" w:sz="4" w:space="0"/>
              <w:right w:val="single" w:color="000000" w:sz="4" w:space="0"/>
            </w:tcBorders>
            <w:vAlign w:val="center"/>
          </w:tcPr>
          <w:p w14:paraId="5A3FF22D">
            <w:pPr>
              <w:pStyle w:val="50"/>
              <w:ind w:firstLine="0" w:firstLineChars="0"/>
              <w:jc w:val="center"/>
              <w:rPr>
                <w:rFonts w:ascii="Times New Roman"/>
                <w:sz w:val="18"/>
                <w:szCs w:val="18"/>
              </w:rPr>
            </w:pPr>
            <w:r>
              <w:rPr>
                <w:rFonts w:ascii="Times New Roman"/>
                <w:sz w:val="18"/>
                <w:szCs w:val="18"/>
              </w:rPr>
              <w:t>0.55～0.58</w:t>
            </w:r>
          </w:p>
        </w:tc>
        <w:tc>
          <w:tcPr>
            <w:tcW w:w="1614" w:type="pct"/>
            <w:tcBorders>
              <w:top w:val="single" w:color="auto" w:sz="4" w:space="0"/>
              <w:left w:val="single" w:color="000000" w:sz="4" w:space="0"/>
              <w:bottom w:val="single" w:color="000000" w:sz="4" w:space="0"/>
              <w:right w:val="single" w:color="auto" w:sz="4" w:space="0"/>
            </w:tcBorders>
            <w:vAlign w:val="center"/>
          </w:tcPr>
          <w:p w14:paraId="47923797">
            <w:pPr>
              <w:pStyle w:val="50"/>
              <w:ind w:firstLine="0" w:firstLineChars="0"/>
              <w:jc w:val="center"/>
              <w:rPr>
                <w:rFonts w:ascii="Times New Roman"/>
                <w:sz w:val="18"/>
                <w:szCs w:val="18"/>
              </w:rPr>
            </w:pPr>
            <w:r>
              <w:rPr>
                <w:rFonts w:ascii="Times New Roman"/>
                <w:sz w:val="18"/>
                <w:szCs w:val="18"/>
              </w:rPr>
              <w:t>≥340</w:t>
            </w:r>
          </w:p>
        </w:tc>
        <w:tc>
          <w:tcPr>
            <w:tcW w:w="1613" w:type="pct"/>
            <w:vMerge w:val="restart"/>
            <w:tcBorders>
              <w:top w:val="single" w:color="auto" w:sz="4" w:space="0"/>
              <w:left w:val="single" w:color="000000" w:sz="4" w:space="0"/>
              <w:right w:val="single" w:color="auto" w:sz="4" w:space="0"/>
            </w:tcBorders>
            <w:vAlign w:val="center"/>
          </w:tcPr>
          <w:p w14:paraId="14E7B8E3">
            <w:pPr>
              <w:pStyle w:val="50"/>
              <w:ind w:firstLine="0" w:firstLineChars="0"/>
              <w:jc w:val="center"/>
              <w:rPr>
                <w:rFonts w:ascii="Times New Roman"/>
                <w:sz w:val="18"/>
                <w:szCs w:val="18"/>
              </w:rPr>
            </w:pPr>
            <w:r>
              <w:rPr>
                <w:rFonts w:ascii="Times New Roman"/>
                <w:sz w:val="18"/>
                <w:szCs w:val="18"/>
              </w:rPr>
              <w:t>-</w:t>
            </w:r>
          </w:p>
        </w:tc>
      </w:tr>
      <w:tr w14:paraId="5CC1C376">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99" w:type="pct"/>
            <w:tcBorders>
              <w:top w:val="single" w:color="auto" w:sz="4" w:space="0"/>
              <w:left w:val="single" w:color="auto" w:sz="4" w:space="0"/>
              <w:bottom w:val="single" w:color="000000" w:sz="4" w:space="0"/>
              <w:right w:val="single" w:color="000000" w:sz="4" w:space="0"/>
            </w:tcBorders>
            <w:vAlign w:val="center"/>
          </w:tcPr>
          <w:p w14:paraId="6148688B">
            <w:pPr>
              <w:pStyle w:val="50"/>
              <w:ind w:firstLine="0" w:firstLineChars="0"/>
              <w:jc w:val="center"/>
              <w:rPr>
                <w:rFonts w:ascii="Times New Roman"/>
                <w:sz w:val="18"/>
                <w:szCs w:val="18"/>
              </w:rPr>
            </w:pPr>
            <w:r>
              <w:rPr>
                <w:rFonts w:ascii="Times New Roman"/>
                <w:sz w:val="18"/>
                <w:szCs w:val="18"/>
              </w:rPr>
              <w:t>C20</w:t>
            </w:r>
          </w:p>
        </w:tc>
        <w:tc>
          <w:tcPr>
            <w:tcW w:w="1074" w:type="pct"/>
            <w:tcBorders>
              <w:top w:val="single" w:color="auto" w:sz="4" w:space="0"/>
              <w:left w:val="single" w:color="000000" w:sz="4" w:space="0"/>
              <w:bottom w:val="single" w:color="000000" w:sz="4" w:space="0"/>
              <w:right w:val="single" w:color="000000" w:sz="4" w:space="0"/>
            </w:tcBorders>
            <w:vAlign w:val="center"/>
          </w:tcPr>
          <w:p w14:paraId="5520C27F">
            <w:pPr>
              <w:pStyle w:val="50"/>
              <w:ind w:firstLine="0" w:firstLineChars="0"/>
              <w:jc w:val="center"/>
              <w:rPr>
                <w:rFonts w:ascii="Times New Roman"/>
                <w:sz w:val="18"/>
                <w:szCs w:val="18"/>
              </w:rPr>
            </w:pPr>
            <w:r>
              <w:rPr>
                <w:rFonts w:ascii="Times New Roman"/>
                <w:sz w:val="18"/>
                <w:szCs w:val="18"/>
              </w:rPr>
              <w:t>0.53～0.56</w:t>
            </w:r>
          </w:p>
        </w:tc>
        <w:tc>
          <w:tcPr>
            <w:tcW w:w="1614" w:type="pct"/>
            <w:tcBorders>
              <w:top w:val="single" w:color="auto" w:sz="4" w:space="0"/>
              <w:left w:val="single" w:color="000000" w:sz="4" w:space="0"/>
              <w:bottom w:val="single" w:color="000000" w:sz="4" w:space="0"/>
              <w:right w:val="single" w:color="auto" w:sz="4" w:space="0"/>
            </w:tcBorders>
            <w:vAlign w:val="center"/>
          </w:tcPr>
          <w:p w14:paraId="4EA53199">
            <w:pPr>
              <w:pStyle w:val="50"/>
              <w:ind w:firstLine="0" w:firstLineChars="0"/>
              <w:jc w:val="center"/>
              <w:rPr>
                <w:rFonts w:ascii="Times New Roman"/>
                <w:sz w:val="18"/>
                <w:szCs w:val="18"/>
              </w:rPr>
            </w:pPr>
            <w:r>
              <w:rPr>
                <w:rFonts w:ascii="Times New Roman"/>
                <w:sz w:val="18"/>
                <w:szCs w:val="18"/>
              </w:rPr>
              <w:t>≥350</w:t>
            </w:r>
          </w:p>
        </w:tc>
        <w:tc>
          <w:tcPr>
            <w:tcW w:w="1613" w:type="pct"/>
            <w:vMerge w:val="continue"/>
            <w:tcBorders>
              <w:left w:val="single" w:color="000000" w:sz="4" w:space="0"/>
              <w:bottom w:val="single" w:color="000000" w:sz="4" w:space="0"/>
              <w:right w:val="single" w:color="auto" w:sz="4" w:space="0"/>
            </w:tcBorders>
            <w:vAlign w:val="center"/>
          </w:tcPr>
          <w:p w14:paraId="15E03B29">
            <w:pPr>
              <w:pStyle w:val="50"/>
              <w:ind w:firstLine="0" w:firstLineChars="0"/>
              <w:jc w:val="center"/>
              <w:rPr>
                <w:rFonts w:ascii="Times New Roman"/>
                <w:sz w:val="18"/>
                <w:szCs w:val="18"/>
              </w:rPr>
            </w:pPr>
          </w:p>
        </w:tc>
      </w:tr>
      <w:tr w14:paraId="0D79425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99" w:type="pct"/>
            <w:tcBorders>
              <w:top w:val="single" w:color="auto" w:sz="4" w:space="0"/>
              <w:left w:val="single" w:color="auto" w:sz="4" w:space="0"/>
              <w:bottom w:val="single" w:color="000000" w:sz="4" w:space="0"/>
              <w:right w:val="single" w:color="000000" w:sz="4" w:space="0"/>
            </w:tcBorders>
            <w:vAlign w:val="center"/>
          </w:tcPr>
          <w:p w14:paraId="48132773">
            <w:pPr>
              <w:pStyle w:val="50"/>
              <w:ind w:firstLine="0" w:firstLineChars="0"/>
              <w:jc w:val="center"/>
              <w:rPr>
                <w:rFonts w:ascii="Times New Roman"/>
                <w:sz w:val="18"/>
                <w:szCs w:val="18"/>
              </w:rPr>
            </w:pPr>
            <w:r>
              <w:rPr>
                <w:rFonts w:ascii="Times New Roman"/>
                <w:sz w:val="18"/>
                <w:szCs w:val="18"/>
              </w:rPr>
              <w:t>C25</w:t>
            </w:r>
          </w:p>
        </w:tc>
        <w:tc>
          <w:tcPr>
            <w:tcW w:w="1074" w:type="pct"/>
            <w:tcBorders>
              <w:top w:val="single" w:color="auto" w:sz="4" w:space="0"/>
              <w:left w:val="single" w:color="000000" w:sz="4" w:space="0"/>
              <w:bottom w:val="single" w:color="000000" w:sz="4" w:space="0"/>
              <w:right w:val="single" w:color="000000" w:sz="4" w:space="0"/>
            </w:tcBorders>
            <w:vAlign w:val="center"/>
          </w:tcPr>
          <w:p w14:paraId="6D8174CA">
            <w:pPr>
              <w:pStyle w:val="50"/>
              <w:ind w:firstLine="0" w:firstLineChars="0"/>
              <w:jc w:val="center"/>
              <w:rPr>
                <w:rFonts w:ascii="Times New Roman"/>
                <w:sz w:val="18"/>
                <w:szCs w:val="18"/>
              </w:rPr>
            </w:pPr>
            <w:r>
              <w:rPr>
                <w:rFonts w:ascii="Times New Roman"/>
                <w:sz w:val="18"/>
                <w:szCs w:val="18"/>
              </w:rPr>
              <w:t>0.49～0.54</w:t>
            </w:r>
          </w:p>
        </w:tc>
        <w:tc>
          <w:tcPr>
            <w:tcW w:w="1614" w:type="pct"/>
            <w:tcBorders>
              <w:top w:val="single" w:color="auto" w:sz="4" w:space="0"/>
              <w:left w:val="single" w:color="000000" w:sz="4" w:space="0"/>
              <w:bottom w:val="single" w:color="000000" w:sz="4" w:space="0"/>
              <w:right w:val="single" w:color="auto" w:sz="4" w:space="0"/>
            </w:tcBorders>
            <w:vAlign w:val="center"/>
          </w:tcPr>
          <w:p w14:paraId="27C58F0A">
            <w:pPr>
              <w:pStyle w:val="50"/>
              <w:ind w:firstLine="0" w:firstLineChars="0"/>
              <w:jc w:val="center"/>
              <w:rPr>
                <w:rFonts w:ascii="Times New Roman"/>
                <w:sz w:val="18"/>
                <w:szCs w:val="18"/>
              </w:rPr>
            </w:pPr>
            <w:r>
              <w:rPr>
                <w:rFonts w:ascii="Times New Roman"/>
                <w:sz w:val="18"/>
                <w:szCs w:val="18"/>
              </w:rPr>
              <w:t>≥365</w:t>
            </w:r>
          </w:p>
        </w:tc>
        <w:tc>
          <w:tcPr>
            <w:tcW w:w="1613" w:type="pct"/>
            <w:tcBorders>
              <w:top w:val="single" w:color="auto" w:sz="4" w:space="0"/>
              <w:left w:val="single" w:color="000000" w:sz="4" w:space="0"/>
              <w:bottom w:val="single" w:color="000000" w:sz="4" w:space="0"/>
              <w:right w:val="single" w:color="auto" w:sz="4" w:space="0"/>
            </w:tcBorders>
            <w:vAlign w:val="center"/>
          </w:tcPr>
          <w:p w14:paraId="4350CD15">
            <w:pPr>
              <w:pStyle w:val="50"/>
              <w:ind w:firstLine="0" w:firstLineChars="0"/>
              <w:jc w:val="center"/>
              <w:rPr>
                <w:rFonts w:ascii="Times New Roman"/>
                <w:sz w:val="18"/>
                <w:szCs w:val="18"/>
              </w:rPr>
            </w:pPr>
            <w:r>
              <w:rPr>
                <w:rFonts w:ascii="Times New Roman"/>
                <w:sz w:val="18"/>
                <w:szCs w:val="18"/>
              </w:rPr>
              <w:t>-</w:t>
            </w:r>
          </w:p>
        </w:tc>
      </w:tr>
      <w:tr w14:paraId="53A586E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99" w:type="pct"/>
            <w:tcBorders>
              <w:top w:val="single" w:color="000000" w:sz="4" w:space="0"/>
              <w:left w:val="single" w:color="auto" w:sz="4" w:space="0"/>
              <w:bottom w:val="single" w:color="000000" w:sz="4" w:space="0"/>
              <w:right w:val="single" w:color="000000" w:sz="4" w:space="0"/>
            </w:tcBorders>
            <w:vAlign w:val="center"/>
          </w:tcPr>
          <w:p w14:paraId="3BC7A4B9">
            <w:pPr>
              <w:pStyle w:val="50"/>
              <w:ind w:firstLine="0" w:firstLineChars="0"/>
              <w:jc w:val="center"/>
              <w:rPr>
                <w:rFonts w:ascii="Times New Roman"/>
                <w:sz w:val="18"/>
                <w:szCs w:val="18"/>
              </w:rPr>
            </w:pPr>
            <w:r>
              <w:rPr>
                <w:rFonts w:ascii="Times New Roman"/>
                <w:sz w:val="18"/>
                <w:szCs w:val="18"/>
              </w:rPr>
              <w:t>C30</w:t>
            </w:r>
          </w:p>
        </w:tc>
        <w:tc>
          <w:tcPr>
            <w:tcW w:w="1074" w:type="pct"/>
            <w:tcBorders>
              <w:top w:val="single" w:color="000000" w:sz="4" w:space="0"/>
              <w:left w:val="single" w:color="000000" w:sz="4" w:space="0"/>
              <w:bottom w:val="single" w:color="000000" w:sz="4" w:space="0"/>
              <w:right w:val="single" w:color="000000" w:sz="4" w:space="0"/>
            </w:tcBorders>
            <w:vAlign w:val="center"/>
          </w:tcPr>
          <w:p w14:paraId="17E68C85">
            <w:pPr>
              <w:pStyle w:val="50"/>
              <w:ind w:firstLine="0" w:firstLineChars="0"/>
              <w:jc w:val="center"/>
              <w:rPr>
                <w:rFonts w:ascii="Times New Roman"/>
                <w:sz w:val="18"/>
                <w:szCs w:val="18"/>
              </w:rPr>
            </w:pPr>
            <w:r>
              <w:rPr>
                <w:rFonts w:ascii="Times New Roman"/>
                <w:sz w:val="18"/>
                <w:szCs w:val="18"/>
              </w:rPr>
              <w:t>0.39～0.44</w:t>
            </w:r>
          </w:p>
        </w:tc>
        <w:tc>
          <w:tcPr>
            <w:tcW w:w="1614" w:type="pct"/>
            <w:tcBorders>
              <w:top w:val="single" w:color="000000" w:sz="4" w:space="0"/>
              <w:left w:val="single" w:color="000000" w:sz="4" w:space="0"/>
              <w:bottom w:val="single" w:color="000000" w:sz="4" w:space="0"/>
              <w:right w:val="single" w:color="auto" w:sz="4" w:space="0"/>
            </w:tcBorders>
            <w:vAlign w:val="center"/>
          </w:tcPr>
          <w:p w14:paraId="4D60A43F">
            <w:pPr>
              <w:pStyle w:val="50"/>
              <w:ind w:firstLine="0" w:firstLineChars="0"/>
              <w:jc w:val="center"/>
              <w:rPr>
                <w:rFonts w:ascii="Times New Roman"/>
                <w:sz w:val="18"/>
                <w:szCs w:val="18"/>
              </w:rPr>
            </w:pPr>
            <w:r>
              <w:rPr>
                <w:rFonts w:ascii="Times New Roman"/>
                <w:sz w:val="18"/>
                <w:szCs w:val="18"/>
              </w:rPr>
              <w:t>≥375</w:t>
            </w:r>
          </w:p>
        </w:tc>
        <w:tc>
          <w:tcPr>
            <w:tcW w:w="1613" w:type="pct"/>
            <w:tcBorders>
              <w:top w:val="single" w:color="000000" w:sz="4" w:space="0"/>
              <w:left w:val="single" w:color="000000" w:sz="4" w:space="0"/>
              <w:bottom w:val="single" w:color="000000" w:sz="4" w:space="0"/>
              <w:right w:val="single" w:color="auto" w:sz="4" w:space="0"/>
            </w:tcBorders>
            <w:vAlign w:val="center"/>
          </w:tcPr>
          <w:p w14:paraId="404442CB">
            <w:pPr>
              <w:pStyle w:val="50"/>
              <w:ind w:firstLine="0" w:firstLineChars="0"/>
              <w:jc w:val="center"/>
              <w:rPr>
                <w:rFonts w:ascii="Times New Roman"/>
                <w:sz w:val="18"/>
                <w:szCs w:val="18"/>
              </w:rPr>
            </w:pPr>
            <w:r>
              <w:rPr>
                <w:rFonts w:ascii="Times New Roman"/>
                <w:sz w:val="18"/>
                <w:szCs w:val="18"/>
              </w:rPr>
              <w:t>≥120</w:t>
            </w:r>
          </w:p>
        </w:tc>
      </w:tr>
      <w:tr w14:paraId="1E2E953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99" w:type="pct"/>
            <w:tcBorders>
              <w:top w:val="single" w:color="000000" w:sz="4" w:space="0"/>
              <w:left w:val="single" w:color="auto" w:sz="4" w:space="0"/>
              <w:bottom w:val="single" w:color="000000" w:sz="4" w:space="0"/>
              <w:right w:val="single" w:color="000000" w:sz="4" w:space="0"/>
            </w:tcBorders>
            <w:vAlign w:val="center"/>
          </w:tcPr>
          <w:p w14:paraId="0AFD6D58">
            <w:pPr>
              <w:pStyle w:val="50"/>
              <w:ind w:firstLine="0" w:firstLineChars="0"/>
              <w:jc w:val="center"/>
              <w:rPr>
                <w:rFonts w:ascii="Times New Roman"/>
                <w:sz w:val="18"/>
                <w:szCs w:val="18"/>
              </w:rPr>
            </w:pPr>
            <w:r>
              <w:rPr>
                <w:rFonts w:ascii="Times New Roman"/>
                <w:sz w:val="18"/>
                <w:szCs w:val="18"/>
              </w:rPr>
              <w:t>C35</w:t>
            </w:r>
          </w:p>
        </w:tc>
        <w:tc>
          <w:tcPr>
            <w:tcW w:w="1074" w:type="pct"/>
            <w:tcBorders>
              <w:top w:val="single" w:color="000000" w:sz="4" w:space="0"/>
              <w:left w:val="single" w:color="000000" w:sz="4" w:space="0"/>
              <w:bottom w:val="single" w:color="000000" w:sz="4" w:space="0"/>
              <w:right w:val="single" w:color="000000" w:sz="4" w:space="0"/>
            </w:tcBorders>
            <w:vAlign w:val="center"/>
          </w:tcPr>
          <w:p w14:paraId="4CD5481A">
            <w:pPr>
              <w:pStyle w:val="50"/>
              <w:ind w:firstLine="0" w:firstLineChars="0"/>
              <w:jc w:val="center"/>
              <w:rPr>
                <w:rFonts w:ascii="Times New Roman"/>
                <w:sz w:val="18"/>
                <w:szCs w:val="18"/>
              </w:rPr>
            </w:pPr>
            <w:r>
              <w:rPr>
                <w:rFonts w:ascii="Times New Roman"/>
                <w:sz w:val="18"/>
                <w:szCs w:val="18"/>
              </w:rPr>
              <w:t>0.37～0.42</w:t>
            </w:r>
          </w:p>
        </w:tc>
        <w:tc>
          <w:tcPr>
            <w:tcW w:w="1614" w:type="pct"/>
            <w:tcBorders>
              <w:top w:val="single" w:color="000000" w:sz="4" w:space="0"/>
              <w:left w:val="single" w:color="000000" w:sz="4" w:space="0"/>
              <w:bottom w:val="single" w:color="000000" w:sz="4" w:space="0"/>
              <w:right w:val="single" w:color="auto" w:sz="4" w:space="0"/>
            </w:tcBorders>
            <w:vAlign w:val="center"/>
          </w:tcPr>
          <w:p w14:paraId="378490F7">
            <w:pPr>
              <w:pStyle w:val="50"/>
              <w:ind w:firstLine="0" w:firstLineChars="0"/>
              <w:jc w:val="center"/>
              <w:rPr>
                <w:rFonts w:ascii="Times New Roman"/>
                <w:sz w:val="18"/>
                <w:szCs w:val="18"/>
              </w:rPr>
            </w:pPr>
            <w:r>
              <w:rPr>
                <w:rFonts w:ascii="Times New Roman"/>
                <w:sz w:val="18"/>
                <w:szCs w:val="18"/>
              </w:rPr>
              <w:t>≥390</w:t>
            </w:r>
          </w:p>
        </w:tc>
        <w:tc>
          <w:tcPr>
            <w:tcW w:w="1613" w:type="pct"/>
            <w:tcBorders>
              <w:top w:val="single" w:color="000000" w:sz="4" w:space="0"/>
              <w:left w:val="single" w:color="000000" w:sz="4" w:space="0"/>
              <w:bottom w:val="single" w:color="000000" w:sz="4" w:space="0"/>
              <w:right w:val="single" w:color="auto" w:sz="4" w:space="0"/>
            </w:tcBorders>
            <w:vAlign w:val="center"/>
          </w:tcPr>
          <w:p w14:paraId="37A274ED">
            <w:pPr>
              <w:pStyle w:val="50"/>
              <w:ind w:firstLine="0" w:firstLineChars="0"/>
              <w:jc w:val="center"/>
              <w:rPr>
                <w:rFonts w:ascii="Times New Roman"/>
                <w:sz w:val="18"/>
                <w:szCs w:val="18"/>
              </w:rPr>
            </w:pPr>
            <w:r>
              <w:rPr>
                <w:rFonts w:ascii="Times New Roman"/>
                <w:sz w:val="18"/>
                <w:szCs w:val="18"/>
              </w:rPr>
              <w:t>≥140</w:t>
            </w:r>
          </w:p>
        </w:tc>
      </w:tr>
      <w:tr w14:paraId="09BCF26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99" w:type="pct"/>
            <w:tcBorders>
              <w:top w:val="single" w:color="000000" w:sz="4" w:space="0"/>
              <w:left w:val="single" w:color="auto" w:sz="4" w:space="0"/>
              <w:bottom w:val="single" w:color="000000" w:sz="4" w:space="0"/>
              <w:right w:val="single" w:color="000000" w:sz="4" w:space="0"/>
            </w:tcBorders>
            <w:vAlign w:val="center"/>
          </w:tcPr>
          <w:p w14:paraId="4AB7B726">
            <w:pPr>
              <w:pStyle w:val="50"/>
              <w:ind w:firstLine="0" w:firstLineChars="0"/>
              <w:jc w:val="center"/>
              <w:rPr>
                <w:rFonts w:ascii="Times New Roman"/>
                <w:sz w:val="18"/>
                <w:szCs w:val="18"/>
              </w:rPr>
            </w:pPr>
            <w:r>
              <w:rPr>
                <w:rFonts w:ascii="Times New Roman"/>
                <w:sz w:val="18"/>
                <w:szCs w:val="18"/>
              </w:rPr>
              <w:t>C40</w:t>
            </w:r>
          </w:p>
        </w:tc>
        <w:tc>
          <w:tcPr>
            <w:tcW w:w="1074" w:type="pct"/>
            <w:tcBorders>
              <w:top w:val="single" w:color="000000" w:sz="4" w:space="0"/>
              <w:left w:val="single" w:color="000000" w:sz="4" w:space="0"/>
              <w:bottom w:val="single" w:color="000000" w:sz="4" w:space="0"/>
              <w:right w:val="single" w:color="000000" w:sz="4" w:space="0"/>
            </w:tcBorders>
            <w:vAlign w:val="center"/>
          </w:tcPr>
          <w:p w14:paraId="71BE064B">
            <w:pPr>
              <w:pStyle w:val="50"/>
              <w:ind w:firstLine="0" w:firstLineChars="0"/>
              <w:jc w:val="center"/>
              <w:rPr>
                <w:rFonts w:ascii="Times New Roman"/>
                <w:sz w:val="18"/>
                <w:szCs w:val="18"/>
              </w:rPr>
            </w:pPr>
            <w:r>
              <w:rPr>
                <w:rFonts w:ascii="Times New Roman"/>
                <w:sz w:val="18"/>
                <w:szCs w:val="18"/>
              </w:rPr>
              <w:t>0.34～0.39</w:t>
            </w:r>
          </w:p>
        </w:tc>
        <w:tc>
          <w:tcPr>
            <w:tcW w:w="1614" w:type="pct"/>
            <w:tcBorders>
              <w:top w:val="single" w:color="000000" w:sz="4" w:space="0"/>
              <w:left w:val="single" w:color="000000" w:sz="4" w:space="0"/>
              <w:bottom w:val="single" w:color="000000" w:sz="4" w:space="0"/>
              <w:right w:val="single" w:color="auto" w:sz="4" w:space="0"/>
            </w:tcBorders>
            <w:vAlign w:val="center"/>
          </w:tcPr>
          <w:p w14:paraId="446733E3">
            <w:pPr>
              <w:pStyle w:val="50"/>
              <w:ind w:firstLine="0" w:firstLineChars="0"/>
              <w:jc w:val="center"/>
              <w:rPr>
                <w:rFonts w:ascii="Times New Roman"/>
                <w:sz w:val="18"/>
                <w:szCs w:val="18"/>
              </w:rPr>
            </w:pPr>
            <w:r>
              <w:rPr>
                <w:rFonts w:ascii="Times New Roman"/>
                <w:sz w:val="18"/>
                <w:szCs w:val="18"/>
              </w:rPr>
              <w:t>≥410</w:t>
            </w:r>
          </w:p>
        </w:tc>
        <w:tc>
          <w:tcPr>
            <w:tcW w:w="1613" w:type="pct"/>
            <w:tcBorders>
              <w:top w:val="single" w:color="000000" w:sz="4" w:space="0"/>
              <w:left w:val="single" w:color="000000" w:sz="4" w:space="0"/>
              <w:bottom w:val="single" w:color="000000" w:sz="4" w:space="0"/>
              <w:right w:val="single" w:color="auto" w:sz="4" w:space="0"/>
            </w:tcBorders>
            <w:vAlign w:val="center"/>
          </w:tcPr>
          <w:p w14:paraId="713219EF">
            <w:pPr>
              <w:pStyle w:val="50"/>
              <w:ind w:firstLine="0" w:firstLineChars="0"/>
              <w:jc w:val="center"/>
              <w:rPr>
                <w:rFonts w:ascii="Times New Roman"/>
                <w:sz w:val="18"/>
                <w:szCs w:val="18"/>
              </w:rPr>
            </w:pPr>
            <w:r>
              <w:rPr>
                <w:rFonts w:ascii="Times New Roman"/>
                <w:sz w:val="18"/>
                <w:szCs w:val="18"/>
              </w:rPr>
              <w:t>≥160</w:t>
            </w:r>
          </w:p>
        </w:tc>
      </w:tr>
      <w:tr w14:paraId="32E7512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99" w:type="pct"/>
            <w:tcBorders>
              <w:top w:val="single" w:color="000000" w:sz="4" w:space="0"/>
              <w:left w:val="single" w:color="auto" w:sz="4" w:space="0"/>
              <w:bottom w:val="single" w:color="auto" w:sz="4" w:space="0"/>
              <w:right w:val="single" w:color="000000" w:sz="4" w:space="0"/>
            </w:tcBorders>
            <w:vAlign w:val="center"/>
          </w:tcPr>
          <w:p w14:paraId="4C66DDA8">
            <w:pPr>
              <w:pStyle w:val="50"/>
              <w:ind w:firstLine="0" w:firstLineChars="0"/>
              <w:jc w:val="center"/>
              <w:rPr>
                <w:rFonts w:ascii="Times New Roman"/>
                <w:sz w:val="18"/>
                <w:szCs w:val="18"/>
              </w:rPr>
            </w:pPr>
            <w:r>
              <w:rPr>
                <w:rFonts w:ascii="Times New Roman"/>
                <w:sz w:val="18"/>
                <w:szCs w:val="18"/>
              </w:rPr>
              <w:t>C45</w:t>
            </w:r>
          </w:p>
        </w:tc>
        <w:tc>
          <w:tcPr>
            <w:tcW w:w="1074" w:type="pct"/>
            <w:tcBorders>
              <w:top w:val="single" w:color="000000" w:sz="4" w:space="0"/>
              <w:left w:val="single" w:color="000000" w:sz="4" w:space="0"/>
              <w:bottom w:val="single" w:color="auto" w:sz="4" w:space="0"/>
              <w:right w:val="single" w:color="000000" w:sz="4" w:space="0"/>
            </w:tcBorders>
            <w:vAlign w:val="center"/>
          </w:tcPr>
          <w:p w14:paraId="71A07281">
            <w:pPr>
              <w:pStyle w:val="50"/>
              <w:ind w:firstLine="0" w:firstLineChars="0"/>
              <w:jc w:val="center"/>
              <w:rPr>
                <w:rFonts w:ascii="Times New Roman"/>
                <w:sz w:val="18"/>
                <w:szCs w:val="18"/>
              </w:rPr>
            </w:pPr>
            <w:r>
              <w:rPr>
                <w:rFonts w:ascii="Times New Roman"/>
                <w:sz w:val="18"/>
                <w:szCs w:val="18"/>
              </w:rPr>
              <w:t>0.32～0.37</w:t>
            </w:r>
          </w:p>
        </w:tc>
        <w:tc>
          <w:tcPr>
            <w:tcW w:w="1614" w:type="pct"/>
            <w:tcBorders>
              <w:top w:val="single" w:color="000000" w:sz="4" w:space="0"/>
              <w:left w:val="single" w:color="000000" w:sz="4" w:space="0"/>
              <w:bottom w:val="single" w:color="auto" w:sz="4" w:space="0"/>
              <w:right w:val="single" w:color="auto" w:sz="4" w:space="0"/>
            </w:tcBorders>
            <w:vAlign w:val="center"/>
          </w:tcPr>
          <w:p w14:paraId="0A604882">
            <w:pPr>
              <w:pStyle w:val="50"/>
              <w:ind w:firstLine="0" w:firstLineChars="0"/>
              <w:jc w:val="center"/>
              <w:rPr>
                <w:rFonts w:ascii="Times New Roman"/>
                <w:sz w:val="18"/>
                <w:szCs w:val="18"/>
              </w:rPr>
            </w:pPr>
            <w:r>
              <w:rPr>
                <w:rFonts w:ascii="Times New Roman"/>
                <w:sz w:val="18"/>
                <w:szCs w:val="18"/>
              </w:rPr>
              <w:t>≥430</w:t>
            </w:r>
          </w:p>
        </w:tc>
        <w:tc>
          <w:tcPr>
            <w:tcW w:w="1613" w:type="pct"/>
            <w:tcBorders>
              <w:top w:val="single" w:color="000000" w:sz="4" w:space="0"/>
              <w:left w:val="single" w:color="000000" w:sz="4" w:space="0"/>
              <w:bottom w:val="single" w:color="auto" w:sz="4" w:space="0"/>
              <w:right w:val="single" w:color="auto" w:sz="4" w:space="0"/>
            </w:tcBorders>
            <w:vAlign w:val="center"/>
          </w:tcPr>
          <w:p w14:paraId="182B5CCA">
            <w:pPr>
              <w:pStyle w:val="50"/>
              <w:ind w:firstLine="0" w:firstLineChars="0"/>
              <w:jc w:val="center"/>
              <w:rPr>
                <w:rFonts w:ascii="Times New Roman"/>
                <w:sz w:val="18"/>
                <w:szCs w:val="18"/>
              </w:rPr>
            </w:pPr>
            <w:r>
              <w:rPr>
                <w:rFonts w:ascii="Times New Roman"/>
                <w:sz w:val="18"/>
                <w:szCs w:val="18"/>
              </w:rPr>
              <w:t>≥180</w:t>
            </w:r>
          </w:p>
        </w:tc>
      </w:tr>
      <w:tr w14:paraId="4D036BC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99" w:type="pct"/>
            <w:tcBorders>
              <w:top w:val="single" w:color="auto" w:sz="4" w:space="0"/>
              <w:left w:val="single" w:color="auto" w:sz="4" w:space="0"/>
              <w:bottom w:val="single" w:color="auto" w:sz="4" w:space="0"/>
              <w:right w:val="single" w:color="000000" w:sz="4" w:space="0"/>
            </w:tcBorders>
            <w:vAlign w:val="center"/>
          </w:tcPr>
          <w:p w14:paraId="571B7318">
            <w:pPr>
              <w:pStyle w:val="50"/>
              <w:ind w:firstLine="0" w:firstLineChars="0"/>
              <w:jc w:val="center"/>
              <w:rPr>
                <w:rFonts w:ascii="Times New Roman"/>
                <w:sz w:val="18"/>
                <w:szCs w:val="18"/>
              </w:rPr>
            </w:pPr>
            <w:r>
              <w:rPr>
                <w:rFonts w:ascii="Times New Roman"/>
                <w:sz w:val="18"/>
                <w:szCs w:val="18"/>
              </w:rPr>
              <w:t>C50</w:t>
            </w:r>
          </w:p>
        </w:tc>
        <w:tc>
          <w:tcPr>
            <w:tcW w:w="1074" w:type="pct"/>
            <w:tcBorders>
              <w:top w:val="single" w:color="auto" w:sz="4" w:space="0"/>
              <w:left w:val="single" w:color="000000" w:sz="4" w:space="0"/>
              <w:bottom w:val="single" w:color="auto" w:sz="4" w:space="0"/>
              <w:right w:val="single" w:color="000000" w:sz="4" w:space="0"/>
            </w:tcBorders>
            <w:vAlign w:val="center"/>
          </w:tcPr>
          <w:p w14:paraId="6449F906">
            <w:pPr>
              <w:pStyle w:val="50"/>
              <w:ind w:firstLine="0" w:firstLineChars="0"/>
              <w:jc w:val="center"/>
              <w:rPr>
                <w:rFonts w:ascii="Times New Roman"/>
                <w:sz w:val="18"/>
                <w:szCs w:val="18"/>
              </w:rPr>
            </w:pPr>
            <w:r>
              <w:rPr>
                <w:rFonts w:ascii="Times New Roman"/>
                <w:sz w:val="18"/>
                <w:szCs w:val="18"/>
              </w:rPr>
              <w:t>0.30～0.33</w:t>
            </w:r>
          </w:p>
        </w:tc>
        <w:tc>
          <w:tcPr>
            <w:tcW w:w="1614" w:type="pct"/>
            <w:tcBorders>
              <w:top w:val="single" w:color="auto" w:sz="4" w:space="0"/>
              <w:left w:val="single" w:color="000000" w:sz="4" w:space="0"/>
              <w:bottom w:val="single" w:color="auto" w:sz="4" w:space="0"/>
              <w:right w:val="single" w:color="auto" w:sz="4" w:space="0"/>
            </w:tcBorders>
            <w:vAlign w:val="center"/>
          </w:tcPr>
          <w:p w14:paraId="2044AFC7">
            <w:pPr>
              <w:pStyle w:val="50"/>
              <w:ind w:firstLine="0" w:firstLineChars="0"/>
              <w:jc w:val="center"/>
              <w:rPr>
                <w:rFonts w:ascii="Times New Roman"/>
                <w:sz w:val="18"/>
                <w:szCs w:val="18"/>
              </w:rPr>
            </w:pPr>
            <w:r>
              <w:rPr>
                <w:rFonts w:ascii="Times New Roman"/>
                <w:sz w:val="18"/>
                <w:szCs w:val="18"/>
              </w:rPr>
              <w:t>≤500</w:t>
            </w:r>
          </w:p>
        </w:tc>
        <w:tc>
          <w:tcPr>
            <w:tcW w:w="1613" w:type="pct"/>
            <w:tcBorders>
              <w:top w:val="single" w:color="auto" w:sz="4" w:space="0"/>
              <w:left w:val="single" w:color="000000" w:sz="4" w:space="0"/>
              <w:bottom w:val="single" w:color="auto" w:sz="4" w:space="0"/>
              <w:right w:val="single" w:color="auto" w:sz="4" w:space="0"/>
            </w:tcBorders>
            <w:vAlign w:val="center"/>
          </w:tcPr>
          <w:p w14:paraId="27E09D15">
            <w:pPr>
              <w:pStyle w:val="50"/>
              <w:ind w:firstLine="0" w:firstLineChars="0"/>
              <w:jc w:val="center"/>
              <w:rPr>
                <w:rFonts w:ascii="Times New Roman"/>
                <w:sz w:val="18"/>
                <w:szCs w:val="18"/>
              </w:rPr>
            </w:pPr>
            <w:r>
              <w:rPr>
                <w:rFonts w:ascii="Times New Roman"/>
                <w:sz w:val="18"/>
                <w:szCs w:val="18"/>
              </w:rPr>
              <w:t>≥200</w:t>
            </w:r>
          </w:p>
        </w:tc>
      </w:tr>
      <w:tr w14:paraId="0D1C059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99" w:type="pct"/>
            <w:tcBorders>
              <w:top w:val="single" w:color="auto" w:sz="4" w:space="0"/>
              <w:left w:val="single" w:color="auto" w:sz="4" w:space="0"/>
              <w:bottom w:val="single" w:color="auto" w:sz="4" w:space="0"/>
              <w:right w:val="single" w:color="000000" w:sz="4" w:space="0"/>
            </w:tcBorders>
            <w:vAlign w:val="center"/>
          </w:tcPr>
          <w:p w14:paraId="6452609E">
            <w:pPr>
              <w:pStyle w:val="50"/>
              <w:ind w:firstLine="0" w:firstLineChars="0"/>
              <w:jc w:val="center"/>
              <w:rPr>
                <w:rFonts w:ascii="Times New Roman"/>
                <w:sz w:val="18"/>
                <w:szCs w:val="18"/>
              </w:rPr>
            </w:pPr>
            <w:r>
              <w:rPr>
                <w:rFonts w:ascii="Times New Roman"/>
                <w:sz w:val="18"/>
                <w:szCs w:val="18"/>
              </w:rPr>
              <w:t>C55</w:t>
            </w:r>
          </w:p>
        </w:tc>
        <w:tc>
          <w:tcPr>
            <w:tcW w:w="1074" w:type="pct"/>
            <w:tcBorders>
              <w:top w:val="single" w:color="auto" w:sz="4" w:space="0"/>
              <w:left w:val="single" w:color="000000" w:sz="4" w:space="0"/>
              <w:bottom w:val="single" w:color="auto" w:sz="4" w:space="0"/>
              <w:right w:val="single" w:color="000000" w:sz="4" w:space="0"/>
            </w:tcBorders>
            <w:vAlign w:val="center"/>
          </w:tcPr>
          <w:p w14:paraId="186ACFFC">
            <w:pPr>
              <w:pStyle w:val="50"/>
              <w:ind w:firstLine="0" w:firstLineChars="0"/>
              <w:jc w:val="center"/>
              <w:rPr>
                <w:rFonts w:ascii="Times New Roman"/>
                <w:sz w:val="18"/>
                <w:szCs w:val="18"/>
              </w:rPr>
            </w:pPr>
            <w:r>
              <w:rPr>
                <w:rFonts w:ascii="Times New Roman"/>
                <w:sz w:val="18"/>
                <w:szCs w:val="18"/>
              </w:rPr>
              <w:t>0.27～0.30</w:t>
            </w:r>
          </w:p>
        </w:tc>
        <w:tc>
          <w:tcPr>
            <w:tcW w:w="1614" w:type="pct"/>
            <w:tcBorders>
              <w:top w:val="single" w:color="auto" w:sz="4" w:space="0"/>
              <w:left w:val="single" w:color="000000" w:sz="4" w:space="0"/>
              <w:bottom w:val="single" w:color="auto" w:sz="4" w:space="0"/>
              <w:right w:val="single" w:color="auto" w:sz="4" w:space="0"/>
            </w:tcBorders>
            <w:vAlign w:val="center"/>
          </w:tcPr>
          <w:p w14:paraId="30ED228A">
            <w:pPr>
              <w:pStyle w:val="50"/>
              <w:ind w:firstLine="0" w:firstLineChars="0"/>
              <w:jc w:val="center"/>
              <w:rPr>
                <w:rFonts w:ascii="Times New Roman"/>
                <w:sz w:val="18"/>
                <w:szCs w:val="18"/>
              </w:rPr>
            </w:pPr>
            <w:r>
              <w:rPr>
                <w:rFonts w:ascii="Times New Roman"/>
                <w:sz w:val="18"/>
                <w:szCs w:val="18"/>
              </w:rPr>
              <w:t>≤520</w:t>
            </w:r>
          </w:p>
        </w:tc>
        <w:tc>
          <w:tcPr>
            <w:tcW w:w="1613" w:type="pct"/>
            <w:vMerge w:val="restart"/>
            <w:tcBorders>
              <w:top w:val="single" w:color="auto" w:sz="4" w:space="0"/>
              <w:left w:val="single" w:color="000000" w:sz="4" w:space="0"/>
              <w:bottom w:val="single" w:color="auto" w:sz="4" w:space="0"/>
              <w:right w:val="single" w:color="auto" w:sz="4" w:space="0"/>
            </w:tcBorders>
            <w:vAlign w:val="center"/>
          </w:tcPr>
          <w:p w14:paraId="5D7FDE78">
            <w:pPr>
              <w:pStyle w:val="50"/>
              <w:ind w:firstLine="0" w:firstLineChars="0"/>
              <w:jc w:val="center"/>
              <w:rPr>
                <w:rFonts w:ascii="Times New Roman"/>
                <w:sz w:val="18"/>
                <w:szCs w:val="18"/>
              </w:rPr>
            </w:pPr>
            <w:r>
              <w:rPr>
                <w:rFonts w:ascii="Times New Roman"/>
                <w:sz w:val="18"/>
                <w:szCs w:val="18"/>
              </w:rPr>
              <w:t>≥220</w:t>
            </w:r>
          </w:p>
        </w:tc>
      </w:tr>
      <w:tr w14:paraId="1E15FE3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99" w:type="pct"/>
            <w:tcBorders>
              <w:top w:val="single" w:color="auto" w:sz="4" w:space="0"/>
              <w:left w:val="single" w:color="auto" w:sz="4" w:space="0"/>
              <w:bottom w:val="single" w:color="auto" w:sz="4" w:space="0"/>
              <w:right w:val="single" w:color="000000" w:sz="4" w:space="0"/>
            </w:tcBorders>
            <w:vAlign w:val="center"/>
          </w:tcPr>
          <w:p w14:paraId="161947D1">
            <w:pPr>
              <w:pStyle w:val="50"/>
              <w:ind w:firstLine="0" w:firstLineChars="0"/>
              <w:jc w:val="center"/>
              <w:rPr>
                <w:rFonts w:ascii="Times New Roman"/>
                <w:sz w:val="18"/>
                <w:szCs w:val="18"/>
              </w:rPr>
            </w:pPr>
            <w:r>
              <w:rPr>
                <w:rFonts w:ascii="Times New Roman"/>
                <w:sz w:val="18"/>
                <w:szCs w:val="18"/>
              </w:rPr>
              <w:t>C60</w:t>
            </w:r>
          </w:p>
        </w:tc>
        <w:tc>
          <w:tcPr>
            <w:tcW w:w="1074" w:type="pct"/>
            <w:tcBorders>
              <w:top w:val="single" w:color="auto" w:sz="4" w:space="0"/>
              <w:left w:val="single" w:color="000000" w:sz="4" w:space="0"/>
              <w:bottom w:val="single" w:color="auto" w:sz="4" w:space="0"/>
              <w:right w:val="single" w:color="000000" w:sz="4" w:space="0"/>
            </w:tcBorders>
            <w:vAlign w:val="center"/>
          </w:tcPr>
          <w:p w14:paraId="1BC18368">
            <w:pPr>
              <w:pStyle w:val="50"/>
              <w:ind w:firstLine="0" w:firstLineChars="0"/>
              <w:jc w:val="center"/>
              <w:rPr>
                <w:rFonts w:ascii="Times New Roman"/>
                <w:sz w:val="18"/>
                <w:szCs w:val="18"/>
              </w:rPr>
            </w:pPr>
            <w:r>
              <w:rPr>
                <w:rFonts w:ascii="Times New Roman"/>
                <w:sz w:val="18"/>
                <w:szCs w:val="18"/>
              </w:rPr>
              <w:t>0.25～0.28</w:t>
            </w:r>
          </w:p>
        </w:tc>
        <w:tc>
          <w:tcPr>
            <w:tcW w:w="1614" w:type="pct"/>
            <w:tcBorders>
              <w:top w:val="single" w:color="auto" w:sz="4" w:space="0"/>
              <w:left w:val="single" w:color="000000" w:sz="4" w:space="0"/>
              <w:bottom w:val="single" w:color="auto" w:sz="4" w:space="0"/>
              <w:right w:val="single" w:color="auto" w:sz="4" w:space="0"/>
            </w:tcBorders>
            <w:vAlign w:val="center"/>
          </w:tcPr>
          <w:p w14:paraId="616C3CF4">
            <w:pPr>
              <w:pStyle w:val="50"/>
              <w:ind w:firstLine="0" w:firstLineChars="0"/>
              <w:jc w:val="center"/>
              <w:rPr>
                <w:rFonts w:ascii="Times New Roman"/>
                <w:sz w:val="18"/>
                <w:szCs w:val="18"/>
              </w:rPr>
            </w:pPr>
            <w:r>
              <w:rPr>
                <w:rFonts w:ascii="Times New Roman"/>
                <w:sz w:val="18"/>
                <w:szCs w:val="18"/>
              </w:rPr>
              <w:t>≤530</w:t>
            </w:r>
          </w:p>
        </w:tc>
        <w:tc>
          <w:tcPr>
            <w:tcW w:w="1613" w:type="pct"/>
            <w:vMerge w:val="continue"/>
            <w:tcBorders>
              <w:top w:val="single" w:color="000000" w:sz="6" w:space="0"/>
              <w:left w:val="single" w:color="000000" w:sz="4" w:space="0"/>
              <w:bottom w:val="single" w:color="auto" w:sz="4" w:space="0"/>
              <w:right w:val="single" w:color="auto" w:sz="4" w:space="0"/>
            </w:tcBorders>
            <w:vAlign w:val="center"/>
          </w:tcPr>
          <w:p w14:paraId="748FD0EC">
            <w:pPr>
              <w:pStyle w:val="50"/>
              <w:ind w:firstLine="0" w:firstLineChars="0"/>
              <w:jc w:val="center"/>
              <w:rPr>
                <w:rFonts w:ascii="Times New Roman"/>
                <w:sz w:val="18"/>
                <w:szCs w:val="18"/>
              </w:rPr>
            </w:pPr>
          </w:p>
        </w:tc>
      </w:tr>
    </w:tbl>
    <w:p w14:paraId="609780E4">
      <w:pPr>
        <w:spacing w:before="156" w:beforeLines="50" w:after="156" w:afterLines="50" w:line="240" w:lineRule="auto"/>
        <w:jc w:val="center"/>
        <w:rPr>
          <w:rFonts w:ascii="Times New Roman" w:hAnsi="Times New Roman" w:eastAsia="黑体"/>
        </w:rPr>
      </w:pPr>
      <w:r>
        <w:rPr>
          <w:rFonts w:ascii="Times New Roman" w:hAnsi="Times New Roman" w:eastAsia="黑体"/>
        </w:rPr>
        <w:t>表7　复合混凝土的水胶比、总胶凝材料用量和水泥用量</w:t>
      </w:r>
      <w:r>
        <w:rPr>
          <w:rFonts w:hint="eastAsia" w:ascii="Times New Roman" w:hAnsi="Times New Roman" w:eastAsia="黑体"/>
          <w:lang w:eastAsia="zh-CN"/>
        </w:rPr>
        <w:t>（</w:t>
      </w:r>
      <w:r>
        <w:rPr>
          <w:rFonts w:ascii="Times New Roman" w:hAnsi="Times New Roman" w:eastAsia="黑体"/>
        </w:rPr>
        <w:t>续</w:t>
      </w:r>
      <w:r>
        <w:rPr>
          <w:rFonts w:hint="eastAsia" w:ascii="Times New Roman" w:hAnsi="Times New Roman" w:eastAsia="黑体"/>
          <w:lang w:eastAsia="zh-CN"/>
        </w:rPr>
        <w:t>）</w:t>
      </w:r>
    </w:p>
    <w:tbl>
      <w:tblPr>
        <w:tblStyle w:val="40"/>
        <w:tblW w:w="5000" w:type="pct"/>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0" w:type="dxa"/>
          <w:bottom w:w="0" w:type="dxa"/>
          <w:right w:w="0" w:type="dxa"/>
        </w:tblCellMar>
      </w:tblPr>
      <w:tblGrid>
        <w:gridCol w:w="1309"/>
        <w:gridCol w:w="2012"/>
        <w:gridCol w:w="3023"/>
        <w:gridCol w:w="3021"/>
      </w:tblGrid>
      <w:tr w14:paraId="7651A6B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99" w:type="pct"/>
            <w:tcBorders>
              <w:top w:val="single" w:color="auto" w:sz="4" w:space="0"/>
              <w:left w:val="single" w:color="auto" w:sz="4" w:space="0"/>
              <w:bottom w:val="single" w:color="auto" w:sz="4" w:space="0"/>
              <w:right w:val="single" w:color="000000" w:sz="4" w:space="0"/>
            </w:tcBorders>
            <w:vAlign w:val="center"/>
          </w:tcPr>
          <w:p w14:paraId="562C67B7">
            <w:pPr>
              <w:pStyle w:val="50"/>
              <w:ind w:firstLine="0" w:firstLineChars="0"/>
              <w:jc w:val="center"/>
              <w:rPr>
                <w:rFonts w:ascii="Times New Roman"/>
                <w:sz w:val="18"/>
                <w:szCs w:val="18"/>
              </w:rPr>
            </w:pPr>
            <w:r>
              <w:rPr>
                <w:rFonts w:ascii="Times New Roman"/>
                <w:sz w:val="18"/>
                <w:szCs w:val="18"/>
              </w:rPr>
              <w:t>强度等级</w:t>
            </w:r>
          </w:p>
        </w:tc>
        <w:tc>
          <w:tcPr>
            <w:tcW w:w="1074" w:type="pct"/>
            <w:tcBorders>
              <w:top w:val="single" w:color="auto" w:sz="4" w:space="0"/>
              <w:left w:val="single" w:color="000000" w:sz="4" w:space="0"/>
              <w:bottom w:val="single" w:color="auto" w:sz="4" w:space="0"/>
              <w:right w:val="single" w:color="000000" w:sz="4" w:space="0"/>
            </w:tcBorders>
            <w:vAlign w:val="center"/>
          </w:tcPr>
          <w:p w14:paraId="509A883B">
            <w:pPr>
              <w:pStyle w:val="50"/>
              <w:ind w:firstLine="0" w:firstLineChars="0"/>
              <w:jc w:val="center"/>
              <w:rPr>
                <w:rFonts w:ascii="Times New Roman"/>
                <w:sz w:val="18"/>
                <w:szCs w:val="18"/>
              </w:rPr>
            </w:pPr>
            <w:r>
              <w:rPr>
                <w:rFonts w:ascii="Times New Roman"/>
                <w:sz w:val="18"/>
                <w:szCs w:val="18"/>
              </w:rPr>
              <w:t>水胶比</w:t>
            </w:r>
          </w:p>
        </w:tc>
        <w:tc>
          <w:tcPr>
            <w:tcW w:w="1614" w:type="pct"/>
            <w:tcBorders>
              <w:top w:val="single" w:color="auto" w:sz="4" w:space="0"/>
              <w:left w:val="single" w:color="000000" w:sz="4" w:space="0"/>
              <w:bottom w:val="single" w:color="auto" w:sz="4" w:space="0"/>
              <w:right w:val="single" w:color="auto" w:sz="4" w:space="0"/>
            </w:tcBorders>
            <w:vAlign w:val="center"/>
          </w:tcPr>
          <w:p w14:paraId="26CABAAA">
            <w:pPr>
              <w:pStyle w:val="50"/>
              <w:ind w:firstLine="0" w:firstLineChars="0"/>
              <w:jc w:val="center"/>
              <w:rPr>
                <w:rFonts w:ascii="Times New Roman"/>
                <w:sz w:val="18"/>
                <w:szCs w:val="18"/>
              </w:rPr>
            </w:pPr>
            <w:r>
              <w:rPr>
                <w:rFonts w:ascii="Times New Roman"/>
                <w:sz w:val="18"/>
                <w:szCs w:val="18"/>
              </w:rPr>
              <w:t>总胶凝材料用量/(kg/m</w:t>
            </w:r>
            <w:r>
              <w:rPr>
                <w:rFonts w:ascii="Times New Roman"/>
                <w:sz w:val="18"/>
                <w:szCs w:val="18"/>
                <w:vertAlign w:val="superscript"/>
              </w:rPr>
              <w:t>3</w:t>
            </w:r>
            <w:r>
              <w:rPr>
                <w:rFonts w:ascii="Times New Roman"/>
                <w:sz w:val="18"/>
                <w:szCs w:val="18"/>
              </w:rPr>
              <w:t>)</w:t>
            </w:r>
          </w:p>
        </w:tc>
        <w:tc>
          <w:tcPr>
            <w:tcW w:w="1613" w:type="pct"/>
            <w:tcBorders>
              <w:top w:val="single" w:color="auto" w:sz="4" w:space="0"/>
              <w:left w:val="single" w:color="000000" w:sz="4" w:space="0"/>
              <w:right w:val="single" w:color="auto" w:sz="4" w:space="0"/>
            </w:tcBorders>
            <w:vAlign w:val="center"/>
          </w:tcPr>
          <w:p w14:paraId="08F4C88F">
            <w:pPr>
              <w:pStyle w:val="50"/>
              <w:ind w:firstLine="0" w:firstLineChars="0"/>
              <w:jc w:val="center"/>
              <w:rPr>
                <w:rFonts w:ascii="Times New Roman"/>
                <w:sz w:val="18"/>
                <w:szCs w:val="18"/>
              </w:rPr>
            </w:pPr>
            <w:r>
              <w:rPr>
                <w:rFonts w:ascii="Times New Roman"/>
                <w:sz w:val="18"/>
                <w:szCs w:val="18"/>
              </w:rPr>
              <w:t>水泥用量/(kg/m</w:t>
            </w:r>
            <w:r>
              <w:rPr>
                <w:rFonts w:ascii="Times New Roman"/>
                <w:sz w:val="18"/>
                <w:szCs w:val="18"/>
                <w:vertAlign w:val="superscript"/>
              </w:rPr>
              <w:t>3</w:t>
            </w:r>
            <w:r>
              <w:rPr>
                <w:rFonts w:ascii="Times New Roman"/>
                <w:sz w:val="18"/>
                <w:szCs w:val="18"/>
              </w:rPr>
              <w:t>)</w:t>
            </w:r>
          </w:p>
        </w:tc>
      </w:tr>
      <w:tr w14:paraId="31C7C8D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99" w:type="pct"/>
            <w:tcBorders>
              <w:top w:val="single" w:color="auto" w:sz="4" w:space="0"/>
              <w:left w:val="single" w:color="auto" w:sz="4" w:space="0"/>
              <w:bottom w:val="single" w:color="auto" w:sz="4" w:space="0"/>
              <w:right w:val="single" w:color="000000" w:sz="4" w:space="0"/>
            </w:tcBorders>
            <w:vAlign w:val="center"/>
          </w:tcPr>
          <w:p w14:paraId="75DA64BA">
            <w:pPr>
              <w:pStyle w:val="50"/>
              <w:ind w:firstLine="0" w:firstLineChars="0"/>
              <w:jc w:val="center"/>
              <w:rPr>
                <w:rFonts w:ascii="Times New Roman"/>
                <w:sz w:val="18"/>
                <w:szCs w:val="18"/>
              </w:rPr>
            </w:pPr>
            <w:r>
              <w:rPr>
                <w:rFonts w:ascii="Times New Roman"/>
                <w:sz w:val="18"/>
                <w:szCs w:val="18"/>
              </w:rPr>
              <w:t>C65</w:t>
            </w:r>
          </w:p>
        </w:tc>
        <w:tc>
          <w:tcPr>
            <w:tcW w:w="1074" w:type="pct"/>
            <w:tcBorders>
              <w:top w:val="single" w:color="auto" w:sz="4" w:space="0"/>
              <w:left w:val="single" w:color="000000" w:sz="4" w:space="0"/>
              <w:bottom w:val="single" w:color="auto" w:sz="4" w:space="0"/>
              <w:right w:val="single" w:color="000000" w:sz="4" w:space="0"/>
            </w:tcBorders>
            <w:vAlign w:val="center"/>
          </w:tcPr>
          <w:p w14:paraId="3E555735">
            <w:pPr>
              <w:pStyle w:val="50"/>
              <w:ind w:firstLine="0" w:firstLineChars="0"/>
              <w:jc w:val="center"/>
              <w:rPr>
                <w:rFonts w:ascii="Times New Roman"/>
                <w:sz w:val="18"/>
                <w:szCs w:val="18"/>
              </w:rPr>
            </w:pPr>
            <w:r>
              <w:rPr>
                <w:rFonts w:ascii="Times New Roman"/>
                <w:sz w:val="18"/>
                <w:szCs w:val="18"/>
              </w:rPr>
              <w:t>0.24～0.27</w:t>
            </w:r>
          </w:p>
        </w:tc>
        <w:tc>
          <w:tcPr>
            <w:tcW w:w="1614" w:type="pct"/>
            <w:tcBorders>
              <w:top w:val="single" w:color="auto" w:sz="4" w:space="0"/>
              <w:left w:val="single" w:color="000000" w:sz="4" w:space="0"/>
              <w:bottom w:val="single" w:color="auto" w:sz="4" w:space="0"/>
              <w:right w:val="single" w:color="auto" w:sz="4" w:space="0"/>
            </w:tcBorders>
            <w:vAlign w:val="center"/>
          </w:tcPr>
          <w:p w14:paraId="062F38DE">
            <w:pPr>
              <w:pStyle w:val="50"/>
              <w:ind w:firstLine="0" w:firstLineChars="0"/>
              <w:jc w:val="center"/>
              <w:rPr>
                <w:rFonts w:ascii="Times New Roman"/>
                <w:sz w:val="18"/>
                <w:szCs w:val="18"/>
              </w:rPr>
            </w:pPr>
            <w:r>
              <w:rPr>
                <w:rFonts w:ascii="Times New Roman"/>
                <w:sz w:val="18"/>
                <w:szCs w:val="18"/>
              </w:rPr>
              <w:t>≤545</w:t>
            </w:r>
          </w:p>
        </w:tc>
        <w:tc>
          <w:tcPr>
            <w:tcW w:w="1613" w:type="pct"/>
            <w:vMerge w:val="restart"/>
            <w:tcBorders>
              <w:left w:val="single" w:color="000000" w:sz="4" w:space="0"/>
              <w:right w:val="single" w:color="auto" w:sz="4" w:space="0"/>
            </w:tcBorders>
            <w:vAlign w:val="center"/>
          </w:tcPr>
          <w:p w14:paraId="4912768A">
            <w:pPr>
              <w:pStyle w:val="50"/>
              <w:ind w:firstLine="0" w:firstLineChars="0"/>
              <w:jc w:val="center"/>
              <w:rPr>
                <w:rFonts w:ascii="Times New Roman"/>
                <w:sz w:val="18"/>
                <w:szCs w:val="18"/>
              </w:rPr>
            </w:pPr>
            <w:r>
              <w:rPr>
                <w:rFonts w:ascii="Times New Roman"/>
                <w:sz w:val="18"/>
                <w:szCs w:val="18"/>
              </w:rPr>
              <w:t>≥220</w:t>
            </w:r>
          </w:p>
        </w:tc>
      </w:tr>
      <w:tr w14:paraId="6DD35AE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99" w:type="pct"/>
            <w:tcBorders>
              <w:top w:val="single" w:color="auto" w:sz="4" w:space="0"/>
              <w:left w:val="single" w:color="auto" w:sz="4" w:space="0"/>
              <w:bottom w:val="single" w:color="auto" w:sz="4" w:space="0"/>
              <w:right w:val="single" w:color="000000" w:sz="4" w:space="0"/>
            </w:tcBorders>
            <w:vAlign w:val="center"/>
          </w:tcPr>
          <w:p w14:paraId="4D49E2BD">
            <w:pPr>
              <w:pStyle w:val="50"/>
              <w:ind w:firstLine="0" w:firstLineChars="0"/>
              <w:jc w:val="center"/>
              <w:rPr>
                <w:rFonts w:ascii="Times New Roman"/>
                <w:sz w:val="18"/>
                <w:szCs w:val="18"/>
              </w:rPr>
            </w:pPr>
            <w:r>
              <w:rPr>
                <w:rFonts w:ascii="Times New Roman"/>
                <w:sz w:val="18"/>
                <w:szCs w:val="18"/>
              </w:rPr>
              <w:t>C70</w:t>
            </w:r>
          </w:p>
        </w:tc>
        <w:tc>
          <w:tcPr>
            <w:tcW w:w="1074" w:type="pct"/>
            <w:tcBorders>
              <w:top w:val="single" w:color="auto" w:sz="4" w:space="0"/>
              <w:left w:val="single" w:color="000000" w:sz="4" w:space="0"/>
              <w:bottom w:val="single" w:color="auto" w:sz="4" w:space="0"/>
              <w:right w:val="single" w:color="000000" w:sz="4" w:space="0"/>
            </w:tcBorders>
            <w:vAlign w:val="center"/>
          </w:tcPr>
          <w:p w14:paraId="52FEAB6C">
            <w:pPr>
              <w:pStyle w:val="50"/>
              <w:ind w:firstLine="0" w:firstLineChars="0"/>
              <w:jc w:val="center"/>
              <w:rPr>
                <w:rFonts w:ascii="Times New Roman"/>
                <w:sz w:val="18"/>
                <w:szCs w:val="18"/>
              </w:rPr>
            </w:pPr>
            <w:r>
              <w:rPr>
                <w:rFonts w:ascii="Times New Roman"/>
                <w:sz w:val="18"/>
                <w:szCs w:val="18"/>
              </w:rPr>
              <w:t>0.23～0.26</w:t>
            </w:r>
          </w:p>
        </w:tc>
        <w:tc>
          <w:tcPr>
            <w:tcW w:w="1614" w:type="pct"/>
            <w:tcBorders>
              <w:top w:val="single" w:color="auto" w:sz="4" w:space="0"/>
              <w:left w:val="single" w:color="000000" w:sz="4" w:space="0"/>
              <w:bottom w:val="single" w:color="auto" w:sz="4" w:space="0"/>
              <w:right w:val="single" w:color="auto" w:sz="4" w:space="0"/>
            </w:tcBorders>
            <w:vAlign w:val="center"/>
          </w:tcPr>
          <w:p w14:paraId="0369B1F3">
            <w:pPr>
              <w:pStyle w:val="50"/>
              <w:ind w:firstLine="0" w:firstLineChars="0"/>
              <w:jc w:val="center"/>
              <w:rPr>
                <w:rFonts w:ascii="Times New Roman"/>
                <w:sz w:val="18"/>
                <w:szCs w:val="18"/>
              </w:rPr>
            </w:pPr>
            <w:r>
              <w:rPr>
                <w:rFonts w:ascii="Times New Roman"/>
                <w:sz w:val="18"/>
                <w:szCs w:val="18"/>
              </w:rPr>
              <w:t>≤560</w:t>
            </w:r>
          </w:p>
        </w:tc>
        <w:tc>
          <w:tcPr>
            <w:tcW w:w="1613" w:type="pct"/>
            <w:vMerge w:val="continue"/>
            <w:tcBorders>
              <w:left w:val="single" w:color="000000" w:sz="4" w:space="0"/>
              <w:right w:val="single" w:color="auto" w:sz="4" w:space="0"/>
            </w:tcBorders>
            <w:vAlign w:val="center"/>
          </w:tcPr>
          <w:p w14:paraId="51AAA78C">
            <w:pPr>
              <w:pStyle w:val="50"/>
              <w:ind w:firstLine="0" w:firstLineChars="0"/>
              <w:jc w:val="center"/>
              <w:rPr>
                <w:rFonts w:ascii="Times New Roman"/>
                <w:sz w:val="18"/>
                <w:szCs w:val="18"/>
              </w:rPr>
            </w:pPr>
          </w:p>
        </w:tc>
      </w:tr>
      <w:tr w14:paraId="18CFF57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99" w:type="pct"/>
            <w:tcBorders>
              <w:top w:val="single" w:color="auto" w:sz="4" w:space="0"/>
              <w:left w:val="single" w:color="auto" w:sz="4" w:space="0"/>
              <w:bottom w:val="single" w:color="auto" w:sz="4" w:space="0"/>
              <w:right w:val="single" w:color="000000" w:sz="4" w:space="0"/>
            </w:tcBorders>
            <w:vAlign w:val="center"/>
          </w:tcPr>
          <w:p w14:paraId="7FD7D504">
            <w:pPr>
              <w:pStyle w:val="50"/>
              <w:ind w:firstLine="0" w:firstLineChars="0"/>
              <w:jc w:val="center"/>
              <w:rPr>
                <w:rFonts w:ascii="Times New Roman"/>
                <w:sz w:val="18"/>
                <w:szCs w:val="18"/>
              </w:rPr>
            </w:pPr>
            <w:r>
              <w:rPr>
                <w:rFonts w:ascii="Times New Roman"/>
                <w:sz w:val="18"/>
                <w:szCs w:val="18"/>
              </w:rPr>
              <w:t>C75</w:t>
            </w:r>
          </w:p>
        </w:tc>
        <w:tc>
          <w:tcPr>
            <w:tcW w:w="1074" w:type="pct"/>
            <w:tcBorders>
              <w:top w:val="single" w:color="auto" w:sz="4" w:space="0"/>
              <w:left w:val="single" w:color="000000" w:sz="4" w:space="0"/>
              <w:bottom w:val="single" w:color="auto" w:sz="4" w:space="0"/>
              <w:right w:val="single" w:color="000000" w:sz="4" w:space="0"/>
            </w:tcBorders>
            <w:vAlign w:val="center"/>
          </w:tcPr>
          <w:p w14:paraId="5E3EC235">
            <w:pPr>
              <w:pStyle w:val="50"/>
              <w:ind w:firstLine="0" w:firstLineChars="0"/>
              <w:jc w:val="center"/>
              <w:rPr>
                <w:rFonts w:ascii="Times New Roman"/>
                <w:sz w:val="18"/>
                <w:szCs w:val="18"/>
              </w:rPr>
            </w:pPr>
            <w:r>
              <w:rPr>
                <w:rFonts w:ascii="Times New Roman"/>
                <w:sz w:val="18"/>
                <w:szCs w:val="18"/>
              </w:rPr>
              <w:t>0.22～0.25</w:t>
            </w:r>
          </w:p>
        </w:tc>
        <w:tc>
          <w:tcPr>
            <w:tcW w:w="1614" w:type="pct"/>
            <w:tcBorders>
              <w:top w:val="single" w:color="auto" w:sz="4" w:space="0"/>
              <w:left w:val="single" w:color="000000" w:sz="4" w:space="0"/>
              <w:bottom w:val="single" w:color="auto" w:sz="4" w:space="0"/>
              <w:right w:val="single" w:color="auto" w:sz="4" w:space="0"/>
            </w:tcBorders>
            <w:vAlign w:val="center"/>
          </w:tcPr>
          <w:p w14:paraId="52E7D19E">
            <w:pPr>
              <w:pStyle w:val="50"/>
              <w:ind w:firstLine="0" w:firstLineChars="0"/>
              <w:jc w:val="center"/>
              <w:rPr>
                <w:rFonts w:ascii="Times New Roman"/>
                <w:sz w:val="18"/>
                <w:szCs w:val="18"/>
              </w:rPr>
            </w:pPr>
            <w:r>
              <w:rPr>
                <w:rFonts w:ascii="Times New Roman"/>
                <w:sz w:val="18"/>
                <w:szCs w:val="18"/>
              </w:rPr>
              <w:t>≤575</w:t>
            </w:r>
          </w:p>
        </w:tc>
        <w:tc>
          <w:tcPr>
            <w:tcW w:w="1613" w:type="pct"/>
            <w:vMerge w:val="continue"/>
            <w:tcBorders>
              <w:left w:val="single" w:color="000000" w:sz="4" w:space="0"/>
              <w:right w:val="single" w:color="auto" w:sz="4" w:space="0"/>
            </w:tcBorders>
            <w:vAlign w:val="center"/>
          </w:tcPr>
          <w:p w14:paraId="6BCE82C1">
            <w:pPr>
              <w:pStyle w:val="50"/>
              <w:ind w:firstLine="0" w:firstLineChars="0"/>
              <w:jc w:val="center"/>
              <w:rPr>
                <w:rFonts w:ascii="Times New Roman"/>
                <w:sz w:val="18"/>
                <w:szCs w:val="18"/>
              </w:rPr>
            </w:pPr>
          </w:p>
        </w:tc>
      </w:tr>
      <w:tr w14:paraId="629A09D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99" w:type="pct"/>
            <w:tcBorders>
              <w:top w:val="single" w:color="auto" w:sz="4" w:space="0"/>
              <w:left w:val="single" w:color="auto" w:sz="4" w:space="0"/>
              <w:bottom w:val="single" w:color="auto" w:sz="4" w:space="0"/>
              <w:right w:val="single" w:color="000000" w:sz="4" w:space="0"/>
            </w:tcBorders>
            <w:vAlign w:val="center"/>
          </w:tcPr>
          <w:p w14:paraId="4E52C211">
            <w:pPr>
              <w:pStyle w:val="50"/>
              <w:ind w:firstLine="0" w:firstLineChars="0"/>
              <w:jc w:val="center"/>
              <w:rPr>
                <w:rFonts w:ascii="Times New Roman"/>
                <w:sz w:val="18"/>
                <w:szCs w:val="18"/>
              </w:rPr>
            </w:pPr>
            <w:r>
              <w:rPr>
                <w:rFonts w:ascii="Times New Roman"/>
                <w:sz w:val="18"/>
                <w:szCs w:val="18"/>
              </w:rPr>
              <w:t>C80</w:t>
            </w:r>
          </w:p>
        </w:tc>
        <w:tc>
          <w:tcPr>
            <w:tcW w:w="1074" w:type="pct"/>
            <w:tcBorders>
              <w:top w:val="single" w:color="auto" w:sz="4" w:space="0"/>
              <w:left w:val="single" w:color="000000" w:sz="4" w:space="0"/>
              <w:bottom w:val="single" w:color="auto" w:sz="4" w:space="0"/>
              <w:right w:val="single" w:color="000000" w:sz="4" w:space="0"/>
            </w:tcBorders>
            <w:vAlign w:val="center"/>
          </w:tcPr>
          <w:p w14:paraId="3C6125B0">
            <w:pPr>
              <w:pStyle w:val="50"/>
              <w:ind w:firstLine="0" w:firstLineChars="0"/>
              <w:jc w:val="center"/>
              <w:rPr>
                <w:rFonts w:ascii="Times New Roman"/>
                <w:sz w:val="18"/>
                <w:szCs w:val="18"/>
              </w:rPr>
            </w:pPr>
            <w:r>
              <w:rPr>
                <w:rFonts w:ascii="Times New Roman"/>
                <w:sz w:val="18"/>
                <w:szCs w:val="18"/>
              </w:rPr>
              <w:t>0.20～0.23</w:t>
            </w:r>
          </w:p>
        </w:tc>
        <w:tc>
          <w:tcPr>
            <w:tcW w:w="1614" w:type="pct"/>
            <w:tcBorders>
              <w:top w:val="single" w:color="auto" w:sz="4" w:space="0"/>
              <w:left w:val="single" w:color="000000" w:sz="4" w:space="0"/>
              <w:bottom w:val="single" w:color="auto" w:sz="4" w:space="0"/>
              <w:right w:val="single" w:color="auto" w:sz="4" w:space="0"/>
            </w:tcBorders>
            <w:vAlign w:val="center"/>
          </w:tcPr>
          <w:p w14:paraId="7826FC90">
            <w:pPr>
              <w:pStyle w:val="50"/>
              <w:ind w:firstLine="0" w:firstLineChars="0"/>
              <w:jc w:val="center"/>
              <w:rPr>
                <w:rFonts w:ascii="Times New Roman"/>
                <w:sz w:val="18"/>
                <w:szCs w:val="18"/>
              </w:rPr>
            </w:pPr>
            <w:r>
              <w:rPr>
                <w:rFonts w:ascii="Times New Roman"/>
                <w:sz w:val="18"/>
                <w:szCs w:val="18"/>
              </w:rPr>
              <w:t>≤590</w:t>
            </w:r>
          </w:p>
        </w:tc>
        <w:tc>
          <w:tcPr>
            <w:tcW w:w="1613" w:type="pct"/>
            <w:vMerge w:val="continue"/>
            <w:tcBorders>
              <w:left w:val="single" w:color="000000" w:sz="4" w:space="0"/>
              <w:bottom w:val="single" w:color="auto" w:sz="4" w:space="0"/>
              <w:right w:val="single" w:color="auto" w:sz="4" w:space="0"/>
            </w:tcBorders>
            <w:vAlign w:val="center"/>
          </w:tcPr>
          <w:p w14:paraId="20614ED3">
            <w:pPr>
              <w:pStyle w:val="50"/>
              <w:ind w:firstLine="0" w:firstLineChars="0"/>
              <w:jc w:val="center"/>
              <w:rPr>
                <w:rFonts w:ascii="Times New Roman"/>
                <w:sz w:val="18"/>
                <w:szCs w:val="18"/>
              </w:rPr>
            </w:pPr>
          </w:p>
        </w:tc>
      </w:tr>
    </w:tbl>
    <w:p w14:paraId="1BB56EEF">
      <w:pPr>
        <w:pStyle w:val="49"/>
        <w:rPr>
          <w:rFonts w:ascii="Times New Roman" w:hAnsi="Times New Roman"/>
        </w:rPr>
      </w:pPr>
      <w:bookmarkStart w:id="376" w:name="_Toc205222471"/>
      <w:bookmarkStart w:id="377" w:name="_Toc205482106"/>
      <w:bookmarkStart w:id="378" w:name="_Toc26853"/>
      <w:bookmarkStart w:id="379" w:name="_Toc204018336"/>
      <w:bookmarkStart w:id="380" w:name="_Toc10166"/>
      <w:r>
        <w:rPr>
          <w:rFonts w:ascii="Times New Roman" w:hAnsi="Times New Roman"/>
        </w:rPr>
        <w:t>配制C25及以下强度等级混凝土时，可单独使用复合胶材。</w:t>
      </w:r>
      <w:bookmarkEnd w:id="376"/>
      <w:bookmarkEnd w:id="377"/>
    </w:p>
    <w:p w14:paraId="2BB325CA">
      <w:pPr>
        <w:pStyle w:val="49"/>
        <w:rPr>
          <w:rFonts w:ascii="Times New Roman" w:hAnsi="Times New Roman"/>
        </w:rPr>
      </w:pPr>
      <w:bookmarkStart w:id="381" w:name="_Toc205222472"/>
      <w:bookmarkStart w:id="382" w:name="_Toc205482107"/>
      <w:r>
        <w:rPr>
          <w:rFonts w:ascii="Times New Roman" w:hAnsi="Times New Roman"/>
        </w:rPr>
        <w:t>配制C70～C80等级的预制件混凝土，总胶凝材料用量可根据表7适当调整。</w:t>
      </w:r>
      <w:bookmarkEnd w:id="381"/>
      <w:bookmarkEnd w:id="382"/>
    </w:p>
    <w:p w14:paraId="265E1AE7">
      <w:pPr>
        <w:pStyle w:val="49"/>
        <w:rPr>
          <w:rFonts w:ascii="Times New Roman" w:hAnsi="Times New Roman"/>
          <w:sz w:val="24"/>
          <w:szCs w:val="22"/>
        </w:rPr>
      </w:pPr>
      <w:bookmarkStart w:id="383" w:name="_Toc205222473"/>
      <w:bookmarkStart w:id="384" w:name="_Toc205482108"/>
      <w:r>
        <w:rPr>
          <w:rFonts w:ascii="Times New Roman" w:hAnsi="Times New Roman"/>
        </w:rPr>
        <w:t>当有抗冻等耐久性要求时，混凝土宜掺用引气剂，但含气量实测值不宜大于6%</w:t>
      </w:r>
      <w:r>
        <w:rPr>
          <w:rFonts w:hint="eastAsia" w:ascii="Times New Roman" w:hAnsi="Times New Roman"/>
        </w:rPr>
        <w:t>；</w:t>
      </w:r>
      <w:r>
        <w:rPr>
          <w:rFonts w:ascii="Times New Roman" w:hAnsi="Times New Roman"/>
          <w:szCs w:val="21"/>
        </w:rPr>
        <w:t>混凝土抗冻等级要求大于或等于F200时，水胶比不宜大于0.40。</w:t>
      </w:r>
      <w:bookmarkEnd w:id="378"/>
      <w:bookmarkEnd w:id="379"/>
      <w:bookmarkEnd w:id="380"/>
      <w:bookmarkEnd w:id="383"/>
      <w:bookmarkEnd w:id="384"/>
    </w:p>
    <w:p w14:paraId="534FC452">
      <w:pPr>
        <w:pStyle w:val="53"/>
        <w:rPr>
          <w:rFonts w:ascii="Times New Roman"/>
        </w:rPr>
      </w:pPr>
      <w:bookmarkStart w:id="385" w:name="_Toc162893484"/>
      <w:bookmarkStart w:id="386" w:name="_Toc204018337"/>
      <w:bookmarkStart w:id="387" w:name="_Toc28218"/>
      <w:bookmarkStart w:id="388" w:name="_Toc205237777"/>
      <w:bookmarkStart w:id="389" w:name="_Toc205222474"/>
      <w:bookmarkStart w:id="390" w:name="_Toc2224"/>
      <w:bookmarkStart w:id="391" w:name="_Toc195801480"/>
      <w:bookmarkStart w:id="392" w:name="_Toc205482109"/>
      <w:r>
        <w:rPr>
          <w:rFonts w:ascii="Times New Roman"/>
        </w:rPr>
        <w:t>设计</w:t>
      </w:r>
      <w:bookmarkEnd w:id="385"/>
      <w:r>
        <w:rPr>
          <w:rFonts w:ascii="Times New Roman"/>
        </w:rPr>
        <w:t>控制</w:t>
      </w:r>
      <w:bookmarkEnd w:id="386"/>
      <w:bookmarkEnd w:id="387"/>
      <w:bookmarkEnd w:id="388"/>
      <w:bookmarkEnd w:id="389"/>
      <w:bookmarkEnd w:id="390"/>
      <w:bookmarkEnd w:id="391"/>
      <w:bookmarkEnd w:id="392"/>
    </w:p>
    <w:p w14:paraId="28B7D94B">
      <w:pPr>
        <w:pStyle w:val="49"/>
        <w:rPr>
          <w:rFonts w:ascii="Times New Roman" w:hAnsi="Times New Roman"/>
        </w:rPr>
      </w:pPr>
      <w:bookmarkStart w:id="393" w:name="_Toc204018339"/>
      <w:bookmarkStart w:id="394" w:name="_Toc28830"/>
      <w:bookmarkStart w:id="395" w:name="_Toc19294"/>
      <w:bookmarkStart w:id="396" w:name="_Toc205482110"/>
      <w:bookmarkStart w:id="397" w:name="_Toc205222475"/>
      <w:r>
        <w:rPr>
          <w:rFonts w:ascii="Times New Roman" w:hAnsi="Times New Roman"/>
        </w:rPr>
        <w:t>复合混凝土配合比应由试验室经试配确定后提供。</w:t>
      </w:r>
      <w:bookmarkEnd w:id="393"/>
      <w:bookmarkEnd w:id="394"/>
      <w:bookmarkEnd w:id="395"/>
      <w:r>
        <w:rPr>
          <w:rFonts w:ascii="Times New Roman" w:hAnsi="Times New Roman"/>
        </w:rPr>
        <w:t>复合混凝土配合比计算与试配应符合下列规定：</w:t>
      </w:r>
      <w:bookmarkEnd w:id="396"/>
      <w:bookmarkEnd w:id="397"/>
    </w:p>
    <w:p w14:paraId="34924671">
      <w:pPr>
        <w:pStyle w:val="197"/>
        <w:numPr>
          <w:ilvl w:val="0"/>
          <w:numId w:val="35"/>
        </w:numPr>
        <w:rPr>
          <w:rFonts w:ascii="Times New Roman"/>
        </w:rPr>
      </w:pPr>
      <w:r>
        <w:rPr>
          <w:rFonts w:ascii="Times New Roman"/>
        </w:rPr>
        <w:t>水胶比、总胶凝材料用量、外加剂掺量和砂率应根据混凝土设计强度等级、施工方法要求、耐久性指标要求以及本文件第7.2.1条的规定等因素进行确定</w:t>
      </w:r>
      <w:r>
        <w:rPr>
          <w:rFonts w:hint="eastAsia" w:ascii="Times New Roman"/>
        </w:rPr>
        <w:t>，</w:t>
      </w:r>
      <w:r>
        <w:rPr>
          <w:rFonts w:ascii="Times New Roman"/>
        </w:rPr>
        <w:t>并计算出单位体积混凝土用水量和外加剂用量；</w:t>
      </w:r>
    </w:p>
    <w:p w14:paraId="58D31375">
      <w:pPr>
        <w:pStyle w:val="197"/>
        <w:numPr>
          <w:ilvl w:val="0"/>
          <w:numId w:val="35"/>
        </w:numPr>
        <w:rPr>
          <w:rFonts w:ascii="Times New Roman"/>
        </w:rPr>
      </w:pPr>
      <w:r>
        <w:rPr>
          <w:rFonts w:ascii="Times New Roman"/>
        </w:rPr>
        <w:t>粗、细骨料用量应按JGJ 55的有关规定，采用质量法或体积法进行计算；</w:t>
      </w:r>
    </w:p>
    <w:p w14:paraId="78A5D34F">
      <w:pPr>
        <w:pStyle w:val="197"/>
        <w:numPr>
          <w:ilvl w:val="0"/>
          <w:numId w:val="35"/>
        </w:numPr>
        <w:rPr>
          <w:rFonts w:ascii="Times New Roman"/>
        </w:rPr>
      </w:pPr>
      <w:r>
        <w:rPr>
          <w:rFonts w:ascii="Times New Roman"/>
        </w:rPr>
        <w:t>混凝土配合比的试配、调整和确定，应符合JGJ 55的有关规定。</w:t>
      </w:r>
    </w:p>
    <w:p w14:paraId="3415061B">
      <w:pPr>
        <w:pStyle w:val="49"/>
        <w:rPr>
          <w:rFonts w:ascii="Times New Roman" w:hAnsi="Times New Roman"/>
        </w:rPr>
      </w:pPr>
      <w:bookmarkStart w:id="398" w:name="_Toc205222476"/>
      <w:bookmarkStart w:id="399" w:name="_Toc205482111"/>
      <w:bookmarkStart w:id="400" w:name="_Toc13466"/>
      <w:bookmarkStart w:id="401" w:name="_Toc204018340"/>
      <w:bookmarkStart w:id="402" w:name="_Toc8302"/>
      <w:r>
        <w:rPr>
          <w:rFonts w:ascii="Times New Roman" w:hAnsi="Times New Roman"/>
        </w:rPr>
        <w:t>首次使用的复合混凝土配合比应进行开盘鉴定，其工作性能应满足设计配合比的要求。</w:t>
      </w:r>
      <w:bookmarkEnd w:id="398"/>
      <w:bookmarkEnd w:id="399"/>
      <w:bookmarkEnd w:id="400"/>
      <w:bookmarkEnd w:id="401"/>
      <w:bookmarkEnd w:id="402"/>
    </w:p>
    <w:p w14:paraId="0745AE31">
      <w:pPr>
        <w:pStyle w:val="49"/>
        <w:rPr>
          <w:rFonts w:ascii="Times New Roman" w:hAnsi="Times New Roman"/>
        </w:rPr>
      </w:pPr>
      <w:bookmarkStart w:id="403" w:name="_Toc14622"/>
      <w:bookmarkStart w:id="404" w:name="_Toc29080"/>
      <w:bookmarkStart w:id="405" w:name="_Toc204018341"/>
      <w:bookmarkStart w:id="406" w:name="_Toc205222477"/>
      <w:bookmarkStart w:id="407" w:name="_Toc205482112"/>
      <w:r>
        <w:rPr>
          <w:rFonts w:ascii="Times New Roman" w:hAnsi="Times New Roman"/>
        </w:rPr>
        <w:t>混凝土拌制前，应测定砂、石含水率，并根据测试结果调整材料用量，提出施工配合比。</w:t>
      </w:r>
      <w:bookmarkEnd w:id="403"/>
      <w:bookmarkEnd w:id="404"/>
      <w:bookmarkEnd w:id="405"/>
      <w:bookmarkEnd w:id="406"/>
      <w:bookmarkEnd w:id="407"/>
    </w:p>
    <w:p w14:paraId="5B246FEE">
      <w:pPr>
        <w:pStyle w:val="49"/>
        <w:rPr>
          <w:rFonts w:ascii="Times New Roman" w:hAnsi="Times New Roman"/>
        </w:rPr>
      </w:pPr>
      <w:bookmarkStart w:id="408" w:name="_Toc205222478"/>
      <w:bookmarkStart w:id="409" w:name="_Toc205482113"/>
      <w:bookmarkStart w:id="410" w:name="_Toc204018342"/>
      <w:r>
        <w:rPr>
          <w:rFonts w:ascii="Times New Roman" w:hAnsi="Times New Roman"/>
        </w:rPr>
        <w:t>当使用铁尾矿砂、铁矿废石机制砂作为细骨料时，应符合GB/T 31288的规定，需通过试验确定最佳配合比，且宜符合下列规定：</w:t>
      </w:r>
      <w:bookmarkEnd w:id="408"/>
      <w:bookmarkEnd w:id="409"/>
      <w:bookmarkEnd w:id="410"/>
    </w:p>
    <w:p w14:paraId="7C706BAB">
      <w:pPr>
        <w:pStyle w:val="197"/>
        <w:numPr>
          <w:ilvl w:val="0"/>
          <w:numId w:val="36"/>
        </w:numPr>
        <w:rPr>
          <w:rFonts w:ascii="Times New Roman"/>
        </w:rPr>
      </w:pPr>
      <w:r>
        <w:rPr>
          <w:rFonts w:ascii="Times New Roman"/>
        </w:rPr>
        <w:t>配制C20及以下等级混凝土时，砂率宜在40%～50%之间；</w:t>
      </w:r>
    </w:p>
    <w:p w14:paraId="019FEBEB">
      <w:pPr>
        <w:pStyle w:val="197"/>
        <w:numPr>
          <w:ilvl w:val="0"/>
          <w:numId w:val="36"/>
        </w:numPr>
        <w:rPr>
          <w:rFonts w:ascii="Times New Roman"/>
        </w:rPr>
      </w:pPr>
      <w:r>
        <w:rPr>
          <w:rFonts w:ascii="Times New Roman"/>
        </w:rPr>
        <w:t>配制C25～C45等级混凝土时，砂率宜在35%～45%之间；</w:t>
      </w:r>
    </w:p>
    <w:p w14:paraId="67ED9062">
      <w:pPr>
        <w:pStyle w:val="197"/>
        <w:numPr>
          <w:ilvl w:val="0"/>
          <w:numId w:val="36"/>
        </w:numPr>
        <w:rPr>
          <w:rFonts w:ascii="Times New Roman"/>
        </w:rPr>
      </w:pPr>
      <w:r>
        <w:rPr>
          <w:rFonts w:ascii="Times New Roman"/>
        </w:rPr>
        <w:t xml:space="preserve">配制C50及以上等级混凝土时，砂率宜在30%～40%之间。 </w:t>
      </w:r>
    </w:p>
    <w:p w14:paraId="00D91A93">
      <w:pPr>
        <w:pStyle w:val="49"/>
        <w:rPr>
          <w:rFonts w:ascii="Times New Roman" w:hAnsi="Times New Roman"/>
        </w:rPr>
      </w:pPr>
      <w:bookmarkStart w:id="411" w:name="_Toc204018343"/>
      <w:bookmarkStart w:id="412" w:name="_Toc205222479"/>
      <w:bookmarkStart w:id="413" w:name="_Toc205482114"/>
      <w:r>
        <w:rPr>
          <w:rFonts w:ascii="Times New Roman" w:hAnsi="Times New Roman"/>
        </w:rPr>
        <w:t>当使用铁矿废石作为粗骨料时，应符合JC/T 2769的规定，需通过试验确定最佳配合比，且用量宜低于粗骨料总量的50%。</w:t>
      </w:r>
      <w:bookmarkEnd w:id="411"/>
      <w:bookmarkEnd w:id="412"/>
      <w:bookmarkEnd w:id="413"/>
    </w:p>
    <w:p w14:paraId="7B382704">
      <w:pPr>
        <w:pStyle w:val="49"/>
        <w:rPr>
          <w:rFonts w:ascii="Times New Roman" w:hAnsi="Times New Roman"/>
        </w:rPr>
      </w:pPr>
      <w:bookmarkStart w:id="414" w:name="_Toc205222480"/>
      <w:bookmarkStart w:id="415" w:name="_Toc205482115"/>
      <w:r>
        <w:rPr>
          <w:rFonts w:ascii="Times New Roman" w:hAnsi="Times New Roman"/>
        </w:rPr>
        <w:t>抗渗复合混凝土的性能应按照JGJ 55设计，且应符合下列规定：</w:t>
      </w:r>
      <w:bookmarkEnd w:id="414"/>
      <w:bookmarkEnd w:id="415"/>
    </w:p>
    <w:p w14:paraId="298F185A">
      <w:pPr>
        <w:pStyle w:val="197"/>
        <w:numPr>
          <w:ilvl w:val="0"/>
          <w:numId w:val="37"/>
        </w:numPr>
        <w:rPr>
          <w:rFonts w:ascii="Times New Roman"/>
        </w:rPr>
      </w:pPr>
      <w:r>
        <w:rPr>
          <w:rFonts w:ascii="Times New Roman"/>
        </w:rPr>
        <w:t>有抗渗要求的混凝土宜采用引气剂或引气减水剂；</w:t>
      </w:r>
    </w:p>
    <w:p w14:paraId="6A10A9C6">
      <w:pPr>
        <w:pStyle w:val="197"/>
        <w:numPr>
          <w:ilvl w:val="0"/>
          <w:numId w:val="37"/>
        </w:numPr>
        <w:rPr>
          <w:rFonts w:ascii="Times New Roman"/>
        </w:rPr>
      </w:pPr>
      <w:r>
        <w:rPr>
          <w:rFonts w:ascii="Times New Roman"/>
        </w:rPr>
        <w:t xml:space="preserve">C20～C30 等级混凝土最大水胶比不宜超过0.50，C35及以上等级混凝土最大水胶比不宜超过0.43。 </w:t>
      </w:r>
    </w:p>
    <w:p w14:paraId="20263D24">
      <w:pPr>
        <w:pStyle w:val="49"/>
        <w:rPr>
          <w:rFonts w:ascii="Times New Roman" w:hAnsi="Times New Roman"/>
        </w:rPr>
      </w:pPr>
      <w:bookmarkStart w:id="416" w:name="_Toc205222481"/>
      <w:bookmarkStart w:id="417" w:name="_Toc205482116"/>
      <w:r>
        <w:rPr>
          <w:rFonts w:ascii="Times New Roman" w:hAnsi="Times New Roman"/>
        </w:rPr>
        <w:t>抗冻复合混凝土性能应按照JGJ 55设计，材料用量宜符合表8的规定，且应符合下列规定：</w:t>
      </w:r>
      <w:bookmarkEnd w:id="416"/>
      <w:bookmarkEnd w:id="417"/>
    </w:p>
    <w:p w14:paraId="22111B55">
      <w:pPr>
        <w:pStyle w:val="197"/>
        <w:numPr>
          <w:ilvl w:val="0"/>
          <w:numId w:val="38"/>
        </w:numPr>
        <w:rPr>
          <w:rFonts w:ascii="Times New Roman"/>
        </w:rPr>
      </w:pPr>
      <w:r>
        <w:rPr>
          <w:rFonts w:ascii="Times New Roman"/>
        </w:rPr>
        <w:t>当有抗冻等耐久性要求时，混凝土宜掺用引气剂，但含气量实测值不宜大于6%；</w:t>
      </w:r>
    </w:p>
    <w:p w14:paraId="2ADFAEEE">
      <w:pPr>
        <w:pStyle w:val="197"/>
        <w:numPr>
          <w:ilvl w:val="0"/>
          <w:numId w:val="38"/>
        </w:numPr>
        <w:rPr>
          <w:rFonts w:ascii="Times New Roman"/>
        </w:rPr>
      </w:pPr>
      <w:r>
        <w:rPr>
          <w:rFonts w:ascii="Times New Roman"/>
        </w:rPr>
        <w:t>混凝土抗冻等级要求大于或等于F200时，水胶比不宜大于0.40。</w:t>
      </w:r>
    </w:p>
    <w:p w14:paraId="7D94C125">
      <w:pPr>
        <w:pStyle w:val="197"/>
        <w:numPr>
          <w:ilvl w:val="0"/>
          <w:numId w:val="38"/>
        </w:numPr>
        <w:rPr>
          <w:rFonts w:ascii="Times New Roman"/>
        </w:rPr>
      </w:pPr>
      <w:r>
        <w:rPr>
          <w:rFonts w:ascii="Times New Roman"/>
        </w:rPr>
        <w:t>在钢筋混凝土和预应力混凝土中不应掺用含有氯盐的防冻剂；</w:t>
      </w:r>
    </w:p>
    <w:p w14:paraId="44215705">
      <w:pPr>
        <w:pStyle w:val="197"/>
        <w:numPr>
          <w:ilvl w:val="0"/>
          <w:numId w:val="38"/>
        </w:numPr>
        <w:rPr>
          <w:rFonts w:ascii="Times New Roman"/>
        </w:rPr>
      </w:pPr>
      <w:r>
        <w:rPr>
          <w:rFonts w:ascii="Times New Roman"/>
        </w:rPr>
        <w:t>在预应力混凝土中不应掺用含有亚硝酸盐或碳酸盐的防冻剂。</w:t>
      </w:r>
    </w:p>
    <w:p w14:paraId="509A444C">
      <w:pPr>
        <w:pStyle w:val="136"/>
        <w:rPr>
          <w:rFonts w:ascii="Times New Roman"/>
        </w:rPr>
      </w:pPr>
      <w:r>
        <w:rPr>
          <w:rFonts w:ascii="Times New Roman"/>
        </w:rPr>
        <w:t>抗冻复合混凝土的水胶比、总胶凝材料用量</w:t>
      </w:r>
    </w:p>
    <w:tbl>
      <w:tblPr>
        <w:tblStyle w:val="40"/>
        <w:tblW w:w="91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11"/>
        <w:gridCol w:w="1984"/>
        <w:gridCol w:w="2126"/>
        <w:gridCol w:w="2468"/>
      </w:tblGrid>
      <w:tr w14:paraId="254DE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2611" w:type="dxa"/>
            <w:vMerge w:val="restart"/>
            <w:tcBorders>
              <w:top w:val="single" w:color="000000" w:sz="4" w:space="0"/>
              <w:left w:val="single" w:color="000000" w:sz="4" w:space="0"/>
              <w:bottom w:val="nil"/>
              <w:right w:val="single" w:color="000000" w:sz="4" w:space="0"/>
            </w:tcBorders>
            <w:vAlign w:val="center"/>
          </w:tcPr>
          <w:p w14:paraId="18739CEA">
            <w:pPr>
              <w:pStyle w:val="50"/>
              <w:ind w:firstLine="0" w:firstLineChars="0"/>
              <w:jc w:val="center"/>
              <w:rPr>
                <w:rFonts w:ascii="Times New Roman"/>
                <w:sz w:val="18"/>
                <w:szCs w:val="18"/>
              </w:rPr>
            </w:pPr>
            <w:r>
              <w:rPr>
                <w:rFonts w:ascii="Times New Roman"/>
                <w:sz w:val="18"/>
                <w:szCs w:val="18"/>
              </w:rPr>
              <w:t>设计抗冻等级</w:t>
            </w:r>
          </w:p>
        </w:tc>
        <w:tc>
          <w:tcPr>
            <w:tcW w:w="4110" w:type="dxa"/>
            <w:gridSpan w:val="2"/>
            <w:tcBorders>
              <w:top w:val="single" w:color="000000" w:sz="4" w:space="0"/>
              <w:left w:val="single" w:color="000000" w:sz="4" w:space="0"/>
              <w:bottom w:val="single" w:color="000000" w:sz="4" w:space="0"/>
              <w:right w:val="single" w:color="000000" w:sz="4" w:space="0"/>
            </w:tcBorders>
            <w:vAlign w:val="center"/>
          </w:tcPr>
          <w:p w14:paraId="020D5ECC">
            <w:pPr>
              <w:pStyle w:val="50"/>
              <w:ind w:firstLine="0" w:firstLineChars="0"/>
              <w:jc w:val="center"/>
              <w:rPr>
                <w:rFonts w:ascii="Times New Roman"/>
                <w:sz w:val="18"/>
                <w:szCs w:val="18"/>
              </w:rPr>
            </w:pPr>
            <w:r>
              <w:rPr>
                <w:rFonts w:ascii="Times New Roman"/>
                <w:sz w:val="18"/>
                <w:szCs w:val="18"/>
              </w:rPr>
              <w:t>最大水胶比</w:t>
            </w:r>
          </w:p>
        </w:tc>
        <w:tc>
          <w:tcPr>
            <w:tcW w:w="2468" w:type="dxa"/>
            <w:vMerge w:val="restart"/>
            <w:tcBorders>
              <w:top w:val="single" w:color="000000" w:sz="4" w:space="0"/>
              <w:left w:val="single" w:color="000000" w:sz="4" w:space="0"/>
              <w:bottom w:val="nil"/>
              <w:right w:val="single" w:color="000000" w:sz="4" w:space="0"/>
            </w:tcBorders>
            <w:vAlign w:val="center"/>
          </w:tcPr>
          <w:p w14:paraId="4EB709CC">
            <w:pPr>
              <w:pStyle w:val="50"/>
              <w:ind w:firstLine="0" w:firstLineChars="0"/>
              <w:jc w:val="center"/>
              <w:rPr>
                <w:rFonts w:ascii="Times New Roman"/>
                <w:sz w:val="18"/>
                <w:szCs w:val="18"/>
              </w:rPr>
            </w:pPr>
            <w:r>
              <w:rPr>
                <w:rFonts w:ascii="Times New Roman"/>
                <w:sz w:val="18"/>
                <w:szCs w:val="18"/>
              </w:rPr>
              <w:t>最小总胶凝材料用量</w:t>
            </w:r>
          </w:p>
          <w:p w14:paraId="7135C618">
            <w:pPr>
              <w:pStyle w:val="50"/>
              <w:ind w:firstLine="0" w:firstLineChars="0"/>
              <w:jc w:val="center"/>
              <w:rPr>
                <w:rFonts w:ascii="Times New Roman"/>
                <w:sz w:val="18"/>
                <w:szCs w:val="18"/>
              </w:rPr>
            </w:pPr>
            <w:r>
              <w:rPr>
                <w:rFonts w:ascii="Times New Roman"/>
                <w:sz w:val="18"/>
                <w:szCs w:val="18"/>
              </w:rPr>
              <w:t>(kg/m³)</w:t>
            </w:r>
          </w:p>
        </w:tc>
      </w:tr>
      <w:tr w14:paraId="4A0BC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2611" w:type="dxa"/>
            <w:vMerge w:val="continue"/>
            <w:tcBorders>
              <w:top w:val="single" w:color="000000" w:sz="4" w:space="0"/>
              <w:left w:val="single" w:color="000000" w:sz="4" w:space="0"/>
              <w:bottom w:val="nil"/>
              <w:right w:val="single" w:color="000000" w:sz="4" w:space="0"/>
            </w:tcBorders>
            <w:vAlign w:val="center"/>
          </w:tcPr>
          <w:p w14:paraId="76F11A66">
            <w:pPr>
              <w:pStyle w:val="50"/>
              <w:ind w:firstLine="0" w:firstLineChars="0"/>
              <w:jc w:val="center"/>
              <w:rPr>
                <w:rFonts w:ascii="Times New Roman"/>
                <w:sz w:val="18"/>
                <w:szCs w:val="18"/>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631316A7">
            <w:pPr>
              <w:pStyle w:val="50"/>
              <w:ind w:firstLine="0" w:firstLineChars="0"/>
              <w:jc w:val="center"/>
              <w:rPr>
                <w:rFonts w:ascii="Times New Roman"/>
                <w:sz w:val="18"/>
                <w:szCs w:val="18"/>
              </w:rPr>
            </w:pPr>
            <w:r>
              <w:rPr>
                <w:rFonts w:ascii="Times New Roman"/>
                <w:sz w:val="18"/>
                <w:szCs w:val="18"/>
              </w:rPr>
              <w:t>无引气剂时</w:t>
            </w:r>
          </w:p>
        </w:tc>
        <w:tc>
          <w:tcPr>
            <w:tcW w:w="2126" w:type="dxa"/>
            <w:tcBorders>
              <w:top w:val="single" w:color="000000" w:sz="4" w:space="0"/>
              <w:left w:val="single" w:color="000000" w:sz="4" w:space="0"/>
              <w:bottom w:val="single" w:color="000000" w:sz="4" w:space="0"/>
              <w:right w:val="single" w:color="000000" w:sz="4" w:space="0"/>
            </w:tcBorders>
            <w:vAlign w:val="center"/>
          </w:tcPr>
          <w:p w14:paraId="0E607C75">
            <w:pPr>
              <w:pStyle w:val="50"/>
              <w:ind w:firstLine="0" w:firstLineChars="0"/>
              <w:jc w:val="center"/>
              <w:rPr>
                <w:rFonts w:ascii="Times New Roman"/>
                <w:sz w:val="18"/>
                <w:szCs w:val="18"/>
              </w:rPr>
            </w:pPr>
            <w:r>
              <w:rPr>
                <w:rFonts w:ascii="Times New Roman"/>
                <w:sz w:val="18"/>
                <w:szCs w:val="18"/>
              </w:rPr>
              <w:t>掺引气剂时</w:t>
            </w:r>
          </w:p>
        </w:tc>
        <w:tc>
          <w:tcPr>
            <w:tcW w:w="2468" w:type="dxa"/>
            <w:vMerge w:val="continue"/>
            <w:tcBorders>
              <w:top w:val="single" w:color="000000" w:sz="4" w:space="0"/>
              <w:left w:val="single" w:color="000000" w:sz="4" w:space="0"/>
              <w:bottom w:val="nil"/>
              <w:right w:val="single" w:color="000000" w:sz="4" w:space="0"/>
            </w:tcBorders>
            <w:vAlign w:val="center"/>
          </w:tcPr>
          <w:p w14:paraId="4F478BB9">
            <w:pPr>
              <w:pStyle w:val="50"/>
              <w:ind w:firstLine="0" w:firstLineChars="0"/>
              <w:jc w:val="center"/>
              <w:rPr>
                <w:rFonts w:ascii="Times New Roman"/>
                <w:sz w:val="18"/>
                <w:szCs w:val="18"/>
              </w:rPr>
            </w:pPr>
          </w:p>
        </w:tc>
      </w:tr>
      <w:tr w14:paraId="476C0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2611" w:type="dxa"/>
            <w:tcBorders>
              <w:top w:val="single" w:color="000000" w:sz="4" w:space="0"/>
              <w:left w:val="single" w:color="000000" w:sz="4" w:space="0"/>
              <w:bottom w:val="single" w:color="000000" w:sz="4" w:space="0"/>
              <w:right w:val="single" w:color="000000" w:sz="4" w:space="0"/>
            </w:tcBorders>
            <w:vAlign w:val="center"/>
          </w:tcPr>
          <w:p w14:paraId="711C547B">
            <w:pPr>
              <w:pStyle w:val="50"/>
              <w:ind w:firstLine="0" w:firstLineChars="0"/>
              <w:jc w:val="center"/>
              <w:rPr>
                <w:rFonts w:ascii="Times New Roman"/>
                <w:sz w:val="18"/>
                <w:szCs w:val="18"/>
              </w:rPr>
            </w:pPr>
            <w:r>
              <w:rPr>
                <w:rFonts w:ascii="Times New Roman"/>
                <w:sz w:val="18"/>
                <w:szCs w:val="18"/>
              </w:rPr>
              <w:t>F50</w:t>
            </w:r>
          </w:p>
        </w:tc>
        <w:tc>
          <w:tcPr>
            <w:tcW w:w="1984" w:type="dxa"/>
            <w:tcBorders>
              <w:top w:val="single" w:color="000000" w:sz="4" w:space="0"/>
              <w:left w:val="single" w:color="000000" w:sz="4" w:space="0"/>
              <w:bottom w:val="single" w:color="000000" w:sz="4" w:space="0"/>
              <w:right w:val="single" w:color="000000" w:sz="4" w:space="0"/>
            </w:tcBorders>
            <w:vAlign w:val="center"/>
          </w:tcPr>
          <w:p w14:paraId="51FE1F7A">
            <w:pPr>
              <w:pStyle w:val="50"/>
              <w:ind w:firstLine="0" w:firstLineChars="0"/>
              <w:jc w:val="center"/>
              <w:rPr>
                <w:rFonts w:ascii="Times New Roman"/>
                <w:sz w:val="18"/>
                <w:szCs w:val="18"/>
              </w:rPr>
            </w:pPr>
            <w:r>
              <w:rPr>
                <w:rFonts w:ascii="Times New Roman"/>
                <w:sz w:val="18"/>
                <w:szCs w:val="18"/>
              </w:rPr>
              <w:t>0.45</w:t>
            </w:r>
          </w:p>
        </w:tc>
        <w:tc>
          <w:tcPr>
            <w:tcW w:w="2126" w:type="dxa"/>
            <w:tcBorders>
              <w:top w:val="single" w:color="000000" w:sz="4" w:space="0"/>
              <w:left w:val="single" w:color="000000" w:sz="4" w:space="0"/>
              <w:bottom w:val="single" w:color="000000" w:sz="4" w:space="0"/>
              <w:right w:val="single" w:color="000000" w:sz="4" w:space="0"/>
            </w:tcBorders>
            <w:vAlign w:val="center"/>
          </w:tcPr>
          <w:p w14:paraId="07489B91">
            <w:pPr>
              <w:pStyle w:val="50"/>
              <w:ind w:firstLine="0" w:firstLineChars="0"/>
              <w:jc w:val="center"/>
              <w:rPr>
                <w:rFonts w:ascii="Times New Roman"/>
                <w:sz w:val="18"/>
                <w:szCs w:val="18"/>
              </w:rPr>
            </w:pPr>
            <w:r>
              <w:rPr>
                <w:rFonts w:ascii="Times New Roman"/>
                <w:sz w:val="18"/>
                <w:szCs w:val="18"/>
              </w:rPr>
              <w:t>0.50</w:t>
            </w:r>
          </w:p>
        </w:tc>
        <w:tc>
          <w:tcPr>
            <w:tcW w:w="2468" w:type="dxa"/>
            <w:tcBorders>
              <w:top w:val="single" w:color="000000" w:sz="4" w:space="0"/>
              <w:left w:val="single" w:color="000000" w:sz="4" w:space="0"/>
              <w:bottom w:val="single" w:color="000000" w:sz="4" w:space="0"/>
              <w:right w:val="single" w:color="000000" w:sz="4" w:space="0"/>
            </w:tcBorders>
            <w:vAlign w:val="center"/>
          </w:tcPr>
          <w:p w14:paraId="4CD0C710">
            <w:pPr>
              <w:pStyle w:val="50"/>
              <w:ind w:firstLine="0" w:firstLineChars="0"/>
              <w:jc w:val="center"/>
              <w:rPr>
                <w:rFonts w:ascii="Times New Roman"/>
                <w:sz w:val="18"/>
                <w:szCs w:val="18"/>
              </w:rPr>
            </w:pPr>
            <w:r>
              <w:rPr>
                <w:rFonts w:ascii="Times New Roman"/>
                <w:sz w:val="18"/>
                <w:szCs w:val="18"/>
              </w:rPr>
              <w:t>340</w:t>
            </w:r>
          </w:p>
        </w:tc>
      </w:tr>
      <w:tr w14:paraId="1318D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611" w:type="dxa"/>
            <w:tcBorders>
              <w:top w:val="single" w:color="000000" w:sz="4" w:space="0"/>
              <w:left w:val="single" w:color="000000" w:sz="4" w:space="0"/>
              <w:bottom w:val="single" w:color="000000" w:sz="4" w:space="0"/>
              <w:right w:val="single" w:color="000000" w:sz="4" w:space="0"/>
            </w:tcBorders>
            <w:vAlign w:val="center"/>
          </w:tcPr>
          <w:p w14:paraId="5B1219D6">
            <w:pPr>
              <w:pStyle w:val="50"/>
              <w:ind w:firstLine="0" w:firstLineChars="0"/>
              <w:jc w:val="center"/>
              <w:rPr>
                <w:rFonts w:ascii="Times New Roman"/>
                <w:sz w:val="18"/>
                <w:szCs w:val="18"/>
              </w:rPr>
            </w:pPr>
            <w:r>
              <w:rPr>
                <w:rFonts w:ascii="Times New Roman"/>
                <w:sz w:val="18"/>
                <w:szCs w:val="18"/>
              </w:rPr>
              <w:t>F100</w:t>
            </w:r>
          </w:p>
        </w:tc>
        <w:tc>
          <w:tcPr>
            <w:tcW w:w="1984" w:type="dxa"/>
            <w:tcBorders>
              <w:top w:val="single" w:color="000000" w:sz="4" w:space="0"/>
              <w:left w:val="single" w:color="000000" w:sz="4" w:space="0"/>
              <w:bottom w:val="single" w:color="000000" w:sz="4" w:space="0"/>
              <w:right w:val="single" w:color="000000" w:sz="4" w:space="0"/>
            </w:tcBorders>
            <w:vAlign w:val="center"/>
          </w:tcPr>
          <w:p w14:paraId="11CDB160">
            <w:pPr>
              <w:pStyle w:val="50"/>
              <w:ind w:firstLine="0" w:firstLineChars="0"/>
              <w:jc w:val="center"/>
              <w:rPr>
                <w:rFonts w:ascii="Times New Roman"/>
                <w:sz w:val="18"/>
                <w:szCs w:val="18"/>
              </w:rPr>
            </w:pPr>
            <w:r>
              <w:rPr>
                <w:rFonts w:ascii="Times New Roman"/>
                <w:sz w:val="18"/>
                <w:szCs w:val="18"/>
              </w:rPr>
              <w:t>0.40</w:t>
            </w:r>
          </w:p>
        </w:tc>
        <w:tc>
          <w:tcPr>
            <w:tcW w:w="2126" w:type="dxa"/>
            <w:tcBorders>
              <w:top w:val="single" w:color="000000" w:sz="4" w:space="0"/>
              <w:left w:val="single" w:color="000000" w:sz="4" w:space="0"/>
              <w:bottom w:val="single" w:color="000000" w:sz="4" w:space="0"/>
              <w:right w:val="single" w:color="000000" w:sz="4" w:space="0"/>
            </w:tcBorders>
            <w:vAlign w:val="center"/>
          </w:tcPr>
          <w:p w14:paraId="315141B8">
            <w:pPr>
              <w:pStyle w:val="50"/>
              <w:ind w:firstLine="0" w:firstLineChars="0"/>
              <w:jc w:val="center"/>
              <w:rPr>
                <w:rFonts w:ascii="Times New Roman"/>
                <w:sz w:val="18"/>
                <w:szCs w:val="18"/>
              </w:rPr>
            </w:pPr>
            <w:r>
              <w:rPr>
                <w:rFonts w:ascii="Times New Roman"/>
                <w:sz w:val="18"/>
                <w:szCs w:val="18"/>
              </w:rPr>
              <w:t>0.45</w:t>
            </w:r>
          </w:p>
        </w:tc>
        <w:tc>
          <w:tcPr>
            <w:tcW w:w="2468" w:type="dxa"/>
            <w:tcBorders>
              <w:top w:val="single" w:color="000000" w:sz="4" w:space="0"/>
              <w:left w:val="single" w:color="000000" w:sz="4" w:space="0"/>
              <w:bottom w:val="single" w:color="000000" w:sz="4" w:space="0"/>
              <w:right w:val="single" w:color="000000" w:sz="4" w:space="0"/>
            </w:tcBorders>
            <w:vAlign w:val="center"/>
          </w:tcPr>
          <w:p w14:paraId="040A95F7">
            <w:pPr>
              <w:pStyle w:val="50"/>
              <w:ind w:firstLine="0" w:firstLineChars="0"/>
              <w:jc w:val="center"/>
              <w:rPr>
                <w:rFonts w:ascii="Times New Roman"/>
                <w:sz w:val="18"/>
                <w:szCs w:val="18"/>
              </w:rPr>
            </w:pPr>
            <w:r>
              <w:rPr>
                <w:rFonts w:ascii="Times New Roman"/>
                <w:sz w:val="18"/>
                <w:szCs w:val="18"/>
              </w:rPr>
              <w:t>360</w:t>
            </w:r>
          </w:p>
        </w:tc>
      </w:tr>
      <w:tr w14:paraId="4507E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2611" w:type="dxa"/>
            <w:tcBorders>
              <w:top w:val="single" w:color="000000" w:sz="4" w:space="0"/>
              <w:left w:val="single" w:color="000000" w:sz="4" w:space="0"/>
              <w:bottom w:val="single" w:color="000000" w:sz="4" w:space="0"/>
              <w:right w:val="single" w:color="000000" w:sz="4" w:space="0"/>
            </w:tcBorders>
            <w:vAlign w:val="center"/>
          </w:tcPr>
          <w:p w14:paraId="7F346C54">
            <w:pPr>
              <w:pStyle w:val="50"/>
              <w:ind w:firstLine="0" w:firstLineChars="0"/>
              <w:jc w:val="center"/>
              <w:rPr>
                <w:rFonts w:ascii="Times New Roman"/>
                <w:sz w:val="18"/>
                <w:szCs w:val="18"/>
              </w:rPr>
            </w:pPr>
            <w:r>
              <w:rPr>
                <w:rFonts w:ascii="Times New Roman"/>
                <w:sz w:val="18"/>
                <w:szCs w:val="18"/>
              </w:rPr>
              <w:t>F150</w:t>
            </w:r>
          </w:p>
        </w:tc>
        <w:tc>
          <w:tcPr>
            <w:tcW w:w="1984" w:type="dxa"/>
            <w:tcBorders>
              <w:top w:val="single" w:color="000000" w:sz="4" w:space="0"/>
              <w:left w:val="single" w:color="000000" w:sz="4" w:space="0"/>
              <w:bottom w:val="single" w:color="000000" w:sz="4" w:space="0"/>
              <w:right w:val="single" w:color="000000" w:sz="4" w:space="0"/>
            </w:tcBorders>
            <w:vAlign w:val="center"/>
          </w:tcPr>
          <w:p w14:paraId="211F663F">
            <w:pPr>
              <w:pStyle w:val="50"/>
              <w:ind w:firstLine="0" w:firstLineChars="0"/>
              <w:jc w:val="center"/>
              <w:rPr>
                <w:rFonts w:ascii="Times New Roman"/>
                <w:sz w:val="18"/>
                <w:szCs w:val="18"/>
              </w:rPr>
            </w:pPr>
            <w:r>
              <w:rPr>
                <w:rFonts w:ascii="Times New Roman"/>
                <w:sz w:val="18"/>
                <w:szCs w:val="18"/>
              </w:rPr>
              <w:t>-</w:t>
            </w:r>
          </w:p>
        </w:tc>
        <w:tc>
          <w:tcPr>
            <w:tcW w:w="2126" w:type="dxa"/>
            <w:tcBorders>
              <w:top w:val="single" w:color="000000" w:sz="4" w:space="0"/>
              <w:left w:val="single" w:color="000000" w:sz="4" w:space="0"/>
              <w:bottom w:val="single" w:color="000000" w:sz="4" w:space="0"/>
              <w:right w:val="single" w:color="000000" w:sz="4" w:space="0"/>
            </w:tcBorders>
            <w:vAlign w:val="center"/>
          </w:tcPr>
          <w:p w14:paraId="0EF31527">
            <w:pPr>
              <w:pStyle w:val="50"/>
              <w:ind w:firstLine="0" w:firstLineChars="0"/>
              <w:jc w:val="center"/>
              <w:rPr>
                <w:rFonts w:ascii="Times New Roman"/>
                <w:sz w:val="18"/>
                <w:szCs w:val="18"/>
              </w:rPr>
            </w:pPr>
            <w:r>
              <w:rPr>
                <w:rFonts w:ascii="Times New Roman"/>
                <w:sz w:val="18"/>
                <w:szCs w:val="18"/>
              </w:rPr>
              <w:t>0.40</w:t>
            </w:r>
          </w:p>
        </w:tc>
        <w:tc>
          <w:tcPr>
            <w:tcW w:w="2468" w:type="dxa"/>
            <w:tcBorders>
              <w:top w:val="single" w:color="000000" w:sz="4" w:space="0"/>
              <w:left w:val="single" w:color="000000" w:sz="4" w:space="0"/>
              <w:bottom w:val="single" w:color="000000" w:sz="4" w:space="0"/>
              <w:right w:val="single" w:color="000000" w:sz="4" w:space="0"/>
            </w:tcBorders>
            <w:vAlign w:val="center"/>
          </w:tcPr>
          <w:p w14:paraId="64012092">
            <w:pPr>
              <w:pStyle w:val="50"/>
              <w:ind w:firstLine="0" w:firstLineChars="0"/>
              <w:jc w:val="center"/>
              <w:rPr>
                <w:rFonts w:ascii="Times New Roman"/>
                <w:sz w:val="18"/>
                <w:szCs w:val="18"/>
              </w:rPr>
            </w:pPr>
            <w:r>
              <w:rPr>
                <w:rFonts w:ascii="Times New Roman"/>
                <w:sz w:val="18"/>
                <w:szCs w:val="18"/>
              </w:rPr>
              <w:t>380</w:t>
            </w:r>
          </w:p>
        </w:tc>
      </w:tr>
      <w:tr w14:paraId="6F272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2611" w:type="dxa"/>
            <w:tcBorders>
              <w:top w:val="single" w:color="000000" w:sz="4" w:space="0"/>
              <w:left w:val="single" w:color="000000" w:sz="4" w:space="0"/>
              <w:bottom w:val="single" w:color="000000" w:sz="4" w:space="0"/>
              <w:right w:val="single" w:color="000000" w:sz="4" w:space="0"/>
            </w:tcBorders>
            <w:vAlign w:val="center"/>
          </w:tcPr>
          <w:p w14:paraId="0D9526D2">
            <w:pPr>
              <w:pStyle w:val="50"/>
              <w:ind w:firstLine="0" w:firstLineChars="0"/>
              <w:jc w:val="center"/>
              <w:rPr>
                <w:rFonts w:ascii="Times New Roman"/>
                <w:sz w:val="18"/>
                <w:szCs w:val="18"/>
              </w:rPr>
            </w:pPr>
            <w:r>
              <w:rPr>
                <w:rFonts w:ascii="Times New Roman"/>
                <w:sz w:val="18"/>
                <w:szCs w:val="18"/>
              </w:rPr>
              <w:t>F200</w:t>
            </w:r>
          </w:p>
        </w:tc>
        <w:tc>
          <w:tcPr>
            <w:tcW w:w="1984" w:type="dxa"/>
            <w:tcBorders>
              <w:top w:val="single" w:color="000000" w:sz="4" w:space="0"/>
              <w:left w:val="single" w:color="000000" w:sz="4" w:space="0"/>
              <w:bottom w:val="single" w:color="000000" w:sz="4" w:space="0"/>
              <w:right w:val="single" w:color="000000" w:sz="4" w:space="0"/>
            </w:tcBorders>
            <w:vAlign w:val="center"/>
          </w:tcPr>
          <w:p w14:paraId="2C327414">
            <w:pPr>
              <w:pStyle w:val="50"/>
              <w:ind w:firstLine="0" w:firstLineChars="0"/>
              <w:jc w:val="center"/>
              <w:rPr>
                <w:rFonts w:ascii="Times New Roman"/>
                <w:sz w:val="18"/>
                <w:szCs w:val="18"/>
              </w:rPr>
            </w:pPr>
            <w:r>
              <w:rPr>
                <w:rFonts w:ascii="Times New Roman"/>
                <w:sz w:val="18"/>
                <w:szCs w:val="18"/>
              </w:rPr>
              <w:t>-</w:t>
            </w:r>
          </w:p>
        </w:tc>
        <w:tc>
          <w:tcPr>
            <w:tcW w:w="2126" w:type="dxa"/>
            <w:tcBorders>
              <w:top w:val="single" w:color="000000" w:sz="4" w:space="0"/>
              <w:left w:val="single" w:color="000000" w:sz="4" w:space="0"/>
              <w:bottom w:val="single" w:color="000000" w:sz="4" w:space="0"/>
              <w:right w:val="single" w:color="000000" w:sz="4" w:space="0"/>
            </w:tcBorders>
            <w:vAlign w:val="center"/>
          </w:tcPr>
          <w:p w14:paraId="589E8A98">
            <w:pPr>
              <w:pStyle w:val="50"/>
              <w:ind w:firstLine="0" w:firstLineChars="0"/>
              <w:jc w:val="center"/>
              <w:rPr>
                <w:rFonts w:ascii="Times New Roman"/>
                <w:sz w:val="18"/>
                <w:szCs w:val="18"/>
              </w:rPr>
            </w:pPr>
            <w:r>
              <w:rPr>
                <w:rFonts w:ascii="Times New Roman"/>
                <w:sz w:val="18"/>
                <w:szCs w:val="18"/>
              </w:rPr>
              <w:t>0.38</w:t>
            </w:r>
          </w:p>
        </w:tc>
        <w:tc>
          <w:tcPr>
            <w:tcW w:w="2468" w:type="dxa"/>
            <w:tcBorders>
              <w:top w:val="single" w:color="000000" w:sz="4" w:space="0"/>
              <w:left w:val="single" w:color="000000" w:sz="4" w:space="0"/>
              <w:bottom w:val="single" w:color="000000" w:sz="4" w:space="0"/>
              <w:right w:val="single" w:color="000000" w:sz="4" w:space="0"/>
            </w:tcBorders>
            <w:vAlign w:val="center"/>
          </w:tcPr>
          <w:p w14:paraId="358A015F">
            <w:pPr>
              <w:pStyle w:val="50"/>
              <w:ind w:firstLine="0" w:firstLineChars="0"/>
              <w:jc w:val="center"/>
              <w:rPr>
                <w:rFonts w:ascii="Times New Roman"/>
                <w:sz w:val="18"/>
                <w:szCs w:val="18"/>
              </w:rPr>
            </w:pPr>
            <w:r>
              <w:rPr>
                <w:rFonts w:ascii="Times New Roman"/>
                <w:sz w:val="18"/>
                <w:szCs w:val="18"/>
              </w:rPr>
              <w:t>400</w:t>
            </w:r>
          </w:p>
        </w:tc>
      </w:tr>
      <w:tr w14:paraId="336C0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2611" w:type="dxa"/>
            <w:tcBorders>
              <w:top w:val="single" w:color="000000" w:sz="4" w:space="0"/>
              <w:left w:val="single" w:color="000000" w:sz="4" w:space="0"/>
              <w:bottom w:val="single" w:color="000000" w:sz="4" w:space="0"/>
              <w:right w:val="single" w:color="000000" w:sz="4" w:space="0"/>
            </w:tcBorders>
            <w:vAlign w:val="center"/>
          </w:tcPr>
          <w:p w14:paraId="3C6FF40A">
            <w:pPr>
              <w:pStyle w:val="50"/>
              <w:ind w:firstLine="0" w:firstLineChars="0"/>
              <w:jc w:val="center"/>
              <w:rPr>
                <w:rFonts w:ascii="Times New Roman"/>
                <w:sz w:val="18"/>
                <w:szCs w:val="18"/>
              </w:rPr>
            </w:pPr>
            <w:r>
              <w:rPr>
                <w:rFonts w:ascii="Times New Roman"/>
                <w:sz w:val="18"/>
                <w:szCs w:val="18"/>
              </w:rPr>
              <w:t>F250</w:t>
            </w:r>
          </w:p>
        </w:tc>
        <w:tc>
          <w:tcPr>
            <w:tcW w:w="1984" w:type="dxa"/>
            <w:tcBorders>
              <w:top w:val="single" w:color="000000" w:sz="4" w:space="0"/>
              <w:left w:val="single" w:color="000000" w:sz="4" w:space="0"/>
              <w:bottom w:val="single" w:color="000000" w:sz="4" w:space="0"/>
              <w:right w:val="single" w:color="000000" w:sz="4" w:space="0"/>
            </w:tcBorders>
            <w:vAlign w:val="center"/>
          </w:tcPr>
          <w:p w14:paraId="30FF29BA">
            <w:pPr>
              <w:pStyle w:val="50"/>
              <w:ind w:firstLine="0" w:firstLineChars="0"/>
              <w:jc w:val="center"/>
              <w:rPr>
                <w:rFonts w:ascii="Times New Roman"/>
                <w:sz w:val="18"/>
                <w:szCs w:val="18"/>
              </w:rPr>
            </w:pPr>
            <w:r>
              <w:rPr>
                <w:rFonts w:ascii="Times New Roman"/>
                <w:sz w:val="18"/>
                <w:szCs w:val="18"/>
              </w:rPr>
              <w:t>-</w:t>
            </w:r>
          </w:p>
        </w:tc>
        <w:tc>
          <w:tcPr>
            <w:tcW w:w="2126" w:type="dxa"/>
            <w:tcBorders>
              <w:top w:val="single" w:color="000000" w:sz="4" w:space="0"/>
              <w:left w:val="single" w:color="000000" w:sz="4" w:space="0"/>
              <w:bottom w:val="single" w:color="000000" w:sz="4" w:space="0"/>
              <w:right w:val="single" w:color="000000" w:sz="4" w:space="0"/>
            </w:tcBorders>
            <w:vAlign w:val="center"/>
          </w:tcPr>
          <w:p w14:paraId="5D393DB8">
            <w:pPr>
              <w:pStyle w:val="50"/>
              <w:ind w:firstLine="0" w:firstLineChars="0"/>
              <w:jc w:val="center"/>
              <w:rPr>
                <w:rFonts w:ascii="Times New Roman"/>
                <w:sz w:val="18"/>
                <w:szCs w:val="18"/>
              </w:rPr>
            </w:pPr>
            <w:r>
              <w:rPr>
                <w:rFonts w:ascii="Times New Roman"/>
                <w:sz w:val="18"/>
                <w:szCs w:val="18"/>
              </w:rPr>
              <w:t>0.36</w:t>
            </w:r>
          </w:p>
        </w:tc>
        <w:tc>
          <w:tcPr>
            <w:tcW w:w="2468" w:type="dxa"/>
            <w:tcBorders>
              <w:top w:val="single" w:color="000000" w:sz="4" w:space="0"/>
              <w:left w:val="single" w:color="000000" w:sz="4" w:space="0"/>
              <w:bottom w:val="single" w:color="000000" w:sz="4" w:space="0"/>
              <w:right w:val="single" w:color="000000" w:sz="4" w:space="0"/>
            </w:tcBorders>
            <w:vAlign w:val="center"/>
          </w:tcPr>
          <w:p w14:paraId="09EE4593">
            <w:pPr>
              <w:pStyle w:val="50"/>
              <w:ind w:firstLine="0" w:firstLineChars="0"/>
              <w:jc w:val="center"/>
              <w:rPr>
                <w:rFonts w:ascii="Times New Roman"/>
                <w:sz w:val="18"/>
                <w:szCs w:val="18"/>
              </w:rPr>
            </w:pPr>
            <w:r>
              <w:rPr>
                <w:rFonts w:ascii="Times New Roman"/>
                <w:sz w:val="18"/>
                <w:szCs w:val="18"/>
              </w:rPr>
              <w:t>420</w:t>
            </w:r>
          </w:p>
        </w:tc>
      </w:tr>
      <w:tr w14:paraId="2B519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2611" w:type="dxa"/>
            <w:tcBorders>
              <w:top w:val="single" w:color="000000" w:sz="4" w:space="0"/>
              <w:left w:val="single" w:color="000000" w:sz="4" w:space="0"/>
              <w:bottom w:val="single" w:color="000000" w:sz="4" w:space="0"/>
              <w:right w:val="single" w:color="000000" w:sz="4" w:space="0"/>
            </w:tcBorders>
            <w:vAlign w:val="center"/>
          </w:tcPr>
          <w:p w14:paraId="4D2D998F">
            <w:pPr>
              <w:pStyle w:val="50"/>
              <w:ind w:firstLine="0" w:firstLineChars="0"/>
              <w:jc w:val="center"/>
              <w:rPr>
                <w:rFonts w:ascii="Times New Roman"/>
                <w:sz w:val="18"/>
                <w:szCs w:val="18"/>
              </w:rPr>
            </w:pPr>
            <w:r>
              <w:rPr>
                <w:rFonts w:ascii="Times New Roman"/>
                <w:sz w:val="18"/>
                <w:szCs w:val="18"/>
              </w:rPr>
              <w:t>&gt;F250</w:t>
            </w:r>
          </w:p>
        </w:tc>
        <w:tc>
          <w:tcPr>
            <w:tcW w:w="1984" w:type="dxa"/>
            <w:tcBorders>
              <w:top w:val="single" w:color="000000" w:sz="4" w:space="0"/>
              <w:left w:val="single" w:color="000000" w:sz="4" w:space="0"/>
              <w:bottom w:val="single" w:color="000000" w:sz="4" w:space="0"/>
              <w:right w:val="single" w:color="000000" w:sz="4" w:space="0"/>
            </w:tcBorders>
            <w:vAlign w:val="center"/>
          </w:tcPr>
          <w:p w14:paraId="173D1760">
            <w:pPr>
              <w:pStyle w:val="50"/>
              <w:ind w:firstLine="0" w:firstLineChars="0"/>
              <w:jc w:val="center"/>
              <w:rPr>
                <w:rFonts w:ascii="Times New Roman"/>
                <w:sz w:val="18"/>
                <w:szCs w:val="18"/>
              </w:rPr>
            </w:pPr>
            <w:r>
              <w:rPr>
                <w:rFonts w:ascii="Times New Roman"/>
                <w:sz w:val="18"/>
                <w:szCs w:val="18"/>
              </w:rPr>
              <w:t>-</w:t>
            </w:r>
          </w:p>
        </w:tc>
        <w:tc>
          <w:tcPr>
            <w:tcW w:w="2126" w:type="dxa"/>
            <w:tcBorders>
              <w:top w:val="single" w:color="000000" w:sz="4" w:space="0"/>
              <w:left w:val="single" w:color="000000" w:sz="4" w:space="0"/>
              <w:bottom w:val="single" w:color="000000" w:sz="4" w:space="0"/>
              <w:right w:val="single" w:color="000000" w:sz="4" w:space="0"/>
            </w:tcBorders>
            <w:vAlign w:val="center"/>
          </w:tcPr>
          <w:p w14:paraId="63BA4C52">
            <w:pPr>
              <w:pStyle w:val="50"/>
              <w:ind w:firstLine="0" w:firstLineChars="0"/>
              <w:jc w:val="center"/>
              <w:rPr>
                <w:rFonts w:ascii="Times New Roman"/>
                <w:sz w:val="18"/>
                <w:szCs w:val="18"/>
              </w:rPr>
            </w:pPr>
            <w:r>
              <w:rPr>
                <w:rFonts w:ascii="Times New Roman"/>
                <w:sz w:val="18"/>
                <w:szCs w:val="18"/>
              </w:rPr>
              <w:t>0.35</w:t>
            </w:r>
          </w:p>
        </w:tc>
        <w:tc>
          <w:tcPr>
            <w:tcW w:w="2468" w:type="dxa"/>
            <w:tcBorders>
              <w:top w:val="single" w:color="000000" w:sz="4" w:space="0"/>
              <w:left w:val="single" w:color="000000" w:sz="4" w:space="0"/>
              <w:bottom w:val="single" w:color="000000" w:sz="4" w:space="0"/>
              <w:right w:val="single" w:color="000000" w:sz="4" w:space="0"/>
            </w:tcBorders>
            <w:vAlign w:val="center"/>
          </w:tcPr>
          <w:p w14:paraId="775C33A2">
            <w:pPr>
              <w:pStyle w:val="50"/>
              <w:ind w:firstLine="0" w:firstLineChars="0"/>
              <w:jc w:val="center"/>
              <w:rPr>
                <w:rFonts w:ascii="Times New Roman"/>
                <w:sz w:val="18"/>
                <w:szCs w:val="18"/>
              </w:rPr>
            </w:pPr>
            <w:r>
              <w:rPr>
                <w:rFonts w:ascii="Times New Roman"/>
                <w:sz w:val="18"/>
                <w:szCs w:val="18"/>
              </w:rPr>
              <w:t>440</w:t>
            </w:r>
          </w:p>
        </w:tc>
      </w:tr>
    </w:tbl>
    <w:p w14:paraId="577DE6BA">
      <w:pPr>
        <w:pStyle w:val="50"/>
        <w:rPr>
          <w:rFonts w:ascii="Times New Roman"/>
        </w:rPr>
      </w:pPr>
    </w:p>
    <w:p w14:paraId="52953B9B">
      <w:pPr>
        <w:pStyle w:val="49"/>
        <w:rPr>
          <w:rFonts w:ascii="Times New Roman" w:hAnsi="Times New Roman"/>
        </w:rPr>
      </w:pPr>
      <w:bookmarkStart w:id="418" w:name="_Toc205222482"/>
      <w:bookmarkStart w:id="419" w:name="_Toc205482117"/>
      <w:r>
        <w:rPr>
          <w:rFonts w:ascii="Times New Roman" w:hAnsi="Times New Roman"/>
        </w:rPr>
        <w:t>高强混凝土配合比应经试验确定，在缺乏试验依据的情况下，C60</w:t>
      </w:r>
      <w:r>
        <w:rPr>
          <w:rFonts w:ascii="Times New Roman" w:hAnsi="Times New Roman"/>
          <w:sz w:val="18"/>
          <w:szCs w:val="18"/>
        </w:rPr>
        <w:t>～</w:t>
      </w:r>
      <w:r>
        <w:rPr>
          <w:rFonts w:ascii="Times New Roman" w:hAnsi="Times New Roman"/>
        </w:rPr>
        <w:t>C80混凝土胶凝材料用量宜为500kg/m³</w:t>
      </w:r>
      <w:r>
        <w:rPr>
          <w:rFonts w:ascii="Times New Roman" w:hAnsi="Times New Roman"/>
          <w:sz w:val="18"/>
          <w:szCs w:val="18"/>
        </w:rPr>
        <w:t>～</w:t>
      </w:r>
      <w:r>
        <w:rPr>
          <w:rFonts w:ascii="Times New Roman" w:hAnsi="Times New Roman"/>
        </w:rPr>
        <w:t>590kg/m³，水胶比宜为0.20</w:t>
      </w:r>
      <w:r>
        <w:rPr>
          <w:rFonts w:ascii="Times New Roman" w:hAnsi="Times New Roman"/>
          <w:sz w:val="18"/>
          <w:szCs w:val="18"/>
        </w:rPr>
        <w:t>～</w:t>
      </w:r>
      <w:r>
        <w:rPr>
          <w:rFonts w:ascii="Times New Roman" w:hAnsi="Times New Roman"/>
        </w:rPr>
        <w:t>0.28，并应经试配确定，且性能应符合JGJ 55的规定。</w:t>
      </w:r>
      <w:bookmarkEnd w:id="418"/>
      <w:bookmarkEnd w:id="419"/>
    </w:p>
    <w:p w14:paraId="45FA77F3">
      <w:pPr>
        <w:pStyle w:val="49"/>
        <w:rPr>
          <w:rFonts w:ascii="Times New Roman" w:hAnsi="Times New Roman"/>
        </w:rPr>
      </w:pPr>
      <w:bookmarkStart w:id="420" w:name="_Toc205482118"/>
      <w:bookmarkStart w:id="421" w:name="_Toc205222483"/>
      <w:r>
        <w:rPr>
          <w:rFonts w:ascii="Times New Roman" w:hAnsi="Times New Roman"/>
        </w:rPr>
        <w:t>大体积混凝土配合比水胶比不宜大于0.45，用水量不宜大于175kg/m³，且性能应符合JGJ 55的规定。</w:t>
      </w:r>
      <w:bookmarkEnd w:id="420"/>
      <w:bookmarkEnd w:id="421"/>
    </w:p>
    <w:bookmarkEnd w:id="349"/>
    <w:p w14:paraId="442F0BB2">
      <w:pPr>
        <w:pStyle w:val="52"/>
        <w:spacing w:before="312" w:after="312"/>
        <w:rPr>
          <w:rFonts w:ascii="Times New Roman"/>
        </w:rPr>
      </w:pPr>
      <w:bookmarkStart w:id="422" w:name="_Toc205237778"/>
      <w:bookmarkStart w:id="423" w:name="_Toc205482119"/>
      <w:bookmarkStart w:id="424" w:name="_Toc205222484"/>
      <w:bookmarkStart w:id="425" w:name="_Toc162893473"/>
      <w:bookmarkStart w:id="426" w:name="_Toc23487"/>
      <w:bookmarkStart w:id="427" w:name="_Toc204018344"/>
      <w:bookmarkStart w:id="428" w:name="_Toc195801481"/>
      <w:bookmarkStart w:id="429" w:name="_Toc25880"/>
      <w:bookmarkStart w:id="430" w:name="_Hlk204086994"/>
      <w:r>
        <w:rPr>
          <w:rFonts w:ascii="Times New Roman"/>
        </w:rPr>
        <w:t>生产与施工</w:t>
      </w:r>
      <w:bookmarkEnd w:id="422"/>
      <w:bookmarkEnd w:id="423"/>
      <w:bookmarkEnd w:id="424"/>
      <w:bookmarkEnd w:id="425"/>
      <w:bookmarkEnd w:id="426"/>
      <w:bookmarkEnd w:id="427"/>
      <w:bookmarkEnd w:id="428"/>
      <w:bookmarkEnd w:id="429"/>
    </w:p>
    <w:bookmarkEnd w:id="430"/>
    <w:p w14:paraId="249C4989">
      <w:pPr>
        <w:pStyle w:val="53"/>
        <w:rPr>
          <w:rFonts w:ascii="Times New Roman"/>
        </w:rPr>
      </w:pPr>
      <w:bookmarkStart w:id="431" w:name="_Toc205482120"/>
      <w:bookmarkStart w:id="432" w:name="_Toc205237779"/>
      <w:bookmarkStart w:id="433" w:name="_Toc205222485"/>
      <w:bookmarkStart w:id="434" w:name="_Toc62058570"/>
      <w:bookmarkStart w:id="435" w:name="_Toc162893474"/>
      <w:bookmarkStart w:id="436" w:name="_Toc204018345"/>
      <w:bookmarkStart w:id="437" w:name="_Toc1546"/>
      <w:bookmarkStart w:id="438" w:name="_Toc395621867"/>
      <w:bookmarkStart w:id="439" w:name="_Toc396893687"/>
      <w:bookmarkStart w:id="440" w:name="_Toc17932"/>
      <w:bookmarkStart w:id="441" w:name="_Toc195801482"/>
      <w:r>
        <w:rPr>
          <w:rFonts w:ascii="Times New Roman"/>
        </w:rPr>
        <w:t>一般规定</w:t>
      </w:r>
      <w:bookmarkEnd w:id="431"/>
      <w:bookmarkEnd w:id="432"/>
      <w:bookmarkEnd w:id="433"/>
      <w:bookmarkEnd w:id="434"/>
      <w:bookmarkEnd w:id="435"/>
      <w:bookmarkEnd w:id="436"/>
      <w:bookmarkEnd w:id="437"/>
      <w:bookmarkEnd w:id="438"/>
      <w:bookmarkEnd w:id="439"/>
      <w:bookmarkEnd w:id="440"/>
      <w:bookmarkEnd w:id="441"/>
    </w:p>
    <w:p w14:paraId="6758B0C5">
      <w:pPr>
        <w:pStyle w:val="49"/>
        <w:rPr>
          <w:rFonts w:ascii="Times New Roman" w:hAnsi="Times New Roman"/>
        </w:rPr>
      </w:pPr>
      <w:bookmarkStart w:id="442" w:name="_Toc205482121"/>
      <w:bookmarkStart w:id="443" w:name="_Toc205222486"/>
      <w:bookmarkStart w:id="444" w:name="_Toc1998"/>
      <w:bookmarkStart w:id="445" w:name="_Toc204018346"/>
      <w:bookmarkStart w:id="446" w:name="_Toc69"/>
      <w:r>
        <w:rPr>
          <w:rFonts w:ascii="Times New Roman" w:hAnsi="Times New Roman"/>
        </w:rPr>
        <w:t>复合混凝土的生产应符合GB/T 14902的规定，质量控制应符合GB 50164的规定。</w:t>
      </w:r>
      <w:bookmarkEnd w:id="442"/>
      <w:bookmarkEnd w:id="443"/>
      <w:bookmarkEnd w:id="444"/>
      <w:bookmarkEnd w:id="445"/>
      <w:bookmarkEnd w:id="446"/>
    </w:p>
    <w:p w14:paraId="2C369E81">
      <w:pPr>
        <w:pStyle w:val="49"/>
        <w:rPr>
          <w:rFonts w:ascii="Times New Roman" w:hAnsi="Times New Roman"/>
        </w:rPr>
      </w:pPr>
      <w:bookmarkStart w:id="447" w:name="_Toc4024"/>
      <w:bookmarkStart w:id="448" w:name="_Toc204018347"/>
      <w:bookmarkStart w:id="449" w:name="_Toc205222487"/>
      <w:bookmarkStart w:id="450" w:name="_Toc205482122"/>
      <w:bookmarkStart w:id="451" w:name="_Toc22351"/>
      <w:r>
        <w:rPr>
          <w:rFonts w:ascii="Times New Roman" w:hAnsi="Times New Roman"/>
        </w:rPr>
        <w:t>复合混凝土的施工应符合GB 50666的规定，当复合混凝土用于其他行业时还应符合对应行业的标准规定。</w:t>
      </w:r>
      <w:bookmarkEnd w:id="447"/>
      <w:bookmarkEnd w:id="448"/>
      <w:bookmarkEnd w:id="449"/>
      <w:bookmarkEnd w:id="450"/>
      <w:bookmarkEnd w:id="451"/>
    </w:p>
    <w:p w14:paraId="6C4494C6">
      <w:pPr>
        <w:pStyle w:val="49"/>
        <w:rPr>
          <w:rFonts w:ascii="Times New Roman" w:hAnsi="Times New Roman"/>
        </w:rPr>
      </w:pPr>
      <w:bookmarkStart w:id="452" w:name="_Toc10806"/>
      <w:bookmarkStart w:id="453" w:name="_Toc25300"/>
      <w:bookmarkStart w:id="454" w:name="_Toc204018348"/>
      <w:bookmarkStart w:id="455" w:name="_Toc205222488"/>
      <w:bookmarkStart w:id="456" w:name="_Toc205482123"/>
      <w:r>
        <w:rPr>
          <w:rFonts w:ascii="Times New Roman" w:hAnsi="Times New Roman"/>
        </w:rPr>
        <w:t>在混凝土拌合物的运输和浇筑过程中严禁加水</w:t>
      </w:r>
      <w:bookmarkEnd w:id="452"/>
      <w:bookmarkEnd w:id="453"/>
      <w:bookmarkEnd w:id="454"/>
      <w:r>
        <w:rPr>
          <w:rFonts w:ascii="Times New Roman" w:hAnsi="Times New Roman"/>
        </w:rPr>
        <w:t>。</w:t>
      </w:r>
      <w:bookmarkEnd w:id="455"/>
      <w:bookmarkEnd w:id="456"/>
    </w:p>
    <w:p w14:paraId="049188AA">
      <w:pPr>
        <w:pStyle w:val="49"/>
        <w:rPr>
          <w:rFonts w:ascii="Times New Roman" w:hAnsi="Times New Roman"/>
        </w:rPr>
      </w:pPr>
      <w:bookmarkStart w:id="457" w:name="_Toc4807"/>
      <w:bookmarkStart w:id="458" w:name="_Toc24708"/>
      <w:bookmarkStart w:id="459" w:name="_Toc204018349"/>
      <w:bookmarkStart w:id="460" w:name="_Toc205222489"/>
      <w:bookmarkStart w:id="461" w:name="_Toc205482124"/>
      <w:r>
        <w:rPr>
          <w:rFonts w:ascii="Times New Roman" w:hAnsi="Times New Roman"/>
        </w:rPr>
        <w:t>搅拌站（楼）应符合GB/T 10171的规定。</w:t>
      </w:r>
      <w:bookmarkEnd w:id="457"/>
      <w:bookmarkEnd w:id="458"/>
      <w:bookmarkEnd w:id="459"/>
      <w:bookmarkEnd w:id="460"/>
      <w:bookmarkEnd w:id="461"/>
    </w:p>
    <w:p w14:paraId="54BCC076">
      <w:pPr>
        <w:pStyle w:val="49"/>
        <w:rPr>
          <w:rFonts w:ascii="Times New Roman" w:hAnsi="Times New Roman"/>
        </w:rPr>
      </w:pPr>
      <w:bookmarkStart w:id="462" w:name="_Toc14256"/>
      <w:bookmarkStart w:id="463" w:name="_Toc204018350"/>
      <w:bookmarkStart w:id="464" w:name="_Toc21726"/>
      <w:bookmarkStart w:id="465" w:name="_Toc205222490"/>
      <w:bookmarkStart w:id="466" w:name="_Toc205482125"/>
      <w:r>
        <w:rPr>
          <w:rFonts w:ascii="Times New Roman" w:hAnsi="Times New Roman"/>
        </w:rPr>
        <w:t>生产厂址选择、厂区要求、设备设施、控制要求、监测控制应符合JGJ/T 328的规定。</w:t>
      </w:r>
      <w:bookmarkEnd w:id="462"/>
      <w:bookmarkEnd w:id="463"/>
      <w:bookmarkEnd w:id="464"/>
      <w:bookmarkEnd w:id="465"/>
      <w:bookmarkEnd w:id="466"/>
    </w:p>
    <w:p w14:paraId="3A72862D">
      <w:pPr>
        <w:pStyle w:val="53"/>
        <w:rPr>
          <w:rFonts w:ascii="Times New Roman"/>
        </w:rPr>
      </w:pPr>
      <w:bookmarkStart w:id="467" w:name="_Toc162893476"/>
      <w:bookmarkStart w:id="468" w:name="_Toc204018351"/>
      <w:bookmarkStart w:id="469" w:name="_Toc11503"/>
      <w:bookmarkStart w:id="470" w:name="_Toc13172"/>
      <w:bookmarkStart w:id="471" w:name="_Toc195801484"/>
      <w:bookmarkStart w:id="472" w:name="_Toc205222491"/>
      <w:bookmarkStart w:id="473" w:name="_Toc205237780"/>
      <w:bookmarkStart w:id="474" w:name="_Toc205482126"/>
      <w:bookmarkStart w:id="475" w:name="_Hlk162887812"/>
      <w:r>
        <w:rPr>
          <w:rFonts w:ascii="Times New Roman"/>
        </w:rPr>
        <w:t>原材料进场与贮存</w:t>
      </w:r>
      <w:bookmarkEnd w:id="467"/>
      <w:bookmarkEnd w:id="468"/>
      <w:bookmarkEnd w:id="469"/>
      <w:bookmarkEnd w:id="470"/>
      <w:bookmarkEnd w:id="471"/>
      <w:bookmarkEnd w:id="472"/>
      <w:bookmarkEnd w:id="473"/>
      <w:bookmarkEnd w:id="474"/>
      <w:r>
        <w:rPr>
          <w:rFonts w:ascii="Times New Roman"/>
        </w:rPr>
        <w:t xml:space="preserve"> </w:t>
      </w:r>
    </w:p>
    <w:bookmarkEnd w:id="475"/>
    <w:p w14:paraId="2D2BC047">
      <w:pPr>
        <w:pStyle w:val="49"/>
        <w:rPr>
          <w:rFonts w:ascii="Times New Roman" w:hAnsi="Times New Roman"/>
        </w:rPr>
      </w:pPr>
      <w:bookmarkStart w:id="476" w:name="_Toc10445"/>
      <w:bookmarkStart w:id="477" w:name="_Toc204018352"/>
      <w:bookmarkStart w:id="478" w:name="_Toc1114"/>
      <w:bookmarkStart w:id="479" w:name="_Toc205222492"/>
      <w:bookmarkStart w:id="480" w:name="_Toc205482127"/>
      <w:r>
        <w:rPr>
          <w:rFonts w:ascii="Times New Roman" w:hAnsi="Times New Roman"/>
        </w:rPr>
        <w:t>复合胶材进场检验应符合下列规定：</w:t>
      </w:r>
      <w:bookmarkEnd w:id="476"/>
      <w:bookmarkEnd w:id="477"/>
      <w:bookmarkEnd w:id="478"/>
      <w:bookmarkEnd w:id="479"/>
      <w:bookmarkEnd w:id="480"/>
    </w:p>
    <w:p w14:paraId="14EB960C">
      <w:pPr>
        <w:pStyle w:val="197"/>
        <w:numPr>
          <w:ilvl w:val="0"/>
          <w:numId w:val="39"/>
        </w:numPr>
        <w:rPr>
          <w:rFonts w:ascii="Times New Roman"/>
        </w:rPr>
      </w:pPr>
      <w:r>
        <w:rPr>
          <w:rFonts w:ascii="Times New Roman"/>
        </w:rPr>
        <w:t>同一批次的散装复合胶材应按每500 t为一个检验批；袋装复合胶材应按每200 t为一个检验批。不同批次或非连续供应的不足一个检验批量的产品应作为一个检验批；</w:t>
      </w:r>
    </w:p>
    <w:p w14:paraId="649259DE">
      <w:pPr>
        <w:pStyle w:val="197"/>
        <w:numPr>
          <w:ilvl w:val="0"/>
          <w:numId w:val="39"/>
        </w:numPr>
        <w:rPr>
          <w:rFonts w:ascii="Times New Roman"/>
        </w:rPr>
      </w:pPr>
      <w:r>
        <w:rPr>
          <w:rFonts w:ascii="Times New Roman"/>
        </w:rPr>
        <w:t>复合胶材进场时，应检查型式检验报告、出厂检验报告或合格证等质量证明文件；</w:t>
      </w:r>
    </w:p>
    <w:p w14:paraId="78659709">
      <w:pPr>
        <w:pStyle w:val="197"/>
        <w:numPr>
          <w:ilvl w:val="0"/>
          <w:numId w:val="39"/>
        </w:numPr>
        <w:rPr>
          <w:rFonts w:ascii="Times New Roman"/>
        </w:rPr>
      </w:pPr>
      <w:r>
        <w:rPr>
          <w:rFonts w:ascii="Times New Roman"/>
        </w:rPr>
        <w:t>复合胶材进场时，应对材料的品种、外观、规格、生产日期等进行检查，并应按检验批随机抽取样品进行检验，取样方法应按GB/T 12573的有关规定进行。</w:t>
      </w:r>
    </w:p>
    <w:p w14:paraId="2DE349F3">
      <w:pPr>
        <w:pStyle w:val="49"/>
        <w:rPr>
          <w:rFonts w:ascii="Times New Roman" w:hAnsi="Times New Roman"/>
        </w:rPr>
      </w:pPr>
      <w:bookmarkStart w:id="481" w:name="_Toc22112"/>
      <w:bookmarkStart w:id="482" w:name="_Toc8788"/>
      <w:bookmarkStart w:id="483" w:name="_Toc204018353"/>
      <w:bookmarkStart w:id="484" w:name="_Toc205222493"/>
      <w:bookmarkStart w:id="485" w:name="_Toc205482128"/>
      <w:r>
        <w:rPr>
          <w:rFonts w:ascii="Times New Roman" w:hAnsi="Times New Roman"/>
        </w:rPr>
        <w:t>复合胶材应单独贮存，并应防止受潮。出现结块的胶凝材料不应用于混凝土制备。复合胶材出厂时间超过三个月应对本文件表1和表2的所有项目进行复检，检验合格方可使用。</w:t>
      </w:r>
      <w:bookmarkEnd w:id="481"/>
      <w:bookmarkEnd w:id="482"/>
      <w:bookmarkEnd w:id="483"/>
      <w:bookmarkEnd w:id="484"/>
      <w:bookmarkEnd w:id="485"/>
    </w:p>
    <w:p w14:paraId="4B6485BF">
      <w:pPr>
        <w:pStyle w:val="49"/>
        <w:rPr>
          <w:rFonts w:ascii="Times New Roman" w:hAnsi="Times New Roman"/>
        </w:rPr>
      </w:pPr>
      <w:bookmarkStart w:id="486" w:name="_Toc204018354"/>
      <w:bookmarkStart w:id="487" w:name="_Toc16036"/>
      <w:bookmarkStart w:id="488" w:name="_Toc8702"/>
      <w:bookmarkStart w:id="489" w:name="_Toc205222494"/>
      <w:bookmarkStart w:id="490" w:name="_Toc205482129"/>
      <w:r>
        <w:rPr>
          <w:rFonts w:ascii="Times New Roman" w:hAnsi="Times New Roman"/>
        </w:rPr>
        <w:t>复合混凝土中水溶性氯离子含量和最大碱含量应符合GB/T 50010和设计的要求。</w:t>
      </w:r>
      <w:bookmarkEnd w:id="486"/>
      <w:bookmarkEnd w:id="487"/>
      <w:bookmarkEnd w:id="488"/>
      <w:bookmarkEnd w:id="489"/>
      <w:bookmarkEnd w:id="490"/>
    </w:p>
    <w:p w14:paraId="0F150155">
      <w:pPr>
        <w:pStyle w:val="49"/>
        <w:rPr>
          <w:rFonts w:ascii="Times New Roman" w:hAnsi="Times New Roman"/>
        </w:rPr>
      </w:pPr>
      <w:bookmarkStart w:id="491" w:name="_Toc2702"/>
      <w:bookmarkStart w:id="492" w:name="_Toc204018355"/>
      <w:bookmarkStart w:id="493" w:name="_Toc7728"/>
      <w:bookmarkStart w:id="494" w:name="_Toc205222495"/>
      <w:bookmarkStart w:id="495" w:name="_Toc205482130"/>
      <w:r>
        <w:rPr>
          <w:rFonts w:ascii="Times New Roman" w:hAnsi="Times New Roman"/>
        </w:rPr>
        <w:t>原材料的运输、装卸和存放应采取降低噪声和防尘的措施，并保持清洁卫生，符合环境卫生要求。</w:t>
      </w:r>
      <w:bookmarkEnd w:id="491"/>
      <w:bookmarkEnd w:id="492"/>
      <w:bookmarkEnd w:id="493"/>
      <w:bookmarkEnd w:id="494"/>
      <w:bookmarkEnd w:id="495"/>
    </w:p>
    <w:p w14:paraId="5B28C69C">
      <w:pPr>
        <w:pStyle w:val="49"/>
        <w:rPr>
          <w:rFonts w:ascii="Times New Roman" w:hAnsi="Times New Roman"/>
        </w:rPr>
      </w:pPr>
      <w:bookmarkStart w:id="496" w:name="_Toc23687"/>
      <w:bookmarkStart w:id="497" w:name="_Toc21841"/>
      <w:bookmarkStart w:id="498" w:name="_Toc204018356"/>
      <w:bookmarkStart w:id="499" w:name="_Toc205222496"/>
      <w:bookmarkStart w:id="500" w:name="_Toc205482131"/>
      <w:r>
        <w:rPr>
          <w:rFonts w:ascii="Times New Roman" w:hAnsi="Times New Roman"/>
        </w:rPr>
        <w:t>复合混凝土所使用的水泥、骨料、外加剂、水及其他辅助胶凝材料的进场和贮存应符合GB/T 14902和GB 50164的规定</w:t>
      </w:r>
      <w:bookmarkEnd w:id="496"/>
      <w:bookmarkEnd w:id="497"/>
      <w:bookmarkEnd w:id="498"/>
      <w:r>
        <w:rPr>
          <w:rFonts w:ascii="Times New Roman" w:hAnsi="Times New Roman"/>
        </w:rPr>
        <w:t>。</w:t>
      </w:r>
      <w:bookmarkEnd w:id="499"/>
      <w:bookmarkEnd w:id="500"/>
    </w:p>
    <w:p w14:paraId="1B57310E">
      <w:pPr>
        <w:pStyle w:val="53"/>
        <w:rPr>
          <w:rFonts w:ascii="Times New Roman"/>
        </w:rPr>
      </w:pPr>
      <w:bookmarkStart w:id="501" w:name="_Toc29601"/>
      <w:bookmarkStart w:id="502" w:name="_Toc195801485"/>
      <w:bookmarkStart w:id="503" w:name="_Toc23356"/>
      <w:bookmarkStart w:id="504" w:name="_Toc162893477"/>
      <w:bookmarkStart w:id="505" w:name="_Toc204018357"/>
      <w:bookmarkStart w:id="506" w:name="_Toc205222497"/>
      <w:bookmarkStart w:id="507" w:name="_Toc205237781"/>
      <w:bookmarkStart w:id="508" w:name="_Toc205482132"/>
      <w:r>
        <w:rPr>
          <w:rFonts w:ascii="Times New Roman"/>
        </w:rPr>
        <w:t>搅拌</w:t>
      </w:r>
      <w:bookmarkEnd w:id="501"/>
      <w:bookmarkEnd w:id="502"/>
      <w:bookmarkEnd w:id="503"/>
      <w:bookmarkEnd w:id="504"/>
      <w:bookmarkEnd w:id="505"/>
      <w:bookmarkEnd w:id="506"/>
      <w:bookmarkEnd w:id="507"/>
      <w:bookmarkEnd w:id="508"/>
    </w:p>
    <w:p w14:paraId="016AFA30">
      <w:pPr>
        <w:pStyle w:val="49"/>
        <w:rPr>
          <w:rFonts w:ascii="Times New Roman" w:hAnsi="Times New Roman"/>
        </w:rPr>
      </w:pPr>
      <w:bookmarkStart w:id="509" w:name="_Toc204018358"/>
      <w:bookmarkStart w:id="510" w:name="_Toc32734"/>
      <w:bookmarkStart w:id="511" w:name="_Toc205222498"/>
      <w:bookmarkStart w:id="512" w:name="_Toc205482133"/>
      <w:bookmarkStart w:id="513" w:name="_Toc14615"/>
      <w:r>
        <w:rPr>
          <w:rFonts w:ascii="Times New Roman" w:hAnsi="Times New Roman"/>
        </w:rPr>
        <w:t>原材料计量应采用电子计量设备，设备的精度应符合GB/T 10171的有关规定。每一工作班开始前，应对计量设备进行零点校准。混凝土原材料的计量允许偏差应符合表8的规定，并应每班检查1次。</w:t>
      </w:r>
      <w:bookmarkEnd w:id="509"/>
      <w:bookmarkEnd w:id="510"/>
      <w:bookmarkEnd w:id="511"/>
      <w:bookmarkEnd w:id="512"/>
      <w:bookmarkEnd w:id="513"/>
    </w:p>
    <w:p w14:paraId="75AAD867">
      <w:pPr>
        <w:pStyle w:val="136"/>
        <w:rPr>
          <w:rFonts w:ascii="Times New Roman"/>
        </w:rPr>
      </w:pPr>
      <w:r>
        <w:rPr>
          <w:rFonts w:ascii="Times New Roman"/>
        </w:rPr>
        <w:t>混凝土原材料的计量允许偏差</w:t>
      </w:r>
    </w:p>
    <w:tbl>
      <w:tblPr>
        <w:tblStyle w:val="4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385"/>
        <w:gridCol w:w="1547"/>
        <w:gridCol w:w="1547"/>
        <w:gridCol w:w="1547"/>
        <w:gridCol w:w="1545"/>
      </w:tblGrid>
      <w:tr w14:paraId="6770D4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8" w:type="pct"/>
            <w:tcBorders>
              <w:top w:val="single" w:color="auto" w:sz="4" w:space="0"/>
              <w:left w:val="single" w:color="auto" w:sz="4" w:space="0"/>
            </w:tcBorders>
            <w:vAlign w:val="center"/>
          </w:tcPr>
          <w:p w14:paraId="0E623286">
            <w:pPr>
              <w:spacing w:line="240" w:lineRule="auto"/>
              <w:jc w:val="center"/>
              <w:rPr>
                <w:rFonts w:ascii="Times New Roman" w:hAnsi="Times New Roman"/>
                <w:sz w:val="18"/>
                <w:szCs w:val="18"/>
              </w:rPr>
            </w:pPr>
            <w:r>
              <w:rPr>
                <w:rFonts w:ascii="Times New Roman" w:hAnsi="Times New Roman"/>
                <w:sz w:val="18"/>
                <w:szCs w:val="18"/>
              </w:rPr>
              <w:t>原材料品种</w:t>
            </w:r>
          </w:p>
        </w:tc>
        <w:tc>
          <w:tcPr>
            <w:tcW w:w="808" w:type="pct"/>
            <w:tcBorders>
              <w:top w:val="single" w:color="auto" w:sz="4" w:space="0"/>
            </w:tcBorders>
            <w:vAlign w:val="center"/>
          </w:tcPr>
          <w:p w14:paraId="21AB9683">
            <w:pPr>
              <w:spacing w:line="240" w:lineRule="auto"/>
              <w:jc w:val="center"/>
              <w:rPr>
                <w:rFonts w:ascii="Times New Roman" w:hAnsi="Times New Roman"/>
                <w:sz w:val="18"/>
                <w:szCs w:val="18"/>
              </w:rPr>
            </w:pPr>
            <w:r>
              <w:rPr>
                <w:rFonts w:ascii="Times New Roman" w:hAnsi="Times New Roman"/>
                <w:sz w:val="18"/>
                <w:szCs w:val="18"/>
              </w:rPr>
              <w:t>胶凝材料</w:t>
            </w:r>
          </w:p>
        </w:tc>
        <w:tc>
          <w:tcPr>
            <w:tcW w:w="808" w:type="pct"/>
            <w:tcBorders>
              <w:top w:val="single" w:color="auto" w:sz="4" w:space="0"/>
            </w:tcBorders>
            <w:vAlign w:val="center"/>
          </w:tcPr>
          <w:p w14:paraId="7389DE47">
            <w:pPr>
              <w:spacing w:line="240" w:lineRule="auto"/>
              <w:jc w:val="center"/>
              <w:rPr>
                <w:rFonts w:ascii="Times New Roman" w:hAnsi="Times New Roman"/>
                <w:sz w:val="18"/>
                <w:szCs w:val="18"/>
              </w:rPr>
            </w:pPr>
            <w:r>
              <w:rPr>
                <w:rFonts w:ascii="Times New Roman" w:hAnsi="Times New Roman"/>
                <w:sz w:val="18"/>
                <w:szCs w:val="18"/>
              </w:rPr>
              <w:t>骨料</w:t>
            </w:r>
          </w:p>
        </w:tc>
        <w:tc>
          <w:tcPr>
            <w:tcW w:w="808" w:type="pct"/>
            <w:tcBorders>
              <w:top w:val="single" w:color="auto" w:sz="4" w:space="0"/>
            </w:tcBorders>
            <w:vAlign w:val="center"/>
          </w:tcPr>
          <w:p w14:paraId="0A0B67E9">
            <w:pPr>
              <w:spacing w:line="240" w:lineRule="auto"/>
              <w:jc w:val="center"/>
              <w:rPr>
                <w:rFonts w:ascii="Times New Roman" w:hAnsi="Times New Roman"/>
                <w:sz w:val="18"/>
                <w:szCs w:val="18"/>
              </w:rPr>
            </w:pPr>
            <w:r>
              <w:rPr>
                <w:rFonts w:ascii="Times New Roman" w:hAnsi="Times New Roman"/>
                <w:sz w:val="18"/>
                <w:szCs w:val="18"/>
              </w:rPr>
              <w:t>水</w:t>
            </w:r>
          </w:p>
        </w:tc>
        <w:tc>
          <w:tcPr>
            <w:tcW w:w="807" w:type="pct"/>
            <w:tcBorders>
              <w:top w:val="single" w:color="auto" w:sz="4" w:space="0"/>
              <w:right w:val="single" w:color="auto" w:sz="4" w:space="0"/>
            </w:tcBorders>
            <w:vAlign w:val="center"/>
          </w:tcPr>
          <w:p w14:paraId="2BA64038">
            <w:pPr>
              <w:spacing w:line="240" w:lineRule="auto"/>
              <w:jc w:val="center"/>
              <w:rPr>
                <w:rFonts w:ascii="Times New Roman" w:hAnsi="Times New Roman"/>
                <w:sz w:val="18"/>
                <w:szCs w:val="18"/>
              </w:rPr>
            </w:pPr>
            <w:r>
              <w:rPr>
                <w:rFonts w:ascii="Times New Roman" w:hAnsi="Times New Roman"/>
                <w:sz w:val="18"/>
                <w:szCs w:val="18"/>
              </w:rPr>
              <w:t>外加剂</w:t>
            </w:r>
          </w:p>
        </w:tc>
      </w:tr>
      <w:tr w14:paraId="118B5C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9" w:type="pct"/>
            <w:tcBorders>
              <w:left w:val="single" w:color="auto" w:sz="4" w:space="0"/>
            </w:tcBorders>
            <w:vAlign w:val="center"/>
          </w:tcPr>
          <w:p w14:paraId="62B2EDD7">
            <w:pPr>
              <w:spacing w:line="240" w:lineRule="auto"/>
              <w:jc w:val="center"/>
              <w:rPr>
                <w:rFonts w:ascii="Times New Roman" w:hAnsi="Times New Roman"/>
                <w:sz w:val="18"/>
                <w:szCs w:val="18"/>
              </w:rPr>
            </w:pPr>
            <w:r>
              <w:rPr>
                <w:rFonts w:ascii="Times New Roman" w:hAnsi="Times New Roman"/>
                <w:sz w:val="18"/>
                <w:szCs w:val="18"/>
              </w:rPr>
              <w:t>每盘计量允许偏差/%</w:t>
            </w:r>
          </w:p>
        </w:tc>
        <w:tc>
          <w:tcPr>
            <w:tcW w:w="808" w:type="pct"/>
            <w:vAlign w:val="center"/>
          </w:tcPr>
          <w:p w14:paraId="0F5F633D">
            <w:pPr>
              <w:spacing w:line="240" w:lineRule="auto"/>
              <w:jc w:val="center"/>
              <w:rPr>
                <w:rFonts w:ascii="Times New Roman" w:hAnsi="Times New Roman"/>
                <w:sz w:val="18"/>
                <w:szCs w:val="18"/>
              </w:rPr>
            </w:pPr>
            <w:r>
              <w:rPr>
                <w:rFonts w:ascii="Times New Roman" w:hAnsi="Times New Roman"/>
                <w:sz w:val="18"/>
                <w:szCs w:val="18"/>
              </w:rPr>
              <w:t>±2</w:t>
            </w:r>
          </w:p>
        </w:tc>
        <w:tc>
          <w:tcPr>
            <w:tcW w:w="808" w:type="pct"/>
            <w:vAlign w:val="center"/>
          </w:tcPr>
          <w:p w14:paraId="2C694DEA">
            <w:pPr>
              <w:spacing w:line="240" w:lineRule="auto"/>
              <w:jc w:val="center"/>
              <w:rPr>
                <w:rFonts w:ascii="Times New Roman" w:hAnsi="Times New Roman"/>
                <w:sz w:val="18"/>
                <w:szCs w:val="18"/>
              </w:rPr>
            </w:pPr>
            <w:r>
              <w:rPr>
                <w:rFonts w:ascii="Times New Roman" w:hAnsi="Times New Roman"/>
                <w:sz w:val="18"/>
                <w:szCs w:val="18"/>
              </w:rPr>
              <w:t>±3</w:t>
            </w:r>
          </w:p>
        </w:tc>
        <w:tc>
          <w:tcPr>
            <w:tcW w:w="808" w:type="pct"/>
            <w:vAlign w:val="center"/>
          </w:tcPr>
          <w:p w14:paraId="4A75B506">
            <w:pPr>
              <w:spacing w:line="240" w:lineRule="auto"/>
              <w:jc w:val="center"/>
              <w:rPr>
                <w:rFonts w:ascii="Times New Roman" w:hAnsi="Times New Roman"/>
                <w:sz w:val="18"/>
                <w:szCs w:val="18"/>
              </w:rPr>
            </w:pPr>
            <w:r>
              <w:rPr>
                <w:rFonts w:ascii="Times New Roman" w:hAnsi="Times New Roman"/>
                <w:sz w:val="18"/>
                <w:szCs w:val="18"/>
              </w:rPr>
              <w:t>±1</w:t>
            </w:r>
          </w:p>
        </w:tc>
        <w:tc>
          <w:tcPr>
            <w:tcW w:w="807" w:type="pct"/>
            <w:tcBorders>
              <w:right w:val="single" w:color="auto" w:sz="4" w:space="0"/>
            </w:tcBorders>
            <w:vAlign w:val="center"/>
          </w:tcPr>
          <w:p w14:paraId="17223294">
            <w:pPr>
              <w:spacing w:line="240" w:lineRule="auto"/>
              <w:jc w:val="center"/>
              <w:rPr>
                <w:rFonts w:ascii="Times New Roman" w:hAnsi="Times New Roman"/>
                <w:sz w:val="18"/>
                <w:szCs w:val="18"/>
              </w:rPr>
            </w:pPr>
            <w:r>
              <w:rPr>
                <w:rFonts w:ascii="Times New Roman" w:hAnsi="Times New Roman"/>
                <w:sz w:val="18"/>
                <w:szCs w:val="18"/>
              </w:rPr>
              <w:t>±1</w:t>
            </w:r>
          </w:p>
        </w:tc>
      </w:tr>
      <w:tr w14:paraId="1438F4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9" w:type="pct"/>
            <w:tcBorders>
              <w:left w:val="single" w:color="auto" w:sz="4" w:space="0"/>
            </w:tcBorders>
            <w:vAlign w:val="center"/>
          </w:tcPr>
          <w:p w14:paraId="61FCA0EF">
            <w:pPr>
              <w:spacing w:line="240" w:lineRule="auto"/>
              <w:jc w:val="center"/>
              <w:rPr>
                <w:rFonts w:ascii="Times New Roman" w:hAnsi="Times New Roman"/>
                <w:sz w:val="18"/>
                <w:szCs w:val="18"/>
              </w:rPr>
            </w:pPr>
            <w:r>
              <w:rPr>
                <w:rFonts w:ascii="Times New Roman" w:hAnsi="Times New Roman"/>
                <w:sz w:val="18"/>
                <w:szCs w:val="18"/>
              </w:rPr>
              <w:t>累计计量允许偏差/%</w:t>
            </w:r>
          </w:p>
        </w:tc>
        <w:tc>
          <w:tcPr>
            <w:tcW w:w="808" w:type="pct"/>
            <w:vAlign w:val="center"/>
          </w:tcPr>
          <w:p w14:paraId="6B999B43">
            <w:pPr>
              <w:spacing w:line="240" w:lineRule="auto"/>
              <w:jc w:val="center"/>
              <w:rPr>
                <w:rFonts w:ascii="Times New Roman" w:hAnsi="Times New Roman"/>
                <w:sz w:val="18"/>
                <w:szCs w:val="18"/>
              </w:rPr>
            </w:pPr>
            <w:r>
              <w:rPr>
                <w:rFonts w:ascii="Times New Roman" w:hAnsi="Times New Roman"/>
                <w:sz w:val="18"/>
                <w:szCs w:val="18"/>
              </w:rPr>
              <w:t>±1</w:t>
            </w:r>
          </w:p>
        </w:tc>
        <w:tc>
          <w:tcPr>
            <w:tcW w:w="808" w:type="pct"/>
            <w:vAlign w:val="center"/>
          </w:tcPr>
          <w:p w14:paraId="23E7FB43">
            <w:pPr>
              <w:spacing w:line="240" w:lineRule="auto"/>
              <w:jc w:val="center"/>
              <w:rPr>
                <w:rFonts w:ascii="Times New Roman" w:hAnsi="Times New Roman"/>
                <w:sz w:val="18"/>
                <w:szCs w:val="18"/>
              </w:rPr>
            </w:pPr>
            <w:r>
              <w:rPr>
                <w:rFonts w:ascii="Times New Roman" w:hAnsi="Times New Roman"/>
                <w:sz w:val="18"/>
                <w:szCs w:val="18"/>
              </w:rPr>
              <w:t>±2</w:t>
            </w:r>
          </w:p>
        </w:tc>
        <w:tc>
          <w:tcPr>
            <w:tcW w:w="808" w:type="pct"/>
            <w:vAlign w:val="center"/>
          </w:tcPr>
          <w:p w14:paraId="6F4BBCF6">
            <w:pPr>
              <w:spacing w:line="240" w:lineRule="auto"/>
              <w:jc w:val="center"/>
              <w:rPr>
                <w:rFonts w:ascii="Times New Roman" w:hAnsi="Times New Roman"/>
                <w:sz w:val="18"/>
                <w:szCs w:val="18"/>
              </w:rPr>
            </w:pPr>
            <w:r>
              <w:rPr>
                <w:rFonts w:ascii="Times New Roman" w:hAnsi="Times New Roman"/>
                <w:sz w:val="18"/>
                <w:szCs w:val="18"/>
              </w:rPr>
              <w:t>±1</w:t>
            </w:r>
          </w:p>
        </w:tc>
        <w:tc>
          <w:tcPr>
            <w:tcW w:w="807" w:type="pct"/>
            <w:tcBorders>
              <w:right w:val="single" w:color="auto" w:sz="4" w:space="0"/>
            </w:tcBorders>
            <w:vAlign w:val="center"/>
          </w:tcPr>
          <w:p w14:paraId="1E217095">
            <w:pPr>
              <w:spacing w:line="240" w:lineRule="auto"/>
              <w:jc w:val="center"/>
              <w:rPr>
                <w:rFonts w:ascii="Times New Roman" w:hAnsi="Times New Roman"/>
                <w:sz w:val="18"/>
                <w:szCs w:val="18"/>
              </w:rPr>
            </w:pPr>
            <w:r>
              <w:rPr>
                <w:rFonts w:ascii="Times New Roman" w:hAnsi="Times New Roman"/>
                <w:sz w:val="18"/>
                <w:szCs w:val="18"/>
              </w:rPr>
              <w:t>±1</w:t>
            </w:r>
          </w:p>
        </w:tc>
      </w:tr>
      <w:tr w14:paraId="2BDC42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 w:type="pct"/>
            <w:gridSpan w:val="5"/>
            <w:tcBorders>
              <w:left w:val="single" w:color="auto" w:sz="4" w:space="0"/>
              <w:bottom w:val="single" w:color="auto" w:sz="4" w:space="0"/>
              <w:right w:val="single" w:color="auto" w:sz="4" w:space="0"/>
            </w:tcBorders>
            <w:vAlign w:val="center"/>
          </w:tcPr>
          <w:p w14:paraId="6375C9B2">
            <w:pPr>
              <w:snapToGrid w:val="0"/>
              <w:spacing w:line="348" w:lineRule="exact"/>
              <w:rPr>
                <w:rFonts w:ascii="Times New Roman" w:hAnsi="Times New Roman"/>
                <w:sz w:val="18"/>
                <w:szCs w:val="18"/>
              </w:rPr>
            </w:pPr>
            <w:r>
              <w:rPr>
                <w:rFonts w:ascii="Times New Roman" w:hAnsi="Times New Roman"/>
                <w:sz w:val="18"/>
                <w:szCs w:val="18"/>
              </w:rPr>
              <w:t>注：累计计量允许偏差是指每一运输车中各盘混凝土的每种材料计量和的偏差。</w:t>
            </w:r>
          </w:p>
        </w:tc>
      </w:tr>
    </w:tbl>
    <w:p w14:paraId="6B0B1F44">
      <w:pPr>
        <w:pStyle w:val="49"/>
        <w:numPr>
          <w:ilvl w:val="0"/>
          <w:numId w:val="0"/>
        </w:numPr>
        <w:rPr>
          <w:rFonts w:ascii="Times New Roman" w:hAnsi="Times New Roman"/>
        </w:rPr>
      </w:pPr>
      <w:bookmarkStart w:id="514" w:name="_Toc29431"/>
      <w:bookmarkStart w:id="515" w:name="_Toc1513"/>
    </w:p>
    <w:p w14:paraId="1D5A5BBA">
      <w:pPr>
        <w:pStyle w:val="49"/>
        <w:rPr>
          <w:rFonts w:ascii="Times New Roman" w:hAnsi="Times New Roman"/>
        </w:rPr>
      </w:pPr>
      <w:bookmarkStart w:id="516" w:name="_Toc205482134"/>
      <w:bookmarkStart w:id="517" w:name="_Toc204018359"/>
      <w:bookmarkStart w:id="518" w:name="_Toc205222499"/>
      <w:r>
        <w:rPr>
          <w:rFonts w:ascii="Times New Roman" w:hAnsi="Times New Roman"/>
        </w:rPr>
        <w:t>应采用强制式搅拌机搅拌，并应搅拌均匀。混凝土搅拌的最短时间应通过生产性试验确定，不应少于60 s。</w:t>
      </w:r>
      <w:bookmarkEnd w:id="514"/>
      <w:bookmarkEnd w:id="515"/>
      <w:bookmarkEnd w:id="516"/>
      <w:bookmarkEnd w:id="517"/>
      <w:bookmarkEnd w:id="518"/>
    </w:p>
    <w:p w14:paraId="64310ABE">
      <w:pPr>
        <w:pStyle w:val="49"/>
        <w:rPr>
          <w:rFonts w:ascii="Times New Roman" w:hAnsi="Times New Roman"/>
        </w:rPr>
      </w:pPr>
      <w:bookmarkStart w:id="519" w:name="_Toc205482135"/>
      <w:bookmarkStart w:id="520" w:name="_Toc204018360"/>
      <w:bookmarkStart w:id="521" w:name="_Toc205222500"/>
      <w:bookmarkStart w:id="522" w:name="_Toc21861"/>
      <w:bookmarkStart w:id="523" w:name="_Toc9276"/>
      <w:r>
        <w:rPr>
          <w:rFonts w:ascii="Times New Roman" w:hAnsi="Times New Roman"/>
        </w:rPr>
        <w:t>混凝土中砂浆密度的相对误差不应大于0.8%，单位体积混凝土中粗骨料质量的相对误差不应大于5%。混凝土匀质性的试验方法应符合GB/T 9142的有关规定。</w:t>
      </w:r>
      <w:bookmarkEnd w:id="519"/>
      <w:bookmarkEnd w:id="520"/>
      <w:bookmarkEnd w:id="521"/>
      <w:bookmarkEnd w:id="522"/>
      <w:bookmarkEnd w:id="523"/>
    </w:p>
    <w:p w14:paraId="63727C32">
      <w:pPr>
        <w:pStyle w:val="49"/>
        <w:rPr>
          <w:rFonts w:ascii="Times New Roman" w:hAnsi="Times New Roman"/>
        </w:rPr>
      </w:pPr>
      <w:bookmarkStart w:id="524" w:name="_Toc205482136"/>
      <w:bookmarkStart w:id="525" w:name="_Toc205222501"/>
      <w:bookmarkStart w:id="526" w:name="_Toc25539"/>
      <w:bookmarkStart w:id="527" w:name="_Toc27917"/>
      <w:bookmarkStart w:id="528" w:name="_Toc204018362"/>
      <w:r>
        <w:rPr>
          <w:rFonts w:ascii="Times New Roman" w:hAnsi="Times New Roman"/>
        </w:rPr>
        <w:t>混凝土拌制前，应测定细骨料和粗骨料含水率，检查数量为每工作班检查一次。</w:t>
      </w:r>
      <w:bookmarkEnd w:id="524"/>
      <w:bookmarkEnd w:id="525"/>
      <w:bookmarkEnd w:id="526"/>
      <w:bookmarkEnd w:id="527"/>
      <w:bookmarkEnd w:id="528"/>
    </w:p>
    <w:p w14:paraId="303A9E6A">
      <w:pPr>
        <w:pStyle w:val="53"/>
        <w:rPr>
          <w:rFonts w:ascii="Times New Roman"/>
        </w:rPr>
      </w:pPr>
      <w:bookmarkStart w:id="529" w:name="_Toc162893478"/>
      <w:bookmarkStart w:id="530" w:name="_Toc204018363"/>
      <w:bookmarkStart w:id="531" w:name="_Toc195801486"/>
      <w:bookmarkStart w:id="532" w:name="_Toc18206"/>
      <w:bookmarkStart w:id="533" w:name="_Toc8625"/>
      <w:bookmarkStart w:id="534" w:name="_Toc205222502"/>
      <w:bookmarkStart w:id="535" w:name="_Toc205237782"/>
      <w:bookmarkStart w:id="536" w:name="_Toc205482137"/>
      <w:r>
        <w:rPr>
          <w:rFonts w:ascii="Times New Roman"/>
        </w:rPr>
        <w:t>运输</w:t>
      </w:r>
      <w:bookmarkEnd w:id="529"/>
      <w:bookmarkEnd w:id="530"/>
      <w:bookmarkEnd w:id="531"/>
      <w:bookmarkEnd w:id="532"/>
      <w:bookmarkEnd w:id="533"/>
      <w:bookmarkEnd w:id="534"/>
      <w:bookmarkEnd w:id="535"/>
      <w:bookmarkEnd w:id="536"/>
    </w:p>
    <w:p w14:paraId="69F9D28C">
      <w:pPr>
        <w:pStyle w:val="49"/>
        <w:rPr>
          <w:rFonts w:ascii="Times New Roman" w:hAnsi="Times New Roman"/>
        </w:rPr>
      </w:pPr>
      <w:bookmarkStart w:id="537" w:name="_Toc204018364"/>
      <w:bookmarkStart w:id="538" w:name="_Toc23991"/>
      <w:bookmarkStart w:id="539" w:name="_Toc280"/>
      <w:bookmarkStart w:id="540" w:name="_Toc205222503"/>
      <w:bookmarkStart w:id="541" w:name="_Toc205482138"/>
      <w:r>
        <w:rPr>
          <w:rFonts w:ascii="Times New Roman" w:hAnsi="Times New Roman"/>
        </w:rPr>
        <w:t>运输应符合现行GB 50164、GB/T 14902的规定。</w:t>
      </w:r>
      <w:bookmarkEnd w:id="537"/>
      <w:bookmarkEnd w:id="538"/>
      <w:bookmarkEnd w:id="539"/>
      <w:bookmarkEnd w:id="540"/>
      <w:bookmarkEnd w:id="541"/>
    </w:p>
    <w:p w14:paraId="07F30D0A">
      <w:pPr>
        <w:pStyle w:val="49"/>
        <w:rPr>
          <w:rFonts w:ascii="Times New Roman" w:hAnsi="Times New Roman"/>
        </w:rPr>
      </w:pPr>
      <w:bookmarkStart w:id="542" w:name="_Toc2360"/>
      <w:bookmarkStart w:id="543" w:name="_Toc6713"/>
      <w:bookmarkStart w:id="544" w:name="_Toc204018365"/>
      <w:bookmarkStart w:id="545" w:name="_Toc205222504"/>
      <w:bookmarkStart w:id="546" w:name="_Toc205482139"/>
      <w:r>
        <w:rPr>
          <w:rFonts w:ascii="Times New Roman" w:hAnsi="Times New Roman"/>
        </w:rPr>
        <w:t>当采用预拌混凝土时，预拌混凝土企业应制定运输管理制度，合理指挥调度车辆，并宜采用定位系统监控车辆运行。</w:t>
      </w:r>
      <w:bookmarkEnd w:id="542"/>
      <w:bookmarkEnd w:id="543"/>
      <w:bookmarkEnd w:id="544"/>
      <w:bookmarkEnd w:id="545"/>
      <w:bookmarkEnd w:id="546"/>
    </w:p>
    <w:p w14:paraId="4190B1E8">
      <w:pPr>
        <w:pStyle w:val="49"/>
        <w:rPr>
          <w:rFonts w:ascii="Times New Roman" w:hAnsi="Times New Roman"/>
        </w:rPr>
      </w:pPr>
      <w:bookmarkStart w:id="547" w:name="_Toc26635"/>
      <w:bookmarkStart w:id="548" w:name="_Toc204018366"/>
      <w:bookmarkStart w:id="549" w:name="_Toc22463"/>
      <w:bookmarkStart w:id="550" w:name="_Toc205222505"/>
      <w:bookmarkStart w:id="551" w:name="_Toc205482140"/>
      <w:r>
        <w:rPr>
          <w:rFonts w:ascii="Times New Roman" w:hAnsi="Times New Roman"/>
        </w:rPr>
        <w:t>搅拌运输车出入厂区时应用水进行冲洗以保持卫生清洁，冲洗运输车产生的废水可进入废水回收利用设施。</w:t>
      </w:r>
      <w:bookmarkEnd w:id="547"/>
      <w:bookmarkEnd w:id="548"/>
      <w:bookmarkEnd w:id="549"/>
      <w:bookmarkEnd w:id="550"/>
      <w:bookmarkEnd w:id="551"/>
    </w:p>
    <w:p w14:paraId="28363869">
      <w:pPr>
        <w:pStyle w:val="49"/>
        <w:rPr>
          <w:rFonts w:ascii="Times New Roman" w:hAnsi="Times New Roman"/>
        </w:rPr>
      </w:pPr>
      <w:bookmarkStart w:id="552" w:name="_Toc26477"/>
      <w:bookmarkStart w:id="553" w:name="_Toc10812"/>
      <w:bookmarkStart w:id="554" w:name="_Toc204018367"/>
      <w:bookmarkStart w:id="555" w:name="_Toc205222506"/>
      <w:bookmarkStart w:id="556" w:name="_Toc205482141"/>
      <w:r>
        <w:rPr>
          <w:rFonts w:ascii="Times New Roman" w:hAnsi="Times New Roman"/>
        </w:rPr>
        <w:t>采用搅拌罐车运输混凝土时，卸料前应高速旋转搅拌罐20 s～30 s后再将混凝土拌合物喂入泵车受料斗或混凝土料斗中。</w:t>
      </w:r>
      <w:bookmarkEnd w:id="552"/>
      <w:bookmarkEnd w:id="553"/>
      <w:bookmarkEnd w:id="554"/>
      <w:bookmarkEnd w:id="555"/>
      <w:bookmarkEnd w:id="556"/>
    </w:p>
    <w:p w14:paraId="26454744">
      <w:pPr>
        <w:pStyle w:val="49"/>
        <w:rPr>
          <w:rFonts w:ascii="Times New Roman" w:hAnsi="Times New Roman"/>
        </w:rPr>
      </w:pPr>
      <w:bookmarkStart w:id="557" w:name="_Toc20837"/>
      <w:bookmarkStart w:id="558" w:name="_Toc204018368"/>
      <w:bookmarkStart w:id="559" w:name="_Toc9483"/>
      <w:bookmarkStart w:id="560" w:name="_Toc205222507"/>
      <w:bookmarkStart w:id="561" w:name="_Toc205482142"/>
      <w:r>
        <w:rPr>
          <w:rFonts w:ascii="Times New Roman" w:hAnsi="Times New Roman"/>
        </w:rPr>
        <w:t>当采用泵送混凝土时，混凝土运输应保证混凝土连续泵送，并应符合JGJ/T 10的有关规定。</w:t>
      </w:r>
      <w:bookmarkEnd w:id="557"/>
      <w:bookmarkEnd w:id="558"/>
      <w:bookmarkEnd w:id="559"/>
      <w:bookmarkEnd w:id="560"/>
      <w:bookmarkEnd w:id="561"/>
    </w:p>
    <w:p w14:paraId="6BA596BE">
      <w:pPr>
        <w:pStyle w:val="53"/>
        <w:rPr>
          <w:rFonts w:ascii="Times New Roman"/>
        </w:rPr>
      </w:pPr>
      <w:bookmarkStart w:id="562" w:name="_Toc204018369"/>
      <w:bookmarkStart w:id="563" w:name="_Toc195801487"/>
      <w:bookmarkStart w:id="564" w:name="_Toc25467"/>
      <w:bookmarkStart w:id="565" w:name="_Toc26641"/>
      <w:bookmarkStart w:id="566" w:name="_Toc162893479"/>
      <w:bookmarkStart w:id="567" w:name="_Toc205222508"/>
      <w:bookmarkStart w:id="568" w:name="_Toc205237783"/>
      <w:bookmarkStart w:id="569" w:name="_Toc205482143"/>
      <w:r>
        <w:rPr>
          <w:rFonts w:ascii="Times New Roman"/>
        </w:rPr>
        <w:t>浇筑</w:t>
      </w:r>
      <w:bookmarkEnd w:id="562"/>
      <w:bookmarkEnd w:id="563"/>
      <w:bookmarkEnd w:id="564"/>
      <w:bookmarkEnd w:id="565"/>
      <w:bookmarkEnd w:id="566"/>
      <w:bookmarkEnd w:id="567"/>
      <w:bookmarkEnd w:id="568"/>
      <w:bookmarkEnd w:id="569"/>
    </w:p>
    <w:p w14:paraId="186B9DB6">
      <w:pPr>
        <w:pStyle w:val="49"/>
        <w:rPr>
          <w:rFonts w:ascii="Times New Roman" w:hAnsi="Times New Roman"/>
        </w:rPr>
      </w:pPr>
      <w:bookmarkStart w:id="570" w:name="_Toc204018370"/>
      <w:bookmarkStart w:id="571" w:name="_Toc16255"/>
      <w:bookmarkStart w:id="572" w:name="_Toc19071"/>
      <w:bookmarkStart w:id="573" w:name="_Toc205222509"/>
      <w:bookmarkStart w:id="574" w:name="_Toc205482144"/>
      <w:r>
        <w:rPr>
          <w:rFonts w:ascii="Times New Roman" w:hAnsi="Times New Roman"/>
        </w:rPr>
        <w:t>浇筑混凝土前，应根据工程特点、环境条件、施工工艺与施工条件制定浇筑方案，包括浇筑起点、浇筑方向和浇筑厚度等，在混凝土浇筑过程中不应无故更改浇筑方案。</w:t>
      </w:r>
      <w:bookmarkEnd w:id="570"/>
      <w:bookmarkEnd w:id="571"/>
      <w:bookmarkEnd w:id="572"/>
      <w:bookmarkEnd w:id="573"/>
      <w:bookmarkEnd w:id="574"/>
    </w:p>
    <w:p w14:paraId="3C60B602">
      <w:pPr>
        <w:pStyle w:val="49"/>
        <w:rPr>
          <w:rFonts w:ascii="Times New Roman" w:hAnsi="Times New Roman"/>
        </w:rPr>
      </w:pPr>
      <w:bookmarkStart w:id="575" w:name="_Toc25001"/>
      <w:bookmarkStart w:id="576" w:name="_Toc23374"/>
      <w:bookmarkStart w:id="577" w:name="_Toc204018371"/>
      <w:bookmarkStart w:id="578" w:name="_Toc205222510"/>
      <w:bookmarkStart w:id="579" w:name="_Toc205482145"/>
      <w:r>
        <w:rPr>
          <w:rFonts w:ascii="Times New Roman" w:hAnsi="Times New Roman"/>
        </w:rPr>
        <w:t>当</w:t>
      </w:r>
      <w:bookmarkStart w:id="580" w:name="_Hlk204087778"/>
      <w:r>
        <w:rPr>
          <w:rFonts w:ascii="Times New Roman" w:hAnsi="Times New Roman"/>
        </w:rPr>
        <w:t>在风速大于4 m/s，相对湿度小于50% 的环境下浇筑复合混凝土时，应采取适当挡风措施</w:t>
      </w:r>
      <w:bookmarkEnd w:id="580"/>
      <w:r>
        <w:rPr>
          <w:rFonts w:ascii="Times New Roman" w:hAnsi="Times New Roman"/>
        </w:rPr>
        <w:t>，防止混凝土表面失水过快，并应避免一次性浇筑暴露面积大于25 m²的构件。</w:t>
      </w:r>
      <w:bookmarkEnd w:id="575"/>
      <w:bookmarkEnd w:id="576"/>
      <w:bookmarkEnd w:id="577"/>
      <w:bookmarkEnd w:id="578"/>
      <w:bookmarkEnd w:id="579"/>
    </w:p>
    <w:p w14:paraId="1BD8256D">
      <w:pPr>
        <w:pStyle w:val="49"/>
        <w:rPr>
          <w:rFonts w:ascii="Times New Roman" w:hAnsi="Times New Roman"/>
        </w:rPr>
      </w:pPr>
      <w:bookmarkStart w:id="581" w:name="_Toc24056"/>
      <w:bookmarkStart w:id="582" w:name="_Toc1095"/>
      <w:bookmarkStart w:id="583" w:name="_Toc204018372"/>
      <w:bookmarkStart w:id="584" w:name="_Toc205222511"/>
      <w:bookmarkStart w:id="585" w:name="_Toc205482146"/>
      <w:r>
        <w:rPr>
          <w:rFonts w:ascii="Times New Roman" w:hAnsi="Times New Roman"/>
        </w:rPr>
        <w:t>夏季施工时，浇筑混凝土应按照GB 50164中的规定进行，混凝土拌合物浇筑时的</w:t>
      </w:r>
      <w:bookmarkStart w:id="586" w:name="_Hlk204087806"/>
      <w:r>
        <w:rPr>
          <w:rFonts w:ascii="Times New Roman" w:hAnsi="Times New Roman"/>
        </w:rPr>
        <w:t>入模温度应满足设计要求，无设计要求时不宜超过35℃</w:t>
      </w:r>
      <w:bookmarkEnd w:id="581"/>
      <w:bookmarkEnd w:id="582"/>
      <w:bookmarkEnd w:id="586"/>
      <w:r>
        <w:rPr>
          <w:rFonts w:ascii="Times New Roman" w:hAnsi="Times New Roman"/>
        </w:rPr>
        <w:t>；</w:t>
      </w:r>
      <w:bookmarkStart w:id="587" w:name="_Hlk204087869"/>
      <w:r>
        <w:rPr>
          <w:rFonts w:ascii="Times New Roman" w:hAnsi="Times New Roman"/>
        </w:rPr>
        <w:t>现场温度高于35℃时</w:t>
      </w:r>
      <w:bookmarkEnd w:id="587"/>
      <w:r>
        <w:rPr>
          <w:rFonts w:ascii="Times New Roman" w:hAnsi="Times New Roman"/>
        </w:rPr>
        <w:t>，宜对金属模板浇水降温，但不应留有积水，并应采取遮挡措施避免阳光直射金属模板。</w:t>
      </w:r>
      <w:bookmarkEnd w:id="583"/>
      <w:bookmarkEnd w:id="584"/>
      <w:bookmarkEnd w:id="585"/>
    </w:p>
    <w:p w14:paraId="0925C468">
      <w:pPr>
        <w:pStyle w:val="49"/>
        <w:rPr>
          <w:rFonts w:ascii="Times New Roman" w:hAnsi="Times New Roman"/>
        </w:rPr>
      </w:pPr>
      <w:bookmarkStart w:id="588" w:name="_Toc11294"/>
      <w:bookmarkStart w:id="589" w:name="_Toc28759"/>
      <w:bookmarkStart w:id="590" w:name="_Toc204018373"/>
      <w:bookmarkStart w:id="591" w:name="_Toc205222512"/>
      <w:bookmarkStart w:id="592" w:name="_Toc205482147"/>
      <w:r>
        <w:rPr>
          <w:rFonts w:ascii="Times New Roman" w:hAnsi="Times New Roman"/>
        </w:rPr>
        <w:t>冬季施工应符合JGJ/T 104 的有关规定。当室外日平均气温连续5天稳定低于5℃时，进入冬季施工，冬季施工</w:t>
      </w:r>
      <w:bookmarkStart w:id="593" w:name="_Hlk204087956"/>
      <w:r>
        <w:rPr>
          <w:rFonts w:ascii="Times New Roman" w:hAnsi="Times New Roman"/>
        </w:rPr>
        <w:t>宜适当提高混凝土的配制强度等级</w:t>
      </w:r>
      <w:bookmarkEnd w:id="593"/>
      <w:r>
        <w:rPr>
          <w:rFonts w:ascii="Times New Roman" w:hAnsi="Times New Roman"/>
        </w:rPr>
        <w:t>。</w:t>
      </w:r>
      <w:bookmarkEnd w:id="588"/>
      <w:bookmarkEnd w:id="589"/>
      <w:bookmarkEnd w:id="590"/>
      <w:bookmarkEnd w:id="591"/>
      <w:bookmarkEnd w:id="592"/>
    </w:p>
    <w:p w14:paraId="103A7D02">
      <w:pPr>
        <w:pStyle w:val="49"/>
        <w:rPr>
          <w:rFonts w:ascii="Times New Roman" w:hAnsi="Times New Roman"/>
        </w:rPr>
      </w:pPr>
      <w:bookmarkStart w:id="594" w:name="_Toc204018374"/>
      <w:bookmarkStart w:id="595" w:name="_Toc32065"/>
      <w:bookmarkStart w:id="596" w:name="_Toc17543"/>
      <w:bookmarkStart w:id="597" w:name="_Toc205222513"/>
      <w:bookmarkStart w:id="598" w:name="_Toc205482148"/>
      <w:r>
        <w:rPr>
          <w:rFonts w:ascii="Times New Roman" w:hAnsi="Times New Roman"/>
        </w:rPr>
        <w:t>在浇筑混凝土过程中，应有效控制混凝土的均匀性、密实性和整体性，分层浇筑的间隙时间不应超过90 min，并不应随意留置施工缝。</w:t>
      </w:r>
      <w:bookmarkEnd w:id="594"/>
      <w:bookmarkEnd w:id="595"/>
      <w:bookmarkEnd w:id="596"/>
      <w:bookmarkEnd w:id="597"/>
      <w:bookmarkEnd w:id="598"/>
    </w:p>
    <w:p w14:paraId="00D4DC45">
      <w:pPr>
        <w:pStyle w:val="49"/>
        <w:rPr>
          <w:rFonts w:ascii="Times New Roman" w:hAnsi="Times New Roman"/>
        </w:rPr>
      </w:pPr>
      <w:bookmarkStart w:id="599" w:name="_Toc204018375"/>
      <w:bookmarkStart w:id="600" w:name="_Toc15518"/>
      <w:bookmarkStart w:id="601" w:name="_Toc8944"/>
      <w:bookmarkStart w:id="602" w:name="_Toc205222514"/>
      <w:bookmarkStart w:id="603" w:name="_Toc205482149"/>
      <w:r>
        <w:rPr>
          <w:rFonts w:ascii="Times New Roman" w:hAnsi="Times New Roman"/>
        </w:rPr>
        <w:t>浇筑竖向构件时，应根据拌合物坍落度确定振捣棒插入间隔、振捣时间长短；一般浇注厚度应在振捣棒有效长度的1.25倍之内；一次浇注厚度不应大于500 mm，并宜附设附着式振捣器。振捣上层混凝土时，振捣棒插入下层混凝土深度应在50 mm以上。应避免欠振和过振，每点的振捣时间以表面泛浆和不冒大气泡为准，一般不宜超过30 s。</w:t>
      </w:r>
      <w:bookmarkEnd w:id="599"/>
      <w:bookmarkEnd w:id="600"/>
      <w:bookmarkEnd w:id="601"/>
      <w:bookmarkEnd w:id="602"/>
      <w:bookmarkEnd w:id="603"/>
    </w:p>
    <w:p w14:paraId="0E2DC1EC">
      <w:pPr>
        <w:pStyle w:val="49"/>
        <w:rPr>
          <w:rFonts w:ascii="Times New Roman" w:hAnsi="Times New Roman"/>
        </w:rPr>
      </w:pPr>
      <w:bookmarkStart w:id="604" w:name="_Toc30117"/>
      <w:bookmarkStart w:id="605" w:name="_Toc204018376"/>
      <w:bookmarkStart w:id="606" w:name="_Toc19067"/>
      <w:bookmarkStart w:id="607" w:name="_Toc205222515"/>
      <w:bookmarkStart w:id="608" w:name="_Toc205482150"/>
      <w:r>
        <w:rPr>
          <w:rFonts w:ascii="Times New Roman" w:hAnsi="Times New Roman"/>
        </w:rPr>
        <w:t>从搅拌机卸出混凝土到混凝土浇筑完毕的延续时间不应大于混凝土的初凝时间。</w:t>
      </w:r>
      <w:bookmarkEnd w:id="604"/>
      <w:bookmarkEnd w:id="605"/>
      <w:bookmarkEnd w:id="606"/>
      <w:bookmarkEnd w:id="607"/>
      <w:bookmarkEnd w:id="608"/>
    </w:p>
    <w:p w14:paraId="00865793">
      <w:pPr>
        <w:pStyle w:val="49"/>
        <w:rPr>
          <w:rFonts w:ascii="Times New Roman" w:hAnsi="Times New Roman"/>
        </w:rPr>
      </w:pPr>
      <w:bookmarkStart w:id="609" w:name="_Toc7795"/>
      <w:bookmarkStart w:id="610" w:name="_Toc10474"/>
      <w:bookmarkStart w:id="611" w:name="_Toc204018377"/>
      <w:bookmarkStart w:id="612" w:name="_Toc205222516"/>
      <w:bookmarkStart w:id="613" w:name="_Toc205482151"/>
      <w:r>
        <w:rPr>
          <w:rFonts w:ascii="Times New Roman" w:hAnsi="Times New Roman"/>
        </w:rPr>
        <w:t>混凝土的自由倾落高度不宜超过3 m；当大于3 m时，应采用滑槽、串筒、料斗等器具辅助输送混凝土，保证混凝土不出现分层离析现象。</w:t>
      </w:r>
      <w:bookmarkEnd w:id="609"/>
      <w:bookmarkEnd w:id="610"/>
      <w:bookmarkEnd w:id="611"/>
      <w:bookmarkEnd w:id="612"/>
      <w:bookmarkEnd w:id="613"/>
    </w:p>
    <w:p w14:paraId="1B4FE2E8">
      <w:pPr>
        <w:pStyle w:val="53"/>
        <w:rPr>
          <w:rFonts w:ascii="Times New Roman"/>
        </w:rPr>
      </w:pPr>
      <w:bookmarkStart w:id="614" w:name="_Toc26881"/>
      <w:bookmarkStart w:id="615" w:name="_Toc162893480"/>
      <w:bookmarkStart w:id="616" w:name="_Toc204018378"/>
      <w:bookmarkStart w:id="617" w:name="_Toc195801488"/>
      <w:bookmarkStart w:id="618" w:name="_Toc18932"/>
      <w:bookmarkStart w:id="619" w:name="_Toc205222517"/>
      <w:bookmarkStart w:id="620" w:name="_Toc205237784"/>
      <w:bookmarkStart w:id="621" w:name="_Toc205482152"/>
      <w:r>
        <w:rPr>
          <w:rFonts w:ascii="Times New Roman"/>
        </w:rPr>
        <w:t>养护与拆模</w:t>
      </w:r>
      <w:bookmarkEnd w:id="614"/>
      <w:bookmarkEnd w:id="615"/>
      <w:bookmarkEnd w:id="616"/>
      <w:bookmarkEnd w:id="617"/>
      <w:bookmarkEnd w:id="618"/>
      <w:bookmarkEnd w:id="619"/>
      <w:bookmarkEnd w:id="620"/>
      <w:bookmarkEnd w:id="621"/>
    </w:p>
    <w:p w14:paraId="0D44026E">
      <w:pPr>
        <w:pStyle w:val="49"/>
        <w:rPr>
          <w:rFonts w:ascii="Times New Roman" w:hAnsi="Times New Roman"/>
        </w:rPr>
      </w:pPr>
      <w:bookmarkStart w:id="622" w:name="_Toc31801"/>
      <w:bookmarkStart w:id="623" w:name="_Toc204018379"/>
      <w:bookmarkStart w:id="624" w:name="_Toc31657"/>
      <w:bookmarkStart w:id="625" w:name="_Toc205222518"/>
      <w:bookmarkStart w:id="626" w:name="_Toc205482153"/>
      <w:r>
        <w:rPr>
          <w:rFonts w:ascii="Times New Roman" w:hAnsi="Times New Roman"/>
        </w:rPr>
        <w:t>复合混凝土浇筑完毕后应按施工技术方案及时采取有效的养护措施，并应符合下列规定：</w:t>
      </w:r>
      <w:bookmarkEnd w:id="622"/>
      <w:bookmarkEnd w:id="623"/>
      <w:bookmarkEnd w:id="624"/>
      <w:bookmarkEnd w:id="625"/>
      <w:bookmarkEnd w:id="626"/>
    </w:p>
    <w:p w14:paraId="0215BA42">
      <w:pPr>
        <w:pStyle w:val="197"/>
        <w:numPr>
          <w:ilvl w:val="0"/>
          <w:numId w:val="40"/>
        </w:numPr>
        <w:rPr>
          <w:rFonts w:ascii="Times New Roman"/>
        </w:rPr>
      </w:pPr>
      <w:r>
        <w:rPr>
          <w:rFonts w:ascii="Times New Roman"/>
        </w:rPr>
        <w:t>混凝土浇筑后应及时进行保湿养护，保湿养护可采用洒水、覆盖、喷涂养护剂等方式。养护方式应根据现场条件、环境温湿度、构件特点、技术要求、施工操作等因素确定；</w:t>
      </w:r>
    </w:p>
    <w:p w14:paraId="03177726">
      <w:pPr>
        <w:pStyle w:val="197"/>
        <w:numPr>
          <w:ilvl w:val="0"/>
          <w:numId w:val="40"/>
        </w:numPr>
        <w:rPr>
          <w:rFonts w:ascii="Times New Roman"/>
        </w:rPr>
      </w:pPr>
      <w:r>
        <w:rPr>
          <w:rFonts w:ascii="Times New Roman"/>
        </w:rPr>
        <w:t>复合混凝土保湿养护的时间不宜少于14 d，且不应少于7 d；对掺加缓凝型外加剂或有抗渗要求的混凝土，不应少于14d；施工现场平均气温低于10℃时，养护龄期应在以上条件下再增加7d；</w:t>
      </w:r>
    </w:p>
    <w:p w14:paraId="66A75DF5">
      <w:pPr>
        <w:pStyle w:val="197"/>
        <w:numPr>
          <w:ilvl w:val="0"/>
          <w:numId w:val="40"/>
        </w:numPr>
        <w:rPr>
          <w:rFonts w:ascii="Times New Roman"/>
        </w:rPr>
      </w:pPr>
      <w:r>
        <w:rPr>
          <w:rFonts w:ascii="Times New Roman"/>
        </w:rPr>
        <w:t>采用洒水养护时，宜在混凝土裸露表面覆盖麻袋或草帘后进行；洒水养护应保证混凝土表面处于湿润状态，复合混凝土养护用水应与拌制用水相同；养护水的温度与混凝土表面温度之差不应大于 15℃，当环境温度低于 5℃时，不应对混凝土表面进行洒水养护；</w:t>
      </w:r>
    </w:p>
    <w:p w14:paraId="025ADA3B">
      <w:pPr>
        <w:pStyle w:val="197"/>
        <w:numPr>
          <w:ilvl w:val="0"/>
          <w:numId w:val="40"/>
        </w:numPr>
        <w:rPr>
          <w:rFonts w:ascii="Times New Roman"/>
        </w:rPr>
      </w:pPr>
      <w:r>
        <w:rPr>
          <w:rFonts w:ascii="Times New Roman"/>
        </w:rPr>
        <w:t>采用覆盖养护时，宜在混凝土裸露表面覆盖塑料薄膜、塑料薄膜加麻袋、塑料薄膜加草帘等方式进行，并应保持塑料薄膜内有凝结水，夏季炎热干燥时宜在膜外补充水份；</w:t>
      </w:r>
    </w:p>
    <w:p w14:paraId="2B44EDB1">
      <w:pPr>
        <w:pStyle w:val="197"/>
        <w:numPr>
          <w:ilvl w:val="0"/>
          <w:numId w:val="40"/>
        </w:numPr>
        <w:rPr>
          <w:rFonts w:ascii="Times New Roman"/>
        </w:rPr>
      </w:pPr>
      <w:r>
        <w:rPr>
          <w:rFonts w:ascii="Times New Roman"/>
        </w:rPr>
        <w:t>复合混凝土表面不便采用洒水养护和覆盖养护时，宜喷涂养护剂进行养护，养护剂应均匀喷涂在结构构件表面，不应漏喷；</w:t>
      </w:r>
    </w:p>
    <w:p w14:paraId="6B022D8E">
      <w:pPr>
        <w:pStyle w:val="197"/>
        <w:numPr>
          <w:ilvl w:val="0"/>
          <w:numId w:val="40"/>
        </w:numPr>
        <w:rPr>
          <w:rFonts w:ascii="Times New Roman"/>
        </w:rPr>
      </w:pPr>
      <w:r>
        <w:rPr>
          <w:rFonts w:ascii="Times New Roman"/>
        </w:rPr>
        <w:t>对大体积复合混凝土的养护，应根据气候条件按施工技术方案采取控温措施；</w:t>
      </w:r>
    </w:p>
    <w:p w14:paraId="44136108">
      <w:pPr>
        <w:pStyle w:val="197"/>
        <w:numPr>
          <w:ilvl w:val="0"/>
          <w:numId w:val="40"/>
        </w:numPr>
        <w:rPr>
          <w:rFonts w:ascii="Times New Roman"/>
        </w:rPr>
      </w:pPr>
      <w:r>
        <w:rPr>
          <w:rFonts w:ascii="Times New Roman"/>
        </w:rPr>
        <w:t>复合混凝土在终凝后1d前，不应在其上踩踏或安装模板及支架；</w:t>
      </w:r>
    </w:p>
    <w:p w14:paraId="5A0AD42A">
      <w:pPr>
        <w:pStyle w:val="49"/>
        <w:rPr>
          <w:rFonts w:ascii="Times New Roman" w:hAnsi="Times New Roman"/>
        </w:rPr>
      </w:pPr>
      <w:bookmarkStart w:id="627" w:name="_Toc204018380"/>
      <w:bookmarkStart w:id="628" w:name="_Toc12374"/>
      <w:bookmarkStart w:id="629" w:name="_Toc28600"/>
      <w:bookmarkStart w:id="630" w:name="_Toc205222519"/>
      <w:bookmarkStart w:id="631" w:name="_Toc205482154"/>
      <w:r>
        <w:rPr>
          <w:rFonts w:ascii="Times New Roman" w:hAnsi="Times New Roman"/>
        </w:rPr>
        <w:t>浇筑的复合混凝土拆除模板时，除必须达到规定强度外，大体积混凝土降温速率不宜大于2℃/d，内外温差不应大于20℃。大风或气温急剧变化时不应拆模。炎热和大风干燥季节，应采取逐段拆模、边拆边覆盖的拆模工艺。拆除模板时，不应影响或中断混凝土的养护工作。</w:t>
      </w:r>
      <w:bookmarkEnd w:id="627"/>
      <w:bookmarkEnd w:id="628"/>
      <w:bookmarkEnd w:id="629"/>
      <w:bookmarkEnd w:id="630"/>
      <w:bookmarkEnd w:id="631"/>
    </w:p>
    <w:p w14:paraId="2E9296C5">
      <w:pPr>
        <w:pStyle w:val="49"/>
        <w:rPr>
          <w:rFonts w:ascii="Times New Roman" w:hAnsi="Times New Roman"/>
        </w:rPr>
      </w:pPr>
      <w:bookmarkStart w:id="632" w:name="_Toc16038"/>
      <w:bookmarkStart w:id="633" w:name="_Toc20698"/>
      <w:bookmarkStart w:id="634" w:name="_Toc204018381"/>
      <w:bookmarkStart w:id="635" w:name="_Toc205222520"/>
      <w:bookmarkStart w:id="636" w:name="_Toc205482155"/>
      <w:r>
        <w:rPr>
          <w:rFonts w:ascii="Times New Roman" w:hAnsi="Times New Roman"/>
        </w:rPr>
        <w:t>用复合混凝土生产预制混凝土构件或制品的养护应符合下列规定：</w:t>
      </w:r>
      <w:bookmarkEnd w:id="632"/>
      <w:bookmarkEnd w:id="633"/>
      <w:bookmarkEnd w:id="634"/>
      <w:bookmarkEnd w:id="635"/>
      <w:bookmarkEnd w:id="636"/>
    </w:p>
    <w:p w14:paraId="5AE5F8A6">
      <w:pPr>
        <w:pStyle w:val="197"/>
        <w:numPr>
          <w:ilvl w:val="0"/>
          <w:numId w:val="41"/>
        </w:numPr>
        <w:rPr>
          <w:rFonts w:ascii="Times New Roman"/>
        </w:rPr>
      </w:pPr>
      <w:r>
        <w:rPr>
          <w:rFonts w:ascii="Times New Roman"/>
        </w:rPr>
        <w:t>采用蒸汽养护或湿热养护时，养护时间和养护制度应满足混凝土构件及制品性能的要求；</w:t>
      </w:r>
    </w:p>
    <w:p w14:paraId="02ECE488">
      <w:pPr>
        <w:pStyle w:val="197"/>
        <w:numPr>
          <w:ilvl w:val="0"/>
          <w:numId w:val="41"/>
        </w:numPr>
        <w:rPr>
          <w:rFonts w:ascii="Times New Roman"/>
        </w:rPr>
      </w:pPr>
      <w:bookmarkStart w:id="637" w:name="_Hlk204088083"/>
      <w:r>
        <w:rPr>
          <w:rFonts w:ascii="Times New Roman"/>
        </w:rPr>
        <w:t>采用蒸汽养护时，混凝土成型后的静停时间不宜少于2 h</w:t>
      </w:r>
      <w:bookmarkEnd w:id="637"/>
      <w:r>
        <w:rPr>
          <w:rFonts w:ascii="Times New Roman"/>
        </w:rPr>
        <w:t>。</w:t>
      </w:r>
    </w:p>
    <w:p w14:paraId="45965708">
      <w:pPr>
        <w:pStyle w:val="52"/>
        <w:spacing w:before="312" w:after="312"/>
        <w:rPr>
          <w:rFonts w:ascii="Times New Roman"/>
        </w:rPr>
      </w:pPr>
      <w:bookmarkStart w:id="638" w:name="_Toc162893481"/>
      <w:bookmarkStart w:id="639" w:name="_Toc32462"/>
      <w:bookmarkStart w:id="640" w:name="_Toc26895"/>
      <w:bookmarkStart w:id="641" w:name="_Toc195801489"/>
      <w:bookmarkStart w:id="642" w:name="_Toc204018382"/>
      <w:bookmarkStart w:id="643" w:name="_Toc205222521"/>
      <w:bookmarkStart w:id="644" w:name="_Toc205237785"/>
      <w:bookmarkStart w:id="645" w:name="_Toc205482156"/>
      <w:bookmarkStart w:id="646" w:name="_Hlk204086976"/>
      <w:r>
        <w:rPr>
          <w:rFonts w:ascii="Times New Roman"/>
        </w:rPr>
        <w:t>质量检验与验收</w:t>
      </w:r>
      <w:bookmarkEnd w:id="638"/>
      <w:bookmarkEnd w:id="639"/>
      <w:bookmarkEnd w:id="640"/>
      <w:bookmarkEnd w:id="641"/>
      <w:bookmarkEnd w:id="642"/>
      <w:bookmarkEnd w:id="643"/>
      <w:bookmarkEnd w:id="644"/>
      <w:bookmarkEnd w:id="645"/>
    </w:p>
    <w:bookmarkEnd w:id="646"/>
    <w:p w14:paraId="30AB1AFB">
      <w:pPr>
        <w:pStyle w:val="53"/>
        <w:rPr>
          <w:rFonts w:ascii="Times New Roman"/>
        </w:rPr>
      </w:pPr>
      <w:bookmarkStart w:id="647" w:name="_Toc25939"/>
      <w:bookmarkStart w:id="648" w:name="_Toc162893482"/>
      <w:bookmarkStart w:id="649" w:name="_Toc31867"/>
      <w:bookmarkStart w:id="650" w:name="_Toc204018383"/>
      <w:bookmarkStart w:id="651" w:name="_Toc195801490"/>
      <w:bookmarkStart w:id="652" w:name="_Toc205222522"/>
      <w:bookmarkStart w:id="653" w:name="_Toc205237786"/>
      <w:bookmarkStart w:id="654" w:name="_Toc205482157"/>
      <w:r>
        <w:rPr>
          <w:rFonts w:ascii="Times New Roman"/>
        </w:rPr>
        <w:t>一般规定</w:t>
      </w:r>
      <w:bookmarkEnd w:id="647"/>
      <w:bookmarkEnd w:id="648"/>
      <w:bookmarkEnd w:id="649"/>
      <w:bookmarkEnd w:id="650"/>
      <w:bookmarkEnd w:id="651"/>
      <w:bookmarkEnd w:id="652"/>
      <w:bookmarkEnd w:id="653"/>
      <w:bookmarkEnd w:id="654"/>
    </w:p>
    <w:p w14:paraId="0956988E">
      <w:pPr>
        <w:pStyle w:val="49"/>
        <w:rPr>
          <w:rFonts w:ascii="Times New Roman" w:hAnsi="Times New Roman"/>
        </w:rPr>
      </w:pPr>
      <w:bookmarkStart w:id="655" w:name="_Toc31442"/>
      <w:bookmarkStart w:id="656" w:name="_Toc2743"/>
      <w:bookmarkStart w:id="657" w:name="_Toc204018384"/>
      <w:bookmarkStart w:id="658" w:name="_Toc205222523"/>
      <w:bookmarkStart w:id="659" w:name="_Toc205482158"/>
      <w:r>
        <w:rPr>
          <w:rFonts w:ascii="Times New Roman" w:hAnsi="Times New Roman"/>
        </w:rPr>
        <w:t>复合混凝土强度检验评定应符合现行国家标准GB/T 50107的规定。其他力学性能检验应符合设计要求和国家现行有关标准的规定。</w:t>
      </w:r>
      <w:bookmarkEnd w:id="655"/>
      <w:bookmarkEnd w:id="656"/>
      <w:bookmarkEnd w:id="657"/>
      <w:bookmarkEnd w:id="658"/>
      <w:bookmarkEnd w:id="659"/>
    </w:p>
    <w:p w14:paraId="72187C05">
      <w:pPr>
        <w:pStyle w:val="49"/>
        <w:rPr>
          <w:rFonts w:ascii="Times New Roman" w:hAnsi="Times New Roman"/>
        </w:rPr>
      </w:pPr>
      <w:bookmarkStart w:id="660" w:name="_Toc17708"/>
      <w:bookmarkStart w:id="661" w:name="_Toc204018385"/>
      <w:bookmarkStart w:id="662" w:name="_Toc20642"/>
      <w:bookmarkStart w:id="663" w:name="_Toc205222524"/>
      <w:bookmarkStart w:id="664" w:name="_Toc205482159"/>
      <w:r>
        <w:rPr>
          <w:rFonts w:ascii="Times New Roman" w:hAnsi="Times New Roman"/>
        </w:rPr>
        <w:t>检验评定复合混凝土强度用的混凝土试件的尺寸及强度的尺寸换算系数、标准成型方法、标准养护条件及强度试验方法应符合GB/T 50081的规定。</w:t>
      </w:r>
      <w:bookmarkEnd w:id="660"/>
      <w:bookmarkEnd w:id="661"/>
      <w:bookmarkEnd w:id="662"/>
      <w:bookmarkEnd w:id="663"/>
      <w:bookmarkEnd w:id="664"/>
    </w:p>
    <w:p w14:paraId="1D74A4F9">
      <w:pPr>
        <w:pStyle w:val="49"/>
        <w:rPr>
          <w:rFonts w:ascii="Times New Roman" w:hAnsi="Times New Roman"/>
        </w:rPr>
      </w:pPr>
      <w:bookmarkStart w:id="665" w:name="_Toc11450"/>
      <w:bookmarkStart w:id="666" w:name="_Toc204018386"/>
      <w:bookmarkStart w:id="667" w:name="_Toc13695"/>
      <w:bookmarkStart w:id="668" w:name="_Toc205222525"/>
      <w:bookmarkStart w:id="669" w:name="_Toc205482160"/>
      <w:r>
        <w:rPr>
          <w:rFonts w:ascii="Times New Roman" w:hAnsi="Times New Roman"/>
        </w:rPr>
        <w:t>复合混凝土的模板分项工程、钢筋分项工程、预应力分项工程、现浇结构分项和混凝土结构子分部工程施工质量验收应符合GB 50204的规定。</w:t>
      </w:r>
      <w:bookmarkEnd w:id="665"/>
      <w:bookmarkEnd w:id="666"/>
      <w:bookmarkEnd w:id="667"/>
      <w:bookmarkEnd w:id="668"/>
      <w:bookmarkEnd w:id="669"/>
    </w:p>
    <w:p w14:paraId="7CBB1729">
      <w:pPr>
        <w:pStyle w:val="53"/>
        <w:rPr>
          <w:rFonts w:ascii="Times New Roman"/>
        </w:rPr>
      </w:pPr>
      <w:bookmarkStart w:id="670" w:name="_Toc195801491"/>
      <w:bookmarkStart w:id="671" w:name="_Toc204018387"/>
      <w:bookmarkStart w:id="672" w:name="_Toc24203"/>
      <w:bookmarkStart w:id="673" w:name="_Toc205222526"/>
      <w:bookmarkStart w:id="674" w:name="_Toc205237787"/>
      <w:bookmarkStart w:id="675" w:name="_Toc205482161"/>
      <w:bookmarkStart w:id="676" w:name="_Toc22498"/>
      <w:bookmarkStart w:id="677" w:name="_Toc162893485"/>
      <w:r>
        <w:rPr>
          <w:rFonts w:ascii="Times New Roman"/>
        </w:rPr>
        <w:t>复合混凝土分项工程质量检验</w:t>
      </w:r>
      <w:bookmarkEnd w:id="670"/>
      <w:bookmarkEnd w:id="671"/>
      <w:bookmarkEnd w:id="672"/>
      <w:bookmarkEnd w:id="673"/>
      <w:bookmarkEnd w:id="674"/>
      <w:bookmarkEnd w:id="675"/>
      <w:bookmarkEnd w:id="676"/>
    </w:p>
    <w:p w14:paraId="29EE335D">
      <w:pPr>
        <w:pStyle w:val="49"/>
        <w:rPr>
          <w:rFonts w:ascii="Times New Roman" w:hAnsi="Times New Roman"/>
        </w:rPr>
      </w:pPr>
      <w:bookmarkStart w:id="678" w:name="_Toc195801492"/>
      <w:bookmarkStart w:id="679" w:name="_Toc24409"/>
      <w:bookmarkStart w:id="680" w:name="_Toc195801189"/>
      <w:bookmarkStart w:id="681" w:name="_Toc6848"/>
      <w:bookmarkStart w:id="682" w:name="_Toc204018388"/>
      <w:bookmarkStart w:id="683" w:name="_Toc205222527"/>
      <w:bookmarkStart w:id="684" w:name="_Toc205482162"/>
      <w:r>
        <w:rPr>
          <w:rFonts w:ascii="Times New Roman" w:hAnsi="Times New Roman"/>
        </w:rPr>
        <w:t>混凝土施工</w:t>
      </w:r>
      <w:bookmarkEnd w:id="677"/>
      <w:r>
        <w:rPr>
          <w:rFonts w:ascii="Times New Roman" w:hAnsi="Times New Roman"/>
        </w:rPr>
        <w:t>检验应符合下列规定：</w:t>
      </w:r>
      <w:bookmarkEnd w:id="678"/>
      <w:bookmarkEnd w:id="679"/>
      <w:bookmarkEnd w:id="680"/>
      <w:bookmarkEnd w:id="681"/>
      <w:bookmarkEnd w:id="682"/>
      <w:bookmarkEnd w:id="683"/>
      <w:bookmarkEnd w:id="684"/>
    </w:p>
    <w:p w14:paraId="795EF2AF">
      <w:pPr>
        <w:pStyle w:val="197"/>
        <w:numPr>
          <w:ilvl w:val="0"/>
          <w:numId w:val="42"/>
        </w:numPr>
        <w:rPr>
          <w:rFonts w:ascii="Times New Roman"/>
        </w:rPr>
      </w:pPr>
      <w:r>
        <w:rPr>
          <w:rFonts w:ascii="Times New Roman"/>
        </w:rPr>
        <w:t>混凝土的强度等级应符合设计要求。用于检查混凝土强度的试件，应在混凝土浇筑地点随机抽取；</w:t>
      </w:r>
    </w:p>
    <w:p w14:paraId="03DF5BB2">
      <w:pPr>
        <w:pStyle w:val="197"/>
        <w:numPr>
          <w:ilvl w:val="0"/>
          <w:numId w:val="42"/>
        </w:numPr>
        <w:rPr>
          <w:rFonts w:ascii="Times New Roman"/>
        </w:rPr>
      </w:pPr>
      <w:r>
        <w:rPr>
          <w:rFonts w:ascii="Times New Roman"/>
        </w:rPr>
        <w:t>复合混凝土运输、浇筑及间歇应符合 GB 50204的有关规定；</w:t>
      </w:r>
    </w:p>
    <w:p w14:paraId="561359D2">
      <w:pPr>
        <w:pStyle w:val="197"/>
        <w:numPr>
          <w:ilvl w:val="0"/>
          <w:numId w:val="42"/>
        </w:numPr>
        <w:rPr>
          <w:rFonts w:ascii="Times New Roman"/>
        </w:rPr>
      </w:pPr>
      <w:r>
        <w:rPr>
          <w:rFonts w:ascii="Times New Roman"/>
        </w:rPr>
        <w:t>复合</w:t>
      </w:r>
      <w:r>
        <w:rPr>
          <w:rFonts w:hint="eastAsia" w:ascii="Times New Roman"/>
        </w:rPr>
        <w:t>混凝土拌合物应进行抽样检验</w:t>
      </w:r>
      <w:r>
        <w:rPr>
          <w:rFonts w:ascii="Times New Roman"/>
        </w:rPr>
        <w:t>。在生产和施工过程中，应在搅拌地点和浇筑地点分别对混凝土拌合物进行抽样检验；</w:t>
      </w:r>
    </w:p>
    <w:p w14:paraId="397872A1">
      <w:pPr>
        <w:pStyle w:val="197"/>
        <w:numPr>
          <w:ilvl w:val="0"/>
          <w:numId w:val="42"/>
        </w:numPr>
        <w:rPr>
          <w:rFonts w:ascii="Times New Roman"/>
        </w:rPr>
      </w:pPr>
      <w:r>
        <w:rPr>
          <w:rFonts w:ascii="Times New Roman"/>
        </w:rPr>
        <w:t>复合混凝土拌合物检验项目及其频率应符合GB 50164的有关规定。</w:t>
      </w:r>
    </w:p>
    <w:p w14:paraId="1770DA09">
      <w:pPr>
        <w:pStyle w:val="49"/>
        <w:rPr>
          <w:rFonts w:ascii="Times New Roman" w:hAnsi="Times New Roman"/>
        </w:rPr>
      </w:pPr>
      <w:bookmarkStart w:id="685" w:name="_Toc162893487"/>
      <w:bookmarkStart w:id="686" w:name="_Toc17755"/>
      <w:bookmarkStart w:id="687" w:name="_Toc204018389"/>
      <w:bookmarkStart w:id="688" w:name="_Toc195801494"/>
      <w:bookmarkStart w:id="689" w:name="_Toc195801191"/>
      <w:bookmarkStart w:id="690" w:name="_Toc25346"/>
      <w:bookmarkStart w:id="691" w:name="_Toc205222528"/>
      <w:bookmarkStart w:id="692" w:name="_Toc205482163"/>
      <w:r>
        <w:rPr>
          <w:rFonts w:ascii="Times New Roman" w:hAnsi="Times New Roman"/>
        </w:rPr>
        <w:t>硬化混凝土</w:t>
      </w:r>
      <w:bookmarkEnd w:id="685"/>
      <w:r>
        <w:rPr>
          <w:rFonts w:ascii="Times New Roman" w:hAnsi="Times New Roman"/>
        </w:rPr>
        <w:t>质量检验符合下列规定：</w:t>
      </w:r>
      <w:bookmarkEnd w:id="686"/>
      <w:bookmarkEnd w:id="687"/>
      <w:bookmarkEnd w:id="688"/>
      <w:bookmarkEnd w:id="689"/>
      <w:bookmarkEnd w:id="690"/>
      <w:bookmarkEnd w:id="691"/>
      <w:bookmarkEnd w:id="692"/>
    </w:p>
    <w:p w14:paraId="0FE6FD49">
      <w:pPr>
        <w:pStyle w:val="197"/>
        <w:numPr>
          <w:ilvl w:val="0"/>
          <w:numId w:val="43"/>
        </w:numPr>
        <w:rPr>
          <w:rFonts w:ascii="Times New Roman"/>
        </w:rPr>
      </w:pPr>
      <w:r>
        <w:rPr>
          <w:rFonts w:ascii="Times New Roman"/>
        </w:rPr>
        <w:t>对除自重荷载外无荷载作用的复合混凝土结构的强度宜按56 d龄期验收。对处于有化学腐蚀性环境的结构混凝土，各项指标均应根据甲乙双方约定的时间确定验收龄期；</w:t>
      </w:r>
    </w:p>
    <w:p w14:paraId="368DB608">
      <w:pPr>
        <w:pStyle w:val="197"/>
        <w:numPr>
          <w:ilvl w:val="0"/>
          <w:numId w:val="43"/>
        </w:numPr>
        <w:rPr>
          <w:rFonts w:ascii="Times New Roman"/>
        </w:rPr>
      </w:pPr>
      <w:r>
        <w:rPr>
          <w:rFonts w:ascii="Times New Roman"/>
        </w:rPr>
        <w:t>复合混凝土长期性能和耐久性能，试验方法按照GB/T 50082，评定标准应符合JGJ/T 193的有关规定。</w:t>
      </w:r>
    </w:p>
    <w:p w14:paraId="223850CB">
      <w:pPr>
        <w:pStyle w:val="49"/>
        <w:rPr>
          <w:rFonts w:ascii="Times New Roman" w:hAnsi="Times New Roman"/>
        </w:rPr>
      </w:pPr>
      <w:bookmarkStart w:id="693" w:name="_Toc27467"/>
      <w:bookmarkStart w:id="694" w:name="_Toc6156"/>
      <w:bookmarkStart w:id="695" w:name="_Toc205222529"/>
      <w:bookmarkStart w:id="696" w:name="_Toc205482164"/>
      <w:bookmarkStart w:id="697" w:name="_Toc204018390"/>
      <w:r>
        <w:rPr>
          <w:rFonts w:ascii="Times New Roman" w:hAnsi="Times New Roman"/>
        </w:rPr>
        <w:t>复合混凝土外观质量、位置偏差、尺寸偏差检验应符合GB 50204的要求。</w:t>
      </w:r>
      <w:bookmarkEnd w:id="693"/>
      <w:bookmarkEnd w:id="694"/>
      <w:bookmarkEnd w:id="695"/>
      <w:bookmarkEnd w:id="696"/>
      <w:bookmarkEnd w:id="697"/>
    </w:p>
    <w:p w14:paraId="411F13A3">
      <w:pPr>
        <w:pStyle w:val="49"/>
        <w:rPr>
          <w:rFonts w:ascii="Times New Roman" w:hAnsi="Times New Roman"/>
        </w:rPr>
      </w:pPr>
      <w:bookmarkStart w:id="698" w:name="_Toc204018391"/>
      <w:bookmarkStart w:id="699" w:name="_Toc205222530"/>
      <w:bookmarkStart w:id="700" w:name="_Toc205482165"/>
      <w:r>
        <w:rPr>
          <w:rFonts w:ascii="Times New Roman" w:hAnsi="Times New Roman"/>
        </w:rPr>
        <w:t>对涉及混凝土结构安全的重要部位，应进行结构实体检验，结构实体检验应在监理工程师（建设单位项目专业技术负责人）见证下，由施工项目技术负责人组织实施，承担结构实体检验的试验室应具有相应的资质。</w:t>
      </w:r>
      <w:bookmarkEnd w:id="698"/>
      <w:bookmarkEnd w:id="699"/>
      <w:bookmarkEnd w:id="700"/>
    </w:p>
    <w:p w14:paraId="0E636B4D">
      <w:pPr>
        <w:pStyle w:val="49"/>
        <w:rPr>
          <w:rFonts w:ascii="Times New Roman" w:hAnsi="Times New Roman"/>
        </w:rPr>
      </w:pPr>
      <w:bookmarkStart w:id="701" w:name="_Toc204018393"/>
      <w:bookmarkStart w:id="702" w:name="_Toc205222532"/>
      <w:bookmarkStart w:id="703" w:name="_Toc205482166"/>
      <w:r>
        <w:rPr>
          <w:rFonts w:ascii="Times New Roman" w:hAnsi="Times New Roman"/>
        </w:rPr>
        <w:t>对复合混凝土强度的检验，应采用在混凝土浇筑地点制备并与结构实体同条件养护的试件。复合混凝土强度检验用同条件养护试件的留置、养护和强度代表值应符合本文件附录A的规定。</w:t>
      </w:r>
      <w:bookmarkEnd w:id="701"/>
      <w:bookmarkEnd w:id="702"/>
      <w:bookmarkEnd w:id="703"/>
    </w:p>
    <w:p w14:paraId="556D958A">
      <w:pPr>
        <w:pStyle w:val="49"/>
        <w:rPr>
          <w:rFonts w:ascii="Times New Roman" w:hAnsi="Times New Roman"/>
        </w:rPr>
      </w:pPr>
      <w:bookmarkStart w:id="704" w:name="_Toc204018394"/>
      <w:bookmarkStart w:id="705" w:name="_Toc205222533"/>
      <w:bookmarkStart w:id="706" w:name="_Toc205482167"/>
      <w:r>
        <w:rPr>
          <w:rFonts w:ascii="Times New Roman" w:hAnsi="Times New Roman"/>
        </w:rPr>
        <w:t>当未能取得同条件养护试件强度、同条件养护试件强度被判为不合格或钢筋保护层厚度不满足要求时，应委托具有相应资质等级的检测机构，按国家有关标准的规定进行检测。</w:t>
      </w:r>
      <w:bookmarkEnd w:id="704"/>
      <w:bookmarkEnd w:id="705"/>
      <w:bookmarkEnd w:id="706"/>
    </w:p>
    <w:p w14:paraId="41B6F5C3">
      <w:pPr>
        <w:pStyle w:val="53"/>
        <w:rPr>
          <w:rFonts w:ascii="Times New Roman"/>
        </w:rPr>
      </w:pPr>
      <w:bookmarkStart w:id="707" w:name="_Toc205237788"/>
      <w:bookmarkStart w:id="708" w:name="_Toc205482168"/>
      <w:r>
        <w:rPr>
          <w:rFonts w:ascii="Times New Roman"/>
        </w:rPr>
        <w:t>复合混凝土结构子分部质量验收</w:t>
      </w:r>
      <w:bookmarkEnd w:id="707"/>
      <w:bookmarkEnd w:id="708"/>
    </w:p>
    <w:p w14:paraId="04E8CB66">
      <w:pPr>
        <w:pStyle w:val="49"/>
        <w:rPr>
          <w:rFonts w:ascii="Times New Roman" w:hAnsi="Times New Roman"/>
        </w:rPr>
      </w:pPr>
      <w:bookmarkStart w:id="709" w:name="_Toc205482169"/>
      <w:bookmarkStart w:id="710" w:name="_Toc23497"/>
      <w:bookmarkStart w:id="711" w:name="_Toc204018399"/>
      <w:bookmarkStart w:id="712" w:name="_Toc20691"/>
      <w:bookmarkStart w:id="713" w:name="_Toc205222538"/>
      <w:r>
        <w:rPr>
          <w:rFonts w:ascii="Times New Roman" w:hAnsi="Times New Roman"/>
        </w:rPr>
        <w:t>复合混凝土施工质量及验收应符合GB 50204、CJJ 1或CJJ2的有关规定。</w:t>
      </w:r>
      <w:bookmarkEnd w:id="709"/>
    </w:p>
    <w:p w14:paraId="67641B9E">
      <w:pPr>
        <w:pStyle w:val="49"/>
        <w:rPr>
          <w:rFonts w:ascii="Times New Roman" w:hAnsi="Times New Roman"/>
        </w:rPr>
      </w:pPr>
      <w:bookmarkStart w:id="714" w:name="_Toc204018392"/>
      <w:bookmarkStart w:id="715" w:name="_Toc205222531"/>
      <w:bookmarkStart w:id="716" w:name="_Toc205482170"/>
      <w:r>
        <w:rPr>
          <w:rFonts w:ascii="Times New Roman" w:hAnsi="Times New Roman"/>
        </w:rPr>
        <w:t>结构实体检验的内容应包括复合混凝土强度、钢筋保护层厚度以及工程合同约定的项目。</w:t>
      </w:r>
      <w:bookmarkEnd w:id="714"/>
      <w:bookmarkEnd w:id="715"/>
      <w:bookmarkEnd w:id="716"/>
    </w:p>
    <w:p w14:paraId="47594F00">
      <w:pPr>
        <w:pStyle w:val="49"/>
        <w:rPr>
          <w:rFonts w:ascii="Times New Roman" w:hAnsi="Times New Roman"/>
        </w:rPr>
      </w:pPr>
      <w:bookmarkStart w:id="717" w:name="_Toc205482171"/>
      <w:r>
        <w:rPr>
          <w:rFonts w:ascii="Times New Roman" w:hAnsi="Times New Roman"/>
        </w:rPr>
        <w:t>复合混凝土结构子分部工程施工质量验收时应提供符合GB 50204、CJJ 1或CJJ2的文件和记录。</w:t>
      </w:r>
      <w:bookmarkEnd w:id="710"/>
      <w:bookmarkEnd w:id="711"/>
      <w:bookmarkEnd w:id="712"/>
      <w:bookmarkEnd w:id="713"/>
      <w:bookmarkEnd w:id="717"/>
    </w:p>
    <w:p w14:paraId="3F27F85E">
      <w:pPr>
        <w:pStyle w:val="49"/>
        <w:rPr>
          <w:rFonts w:ascii="Times New Roman" w:hAnsi="Times New Roman"/>
        </w:rPr>
      </w:pPr>
      <w:bookmarkStart w:id="718" w:name="_Toc32235"/>
      <w:bookmarkStart w:id="719" w:name="_Toc26789"/>
      <w:bookmarkStart w:id="720" w:name="_Toc204018400"/>
      <w:bookmarkStart w:id="721" w:name="_Toc205222539"/>
      <w:bookmarkStart w:id="722" w:name="_Toc205482172"/>
      <w:r>
        <w:rPr>
          <w:rFonts w:ascii="Times New Roman" w:hAnsi="Times New Roman"/>
        </w:rPr>
        <w:t>复合混凝土结构子分部工程施工质量验收合格应符合下列规定：</w:t>
      </w:r>
      <w:bookmarkEnd w:id="718"/>
      <w:bookmarkEnd w:id="719"/>
      <w:bookmarkEnd w:id="720"/>
      <w:bookmarkEnd w:id="721"/>
      <w:bookmarkEnd w:id="722"/>
    </w:p>
    <w:p w14:paraId="67B0BBF7">
      <w:pPr>
        <w:pStyle w:val="197"/>
        <w:numPr>
          <w:ilvl w:val="0"/>
          <w:numId w:val="44"/>
        </w:numPr>
        <w:rPr>
          <w:rFonts w:ascii="Times New Roman"/>
        </w:rPr>
      </w:pPr>
      <w:r>
        <w:rPr>
          <w:rFonts w:ascii="Times New Roman"/>
        </w:rPr>
        <w:t>有关分项工程施工质量验收合格；</w:t>
      </w:r>
    </w:p>
    <w:p w14:paraId="52B37779">
      <w:pPr>
        <w:pStyle w:val="197"/>
        <w:numPr>
          <w:ilvl w:val="0"/>
          <w:numId w:val="44"/>
        </w:numPr>
        <w:rPr>
          <w:rFonts w:ascii="Times New Roman"/>
        </w:rPr>
      </w:pPr>
      <w:r>
        <w:rPr>
          <w:rFonts w:ascii="Times New Roman"/>
        </w:rPr>
        <w:t>应有完整的质量控制资料；</w:t>
      </w:r>
    </w:p>
    <w:p w14:paraId="0F21C639">
      <w:pPr>
        <w:pStyle w:val="197"/>
        <w:numPr>
          <w:ilvl w:val="0"/>
          <w:numId w:val="44"/>
        </w:numPr>
        <w:rPr>
          <w:rFonts w:ascii="Times New Roman"/>
        </w:rPr>
      </w:pPr>
      <w:r>
        <w:rPr>
          <w:rFonts w:ascii="Times New Roman"/>
        </w:rPr>
        <w:t>观感质量验收合格；</w:t>
      </w:r>
    </w:p>
    <w:p w14:paraId="5C7CB8D6">
      <w:pPr>
        <w:pStyle w:val="197"/>
        <w:numPr>
          <w:ilvl w:val="0"/>
          <w:numId w:val="44"/>
        </w:numPr>
        <w:rPr>
          <w:rFonts w:ascii="Times New Roman"/>
        </w:rPr>
      </w:pPr>
      <w:r>
        <w:rPr>
          <w:rFonts w:ascii="Times New Roman"/>
        </w:rPr>
        <w:t>结构实体检验结果满足本文件的要求。</w:t>
      </w:r>
    </w:p>
    <w:p w14:paraId="381ED0BA">
      <w:pPr>
        <w:pStyle w:val="49"/>
        <w:rPr>
          <w:rFonts w:ascii="Times New Roman" w:hAnsi="Times New Roman"/>
        </w:rPr>
      </w:pPr>
      <w:bookmarkStart w:id="723" w:name="_Toc204018401"/>
      <w:bookmarkStart w:id="724" w:name="_Toc28883"/>
      <w:bookmarkStart w:id="725" w:name="_Toc27531"/>
      <w:bookmarkStart w:id="726" w:name="_Toc205222540"/>
      <w:bookmarkStart w:id="727" w:name="_Toc205482173"/>
      <w:r>
        <w:rPr>
          <w:rFonts w:ascii="Times New Roman" w:hAnsi="Times New Roman"/>
        </w:rPr>
        <w:t>当复合混凝土结构施工质量不符合要求时应按下列规定进行处理：</w:t>
      </w:r>
      <w:bookmarkEnd w:id="723"/>
      <w:bookmarkEnd w:id="724"/>
      <w:bookmarkEnd w:id="725"/>
      <w:bookmarkEnd w:id="726"/>
      <w:bookmarkEnd w:id="727"/>
    </w:p>
    <w:p w14:paraId="4E82A36B">
      <w:pPr>
        <w:pStyle w:val="197"/>
        <w:numPr>
          <w:ilvl w:val="0"/>
          <w:numId w:val="45"/>
        </w:numPr>
        <w:rPr>
          <w:rFonts w:ascii="Times New Roman"/>
        </w:rPr>
      </w:pPr>
      <w:r>
        <w:rPr>
          <w:rFonts w:ascii="Times New Roman"/>
        </w:rPr>
        <w:t>经返工返修或更换构件部件的检验批，应重新进行验收；</w:t>
      </w:r>
    </w:p>
    <w:p w14:paraId="59AE5833">
      <w:pPr>
        <w:pStyle w:val="197"/>
        <w:numPr>
          <w:ilvl w:val="0"/>
          <w:numId w:val="45"/>
        </w:numPr>
        <w:rPr>
          <w:rFonts w:ascii="Times New Roman"/>
        </w:rPr>
      </w:pPr>
      <w:r>
        <w:rPr>
          <w:rFonts w:ascii="Times New Roman"/>
        </w:rPr>
        <w:t>经有资质的检测单位检测鉴定达到设计要求的检验批，应予以验收；</w:t>
      </w:r>
    </w:p>
    <w:p w14:paraId="5E10D6D4">
      <w:pPr>
        <w:pStyle w:val="197"/>
        <w:numPr>
          <w:ilvl w:val="0"/>
          <w:numId w:val="45"/>
        </w:numPr>
        <w:rPr>
          <w:rFonts w:ascii="Times New Roman"/>
        </w:rPr>
      </w:pPr>
      <w:r>
        <w:rPr>
          <w:rFonts w:ascii="Times New Roman"/>
        </w:rPr>
        <w:t>经有资质的检测单位检测鉴定达不到设计要求，但经原设计单位核算，并确认仍可满足结构安全和使用功能的检验批，可予以验收；</w:t>
      </w:r>
    </w:p>
    <w:p w14:paraId="40ADB0B9">
      <w:pPr>
        <w:pStyle w:val="197"/>
        <w:numPr>
          <w:ilvl w:val="0"/>
          <w:numId w:val="45"/>
        </w:numPr>
        <w:rPr>
          <w:rFonts w:ascii="Times New Roman"/>
        </w:rPr>
      </w:pPr>
      <w:r>
        <w:rPr>
          <w:rFonts w:ascii="Times New Roman"/>
        </w:rPr>
        <w:t>经返修或加固处理的分项、分部工程，虽然改变外形尺寸但仍能够满足结构安全使用要求的，可根据技术处理方案和协商文件进行验收。</w:t>
      </w:r>
    </w:p>
    <w:p w14:paraId="78BFFF5B">
      <w:pPr>
        <w:pStyle w:val="49"/>
        <w:rPr>
          <w:rFonts w:ascii="Times New Roman" w:hAnsi="Times New Roman"/>
        </w:rPr>
      </w:pPr>
      <w:bookmarkStart w:id="728" w:name="_Toc204018402"/>
      <w:bookmarkStart w:id="729" w:name="_Toc4193"/>
      <w:bookmarkStart w:id="730" w:name="_Toc14135"/>
      <w:bookmarkStart w:id="731" w:name="_Toc205222541"/>
      <w:bookmarkStart w:id="732" w:name="_Toc205482174"/>
      <w:r>
        <w:rPr>
          <w:rFonts w:ascii="Times New Roman" w:hAnsi="Times New Roman"/>
        </w:rPr>
        <w:t>复合混凝土结构工程子分部工程施工质量验收合格后，应将所有的验收文件存档备案。</w:t>
      </w:r>
      <w:bookmarkEnd w:id="728"/>
      <w:bookmarkEnd w:id="729"/>
      <w:bookmarkEnd w:id="730"/>
      <w:bookmarkEnd w:id="731"/>
      <w:bookmarkEnd w:id="732"/>
    </w:p>
    <w:p w14:paraId="589EEE72">
      <w:pPr>
        <w:pStyle w:val="52"/>
        <w:spacing w:before="312" w:after="312"/>
      </w:pPr>
      <w:bookmarkStart w:id="733" w:name="_Toc205482175"/>
      <w:r>
        <w:rPr>
          <w:rFonts w:hint="eastAsia" w:ascii="Times New Roman"/>
        </w:rPr>
        <w:t>标准实施及评价</w:t>
      </w:r>
      <w:bookmarkEnd w:id="733"/>
    </w:p>
    <w:p w14:paraId="5F8C0532">
      <w:pPr>
        <w:pStyle w:val="53"/>
        <w:ind w:left="0"/>
        <w:rPr>
          <w:rFonts w:hint="eastAsia" w:asciiTheme="minorEastAsia" w:hAnsiTheme="minorEastAsia" w:eastAsiaTheme="minorEastAsia" w:cstheme="minorEastAsia"/>
        </w:rPr>
      </w:pPr>
      <w:bookmarkStart w:id="734" w:name="_Toc205482176"/>
      <w:r>
        <w:rPr>
          <w:rFonts w:hint="eastAsia" w:asciiTheme="minorEastAsia" w:hAnsiTheme="minorEastAsia" w:eastAsiaTheme="minorEastAsia" w:cstheme="minorEastAsia"/>
        </w:rPr>
        <w:t>结合实际，认真做好标准实施准备，包括标准实施的方案准备、组织准备、知识准备、手段准备和物质条件准备等。</w:t>
      </w:r>
      <w:bookmarkEnd w:id="734"/>
    </w:p>
    <w:p w14:paraId="46E95815">
      <w:pPr>
        <w:pStyle w:val="53"/>
        <w:ind w:left="0"/>
        <w:rPr>
          <w:rFonts w:hint="eastAsia" w:asciiTheme="minorEastAsia" w:hAnsiTheme="minorEastAsia" w:eastAsiaTheme="minorEastAsia" w:cstheme="minorEastAsia"/>
        </w:rPr>
      </w:pPr>
      <w:bookmarkStart w:id="735" w:name="_Toc205482177"/>
      <w:r>
        <w:rPr>
          <w:rFonts w:hint="eastAsia" w:asciiTheme="minorEastAsia" w:hAnsiTheme="minorEastAsia" w:eastAsiaTheme="minorEastAsia" w:cstheme="minorEastAsia"/>
        </w:rPr>
        <w:t>制定标准实施方案，明确适用对象和场景、提供实施必备条件和保障(组织、制度、资金、人员和设备仪器等)、推荐方法路径，确定资源要素配置、关键环节和控制点，提出标准实施中的注意事项。</w:t>
      </w:r>
      <w:bookmarkEnd w:id="735"/>
    </w:p>
    <w:p w14:paraId="573B7F96">
      <w:pPr>
        <w:pStyle w:val="53"/>
        <w:ind w:left="0"/>
        <w:rPr>
          <w:rFonts w:hint="eastAsia" w:asciiTheme="minorEastAsia" w:hAnsiTheme="minorEastAsia" w:eastAsiaTheme="minorEastAsia" w:cstheme="minorEastAsia"/>
        </w:rPr>
      </w:pPr>
      <w:bookmarkStart w:id="736" w:name="_Toc205482178"/>
      <w:r>
        <w:rPr>
          <w:rFonts w:hint="eastAsia" w:asciiTheme="minorEastAsia" w:hAnsiTheme="minorEastAsia" w:eastAsiaTheme="minorEastAsia" w:cstheme="minorEastAsia"/>
        </w:rPr>
        <w:t>针对相关方和具体对象/岗位进行标准宜贯和培训，结合标准要求，落实责任制，做到横向到边，纵向到底。</w:t>
      </w:r>
      <w:bookmarkEnd w:id="736"/>
    </w:p>
    <w:p w14:paraId="53AE7186">
      <w:pPr>
        <w:pStyle w:val="53"/>
        <w:ind w:left="0"/>
        <w:rPr>
          <w:rFonts w:hint="eastAsia" w:asciiTheme="minorEastAsia" w:hAnsiTheme="minorEastAsia" w:eastAsiaTheme="minorEastAsia" w:cstheme="minorEastAsia"/>
        </w:rPr>
      </w:pPr>
      <w:bookmarkStart w:id="737" w:name="_Toc205482179"/>
      <w:r>
        <w:rPr>
          <w:rFonts w:hint="eastAsia" w:asciiTheme="minorEastAsia" w:hAnsiTheme="minorEastAsia" w:eastAsiaTheme="minorEastAsia" w:cstheme="minorEastAsia"/>
        </w:rPr>
        <w:t>标准实施主要在工程建设、技术改造等活动中开展。工程建设、技术改造活动标准实施的重点是落实国家的环境保护、安全的要求。</w:t>
      </w:r>
      <w:bookmarkEnd w:id="737"/>
    </w:p>
    <w:p w14:paraId="2C0D87ED">
      <w:pPr>
        <w:pStyle w:val="53"/>
        <w:ind w:left="0"/>
        <w:rPr>
          <w:rFonts w:hint="eastAsia" w:asciiTheme="minorEastAsia" w:hAnsiTheme="minorEastAsia" w:eastAsiaTheme="minorEastAsia" w:cstheme="minorEastAsia"/>
        </w:rPr>
      </w:pPr>
      <w:bookmarkStart w:id="738" w:name="_Toc205482180"/>
      <w:r>
        <w:rPr>
          <w:rFonts w:hint="eastAsia" w:asciiTheme="minorEastAsia" w:hAnsiTheme="minorEastAsia" w:eastAsiaTheme="minorEastAsia" w:cstheme="minorEastAsia"/>
        </w:rPr>
        <w:t>标准实施的检查主要是检查标准实施方案的落实情况，需要逐条检查标准实施内容的落实，并记录未实施内容的理由或原因。标准实施检查也要检查标准实施的支持手段和物质条件的落实情况。做好标准实施验证记录，畅通标准实施信息采集的方式方法和反馈渠道，定期整理并处理收集到的意见建议。对标准实施评价的基本依据是《中华人民共和国标准化法》等。</w:t>
      </w:r>
      <w:bookmarkEnd w:id="738"/>
    </w:p>
    <w:p w14:paraId="0DC0403A">
      <w:pPr>
        <w:pStyle w:val="53"/>
        <w:ind w:left="0"/>
        <w:rPr>
          <w:rFonts w:hint="eastAsia" w:asciiTheme="minorEastAsia" w:hAnsiTheme="minorEastAsia" w:eastAsiaTheme="minorEastAsia" w:cstheme="minorEastAsia"/>
        </w:rPr>
      </w:pPr>
      <w:bookmarkStart w:id="739" w:name="_Toc205482181"/>
      <w:r>
        <w:rPr>
          <w:rFonts w:hint="eastAsia" w:asciiTheme="minorEastAsia" w:hAnsiTheme="minorEastAsia" w:eastAsiaTheme="minorEastAsia" w:cstheme="minorEastAsia"/>
        </w:rPr>
        <w:t>在标准实施一定时间后，对照标准实施方案，开展标准实施效果评价分析，总结实施经验成效，梳理存在的薄弱环节，标准实施的评价主要是评价标准实施的效果，主要从技术进步、质量水平提高、规范秩序、效率提高、节约费用、履行社会责任等方面进行有益性评价，同</w:t>
      </w:r>
      <w:bookmarkStart w:id="1195" w:name="_GoBack"/>
      <w:bookmarkEnd w:id="1195"/>
      <w:r>
        <w:rPr>
          <w:rFonts w:hint="eastAsia" w:asciiTheme="minorEastAsia" w:hAnsiTheme="minorEastAsia" w:eastAsiaTheme="minorEastAsia" w:cstheme="minorEastAsia"/>
        </w:rPr>
        <w:t>时还要评价标准实施带来的问题，以便为未来改进提供参考。</w:t>
      </w:r>
      <w:bookmarkEnd w:id="739"/>
    </w:p>
    <w:p w14:paraId="79E57EF5">
      <w:pPr>
        <w:pStyle w:val="53"/>
        <w:ind w:left="0"/>
        <w:rPr>
          <w:rFonts w:hint="eastAsia" w:asciiTheme="minorEastAsia" w:hAnsiTheme="minorEastAsia" w:eastAsiaTheme="minorEastAsia" w:cstheme="minorEastAsia"/>
        </w:rPr>
      </w:pPr>
      <w:bookmarkStart w:id="740" w:name="_Toc205482182"/>
      <w:r>
        <w:rPr>
          <w:rFonts w:hint="eastAsia" w:asciiTheme="minorEastAsia" w:hAnsiTheme="minorEastAsia" w:eastAsiaTheme="minorEastAsia" w:cstheme="minorEastAsia"/>
        </w:rPr>
        <w:t>适时向专业标准化技术委员会和标准归口管理单位反馈情况，提出标准推广、修改、补充、完善或者废止等意见建议。</w:t>
      </w:r>
      <w:bookmarkEnd w:id="740"/>
    </w:p>
    <w:p w14:paraId="4BF46644">
      <w:pPr>
        <w:pStyle w:val="53"/>
        <w:ind w:left="0"/>
        <w:rPr>
          <w:rFonts w:hint="eastAsia" w:asciiTheme="minorEastAsia" w:hAnsiTheme="minorEastAsia" w:eastAsiaTheme="minorEastAsia" w:cstheme="minorEastAsia"/>
        </w:rPr>
      </w:pPr>
      <w:bookmarkStart w:id="741" w:name="_Toc205482183"/>
      <w:r>
        <w:rPr>
          <w:rFonts w:hint="eastAsia" w:asciiTheme="minorEastAsia" w:hAnsiTheme="minorEastAsia" w:eastAsiaTheme="minorEastAsia" w:cstheme="minorEastAsia"/>
        </w:rPr>
        <w:t>标准实施信息及意见反馈表相关示例见附录B。</w:t>
      </w:r>
      <w:bookmarkEnd w:id="741"/>
    </w:p>
    <w:p w14:paraId="7AA681D7">
      <w:pPr>
        <w:pStyle w:val="107"/>
        <w:spacing w:before="850" w:after="283" w:afterLines="0"/>
        <w:rPr>
          <w:rFonts w:ascii="Times New Roman"/>
        </w:rPr>
      </w:pPr>
      <w:r>
        <w:rPr>
          <w:rFonts w:ascii="Times New Roman"/>
          <w:szCs w:val="21"/>
        </w:rPr>
        <w:br w:type="page"/>
      </w:r>
      <w:bookmarkStart w:id="742" w:name="_Toc4130"/>
      <w:bookmarkStart w:id="743" w:name="_Toc16869"/>
      <w:r>
        <w:rPr>
          <w:rFonts w:ascii="Times New Roman"/>
        </w:rPr>
        <w:br w:type="textWrapping"/>
      </w:r>
      <w:bookmarkStart w:id="744" w:name="_Toc204018405"/>
      <w:bookmarkStart w:id="745" w:name="_Toc205222544"/>
      <w:bookmarkStart w:id="746" w:name="_Toc205237789"/>
      <w:bookmarkStart w:id="747" w:name="_Toc205482184"/>
      <w:r>
        <w:rPr>
          <w:rFonts w:ascii="Times New Roman"/>
        </w:rPr>
        <w:t>（规范性）</w:t>
      </w:r>
      <w:r>
        <w:rPr>
          <w:rFonts w:ascii="Times New Roman"/>
        </w:rPr>
        <w:br w:type="textWrapping"/>
      </w:r>
      <w:r>
        <w:rPr>
          <w:rFonts w:ascii="Times New Roman"/>
        </w:rPr>
        <w:t>结构实体检验用同条件养护试件强度检验</w:t>
      </w:r>
      <w:bookmarkEnd w:id="742"/>
      <w:bookmarkEnd w:id="743"/>
      <w:bookmarkEnd w:id="744"/>
      <w:bookmarkEnd w:id="745"/>
      <w:bookmarkEnd w:id="746"/>
      <w:bookmarkEnd w:id="747"/>
    </w:p>
    <w:p w14:paraId="73BAEB30">
      <w:pPr>
        <w:pStyle w:val="185"/>
        <w:numPr>
          <w:ilvl w:val="0"/>
          <w:numId w:val="0"/>
        </w:numPr>
        <w:rPr>
          <w:rFonts w:ascii="Times New Roman"/>
        </w:rPr>
      </w:pPr>
      <w:r>
        <w:rPr>
          <w:rFonts w:ascii="Times New Roman"/>
        </w:rPr>
        <w:t>A.1  同条件养护试件的留置方式和取样数量应符合下列要求：</w:t>
      </w:r>
    </w:p>
    <w:p w14:paraId="29B5A243">
      <w:pPr>
        <w:pStyle w:val="49"/>
        <w:numPr>
          <w:ilvl w:val="0"/>
          <w:numId w:val="0"/>
        </w:numPr>
        <w:ind w:left="424"/>
        <w:rPr>
          <w:rFonts w:ascii="Times New Roman" w:hAnsi="Times New Roman"/>
        </w:rPr>
      </w:pPr>
      <w:bookmarkStart w:id="748" w:name="_Toc205482185"/>
      <w:bookmarkStart w:id="749" w:name="_Toc205222545"/>
      <w:r>
        <w:rPr>
          <w:rFonts w:ascii="Times New Roman" w:hAnsi="Times New Roman"/>
        </w:rPr>
        <w:t>A.1.1同条件养护试件所对应的结构构件或结构部位应由监理（建设）、施工等各方共同选定；</w:t>
      </w:r>
      <w:bookmarkEnd w:id="748"/>
      <w:bookmarkEnd w:id="749"/>
    </w:p>
    <w:p w14:paraId="64299F83">
      <w:pPr>
        <w:pStyle w:val="49"/>
        <w:numPr>
          <w:ilvl w:val="0"/>
          <w:numId w:val="0"/>
        </w:numPr>
        <w:ind w:left="424"/>
        <w:rPr>
          <w:rFonts w:ascii="Times New Roman" w:hAnsi="Times New Roman"/>
        </w:rPr>
      </w:pPr>
      <w:bookmarkStart w:id="750" w:name="_Toc205222546"/>
      <w:bookmarkStart w:id="751" w:name="_Toc205482186"/>
      <w:r>
        <w:rPr>
          <w:rFonts w:ascii="Times New Roman" w:hAnsi="Times New Roman"/>
        </w:rPr>
        <w:t>A.1.2对复合混凝土结构工程中C20及以上的各混凝土强度等级，均应留置同条件养护试件；</w:t>
      </w:r>
      <w:bookmarkEnd w:id="750"/>
      <w:bookmarkEnd w:id="751"/>
    </w:p>
    <w:p w14:paraId="55D3E8A5">
      <w:pPr>
        <w:pStyle w:val="49"/>
        <w:numPr>
          <w:ilvl w:val="0"/>
          <w:numId w:val="0"/>
        </w:numPr>
        <w:ind w:left="424"/>
        <w:rPr>
          <w:rFonts w:ascii="Times New Roman" w:hAnsi="Times New Roman"/>
        </w:rPr>
      </w:pPr>
      <w:bookmarkStart w:id="752" w:name="_Toc205222547"/>
      <w:bookmarkStart w:id="753" w:name="_Toc205482187"/>
      <w:r>
        <w:rPr>
          <w:rFonts w:ascii="Times New Roman" w:hAnsi="Times New Roman"/>
        </w:rPr>
        <w:t>A.1.3同一强度等级的同条件养护试件其留置的数量，应根据复合混凝土工程量和重要性确定，不宜少于10组，且不应少于3组；</w:t>
      </w:r>
      <w:bookmarkEnd w:id="752"/>
      <w:bookmarkEnd w:id="753"/>
    </w:p>
    <w:p w14:paraId="16046EF1">
      <w:pPr>
        <w:pStyle w:val="49"/>
        <w:numPr>
          <w:ilvl w:val="0"/>
          <w:numId w:val="0"/>
        </w:numPr>
        <w:ind w:left="424"/>
        <w:rPr>
          <w:rFonts w:ascii="Times New Roman" w:hAnsi="Times New Roman"/>
        </w:rPr>
      </w:pPr>
      <w:bookmarkStart w:id="754" w:name="_Toc205482188"/>
      <w:bookmarkStart w:id="755" w:name="_Toc205222548"/>
      <w:r>
        <w:rPr>
          <w:rFonts w:ascii="Times New Roman" w:hAnsi="Times New Roman"/>
        </w:rPr>
        <w:t>A.1.4同条件养护试件拆模后，应放置在靠近相应结构构件或结构部位的适当位置，并应采取相同的养护方法。</w:t>
      </w:r>
      <w:bookmarkEnd w:id="754"/>
      <w:bookmarkEnd w:id="755"/>
    </w:p>
    <w:p w14:paraId="12B81A6E">
      <w:pPr>
        <w:pStyle w:val="185"/>
        <w:numPr>
          <w:ilvl w:val="0"/>
          <w:numId w:val="0"/>
        </w:numPr>
        <w:rPr>
          <w:rFonts w:ascii="Times New Roman"/>
        </w:rPr>
      </w:pPr>
      <w:r>
        <w:rPr>
          <w:rFonts w:ascii="Times New Roman"/>
        </w:rPr>
        <w:t>A.2  同条件养护试件应在达到等效养护龄期时，进行强度试验；等效养护龄期应根据同条件养护试件强度与在标准养护条件下56</w:t>
      </w:r>
      <w:r>
        <w:rPr>
          <w:rFonts w:hint="eastAsia" w:ascii="Times New Roman"/>
        </w:rPr>
        <w:t xml:space="preserve"> </w:t>
      </w:r>
      <w:r>
        <w:rPr>
          <w:rFonts w:ascii="Times New Roman"/>
        </w:rPr>
        <w:t>d龄期试件强度相等的原则确定。</w:t>
      </w:r>
    </w:p>
    <w:p w14:paraId="0D8A03C9">
      <w:pPr>
        <w:pStyle w:val="185"/>
        <w:numPr>
          <w:ilvl w:val="0"/>
          <w:numId w:val="0"/>
        </w:numPr>
        <w:rPr>
          <w:rFonts w:ascii="Times New Roman"/>
        </w:rPr>
      </w:pPr>
      <w:r>
        <w:rPr>
          <w:rFonts w:ascii="Times New Roman"/>
        </w:rPr>
        <w:t>A.3  同条件自然养护试件的等效养护龄期及相应的试件强度代表值，宜根据当地的气温和养护条件按下列规定确定：</w:t>
      </w:r>
    </w:p>
    <w:p w14:paraId="3FDE5933">
      <w:pPr>
        <w:pStyle w:val="49"/>
        <w:numPr>
          <w:ilvl w:val="0"/>
          <w:numId w:val="0"/>
        </w:numPr>
        <w:ind w:left="424"/>
        <w:rPr>
          <w:rFonts w:ascii="Times New Roman" w:hAnsi="Times New Roman"/>
        </w:rPr>
      </w:pPr>
      <w:bookmarkStart w:id="756" w:name="_Toc205482189"/>
      <w:bookmarkStart w:id="757" w:name="_Toc205222549"/>
      <w:r>
        <w:rPr>
          <w:rFonts w:ascii="Times New Roman" w:hAnsi="Times New Roman"/>
        </w:rPr>
        <w:t>A.3.1等效养护龄期可取按日平均温度逐日累计达到1</w:t>
      </w:r>
      <w:r>
        <w:rPr>
          <w:rFonts w:hint="eastAsia" w:ascii="Times New Roman" w:hAnsi="Times New Roman"/>
        </w:rPr>
        <w:t xml:space="preserve"> </w:t>
      </w:r>
      <w:r>
        <w:rPr>
          <w:rFonts w:ascii="Times New Roman" w:hAnsi="Times New Roman"/>
        </w:rPr>
        <w:t>200℃·d时所对应的龄期，0℃及以下的龄期不计入；等效养护龄期不应小于14d，也不宜大于60d。</w:t>
      </w:r>
      <w:bookmarkEnd w:id="756"/>
      <w:bookmarkEnd w:id="757"/>
    </w:p>
    <w:p w14:paraId="5446D1CB">
      <w:pPr>
        <w:pStyle w:val="49"/>
        <w:numPr>
          <w:ilvl w:val="0"/>
          <w:numId w:val="0"/>
        </w:numPr>
        <w:ind w:left="424"/>
        <w:rPr>
          <w:rFonts w:ascii="Times New Roman" w:hAnsi="Times New Roman"/>
        </w:rPr>
      </w:pPr>
      <w:bookmarkStart w:id="758" w:name="_Toc205482190"/>
      <w:bookmarkStart w:id="759" w:name="_Toc205222550"/>
      <w:r>
        <w:rPr>
          <w:rFonts w:ascii="Times New Roman" w:hAnsi="Times New Roman"/>
        </w:rPr>
        <w:t>A.3.2同条件养护试件的强度代表值，应根据强度试验结果按现行国家标准GB/T 50107的规定确定后，乘折算系数取用；折算系数0.88，也可根据当地的试验统计结果作适当调整。</w:t>
      </w:r>
      <w:bookmarkEnd w:id="758"/>
      <w:bookmarkEnd w:id="759"/>
    </w:p>
    <w:p w14:paraId="1F7A3CF1">
      <w:pPr>
        <w:pStyle w:val="49"/>
        <w:numPr>
          <w:ilvl w:val="0"/>
          <w:numId w:val="0"/>
        </w:numPr>
        <w:ind w:left="424"/>
        <w:rPr>
          <w:rFonts w:ascii="Times New Roman" w:hAnsi="Times New Roman"/>
        </w:rPr>
      </w:pPr>
      <w:bookmarkStart w:id="760" w:name="_Toc205222551"/>
      <w:bookmarkStart w:id="761" w:name="_Toc205482191"/>
      <w:r>
        <w:rPr>
          <w:rFonts w:ascii="Times New Roman" w:hAnsi="Times New Roman"/>
        </w:rPr>
        <w:t>A.3.3日平均温度可根据当日最高最低温度确定。日平均温度可按表A.1记录。</w:t>
      </w:r>
      <w:bookmarkEnd w:id="760"/>
      <w:bookmarkEnd w:id="761"/>
    </w:p>
    <w:p w14:paraId="3D3C7A4B">
      <w:pPr>
        <w:pStyle w:val="185"/>
        <w:numPr>
          <w:ilvl w:val="0"/>
          <w:numId w:val="0"/>
        </w:numPr>
        <w:rPr>
          <w:rFonts w:ascii="Times New Roman"/>
        </w:rPr>
      </w:pPr>
      <w:r>
        <w:rPr>
          <w:rFonts w:ascii="Times New Roman"/>
        </w:rPr>
        <w:t>A.4  冬期施工、人工加热养护的结构构件，其同条件养护试件的等效养护龄期可按结构构件的实际养护条件，应由监理（建设）、施工等各方根据本附录第A.2条的规定共同确定。</w:t>
      </w:r>
    </w:p>
    <w:p w14:paraId="68B54259">
      <w:pPr>
        <w:pStyle w:val="108"/>
      </w:pPr>
      <w:r>
        <w:t>表A.1　大气测温记录表</w:t>
      </w:r>
    </w:p>
    <w:tbl>
      <w:tblPr>
        <w:tblStyle w:val="4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1595"/>
        <w:gridCol w:w="1596"/>
        <w:gridCol w:w="1595"/>
        <w:gridCol w:w="1596"/>
        <w:gridCol w:w="1595"/>
      </w:tblGrid>
      <w:tr w14:paraId="7195AE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33" w:type="pct"/>
            <w:tcBorders>
              <w:top w:val="single" w:color="auto" w:sz="4" w:space="0"/>
              <w:left w:val="single" w:color="auto" w:sz="4" w:space="0"/>
            </w:tcBorders>
            <w:vAlign w:val="center"/>
          </w:tcPr>
          <w:p w14:paraId="099C1A29">
            <w:pPr>
              <w:spacing w:line="240" w:lineRule="auto"/>
              <w:jc w:val="center"/>
              <w:rPr>
                <w:rFonts w:ascii="Times New Roman" w:hAnsi="Times New Roman"/>
                <w:sz w:val="18"/>
                <w:szCs w:val="18"/>
                <w:lang w:val="zh-CN"/>
              </w:rPr>
            </w:pPr>
            <w:r>
              <w:rPr>
                <w:rFonts w:ascii="Times New Roman" w:hAnsi="Times New Roman"/>
                <w:sz w:val="18"/>
                <w:szCs w:val="18"/>
                <w:lang w:val="zh-CN"/>
              </w:rPr>
              <w:t>工程名称</w:t>
            </w:r>
          </w:p>
        </w:tc>
        <w:tc>
          <w:tcPr>
            <w:tcW w:w="2500" w:type="pct"/>
            <w:gridSpan w:val="3"/>
            <w:tcBorders>
              <w:top w:val="single" w:color="auto" w:sz="4" w:space="0"/>
            </w:tcBorders>
            <w:vAlign w:val="center"/>
          </w:tcPr>
          <w:p w14:paraId="42FA6377">
            <w:pPr>
              <w:spacing w:line="240" w:lineRule="auto"/>
              <w:jc w:val="center"/>
              <w:rPr>
                <w:rFonts w:ascii="Times New Roman" w:hAnsi="Times New Roman"/>
                <w:sz w:val="18"/>
                <w:szCs w:val="18"/>
                <w:lang w:val="zh-CN"/>
              </w:rPr>
            </w:pPr>
          </w:p>
        </w:tc>
        <w:tc>
          <w:tcPr>
            <w:tcW w:w="834" w:type="pct"/>
            <w:tcBorders>
              <w:top w:val="single" w:color="auto" w:sz="4" w:space="0"/>
            </w:tcBorders>
            <w:vAlign w:val="center"/>
          </w:tcPr>
          <w:p w14:paraId="0B81E76A">
            <w:pPr>
              <w:spacing w:line="240" w:lineRule="auto"/>
              <w:jc w:val="center"/>
              <w:rPr>
                <w:rFonts w:ascii="Times New Roman" w:hAnsi="Times New Roman"/>
                <w:sz w:val="18"/>
                <w:szCs w:val="18"/>
                <w:lang w:val="zh-CN"/>
              </w:rPr>
            </w:pPr>
            <w:r>
              <w:rPr>
                <w:rFonts w:ascii="Times New Roman" w:hAnsi="Times New Roman"/>
                <w:sz w:val="18"/>
                <w:szCs w:val="18"/>
                <w:lang w:val="zh-CN"/>
              </w:rPr>
              <w:t>编号</w:t>
            </w:r>
          </w:p>
        </w:tc>
        <w:tc>
          <w:tcPr>
            <w:tcW w:w="833" w:type="pct"/>
            <w:tcBorders>
              <w:top w:val="single" w:color="auto" w:sz="4" w:space="0"/>
              <w:right w:val="single" w:color="auto" w:sz="4" w:space="0"/>
            </w:tcBorders>
            <w:vAlign w:val="center"/>
          </w:tcPr>
          <w:p w14:paraId="396DD4CC">
            <w:pPr>
              <w:spacing w:line="240" w:lineRule="auto"/>
              <w:jc w:val="center"/>
              <w:rPr>
                <w:rFonts w:ascii="Times New Roman" w:hAnsi="Times New Roman"/>
                <w:sz w:val="18"/>
                <w:szCs w:val="18"/>
                <w:lang w:val="zh-CN"/>
              </w:rPr>
            </w:pPr>
          </w:p>
        </w:tc>
      </w:tr>
      <w:tr w14:paraId="2E877B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tcBorders>
              <w:left w:val="single" w:color="auto" w:sz="4" w:space="0"/>
            </w:tcBorders>
            <w:vAlign w:val="center"/>
          </w:tcPr>
          <w:p w14:paraId="7B426A1C">
            <w:pPr>
              <w:spacing w:line="240" w:lineRule="auto"/>
              <w:jc w:val="center"/>
              <w:rPr>
                <w:rFonts w:ascii="Times New Roman" w:hAnsi="Times New Roman"/>
                <w:sz w:val="18"/>
                <w:szCs w:val="18"/>
                <w:lang w:val="zh-CN"/>
              </w:rPr>
            </w:pPr>
            <w:r>
              <w:rPr>
                <w:rFonts w:ascii="Times New Roman" w:hAnsi="Times New Roman"/>
                <w:sz w:val="18"/>
                <w:szCs w:val="18"/>
                <w:lang w:val="zh-CN"/>
              </w:rPr>
              <w:t>施工单位</w:t>
            </w:r>
          </w:p>
        </w:tc>
        <w:tc>
          <w:tcPr>
            <w:tcW w:w="4167" w:type="pct"/>
            <w:gridSpan w:val="5"/>
            <w:tcBorders>
              <w:right w:val="single" w:color="auto" w:sz="4" w:space="0"/>
            </w:tcBorders>
            <w:vAlign w:val="center"/>
          </w:tcPr>
          <w:p w14:paraId="763567E2">
            <w:pPr>
              <w:spacing w:line="240" w:lineRule="auto"/>
              <w:jc w:val="center"/>
              <w:rPr>
                <w:rFonts w:ascii="Times New Roman" w:hAnsi="Times New Roman"/>
                <w:sz w:val="18"/>
                <w:szCs w:val="18"/>
                <w:lang w:val="zh-CN"/>
              </w:rPr>
            </w:pPr>
          </w:p>
        </w:tc>
      </w:tr>
      <w:tr w14:paraId="5611C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tcBorders>
              <w:left w:val="single" w:color="auto" w:sz="4" w:space="0"/>
            </w:tcBorders>
            <w:vAlign w:val="center"/>
          </w:tcPr>
          <w:p w14:paraId="7D793A6B">
            <w:pPr>
              <w:spacing w:line="240" w:lineRule="auto"/>
              <w:jc w:val="center"/>
              <w:rPr>
                <w:rFonts w:ascii="Times New Roman" w:hAnsi="Times New Roman"/>
                <w:sz w:val="18"/>
                <w:szCs w:val="18"/>
                <w:lang w:val="zh-CN"/>
              </w:rPr>
            </w:pPr>
            <w:r>
              <w:rPr>
                <w:rFonts w:ascii="Times New Roman" w:hAnsi="Times New Roman"/>
                <w:sz w:val="18"/>
                <w:szCs w:val="18"/>
                <w:lang w:val="zh-CN"/>
              </w:rPr>
              <w:t>年</w:t>
            </w:r>
            <w:r>
              <w:rPr>
                <w:rFonts w:hint="eastAsia" w:ascii="Times New Roman" w:hAnsi="Times New Roman"/>
                <w:sz w:val="18"/>
                <w:szCs w:val="18"/>
                <w:lang w:val="zh-CN"/>
              </w:rPr>
              <w:t xml:space="preserve"> </w:t>
            </w:r>
            <w:r>
              <w:rPr>
                <w:rFonts w:ascii="Times New Roman" w:hAnsi="Times New Roman"/>
                <w:sz w:val="18"/>
                <w:szCs w:val="18"/>
                <w:lang w:val="zh-CN"/>
              </w:rPr>
              <w:t>月</w:t>
            </w:r>
            <w:r>
              <w:rPr>
                <w:rFonts w:hint="eastAsia" w:ascii="Times New Roman" w:hAnsi="Times New Roman"/>
                <w:sz w:val="18"/>
                <w:szCs w:val="18"/>
                <w:lang w:val="zh-CN"/>
              </w:rPr>
              <w:t xml:space="preserve"> </w:t>
            </w:r>
            <w:r>
              <w:rPr>
                <w:rFonts w:ascii="Times New Roman" w:hAnsi="Times New Roman"/>
                <w:sz w:val="18"/>
                <w:szCs w:val="18"/>
                <w:lang w:val="zh-CN"/>
              </w:rPr>
              <w:t>日</w:t>
            </w:r>
          </w:p>
        </w:tc>
        <w:tc>
          <w:tcPr>
            <w:tcW w:w="833" w:type="pct"/>
            <w:vAlign w:val="center"/>
          </w:tcPr>
          <w:p w14:paraId="75EF9750">
            <w:pPr>
              <w:spacing w:line="240" w:lineRule="auto"/>
              <w:jc w:val="center"/>
              <w:rPr>
                <w:rFonts w:ascii="Times New Roman" w:hAnsi="Times New Roman"/>
                <w:sz w:val="18"/>
                <w:szCs w:val="18"/>
                <w:lang w:val="zh-CN"/>
              </w:rPr>
            </w:pPr>
            <w:r>
              <w:rPr>
                <w:rFonts w:ascii="Times New Roman" w:hAnsi="Times New Roman"/>
                <w:sz w:val="18"/>
                <w:szCs w:val="18"/>
                <w:lang w:val="zh-CN"/>
              </w:rPr>
              <w:t>最高气温</w:t>
            </w:r>
          </w:p>
        </w:tc>
        <w:tc>
          <w:tcPr>
            <w:tcW w:w="834" w:type="pct"/>
            <w:vAlign w:val="center"/>
          </w:tcPr>
          <w:p w14:paraId="1DBAD959">
            <w:pPr>
              <w:spacing w:line="240" w:lineRule="auto"/>
              <w:jc w:val="center"/>
              <w:rPr>
                <w:rFonts w:ascii="Times New Roman" w:hAnsi="Times New Roman"/>
                <w:sz w:val="18"/>
                <w:szCs w:val="18"/>
                <w:lang w:val="zh-CN"/>
              </w:rPr>
            </w:pPr>
            <w:r>
              <w:rPr>
                <w:rFonts w:ascii="Times New Roman" w:hAnsi="Times New Roman"/>
                <w:sz w:val="18"/>
                <w:szCs w:val="18"/>
                <w:lang w:val="zh-CN"/>
              </w:rPr>
              <w:t>最低气温</w:t>
            </w:r>
          </w:p>
        </w:tc>
        <w:tc>
          <w:tcPr>
            <w:tcW w:w="833" w:type="pct"/>
            <w:vAlign w:val="center"/>
          </w:tcPr>
          <w:p w14:paraId="7D24B7E0">
            <w:pPr>
              <w:spacing w:line="240" w:lineRule="auto"/>
              <w:jc w:val="center"/>
              <w:rPr>
                <w:rFonts w:ascii="Times New Roman" w:hAnsi="Times New Roman"/>
                <w:sz w:val="18"/>
                <w:szCs w:val="18"/>
                <w:lang w:val="zh-CN"/>
              </w:rPr>
            </w:pPr>
            <w:r>
              <w:rPr>
                <w:rFonts w:ascii="Times New Roman" w:hAnsi="Times New Roman"/>
                <w:sz w:val="18"/>
                <w:szCs w:val="18"/>
                <w:lang w:val="zh-CN"/>
              </w:rPr>
              <w:t>平均气温</w:t>
            </w:r>
          </w:p>
        </w:tc>
        <w:tc>
          <w:tcPr>
            <w:tcW w:w="834" w:type="pct"/>
            <w:vAlign w:val="center"/>
          </w:tcPr>
          <w:p w14:paraId="155E2CBB">
            <w:pPr>
              <w:spacing w:line="240" w:lineRule="auto"/>
              <w:jc w:val="center"/>
              <w:rPr>
                <w:rFonts w:ascii="Times New Roman" w:hAnsi="Times New Roman"/>
                <w:sz w:val="18"/>
                <w:szCs w:val="18"/>
                <w:lang w:val="zh-CN"/>
              </w:rPr>
            </w:pPr>
            <w:r>
              <w:rPr>
                <w:rFonts w:ascii="Times New Roman" w:hAnsi="Times New Roman"/>
                <w:sz w:val="18"/>
                <w:szCs w:val="18"/>
                <w:lang w:val="zh-CN"/>
              </w:rPr>
              <w:t>累计温度</w:t>
            </w:r>
          </w:p>
        </w:tc>
        <w:tc>
          <w:tcPr>
            <w:tcW w:w="833" w:type="pct"/>
            <w:tcBorders>
              <w:right w:val="single" w:color="auto" w:sz="4" w:space="0"/>
            </w:tcBorders>
            <w:vAlign w:val="center"/>
          </w:tcPr>
          <w:p w14:paraId="796FF5CD">
            <w:pPr>
              <w:spacing w:line="240" w:lineRule="auto"/>
              <w:jc w:val="center"/>
              <w:rPr>
                <w:rFonts w:ascii="Times New Roman" w:hAnsi="Times New Roman"/>
                <w:sz w:val="18"/>
                <w:szCs w:val="18"/>
                <w:lang w:val="zh-CN"/>
              </w:rPr>
            </w:pPr>
            <w:r>
              <w:rPr>
                <w:rFonts w:ascii="Times New Roman" w:hAnsi="Times New Roman"/>
                <w:sz w:val="18"/>
                <w:szCs w:val="18"/>
                <w:lang w:val="zh-CN"/>
              </w:rPr>
              <w:t>累计天数</w:t>
            </w:r>
          </w:p>
        </w:tc>
      </w:tr>
      <w:tr w14:paraId="16E399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tcBorders>
              <w:left w:val="single" w:color="auto" w:sz="4" w:space="0"/>
            </w:tcBorders>
            <w:vAlign w:val="center"/>
          </w:tcPr>
          <w:p w14:paraId="4FD4F398">
            <w:pPr>
              <w:spacing w:line="240" w:lineRule="auto"/>
              <w:jc w:val="center"/>
              <w:rPr>
                <w:rFonts w:ascii="Times New Roman" w:hAnsi="Times New Roman"/>
                <w:sz w:val="18"/>
                <w:szCs w:val="18"/>
                <w:lang w:val="zh-CN"/>
              </w:rPr>
            </w:pPr>
          </w:p>
        </w:tc>
        <w:tc>
          <w:tcPr>
            <w:tcW w:w="833" w:type="pct"/>
            <w:vAlign w:val="center"/>
          </w:tcPr>
          <w:p w14:paraId="47EBB377">
            <w:pPr>
              <w:spacing w:line="240" w:lineRule="auto"/>
              <w:jc w:val="center"/>
              <w:rPr>
                <w:rFonts w:ascii="Times New Roman" w:hAnsi="Times New Roman"/>
                <w:sz w:val="18"/>
                <w:szCs w:val="18"/>
                <w:lang w:val="zh-CN"/>
              </w:rPr>
            </w:pPr>
          </w:p>
        </w:tc>
        <w:tc>
          <w:tcPr>
            <w:tcW w:w="834" w:type="pct"/>
            <w:vAlign w:val="center"/>
          </w:tcPr>
          <w:p w14:paraId="08DCF493">
            <w:pPr>
              <w:spacing w:line="240" w:lineRule="auto"/>
              <w:jc w:val="center"/>
              <w:rPr>
                <w:rFonts w:ascii="Times New Roman" w:hAnsi="Times New Roman"/>
                <w:sz w:val="18"/>
                <w:szCs w:val="18"/>
                <w:lang w:val="zh-CN"/>
              </w:rPr>
            </w:pPr>
          </w:p>
        </w:tc>
        <w:tc>
          <w:tcPr>
            <w:tcW w:w="833" w:type="pct"/>
            <w:vAlign w:val="center"/>
          </w:tcPr>
          <w:p w14:paraId="6DDC8804">
            <w:pPr>
              <w:spacing w:line="240" w:lineRule="auto"/>
              <w:jc w:val="center"/>
              <w:rPr>
                <w:rFonts w:ascii="Times New Roman" w:hAnsi="Times New Roman"/>
                <w:sz w:val="18"/>
                <w:szCs w:val="18"/>
                <w:lang w:val="zh-CN"/>
              </w:rPr>
            </w:pPr>
          </w:p>
        </w:tc>
        <w:tc>
          <w:tcPr>
            <w:tcW w:w="834" w:type="pct"/>
            <w:vAlign w:val="center"/>
          </w:tcPr>
          <w:p w14:paraId="2AFB59EE">
            <w:pPr>
              <w:spacing w:line="240" w:lineRule="auto"/>
              <w:jc w:val="center"/>
              <w:rPr>
                <w:rFonts w:ascii="Times New Roman" w:hAnsi="Times New Roman"/>
                <w:sz w:val="18"/>
                <w:szCs w:val="18"/>
                <w:lang w:val="zh-CN"/>
              </w:rPr>
            </w:pPr>
          </w:p>
        </w:tc>
        <w:tc>
          <w:tcPr>
            <w:tcW w:w="833" w:type="pct"/>
            <w:tcBorders>
              <w:right w:val="single" w:color="auto" w:sz="4" w:space="0"/>
            </w:tcBorders>
            <w:vAlign w:val="center"/>
          </w:tcPr>
          <w:p w14:paraId="1096099B">
            <w:pPr>
              <w:spacing w:line="240" w:lineRule="auto"/>
              <w:jc w:val="center"/>
              <w:rPr>
                <w:rFonts w:ascii="Times New Roman" w:hAnsi="Times New Roman"/>
                <w:sz w:val="18"/>
                <w:szCs w:val="18"/>
                <w:lang w:val="zh-CN"/>
              </w:rPr>
            </w:pPr>
          </w:p>
        </w:tc>
      </w:tr>
      <w:tr w14:paraId="64398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tcBorders>
              <w:left w:val="single" w:color="auto" w:sz="4" w:space="0"/>
            </w:tcBorders>
            <w:vAlign w:val="center"/>
          </w:tcPr>
          <w:p w14:paraId="14767087">
            <w:pPr>
              <w:spacing w:line="240" w:lineRule="auto"/>
              <w:jc w:val="center"/>
              <w:rPr>
                <w:rFonts w:ascii="Times New Roman" w:hAnsi="Times New Roman"/>
                <w:sz w:val="18"/>
                <w:szCs w:val="18"/>
                <w:lang w:val="zh-CN"/>
              </w:rPr>
            </w:pPr>
          </w:p>
        </w:tc>
        <w:tc>
          <w:tcPr>
            <w:tcW w:w="833" w:type="pct"/>
            <w:vAlign w:val="center"/>
          </w:tcPr>
          <w:p w14:paraId="4DA2C783">
            <w:pPr>
              <w:spacing w:line="240" w:lineRule="auto"/>
              <w:jc w:val="center"/>
              <w:rPr>
                <w:rFonts w:ascii="Times New Roman" w:hAnsi="Times New Roman"/>
                <w:sz w:val="18"/>
                <w:szCs w:val="18"/>
                <w:lang w:val="zh-CN"/>
              </w:rPr>
            </w:pPr>
          </w:p>
        </w:tc>
        <w:tc>
          <w:tcPr>
            <w:tcW w:w="834" w:type="pct"/>
            <w:vAlign w:val="center"/>
          </w:tcPr>
          <w:p w14:paraId="4A03F78A">
            <w:pPr>
              <w:spacing w:line="240" w:lineRule="auto"/>
              <w:jc w:val="center"/>
              <w:rPr>
                <w:rFonts w:ascii="Times New Roman" w:hAnsi="Times New Roman"/>
                <w:sz w:val="18"/>
                <w:szCs w:val="18"/>
                <w:lang w:val="zh-CN"/>
              </w:rPr>
            </w:pPr>
          </w:p>
        </w:tc>
        <w:tc>
          <w:tcPr>
            <w:tcW w:w="833" w:type="pct"/>
            <w:vAlign w:val="center"/>
          </w:tcPr>
          <w:p w14:paraId="0BAD875D">
            <w:pPr>
              <w:spacing w:line="240" w:lineRule="auto"/>
              <w:jc w:val="center"/>
              <w:rPr>
                <w:rFonts w:ascii="Times New Roman" w:hAnsi="Times New Roman"/>
                <w:sz w:val="18"/>
                <w:szCs w:val="18"/>
                <w:lang w:val="zh-CN"/>
              </w:rPr>
            </w:pPr>
          </w:p>
        </w:tc>
        <w:tc>
          <w:tcPr>
            <w:tcW w:w="834" w:type="pct"/>
            <w:vAlign w:val="center"/>
          </w:tcPr>
          <w:p w14:paraId="287C2A82">
            <w:pPr>
              <w:spacing w:line="240" w:lineRule="auto"/>
              <w:jc w:val="center"/>
              <w:rPr>
                <w:rFonts w:ascii="Times New Roman" w:hAnsi="Times New Roman"/>
                <w:sz w:val="18"/>
                <w:szCs w:val="18"/>
                <w:lang w:val="zh-CN"/>
              </w:rPr>
            </w:pPr>
          </w:p>
        </w:tc>
        <w:tc>
          <w:tcPr>
            <w:tcW w:w="833" w:type="pct"/>
            <w:tcBorders>
              <w:right w:val="single" w:color="auto" w:sz="4" w:space="0"/>
            </w:tcBorders>
            <w:vAlign w:val="center"/>
          </w:tcPr>
          <w:p w14:paraId="66C1CBB5">
            <w:pPr>
              <w:spacing w:line="240" w:lineRule="auto"/>
              <w:jc w:val="center"/>
              <w:rPr>
                <w:rFonts w:ascii="Times New Roman" w:hAnsi="Times New Roman"/>
                <w:sz w:val="18"/>
                <w:szCs w:val="18"/>
                <w:lang w:val="zh-CN"/>
              </w:rPr>
            </w:pPr>
          </w:p>
        </w:tc>
      </w:tr>
      <w:tr w14:paraId="16B691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tcBorders>
              <w:left w:val="single" w:color="auto" w:sz="4" w:space="0"/>
            </w:tcBorders>
            <w:vAlign w:val="center"/>
          </w:tcPr>
          <w:p w14:paraId="0815D4D8">
            <w:pPr>
              <w:spacing w:line="240" w:lineRule="auto"/>
              <w:jc w:val="center"/>
              <w:rPr>
                <w:rFonts w:ascii="Times New Roman" w:hAnsi="Times New Roman"/>
                <w:sz w:val="18"/>
                <w:szCs w:val="18"/>
                <w:lang w:val="zh-CN"/>
              </w:rPr>
            </w:pPr>
          </w:p>
        </w:tc>
        <w:tc>
          <w:tcPr>
            <w:tcW w:w="833" w:type="pct"/>
            <w:vAlign w:val="center"/>
          </w:tcPr>
          <w:p w14:paraId="133C77CA">
            <w:pPr>
              <w:spacing w:line="240" w:lineRule="auto"/>
              <w:jc w:val="center"/>
              <w:rPr>
                <w:rFonts w:ascii="Times New Roman" w:hAnsi="Times New Roman"/>
                <w:sz w:val="18"/>
                <w:szCs w:val="18"/>
                <w:lang w:val="zh-CN"/>
              </w:rPr>
            </w:pPr>
          </w:p>
        </w:tc>
        <w:tc>
          <w:tcPr>
            <w:tcW w:w="834" w:type="pct"/>
            <w:vAlign w:val="center"/>
          </w:tcPr>
          <w:p w14:paraId="44D41DB0">
            <w:pPr>
              <w:spacing w:line="240" w:lineRule="auto"/>
              <w:jc w:val="center"/>
              <w:rPr>
                <w:rFonts w:ascii="Times New Roman" w:hAnsi="Times New Roman"/>
                <w:sz w:val="18"/>
                <w:szCs w:val="18"/>
                <w:lang w:val="zh-CN"/>
              </w:rPr>
            </w:pPr>
          </w:p>
        </w:tc>
        <w:tc>
          <w:tcPr>
            <w:tcW w:w="833" w:type="pct"/>
            <w:vAlign w:val="center"/>
          </w:tcPr>
          <w:p w14:paraId="38211C40">
            <w:pPr>
              <w:spacing w:line="240" w:lineRule="auto"/>
              <w:jc w:val="center"/>
              <w:rPr>
                <w:rFonts w:ascii="Times New Roman" w:hAnsi="Times New Roman"/>
                <w:sz w:val="18"/>
                <w:szCs w:val="18"/>
                <w:lang w:val="zh-CN"/>
              </w:rPr>
            </w:pPr>
          </w:p>
        </w:tc>
        <w:tc>
          <w:tcPr>
            <w:tcW w:w="834" w:type="pct"/>
            <w:vAlign w:val="center"/>
          </w:tcPr>
          <w:p w14:paraId="2A0662EF">
            <w:pPr>
              <w:spacing w:line="240" w:lineRule="auto"/>
              <w:jc w:val="center"/>
              <w:rPr>
                <w:rFonts w:ascii="Times New Roman" w:hAnsi="Times New Roman"/>
                <w:sz w:val="18"/>
                <w:szCs w:val="18"/>
                <w:lang w:val="zh-CN"/>
              </w:rPr>
            </w:pPr>
          </w:p>
        </w:tc>
        <w:tc>
          <w:tcPr>
            <w:tcW w:w="833" w:type="pct"/>
            <w:tcBorders>
              <w:right w:val="single" w:color="auto" w:sz="4" w:space="0"/>
            </w:tcBorders>
            <w:vAlign w:val="center"/>
          </w:tcPr>
          <w:p w14:paraId="6BE57D80">
            <w:pPr>
              <w:spacing w:line="240" w:lineRule="auto"/>
              <w:jc w:val="center"/>
              <w:rPr>
                <w:rFonts w:ascii="Times New Roman" w:hAnsi="Times New Roman"/>
                <w:sz w:val="18"/>
                <w:szCs w:val="18"/>
                <w:lang w:val="zh-CN"/>
              </w:rPr>
            </w:pPr>
          </w:p>
        </w:tc>
      </w:tr>
      <w:tr w14:paraId="5B9F3B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tcBorders>
              <w:left w:val="single" w:color="auto" w:sz="4" w:space="0"/>
              <w:bottom w:val="single" w:color="auto" w:sz="4" w:space="0"/>
            </w:tcBorders>
            <w:vAlign w:val="center"/>
          </w:tcPr>
          <w:p w14:paraId="111320C3">
            <w:pPr>
              <w:spacing w:line="240" w:lineRule="auto"/>
              <w:jc w:val="center"/>
              <w:rPr>
                <w:rFonts w:ascii="Times New Roman" w:hAnsi="Times New Roman"/>
                <w:sz w:val="18"/>
                <w:szCs w:val="18"/>
                <w:lang w:val="zh-CN"/>
              </w:rPr>
            </w:pPr>
            <w:r>
              <w:rPr>
                <w:rFonts w:ascii="Times New Roman" w:hAnsi="Times New Roman"/>
                <w:sz w:val="18"/>
                <w:szCs w:val="18"/>
                <w:lang w:val="zh-CN"/>
              </w:rPr>
              <w:t>记录人</w:t>
            </w:r>
          </w:p>
        </w:tc>
        <w:tc>
          <w:tcPr>
            <w:tcW w:w="1667" w:type="pct"/>
            <w:gridSpan w:val="2"/>
            <w:tcBorders>
              <w:bottom w:val="single" w:color="auto" w:sz="4" w:space="0"/>
            </w:tcBorders>
            <w:vAlign w:val="center"/>
          </w:tcPr>
          <w:p w14:paraId="4A5AE50A">
            <w:pPr>
              <w:spacing w:line="240" w:lineRule="auto"/>
              <w:jc w:val="center"/>
              <w:rPr>
                <w:rFonts w:ascii="Times New Roman" w:hAnsi="Times New Roman"/>
                <w:sz w:val="18"/>
                <w:szCs w:val="18"/>
                <w:lang w:val="zh-CN"/>
              </w:rPr>
            </w:pPr>
          </w:p>
        </w:tc>
        <w:tc>
          <w:tcPr>
            <w:tcW w:w="1667" w:type="pct"/>
            <w:gridSpan w:val="2"/>
            <w:tcBorders>
              <w:bottom w:val="single" w:color="auto" w:sz="4" w:space="0"/>
            </w:tcBorders>
            <w:vAlign w:val="center"/>
          </w:tcPr>
          <w:p w14:paraId="076B4144">
            <w:pPr>
              <w:spacing w:line="240" w:lineRule="auto"/>
              <w:jc w:val="center"/>
              <w:rPr>
                <w:rFonts w:ascii="Times New Roman" w:hAnsi="Times New Roman"/>
                <w:sz w:val="18"/>
                <w:szCs w:val="18"/>
                <w:lang w:val="zh-CN"/>
              </w:rPr>
            </w:pPr>
            <w:r>
              <w:rPr>
                <w:rFonts w:ascii="Times New Roman" w:hAnsi="Times New Roman"/>
                <w:sz w:val="18"/>
                <w:szCs w:val="18"/>
                <w:lang w:val="zh-CN"/>
              </w:rPr>
              <w:t>专业技术负责人</w:t>
            </w:r>
          </w:p>
        </w:tc>
        <w:tc>
          <w:tcPr>
            <w:tcW w:w="833" w:type="pct"/>
            <w:tcBorders>
              <w:bottom w:val="single" w:color="auto" w:sz="4" w:space="0"/>
              <w:right w:val="single" w:color="auto" w:sz="4" w:space="0"/>
            </w:tcBorders>
            <w:vAlign w:val="center"/>
          </w:tcPr>
          <w:p w14:paraId="7CD7261E">
            <w:pPr>
              <w:spacing w:line="240" w:lineRule="auto"/>
              <w:jc w:val="center"/>
              <w:rPr>
                <w:rFonts w:ascii="Times New Roman" w:hAnsi="Times New Roman"/>
                <w:sz w:val="18"/>
                <w:szCs w:val="18"/>
                <w:lang w:val="zh-CN"/>
              </w:rPr>
            </w:pPr>
          </w:p>
        </w:tc>
      </w:tr>
    </w:tbl>
    <w:p w14:paraId="45A4FEB4">
      <w:pPr>
        <w:pStyle w:val="50"/>
        <w:ind w:firstLine="0" w:firstLineChars="0"/>
        <w:rPr>
          <w:rFonts w:ascii="Times New Roman"/>
        </w:rPr>
      </w:pPr>
    </w:p>
    <w:p w14:paraId="500E2042">
      <w:pPr>
        <w:pStyle w:val="108"/>
      </w:pPr>
    </w:p>
    <w:p w14:paraId="0C85A48D">
      <w:pPr>
        <w:pStyle w:val="108"/>
      </w:pPr>
    </w:p>
    <w:p w14:paraId="7C871F05">
      <w:pPr>
        <w:pStyle w:val="108"/>
      </w:pPr>
    </w:p>
    <w:p w14:paraId="7F8A0359">
      <w:pPr>
        <w:pStyle w:val="108"/>
      </w:pPr>
      <w:r>
        <w:t>表A.2　混凝土实体检验（℃·d）大气测温统计表</w:t>
      </w:r>
    </w:p>
    <w:tbl>
      <w:tblPr>
        <w:tblStyle w:val="4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274"/>
        <w:gridCol w:w="878"/>
        <w:gridCol w:w="879"/>
        <w:gridCol w:w="879"/>
        <w:gridCol w:w="1076"/>
        <w:gridCol w:w="879"/>
        <w:gridCol w:w="879"/>
        <w:gridCol w:w="879"/>
        <w:gridCol w:w="879"/>
      </w:tblGrid>
      <w:tr w14:paraId="796AE1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25" w:type="pct"/>
            <w:gridSpan w:val="2"/>
            <w:tcBorders>
              <w:top w:val="single" w:color="auto" w:sz="4" w:space="0"/>
              <w:left w:val="single" w:color="auto" w:sz="4" w:space="0"/>
            </w:tcBorders>
          </w:tcPr>
          <w:p w14:paraId="4CECBB6D">
            <w:pPr>
              <w:spacing w:line="240" w:lineRule="auto"/>
              <w:jc w:val="center"/>
              <w:rPr>
                <w:rFonts w:ascii="Times New Roman" w:hAnsi="Times New Roman"/>
                <w:sz w:val="18"/>
                <w:szCs w:val="18"/>
                <w:lang w:val="zh-CN"/>
              </w:rPr>
            </w:pPr>
            <w:r>
              <w:rPr>
                <w:rFonts w:ascii="Times New Roman" w:hAnsi="Times New Roman"/>
                <w:sz w:val="18"/>
                <w:szCs w:val="18"/>
                <w:lang w:val="zh-CN"/>
              </w:rPr>
              <w:t>工程名称</w:t>
            </w:r>
          </w:p>
        </w:tc>
        <w:tc>
          <w:tcPr>
            <w:tcW w:w="918" w:type="pct"/>
            <w:gridSpan w:val="2"/>
            <w:tcBorders>
              <w:top w:val="single" w:color="auto" w:sz="4" w:space="0"/>
            </w:tcBorders>
          </w:tcPr>
          <w:p w14:paraId="188BC570">
            <w:pPr>
              <w:spacing w:line="240" w:lineRule="auto"/>
              <w:jc w:val="center"/>
              <w:rPr>
                <w:rFonts w:ascii="Times New Roman" w:hAnsi="Times New Roman"/>
                <w:sz w:val="18"/>
                <w:szCs w:val="18"/>
                <w:lang w:val="zh-CN"/>
              </w:rPr>
            </w:pPr>
          </w:p>
        </w:tc>
        <w:tc>
          <w:tcPr>
            <w:tcW w:w="1021" w:type="pct"/>
            <w:gridSpan w:val="2"/>
            <w:tcBorders>
              <w:top w:val="single" w:color="auto" w:sz="4" w:space="0"/>
            </w:tcBorders>
          </w:tcPr>
          <w:p w14:paraId="4EFF7AF5">
            <w:pPr>
              <w:spacing w:line="240" w:lineRule="auto"/>
              <w:jc w:val="center"/>
              <w:rPr>
                <w:rFonts w:ascii="Times New Roman" w:hAnsi="Times New Roman"/>
                <w:sz w:val="18"/>
                <w:szCs w:val="18"/>
                <w:lang w:val="zh-CN"/>
              </w:rPr>
            </w:pPr>
            <w:r>
              <w:rPr>
                <w:rFonts w:ascii="Times New Roman" w:hAnsi="Times New Roman"/>
                <w:sz w:val="18"/>
                <w:szCs w:val="18"/>
                <w:lang w:val="zh-CN"/>
              </w:rPr>
              <w:t>施工单位</w:t>
            </w:r>
          </w:p>
        </w:tc>
        <w:tc>
          <w:tcPr>
            <w:tcW w:w="918" w:type="pct"/>
            <w:gridSpan w:val="2"/>
            <w:tcBorders>
              <w:top w:val="single" w:color="auto" w:sz="4" w:space="0"/>
            </w:tcBorders>
          </w:tcPr>
          <w:p w14:paraId="652412C2">
            <w:pPr>
              <w:spacing w:line="240" w:lineRule="auto"/>
              <w:jc w:val="center"/>
              <w:rPr>
                <w:rFonts w:ascii="Times New Roman" w:hAnsi="Times New Roman"/>
                <w:sz w:val="18"/>
                <w:szCs w:val="18"/>
                <w:lang w:val="zh-CN"/>
              </w:rPr>
            </w:pPr>
          </w:p>
        </w:tc>
        <w:tc>
          <w:tcPr>
            <w:tcW w:w="459" w:type="pct"/>
            <w:tcBorders>
              <w:top w:val="single" w:color="auto" w:sz="4" w:space="0"/>
            </w:tcBorders>
          </w:tcPr>
          <w:p w14:paraId="4EB9047D">
            <w:pPr>
              <w:spacing w:line="240" w:lineRule="auto"/>
              <w:jc w:val="center"/>
              <w:rPr>
                <w:rFonts w:ascii="Times New Roman" w:hAnsi="Times New Roman"/>
                <w:sz w:val="18"/>
                <w:szCs w:val="18"/>
                <w:lang w:val="zh-CN"/>
              </w:rPr>
            </w:pPr>
            <w:r>
              <w:rPr>
                <w:rFonts w:ascii="Times New Roman" w:hAnsi="Times New Roman"/>
                <w:sz w:val="18"/>
                <w:szCs w:val="18"/>
                <w:lang w:val="zh-CN"/>
              </w:rPr>
              <w:t>编号</w:t>
            </w:r>
          </w:p>
        </w:tc>
        <w:tc>
          <w:tcPr>
            <w:tcW w:w="457" w:type="pct"/>
            <w:tcBorders>
              <w:top w:val="single" w:color="auto" w:sz="4" w:space="0"/>
              <w:right w:val="single" w:color="auto" w:sz="4" w:space="0"/>
            </w:tcBorders>
          </w:tcPr>
          <w:p w14:paraId="0F62EC2B">
            <w:pPr>
              <w:spacing w:line="240" w:lineRule="auto"/>
              <w:jc w:val="center"/>
              <w:rPr>
                <w:rFonts w:ascii="Times New Roman" w:hAnsi="Times New Roman"/>
                <w:sz w:val="18"/>
                <w:szCs w:val="18"/>
                <w:lang w:val="zh-CN"/>
              </w:rPr>
            </w:pPr>
          </w:p>
        </w:tc>
      </w:tr>
      <w:tr w14:paraId="39D47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25" w:type="pct"/>
            <w:gridSpan w:val="2"/>
            <w:tcBorders>
              <w:left w:val="single" w:color="auto" w:sz="4" w:space="0"/>
              <w:bottom w:val="single" w:color="auto" w:sz="4" w:space="0"/>
            </w:tcBorders>
            <w:vAlign w:val="center"/>
          </w:tcPr>
          <w:p w14:paraId="5A7CA5F1">
            <w:pPr>
              <w:spacing w:line="240" w:lineRule="auto"/>
              <w:jc w:val="center"/>
              <w:rPr>
                <w:rFonts w:ascii="Times New Roman" w:hAnsi="Times New Roman"/>
                <w:sz w:val="18"/>
                <w:szCs w:val="18"/>
                <w:lang w:val="zh-CN"/>
              </w:rPr>
            </w:pPr>
            <w:r>
              <w:rPr>
                <w:rFonts w:ascii="Times New Roman" w:hAnsi="Times New Roman"/>
                <w:sz w:val="18"/>
                <w:szCs w:val="18"/>
                <w:lang w:val="zh-CN"/>
              </w:rPr>
              <w:t>时间组号</w:t>
            </w:r>
          </w:p>
        </w:tc>
        <w:tc>
          <w:tcPr>
            <w:tcW w:w="459" w:type="pct"/>
            <w:tcBorders>
              <w:bottom w:val="single" w:color="auto" w:sz="4" w:space="0"/>
            </w:tcBorders>
            <w:vAlign w:val="center"/>
          </w:tcPr>
          <w:p w14:paraId="496C14EA">
            <w:pPr>
              <w:spacing w:line="240" w:lineRule="auto"/>
              <w:jc w:val="center"/>
              <w:rPr>
                <w:rFonts w:ascii="Times New Roman" w:hAnsi="Times New Roman"/>
                <w:sz w:val="18"/>
                <w:szCs w:val="18"/>
                <w:lang w:val="zh-CN"/>
              </w:rPr>
            </w:pPr>
            <w:r>
              <w:rPr>
                <w:rFonts w:ascii="Times New Roman" w:hAnsi="Times New Roman"/>
                <w:sz w:val="18"/>
                <w:szCs w:val="18"/>
                <w:lang w:val="zh-CN"/>
              </w:rPr>
              <w:t>第一组</w:t>
            </w:r>
          </w:p>
        </w:tc>
        <w:tc>
          <w:tcPr>
            <w:tcW w:w="459" w:type="pct"/>
            <w:tcBorders>
              <w:bottom w:val="single" w:color="auto" w:sz="4" w:space="0"/>
            </w:tcBorders>
            <w:vAlign w:val="center"/>
          </w:tcPr>
          <w:p w14:paraId="73EA9269">
            <w:pPr>
              <w:spacing w:line="240" w:lineRule="auto"/>
              <w:jc w:val="center"/>
              <w:rPr>
                <w:rFonts w:ascii="Times New Roman" w:hAnsi="Times New Roman"/>
                <w:sz w:val="18"/>
                <w:szCs w:val="18"/>
                <w:lang w:val="zh-CN"/>
              </w:rPr>
            </w:pPr>
            <w:r>
              <w:rPr>
                <w:rFonts w:ascii="Times New Roman" w:hAnsi="Times New Roman"/>
                <w:sz w:val="18"/>
                <w:szCs w:val="18"/>
                <w:lang w:val="zh-CN"/>
              </w:rPr>
              <w:t>第二组</w:t>
            </w:r>
          </w:p>
        </w:tc>
        <w:tc>
          <w:tcPr>
            <w:tcW w:w="459" w:type="pct"/>
            <w:tcBorders>
              <w:bottom w:val="single" w:color="auto" w:sz="4" w:space="0"/>
            </w:tcBorders>
            <w:vAlign w:val="center"/>
          </w:tcPr>
          <w:p w14:paraId="6B27BD79">
            <w:pPr>
              <w:spacing w:line="240" w:lineRule="auto"/>
              <w:jc w:val="center"/>
              <w:rPr>
                <w:rFonts w:ascii="Times New Roman" w:hAnsi="Times New Roman"/>
                <w:sz w:val="18"/>
                <w:szCs w:val="18"/>
                <w:lang w:val="zh-CN"/>
              </w:rPr>
            </w:pPr>
            <w:r>
              <w:rPr>
                <w:rFonts w:ascii="Times New Roman" w:hAnsi="Times New Roman"/>
                <w:sz w:val="18"/>
                <w:szCs w:val="18"/>
                <w:lang w:val="zh-CN"/>
              </w:rPr>
              <w:t>第三组</w:t>
            </w:r>
          </w:p>
        </w:tc>
        <w:tc>
          <w:tcPr>
            <w:tcW w:w="562" w:type="pct"/>
            <w:tcBorders>
              <w:bottom w:val="single" w:color="auto" w:sz="4" w:space="0"/>
            </w:tcBorders>
            <w:vAlign w:val="center"/>
          </w:tcPr>
          <w:p w14:paraId="21967697">
            <w:pPr>
              <w:spacing w:line="240" w:lineRule="auto"/>
              <w:jc w:val="center"/>
              <w:rPr>
                <w:rFonts w:ascii="Times New Roman" w:hAnsi="Times New Roman"/>
                <w:sz w:val="18"/>
                <w:szCs w:val="18"/>
                <w:lang w:val="zh-CN"/>
              </w:rPr>
            </w:pPr>
            <w:r>
              <w:rPr>
                <w:rFonts w:ascii="Times New Roman" w:hAnsi="Times New Roman"/>
                <w:sz w:val="18"/>
                <w:szCs w:val="18"/>
                <w:lang w:val="zh-CN"/>
              </w:rPr>
              <w:t>第四组</w:t>
            </w:r>
          </w:p>
        </w:tc>
        <w:tc>
          <w:tcPr>
            <w:tcW w:w="459" w:type="pct"/>
            <w:tcBorders>
              <w:bottom w:val="single" w:color="auto" w:sz="4" w:space="0"/>
            </w:tcBorders>
            <w:vAlign w:val="center"/>
          </w:tcPr>
          <w:p w14:paraId="79101CD5">
            <w:pPr>
              <w:spacing w:line="240" w:lineRule="auto"/>
              <w:jc w:val="center"/>
              <w:rPr>
                <w:rFonts w:ascii="Times New Roman" w:hAnsi="Times New Roman"/>
                <w:sz w:val="18"/>
                <w:szCs w:val="18"/>
                <w:lang w:val="zh-CN"/>
              </w:rPr>
            </w:pPr>
            <w:r>
              <w:rPr>
                <w:rFonts w:ascii="Times New Roman" w:hAnsi="Times New Roman"/>
                <w:sz w:val="18"/>
                <w:szCs w:val="18"/>
                <w:lang w:val="zh-CN"/>
              </w:rPr>
              <w:t>第五组</w:t>
            </w:r>
          </w:p>
        </w:tc>
        <w:tc>
          <w:tcPr>
            <w:tcW w:w="459" w:type="pct"/>
            <w:tcBorders>
              <w:bottom w:val="single" w:color="auto" w:sz="4" w:space="0"/>
            </w:tcBorders>
            <w:vAlign w:val="center"/>
          </w:tcPr>
          <w:p w14:paraId="6CDE7E08">
            <w:pPr>
              <w:spacing w:line="240" w:lineRule="auto"/>
              <w:jc w:val="center"/>
              <w:rPr>
                <w:rFonts w:ascii="Times New Roman" w:hAnsi="Times New Roman"/>
                <w:sz w:val="18"/>
                <w:szCs w:val="18"/>
                <w:lang w:val="zh-CN"/>
              </w:rPr>
            </w:pPr>
            <w:r>
              <w:rPr>
                <w:rFonts w:ascii="Times New Roman" w:hAnsi="Times New Roman"/>
                <w:sz w:val="18"/>
                <w:szCs w:val="18"/>
                <w:lang w:val="zh-CN"/>
              </w:rPr>
              <w:t>第六组</w:t>
            </w:r>
          </w:p>
        </w:tc>
        <w:tc>
          <w:tcPr>
            <w:tcW w:w="459" w:type="pct"/>
            <w:tcBorders>
              <w:bottom w:val="single" w:color="auto" w:sz="4" w:space="0"/>
            </w:tcBorders>
            <w:vAlign w:val="center"/>
          </w:tcPr>
          <w:p w14:paraId="5CAD1EB9">
            <w:pPr>
              <w:spacing w:line="240" w:lineRule="auto"/>
              <w:jc w:val="center"/>
              <w:rPr>
                <w:rFonts w:ascii="Times New Roman" w:hAnsi="Times New Roman"/>
                <w:sz w:val="18"/>
                <w:szCs w:val="18"/>
                <w:lang w:val="zh-CN"/>
              </w:rPr>
            </w:pPr>
            <w:r>
              <w:rPr>
                <w:rFonts w:ascii="Times New Roman" w:hAnsi="Times New Roman"/>
                <w:sz w:val="18"/>
                <w:szCs w:val="18"/>
                <w:lang w:val="zh-CN"/>
              </w:rPr>
              <w:t>第七组</w:t>
            </w:r>
          </w:p>
        </w:tc>
        <w:tc>
          <w:tcPr>
            <w:tcW w:w="457" w:type="pct"/>
            <w:tcBorders>
              <w:bottom w:val="single" w:color="auto" w:sz="4" w:space="0"/>
              <w:right w:val="single" w:color="auto" w:sz="4" w:space="0"/>
            </w:tcBorders>
            <w:vAlign w:val="center"/>
          </w:tcPr>
          <w:p w14:paraId="19F1F63C">
            <w:pPr>
              <w:spacing w:line="240" w:lineRule="auto"/>
              <w:jc w:val="center"/>
              <w:rPr>
                <w:rFonts w:ascii="Times New Roman" w:hAnsi="Times New Roman"/>
                <w:sz w:val="18"/>
                <w:szCs w:val="18"/>
                <w:lang w:val="zh-CN"/>
              </w:rPr>
            </w:pPr>
            <w:r>
              <w:rPr>
                <w:rFonts w:ascii="Times New Roman" w:hAnsi="Times New Roman"/>
                <w:sz w:val="18"/>
                <w:szCs w:val="18"/>
                <w:lang w:val="zh-CN"/>
              </w:rPr>
              <w:t>第八组</w:t>
            </w:r>
          </w:p>
        </w:tc>
      </w:tr>
      <w:tr w14:paraId="5DF22B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25" w:type="pct"/>
            <w:gridSpan w:val="2"/>
            <w:tcBorders>
              <w:top w:val="single" w:color="auto" w:sz="4" w:space="0"/>
              <w:left w:val="single" w:color="auto" w:sz="4" w:space="0"/>
              <w:bottom w:val="single" w:color="auto" w:sz="4" w:space="0"/>
            </w:tcBorders>
          </w:tcPr>
          <w:p w14:paraId="0BE13DB9">
            <w:pPr>
              <w:spacing w:line="240" w:lineRule="auto"/>
              <w:jc w:val="center"/>
              <w:rPr>
                <w:rFonts w:ascii="Times New Roman" w:hAnsi="Times New Roman"/>
                <w:sz w:val="18"/>
                <w:szCs w:val="18"/>
                <w:lang w:val="zh-CN"/>
              </w:rPr>
            </w:pPr>
            <w:r>
              <w:rPr>
                <w:rFonts w:ascii="Times New Roman" w:hAnsi="Times New Roman"/>
                <w:sz w:val="18"/>
                <w:szCs w:val="18"/>
                <w:lang w:val="zh-CN"/>
              </w:rPr>
              <w:t>工程名称</w:t>
            </w:r>
          </w:p>
        </w:tc>
        <w:tc>
          <w:tcPr>
            <w:tcW w:w="918" w:type="pct"/>
            <w:gridSpan w:val="2"/>
            <w:tcBorders>
              <w:top w:val="single" w:color="auto" w:sz="4" w:space="0"/>
              <w:bottom w:val="single" w:color="auto" w:sz="4" w:space="0"/>
            </w:tcBorders>
          </w:tcPr>
          <w:p w14:paraId="07D31C8C">
            <w:pPr>
              <w:spacing w:line="240" w:lineRule="auto"/>
              <w:jc w:val="center"/>
              <w:rPr>
                <w:rFonts w:ascii="Times New Roman" w:hAnsi="Times New Roman"/>
                <w:sz w:val="18"/>
                <w:szCs w:val="18"/>
                <w:lang w:val="zh-CN"/>
              </w:rPr>
            </w:pPr>
          </w:p>
        </w:tc>
        <w:tc>
          <w:tcPr>
            <w:tcW w:w="1021" w:type="pct"/>
            <w:gridSpan w:val="2"/>
            <w:tcBorders>
              <w:top w:val="single" w:color="auto" w:sz="4" w:space="0"/>
              <w:bottom w:val="single" w:color="auto" w:sz="4" w:space="0"/>
            </w:tcBorders>
          </w:tcPr>
          <w:p w14:paraId="04894E20">
            <w:pPr>
              <w:spacing w:line="240" w:lineRule="auto"/>
              <w:jc w:val="center"/>
              <w:rPr>
                <w:rFonts w:ascii="Times New Roman" w:hAnsi="Times New Roman"/>
                <w:sz w:val="18"/>
                <w:szCs w:val="18"/>
                <w:lang w:val="zh-CN"/>
              </w:rPr>
            </w:pPr>
            <w:r>
              <w:rPr>
                <w:rFonts w:ascii="Times New Roman" w:hAnsi="Times New Roman"/>
                <w:sz w:val="18"/>
                <w:szCs w:val="18"/>
                <w:lang w:val="zh-CN"/>
              </w:rPr>
              <w:t>施工单位</w:t>
            </w:r>
          </w:p>
        </w:tc>
        <w:tc>
          <w:tcPr>
            <w:tcW w:w="918" w:type="pct"/>
            <w:gridSpan w:val="2"/>
            <w:tcBorders>
              <w:top w:val="single" w:color="auto" w:sz="4" w:space="0"/>
              <w:bottom w:val="single" w:color="auto" w:sz="4" w:space="0"/>
            </w:tcBorders>
          </w:tcPr>
          <w:p w14:paraId="362056E4">
            <w:pPr>
              <w:spacing w:line="240" w:lineRule="auto"/>
              <w:jc w:val="center"/>
              <w:rPr>
                <w:rFonts w:ascii="Times New Roman" w:hAnsi="Times New Roman"/>
                <w:sz w:val="18"/>
                <w:szCs w:val="18"/>
                <w:lang w:val="zh-CN"/>
              </w:rPr>
            </w:pPr>
          </w:p>
        </w:tc>
        <w:tc>
          <w:tcPr>
            <w:tcW w:w="459" w:type="pct"/>
            <w:tcBorders>
              <w:top w:val="single" w:color="auto" w:sz="4" w:space="0"/>
              <w:bottom w:val="single" w:color="auto" w:sz="4" w:space="0"/>
            </w:tcBorders>
          </w:tcPr>
          <w:p w14:paraId="4CE2E5BC">
            <w:pPr>
              <w:spacing w:line="240" w:lineRule="auto"/>
              <w:jc w:val="center"/>
              <w:rPr>
                <w:rFonts w:ascii="Times New Roman" w:hAnsi="Times New Roman"/>
                <w:sz w:val="18"/>
                <w:szCs w:val="18"/>
                <w:lang w:val="zh-CN"/>
              </w:rPr>
            </w:pPr>
            <w:r>
              <w:rPr>
                <w:rFonts w:ascii="Times New Roman" w:hAnsi="Times New Roman"/>
                <w:sz w:val="18"/>
                <w:szCs w:val="18"/>
                <w:lang w:val="zh-CN"/>
              </w:rPr>
              <w:t>编号</w:t>
            </w:r>
          </w:p>
        </w:tc>
        <w:tc>
          <w:tcPr>
            <w:tcW w:w="457" w:type="pct"/>
            <w:tcBorders>
              <w:top w:val="single" w:color="auto" w:sz="4" w:space="0"/>
              <w:bottom w:val="single" w:color="auto" w:sz="4" w:space="0"/>
              <w:right w:val="single" w:color="auto" w:sz="4" w:space="0"/>
            </w:tcBorders>
          </w:tcPr>
          <w:p w14:paraId="026D2B27">
            <w:pPr>
              <w:spacing w:line="240" w:lineRule="auto"/>
              <w:jc w:val="center"/>
              <w:rPr>
                <w:rFonts w:ascii="Times New Roman" w:hAnsi="Times New Roman"/>
                <w:sz w:val="18"/>
                <w:szCs w:val="18"/>
                <w:lang w:val="zh-CN"/>
              </w:rPr>
            </w:pPr>
          </w:p>
        </w:tc>
      </w:tr>
      <w:tr w14:paraId="4960E2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25" w:type="pct"/>
            <w:gridSpan w:val="2"/>
            <w:tcBorders>
              <w:top w:val="single" w:color="auto" w:sz="4" w:space="0"/>
              <w:left w:val="single" w:color="auto" w:sz="4" w:space="0"/>
              <w:bottom w:val="single" w:color="auto" w:sz="4" w:space="0"/>
            </w:tcBorders>
            <w:vAlign w:val="center"/>
          </w:tcPr>
          <w:p w14:paraId="3DF278D4">
            <w:pPr>
              <w:spacing w:line="240" w:lineRule="auto"/>
              <w:jc w:val="center"/>
              <w:rPr>
                <w:rFonts w:ascii="Times New Roman" w:hAnsi="Times New Roman"/>
                <w:sz w:val="18"/>
                <w:szCs w:val="18"/>
                <w:lang w:val="zh-CN"/>
              </w:rPr>
            </w:pPr>
            <w:r>
              <w:rPr>
                <w:rFonts w:ascii="Times New Roman" w:hAnsi="Times New Roman"/>
                <w:sz w:val="18"/>
                <w:szCs w:val="18"/>
                <w:lang w:val="zh-CN"/>
              </w:rPr>
              <w:t>时间组号</w:t>
            </w:r>
          </w:p>
        </w:tc>
        <w:tc>
          <w:tcPr>
            <w:tcW w:w="459" w:type="pct"/>
            <w:tcBorders>
              <w:top w:val="single" w:color="auto" w:sz="4" w:space="0"/>
              <w:bottom w:val="single" w:color="auto" w:sz="4" w:space="0"/>
            </w:tcBorders>
            <w:vAlign w:val="center"/>
          </w:tcPr>
          <w:p w14:paraId="3F3B59B1">
            <w:pPr>
              <w:spacing w:line="240" w:lineRule="auto"/>
              <w:jc w:val="center"/>
              <w:rPr>
                <w:rFonts w:ascii="Times New Roman" w:hAnsi="Times New Roman"/>
                <w:sz w:val="18"/>
                <w:szCs w:val="18"/>
                <w:lang w:val="zh-CN"/>
              </w:rPr>
            </w:pPr>
            <w:r>
              <w:rPr>
                <w:rFonts w:ascii="Times New Roman" w:hAnsi="Times New Roman"/>
                <w:sz w:val="18"/>
                <w:szCs w:val="18"/>
                <w:lang w:val="zh-CN"/>
              </w:rPr>
              <w:t>第一组</w:t>
            </w:r>
          </w:p>
        </w:tc>
        <w:tc>
          <w:tcPr>
            <w:tcW w:w="459" w:type="pct"/>
            <w:tcBorders>
              <w:top w:val="single" w:color="auto" w:sz="4" w:space="0"/>
              <w:bottom w:val="single" w:color="auto" w:sz="4" w:space="0"/>
            </w:tcBorders>
            <w:vAlign w:val="center"/>
          </w:tcPr>
          <w:p w14:paraId="3A83D20D">
            <w:pPr>
              <w:spacing w:line="240" w:lineRule="auto"/>
              <w:jc w:val="center"/>
              <w:rPr>
                <w:rFonts w:ascii="Times New Roman" w:hAnsi="Times New Roman"/>
                <w:sz w:val="18"/>
                <w:szCs w:val="18"/>
                <w:lang w:val="zh-CN"/>
              </w:rPr>
            </w:pPr>
            <w:r>
              <w:rPr>
                <w:rFonts w:ascii="Times New Roman" w:hAnsi="Times New Roman"/>
                <w:sz w:val="18"/>
                <w:szCs w:val="18"/>
                <w:lang w:val="zh-CN"/>
              </w:rPr>
              <w:t>第二组</w:t>
            </w:r>
          </w:p>
        </w:tc>
        <w:tc>
          <w:tcPr>
            <w:tcW w:w="459" w:type="pct"/>
            <w:tcBorders>
              <w:top w:val="single" w:color="auto" w:sz="4" w:space="0"/>
              <w:bottom w:val="single" w:color="auto" w:sz="4" w:space="0"/>
            </w:tcBorders>
            <w:vAlign w:val="center"/>
          </w:tcPr>
          <w:p w14:paraId="43E3DAD1">
            <w:pPr>
              <w:spacing w:line="240" w:lineRule="auto"/>
              <w:jc w:val="center"/>
              <w:rPr>
                <w:rFonts w:ascii="Times New Roman" w:hAnsi="Times New Roman"/>
                <w:sz w:val="18"/>
                <w:szCs w:val="18"/>
                <w:lang w:val="zh-CN"/>
              </w:rPr>
            </w:pPr>
            <w:r>
              <w:rPr>
                <w:rFonts w:ascii="Times New Roman" w:hAnsi="Times New Roman"/>
                <w:sz w:val="18"/>
                <w:szCs w:val="18"/>
                <w:lang w:val="zh-CN"/>
              </w:rPr>
              <w:t>第三组</w:t>
            </w:r>
          </w:p>
        </w:tc>
        <w:tc>
          <w:tcPr>
            <w:tcW w:w="562" w:type="pct"/>
            <w:tcBorders>
              <w:top w:val="single" w:color="auto" w:sz="4" w:space="0"/>
              <w:bottom w:val="single" w:color="auto" w:sz="4" w:space="0"/>
            </w:tcBorders>
            <w:vAlign w:val="center"/>
          </w:tcPr>
          <w:p w14:paraId="1134683C">
            <w:pPr>
              <w:spacing w:line="240" w:lineRule="auto"/>
              <w:jc w:val="center"/>
              <w:rPr>
                <w:rFonts w:ascii="Times New Roman" w:hAnsi="Times New Roman"/>
                <w:sz w:val="18"/>
                <w:szCs w:val="18"/>
                <w:lang w:val="zh-CN"/>
              </w:rPr>
            </w:pPr>
            <w:r>
              <w:rPr>
                <w:rFonts w:ascii="Times New Roman" w:hAnsi="Times New Roman"/>
                <w:sz w:val="18"/>
                <w:szCs w:val="18"/>
                <w:lang w:val="zh-CN"/>
              </w:rPr>
              <w:t>第四组</w:t>
            </w:r>
          </w:p>
        </w:tc>
        <w:tc>
          <w:tcPr>
            <w:tcW w:w="459" w:type="pct"/>
            <w:tcBorders>
              <w:top w:val="single" w:color="auto" w:sz="4" w:space="0"/>
              <w:bottom w:val="single" w:color="auto" w:sz="4" w:space="0"/>
            </w:tcBorders>
            <w:vAlign w:val="center"/>
          </w:tcPr>
          <w:p w14:paraId="4F07490D">
            <w:pPr>
              <w:spacing w:line="240" w:lineRule="auto"/>
              <w:jc w:val="center"/>
              <w:rPr>
                <w:rFonts w:ascii="Times New Roman" w:hAnsi="Times New Roman"/>
                <w:sz w:val="18"/>
                <w:szCs w:val="18"/>
                <w:lang w:val="zh-CN"/>
              </w:rPr>
            </w:pPr>
            <w:r>
              <w:rPr>
                <w:rFonts w:ascii="Times New Roman" w:hAnsi="Times New Roman"/>
                <w:sz w:val="18"/>
                <w:szCs w:val="18"/>
                <w:lang w:val="zh-CN"/>
              </w:rPr>
              <w:t>第五组</w:t>
            </w:r>
          </w:p>
        </w:tc>
        <w:tc>
          <w:tcPr>
            <w:tcW w:w="459" w:type="pct"/>
            <w:tcBorders>
              <w:top w:val="single" w:color="auto" w:sz="4" w:space="0"/>
              <w:bottom w:val="single" w:color="auto" w:sz="4" w:space="0"/>
            </w:tcBorders>
            <w:vAlign w:val="center"/>
          </w:tcPr>
          <w:p w14:paraId="2B91BF4F">
            <w:pPr>
              <w:spacing w:line="240" w:lineRule="auto"/>
              <w:jc w:val="center"/>
              <w:rPr>
                <w:rFonts w:ascii="Times New Roman" w:hAnsi="Times New Roman"/>
                <w:sz w:val="18"/>
                <w:szCs w:val="18"/>
                <w:lang w:val="zh-CN"/>
              </w:rPr>
            </w:pPr>
            <w:r>
              <w:rPr>
                <w:rFonts w:ascii="Times New Roman" w:hAnsi="Times New Roman"/>
                <w:sz w:val="18"/>
                <w:szCs w:val="18"/>
                <w:lang w:val="zh-CN"/>
              </w:rPr>
              <w:t>第六组</w:t>
            </w:r>
          </w:p>
        </w:tc>
        <w:tc>
          <w:tcPr>
            <w:tcW w:w="459" w:type="pct"/>
            <w:tcBorders>
              <w:top w:val="single" w:color="auto" w:sz="4" w:space="0"/>
              <w:bottom w:val="single" w:color="auto" w:sz="4" w:space="0"/>
            </w:tcBorders>
            <w:vAlign w:val="center"/>
          </w:tcPr>
          <w:p w14:paraId="6B0326E4">
            <w:pPr>
              <w:spacing w:line="240" w:lineRule="auto"/>
              <w:jc w:val="center"/>
              <w:rPr>
                <w:rFonts w:ascii="Times New Roman" w:hAnsi="Times New Roman"/>
                <w:sz w:val="18"/>
                <w:szCs w:val="18"/>
                <w:lang w:val="zh-CN"/>
              </w:rPr>
            </w:pPr>
            <w:r>
              <w:rPr>
                <w:rFonts w:ascii="Times New Roman" w:hAnsi="Times New Roman"/>
                <w:sz w:val="18"/>
                <w:szCs w:val="18"/>
                <w:lang w:val="zh-CN"/>
              </w:rPr>
              <w:t>第七组</w:t>
            </w:r>
          </w:p>
        </w:tc>
        <w:tc>
          <w:tcPr>
            <w:tcW w:w="457" w:type="pct"/>
            <w:tcBorders>
              <w:top w:val="single" w:color="auto" w:sz="4" w:space="0"/>
              <w:bottom w:val="single" w:color="auto" w:sz="4" w:space="0"/>
              <w:right w:val="single" w:color="auto" w:sz="4" w:space="0"/>
            </w:tcBorders>
            <w:vAlign w:val="center"/>
          </w:tcPr>
          <w:p w14:paraId="5112EB58">
            <w:pPr>
              <w:spacing w:line="240" w:lineRule="auto"/>
              <w:jc w:val="center"/>
              <w:rPr>
                <w:rFonts w:ascii="Times New Roman" w:hAnsi="Times New Roman"/>
                <w:sz w:val="18"/>
                <w:szCs w:val="18"/>
                <w:lang w:val="zh-CN"/>
              </w:rPr>
            </w:pPr>
            <w:r>
              <w:rPr>
                <w:rFonts w:ascii="Times New Roman" w:hAnsi="Times New Roman"/>
                <w:sz w:val="18"/>
                <w:szCs w:val="18"/>
                <w:lang w:val="zh-CN"/>
              </w:rPr>
              <w:t>第八组</w:t>
            </w:r>
          </w:p>
        </w:tc>
      </w:tr>
      <w:tr w14:paraId="4E80C8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9" w:type="pct"/>
            <w:vMerge w:val="restart"/>
            <w:tcBorders>
              <w:top w:val="single" w:color="auto" w:sz="4" w:space="0"/>
              <w:left w:val="single" w:color="auto" w:sz="4" w:space="0"/>
              <w:bottom w:val="single" w:color="auto" w:sz="4" w:space="0"/>
            </w:tcBorders>
            <w:vAlign w:val="center"/>
          </w:tcPr>
          <w:p w14:paraId="3E4EE306">
            <w:pPr>
              <w:spacing w:line="240" w:lineRule="auto"/>
              <w:jc w:val="center"/>
              <w:rPr>
                <w:rFonts w:ascii="Times New Roman" w:hAnsi="Times New Roman"/>
                <w:sz w:val="18"/>
                <w:szCs w:val="18"/>
                <w:lang w:val="zh-CN"/>
              </w:rPr>
            </w:pPr>
            <w:r>
              <w:rPr>
                <w:rFonts w:ascii="Times New Roman" w:hAnsi="Times New Roman"/>
                <w:sz w:val="18"/>
                <w:szCs w:val="18"/>
                <w:lang w:val="zh-CN"/>
              </w:rPr>
              <w:t>时间情况</w:t>
            </w:r>
          </w:p>
        </w:tc>
        <w:tc>
          <w:tcPr>
            <w:tcW w:w="666" w:type="pct"/>
            <w:tcBorders>
              <w:top w:val="single" w:color="auto" w:sz="4" w:space="0"/>
              <w:bottom w:val="single" w:color="auto" w:sz="4" w:space="0"/>
            </w:tcBorders>
            <w:vAlign w:val="center"/>
          </w:tcPr>
          <w:p w14:paraId="317A8318">
            <w:pPr>
              <w:spacing w:line="240" w:lineRule="auto"/>
              <w:jc w:val="center"/>
              <w:rPr>
                <w:rFonts w:ascii="Times New Roman" w:hAnsi="Times New Roman"/>
                <w:sz w:val="18"/>
                <w:szCs w:val="18"/>
                <w:lang w:val="zh-CN"/>
              </w:rPr>
            </w:pPr>
            <w:r>
              <w:rPr>
                <w:rFonts w:ascii="Times New Roman" w:hAnsi="Times New Roman"/>
                <w:sz w:val="18"/>
                <w:szCs w:val="18"/>
                <w:lang w:val="zh-CN"/>
              </w:rPr>
              <w:t>试件部位</w:t>
            </w:r>
          </w:p>
        </w:tc>
        <w:tc>
          <w:tcPr>
            <w:tcW w:w="459" w:type="pct"/>
            <w:tcBorders>
              <w:top w:val="single" w:color="auto" w:sz="4" w:space="0"/>
              <w:bottom w:val="single" w:color="auto" w:sz="4" w:space="0"/>
            </w:tcBorders>
            <w:vAlign w:val="center"/>
          </w:tcPr>
          <w:p w14:paraId="6B6A359B">
            <w:pPr>
              <w:spacing w:line="240" w:lineRule="auto"/>
              <w:jc w:val="center"/>
              <w:rPr>
                <w:rFonts w:ascii="Times New Roman" w:hAnsi="Times New Roman"/>
                <w:sz w:val="18"/>
                <w:szCs w:val="18"/>
                <w:lang w:val="zh-CN"/>
              </w:rPr>
            </w:pPr>
          </w:p>
        </w:tc>
        <w:tc>
          <w:tcPr>
            <w:tcW w:w="459" w:type="pct"/>
            <w:tcBorders>
              <w:top w:val="single" w:color="auto" w:sz="4" w:space="0"/>
              <w:bottom w:val="single" w:color="auto" w:sz="4" w:space="0"/>
            </w:tcBorders>
            <w:vAlign w:val="center"/>
          </w:tcPr>
          <w:p w14:paraId="56AC664F">
            <w:pPr>
              <w:spacing w:line="240" w:lineRule="auto"/>
              <w:jc w:val="center"/>
              <w:rPr>
                <w:rFonts w:ascii="Times New Roman" w:hAnsi="Times New Roman"/>
                <w:sz w:val="18"/>
                <w:szCs w:val="18"/>
                <w:lang w:val="zh-CN"/>
              </w:rPr>
            </w:pPr>
          </w:p>
        </w:tc>
        <w:tc>
          <w:tcPr>
            <w:tcW w:w="459" w:type="pct"/>
            <w:tcBorders>
              <w:top w:val="single" w:color="auto" w:sz="4" w:space="0"/>
              <w:bottom w:val="single" w:color="auto" w:sz="4" w:space="0"/>
            </w:tcBorders>
            <w:vAlign w:val="center"/>
          </w:tcPr>
          <w:p w14:paraId="4DFC5D8A">
            <w:pPr>
              <w:spacing w:line="240" w:lineRule="auto"/>
              <w:jc w:val="center"/>
              <w:rPr>
                <w:rFonts w:ascii="Times New Roman" w:hAnsi="Times New Roman"/>
                <w:sz w:val="18"/>
                <w:szCs w:val="18"/>
                <w:lang w:val="zh-CN"/>
              </w:rPr>
            </w:pPr>
          </w:p>
        </w:tc>
        <w:tc>
          <w:tcPr>
            <w:tcW w:w="562" w:type="pct"/>
            <w:tcBorders>
              <w:top w:val="single" w:color="auto" w:sz="4" w:space="0"/>
              <w:bottom w:val="single" w:color="auto" w:sz="4" w:space="0"/>
            </w:tcBorders>
            <w:vAlign w:val="center"/>
          </w:tcPr>
          <w:p w14:paraId="0FF2FC7F">
            <w:pPr>
              <w:spacing w:line="240" w:lineRule="auto"/>
              <w:jc w:val="center"/>
              <w:rPr>
                <w:rFonts w:ascii="Times New Roman" w:hAnsi="Times New Roman"/>
                <w:sz w:val="18"/>
                <w:szCs w:val="18"/>
                <w:lang w:val="zh-CN"/>
              </w:rPr>
            </w:pPr>
          </w:p>
        </w:tc>
        <w:tc>
          <w:tcPr>
            <w:tcW w:w="459" w:type="pct"/>
            <w:tcBorders>
              <w:top w:val="single" w:color="auto" w:sz="4" w:space="0"/>
              <w:bottom w:val="single" w:color="auto" w:sz="4" w:space="0"/>
            </w:tcBorders>
            <w:vAlign w:val="center"/>
          </w:tcPr>
          <w:p w14:paraId="11AC0A8A">
            <w:pPr>
              <w:spacing w:line="240" w:lineRule="auto"/>
              <w:jc w:val="center"/>
              <w:rPr>
                <w:rFonts w:ascii="Times New Roman" w:hAnsi="Times New Roman"/>
                <w:sz w:val="18"/>
                <w:szCs w:val="18"/>
                <w:lang w:val="zh-CN"/>
              </w:rPr>
            </w:pPr>
          </w:p>
        </w:tc>
        <w:tc>
          <w:tcPr>
            <w:tcW w:w="459" w:type="pct"/>
            <w:tcBorders>
              <w:top w:val="single" w:color="auto" w:sz="4" w:space="0"/>
              <w:bottom w:val="single" w:color="auto" w:sz="4" w:space="0"/>
            </w:tcBorders>
            <w:vAlign w:val="center"/>
          </w:tcPr>
          <w:p w14:paraId="49080CC8">
            <w:pPr>
              <w:spacing w:line="240" w:lineRule="auto"/>
              <w:jc w:val="center"/>
              <w:rPr>
                <w:rFonts w:ascii="Times New Roman" w:hAnsi="Times New Roman"/>
                <w:sz w:val="18"/>
                <w:szCs w:val="18"/>
                <w:lang w:val="zh-CN"/>
              </w:rPr>
            </w:pPr>
          </w:p>
        </w:tc>
        <w:tc>
          <w:tcPr>
            <w:tcW w:w="459" w:type="pct"/>
            <w:tcBorders>
              <w:top w:val="single" w:color="auto" w:sz="4" w:space="0"/>
              <w:bottom w:val="single" w:color="auto" w:sz="4" w:space="0"/>
            </w:tcBorders>
            <w:vAlign w:val="center"/>
          </w:tcPr>
          <w:p w14:paraId="749830EC">
            <w:pPr>
              <w:spacing w:line="240" w:lineRule="auto"/>
              <w:jc w:val="center"/>
              <w:rPr>
                <w:rFonts w:ascii="Times New Roman" w:hAnsi="Times New Roman"/>
                <w:sz w:val="18"/>
                <w:szCs w:val="18"/>
                <w:lang w:val="zh-CN"/>
              </w:rPr>
            </w:pPr>
          </w:p>
        </w:tc>
        <w:tc>
          <w:tcPr>
            <w:tcW w:w="457" w:type="pct"/>
            <w:tcBorders>
              <w:top w:val="single" w:color="auto" w:sz="4" w:space="0"/>
              <w:bottom w:val="single" w:color="auto" w:sz="4" w:space="0"/>
              <w:right w:val="single" w:color="auto" w:sz="4" w:space="0"/>
            </w:tcBorders>
            <w:vAlign w:val="center"/>
          </w:tcPr>
          <w:p w14:paraId="3A2F6256">
            <w:pPr>
              <w:spacing w:line="240" w:lineRule="auto"/>
              <w:jc w:val="center"/>
              <w:rPr>
                <w:rFonts w:ascii="Times New Roman" w:hAnsi="Times New Roman"/>
                <w:sz w:val="18"/>
                <w:szCs w:val="18"/>
                <w:lang w:val="zh-CN"/>
              </w:rPr>
            </w:pPr>
          </w:p>
        </w:tc>
      </w:tr>
      <w:tr w14:paraId="674DA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9" w:type="pct"/>
            <w:vMerge w:val="continue"/>
            <w:tcBorders>
              <w:top w:val="single" w:color="auto" w:sz="4" w:space="0"/>
              <w:left w:val="single" w:color="auto" w:sz="4" w:space="0"/>
              <w:bottom w:val="single" w:color="auto" w:sz="4" w:space="0"/>
            </w:tcBorders>
            <w:vAlign w:val="center"/>
          </w:tcPr>
          <w:p w14:paraId="55EE4BFA">
            <w:pPr>
              <w:spacing w:line="240" w:lineRule="auto"/>
              <w:jc w:val="center"/>
              <w:rPr>
                <w:rFonts w:ascii="Times New Roman" w:hAnsi="Times New Roman"/>
                <w:sz w:val="18"/>
                <w:szCs w:val="18"/>
                <w:lang w:val="zh-CN"/>
              </w:rPr>
            </w:pPr>
          </w:p>
        </w:tc>
        <w:tc>
          <w:tcPr>
            <w:tcW w:w="666" w:type="pct"/>
            <w:tcBorders>
              <w:top w:val="single" w:color="auto" w:sz="4" w:space="0"/>
              <w:bottom w:val="single" w:color="auto" w:sz="4" w:space="0"/>
            </w:tcBorders>
            <w:vAlign w:val="center"/>
          </w:tcPr>
          <w:p w14:paraId="4232F847">
            <w:pPr>
              <w:spacing w:line="240" w:lineRule="auto"/>
              <w:jc w:val="center"/>
              <w:rPr>
                <w:rFonts w:ascii="Times New Roman" w:hAnsi="Times New Roman"/>
                <w:sz w:val="18"/>
                <w:szCs w:val="18"/>
                <w:lang w:val="zh-CN"/>
              </w:rPr>
            </w:pPr>
            <w:r>
              <w:rPr>
                <w:rFonts w:ascii="Times New Roman" w:hAnsi="Times New Roman"/>
                <w:sz w:val="18"/>
                <w:szCs w:val="18"/>
                <w:lang w:val="zh-CN"/>
              </w:rPr>
              <w:t>试件编号</w:t>
            </w:r>
          </w:p>
        </w:tc>
        <w:tc>
          <w:tcPr>
            <w:tcW w:w="459" w:type="pct"/>
            <w:tcBorders>
              <w:top w:val="single" w:color="auto" w:sz="4" w:space="0"/>
              <w:bottom w:val="single" w:color="auto" w:sz="4" w:space="0"/>
            </w:tcBorders>
            <w:vAlign w:val="center"/>
          </w:tcPr>
          <w:p w14:paraId="6D3E77F0">
            <w:pPr>
              <w:spacing w:line="240" w:lineRule="auto"/>
              <w:jc w:val="center"/>
              <w:rPr>
                <w:rFonts w:ascii="Times New Roman" w:hAnsi="Times New Roman"/>
                <w:sz w:val="18"/>
                <w:szCs w:val="18"/>
                <w:lang w:val="zh-CN"/>
              </w:rPr>
            </w:pPr>
          </w:p>
        </w:tc>
        <w:tc>
          <w:tcPr>
            <w:tcW w:w="459" w:type="pct"/>
            <w:tcBorders>
              <w:top w:val="single" w:color="auto" w:sz="4" w:space="0"/>
              <w:bottom w:val="single" w:color="auto" w:sz="4" w:space="0"/>
            </w:tcBorders>
            <w:vAlign w:val="center"/>
          </w:tcPr>
          <w:p w14:paraId="669A95B6">
            <w:pPr>
              <w:spacing w:line="240" w:lineRule="auto"/>
              <w:jc w:val="center"/>
              <w:rPr>
                <w:rFonts w:ascii="Times New Roman" w:hAnsi="Times New Roman"/>
                <w:sz w:val="18"/>
                <w:szCs w:val="18"/>
                <w:lang w:val="zh-CN"/>
              </w:rPr>
            </w:pPr>
          </w:p>
        </w:tc>
        <w:tc>
          <w:tcPr>
            <w:tcW w:w="459" w:type="pct"/>
            <w:tcBorders>
              <w:top w:val="single" w:color="auto" w:sz="4" w:space="0"/>
              <w:bottom w:val="single" w:color="auto" w:sz="4" w:space="0"/>
            </w:tcBorders>
            <w:vAlign w:val="center"/>
          </w:tcPr>
          <w:p w14:paraId="1FD52EE6">
            <w:pPr>
              <w:spacing w:line="240" w:lineRule="auto"/>
              <w:jc w:val="center"/>
              <w:rPr>
                <w:rFonts w:ascii="Times New Roman" w:hAnsi="Times New Roman"/>
                <w:sz w:val="18"/>
                <w:szCs w:val="18"/>
                <w:lang w:val="zh-CN"/>
              </w:rPr>
            </w:pPr>
          </w:p>
        </w:tc>
        <w:tc>
          <w:tcPr>
            <w:tcW w:w="562" w:type="pct"/>
            <w:tcBorders>
              <w:top w:val="single" w:color="auto" w:sz="4" w:space="0"/>
              <w:bottom w:val="single" w:color="auto" w:sz="4" w:space="0"/>
            </w:tcBorders>
            <w:vAlign w:val="center"/>
          </w:tcPr>
          <w:p w14:paraId="493CDA55">
            <w:pPr>
              <w:spacing w:line="240" w:lineRule="auto"/>
              <w:jc w:val="center"/>
              <w:rPr>
                <w:rFonts w:ascii="Times New Roman" w:hAnsi="Times New Roman"/>
                <w:sz w:val="18"/>
                <w:szCs w:val="18"/>
                <w:lang w:val="zh-CN"/>
              </w:rPr>
            </w:pPr>
          </w:p>
        </w:tc>
        <w:tc>
          <w:tcPr>
            <w:tcW w:w="459" w:type="pct"/>
            <w:tcBorders>
              <w:top w:val="single" w:color="auto" w:sz="4" w:space="0"/>
              <w:bottom w:val="single" w:color="auto" w:sz="4" w:space="0"/>
            </w:tcBorders>
            <w:vAlign w:val="center"/>
          </w:tcPr>
          <w:p w14:paraId="45BCCE58">
            <w:pPr>
              <w:spacing w:line="240" w:lineRule="auto"/>
              <w:jc w:val="center"/>
              <w:rPr>
                <w:rFonts w:ascii="Times New Roman" w:hAnsi="Times New Roman"/>
                <w:sz w:val="18"/>
                <w:szCs w:val="18"/>
                <w:lang w:val="zh-CN"/>
              </w:rPr>
            </w:pPr>
          </w:p>
        </w:tc>
        <w:tc>
          <w:tcPr>
            <w:tcW w:w="459" w:type="pct"/>
            <w:tcBorders>
              <w:top w:val="single" w:color="auto" w:sz="4" w:space="0"/>
              <w:bottom w:val="single" w:color="auto" w:sz="4" w:space="0"/>
            </w:tcBorders>
            <w:vAlign w:val="center"/>
          </w:tcPr>
          <w:p w14:paraId="7422E5D3">
            <w:pPr>
              <w:spacing w:line="240" w:lineRule="auto"/>
              <w:jc w:val="center"/>
              <w:rPr>
                <w:rFonts w:ascii="Times New Roman" w:hAnsi="Times New Roman"/>
                <w:sz w:val="18"/>
                <w:szCs w:val="18"/>
                <w:lang w:val="zh-CN"/>
              </w:rPr>
            </w:pPr>
          </w:p>
        </w:tc>
        <w:tc>
          <w:tcPr>
            <w:tcW w:w="459" w:type="pct"/>
            <w:tcBorders>
              <w:top w:val="single" w:color="auto" w:sz="4" w:space="0"/>
              <w:bottom w:val="single" w:color="auto" w:sz="4" w:space="0"/>
            </w:tcBorders>
            <w:vAlign w:val="center"/>
          </w:tcPr>
          <w:p w14:paraId="30740B3A">
            <w:pPr>
              <w:spacing w:line="240" w:lineRule="auto"/>
              <w:jc w:val="center"/>
              <w:rPr>
                <w:rFonts w:ascii="Times New Roman" w:hAnsi="Times New Roman"/>
                <w:sz w:val="18"/>
                <w:szCs w:val="18"/>
                <w:lang w:val="zh-CN"/>
              </w:rPr>
            </w:pPr>
          </w:p>
        </w:tc>
        <w:tc>
          <w:tcPr>
            <w:tcW w:w="457" w:type="pct"/>
            <w:tcBorders>
              <w:top w:val="single" w:color="auto" w:sz="4" w:space="0"/>
              <w:bottom w:val="single" w:color="auto" w:sz="4" w:space="0"/>
              <w:right w:val="single" w:color="auto" w:sz="4" w:space="0"/>
            </w:tcBorders>
            <w:vAlign w:val="center"/>
          </w:tcPr>
          <w:p w14:paraId="6ADA6EEF">
            <w:pPr>
              <w:spacing w:line="240" w:lineRule="auto"/>
              <w:jc w:val="center"/>
              <w:rPr>
                <w:rFonts w:ascii="Times New Roman" w:hAnsi="Times New Roman"/>
                <w:sz w:val="18"/>
                <w:szCs w:val="18"/>
                <w:lang w:val="zh-CN"/>
              </w:rPr>
            </w:pPr>
          </w:p>
        </w:tc>
      </w:tr>
      <w:tr w14:paraId="270272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9" w:type="pct"/>
            <w:vMerge w:val="continue"/>
            <w:tcBorders>
              <w:top w:val="single" w:color="auto" w:sz="4" w:space="0"/>
              <w:left w:val="single" w:color="auto" w:sz="4" w:space="0"/>
            </w:tcBorders>
            <w:vAlign w:val="center"/>
          </w:tcPr>
          <w:p w14:paraId="5BD1875F">
            <w:pPr>
              <w:spacing w:line="240" w:lineRule="auto"/>
              <w:jc w:val="center"/>
              <w:rPr>
                <w:rFonts w:ascii="Times New Roman" w:hAnsi="Times New Roman"/>
                <w:sz w:val="18"/>
                <w:szCs w:val="18"/>
                <w:lang w:val="zh-CN"/>
              </w:rPr>
            </w:pPr>
          </w:p>
        </w:tc>
        <w:tc>
          <w:tcPr>
            <w:tcW w:w="666" w:type="pct"/>
            <w:tcBorders>
              <w:top w:val="single" w:color="auto" w:sz="4" w:space="0"/>
            </w:tcBorders>
            <w:vAlign w:val="center"/>
          </w:tcPr>
          <w:p w14:paraId="24428DA5">
            <w:pPr>
              <w:spacing w:line="240" w:lineRule="auto"/>
              <w:jc w:val="center"/>
              <w:rPr>
                <w:rFonts w:ascii="Times New Roman" w:hAnsi="Times New Roman"/>
                <w:sz w:val="18"/>
                <w:szCs w:val="18"/>
                <w:lang w:val="zh-CN"/>
              </w:rPr>
            </w:pPr>
            <w:r>
              <w:rPr>
                <w:rFonts w:ascii="Times New Roman" w:hAnsi="Times New Roman"/>
                <w:sz w:val="18"/>
                <w:szCs w:val="18"/>
                <w:lang w:val="zh-CN"/>
              </w:rPr>
              <w:t>配合比编号</w:t>
            </w:r>
          </w:p>
        </w:tc>
        <w:tc>
          <w:tcPr>
            <w:tcW w:w="459" w:type="pct"/>
            <w:tcBorders>
              <w:top w:val="single" w:color="auto" w:sz="4" w:space="0"/>
            </w:tcBorders>
            <w:vAlign w:val="center"/>
          </w:tcPr>
          <w:p w14:paraId="3A914A08">
            <w:pPr>
              <w:spacing w:line="240" w:lineRule="auto"/>
              <w:jc w:val="center"/>
              <w:rPr>
                <w:rFonts w:ascii="Times New Roman" w:hAnsi="Times New Roman"/>
                <w:sz w:val="18"/>
                <w:szCs w:val="18"/>
                <w:lang w:val="zh-CN"/>
              </w:rPr>
            </w:pPr>
          </w:p>
        </w:tc>
        <w:tc>
          <w:tcPr>
            <w:tcW w:w="459" w:type="pct"/>
            <w:tcBorders>
              <w:top w:val="single" w:color="auto" w:sz="4" w:space="0"/>
            </w:tcBorders>
            <w:vAlign w:val="center"/>
          </w:tcPr>
          <w:p w14:paraId="721024B0">
            <w:pPr>
              <w:spacing w:line="240" w:lineRule="auto"/>
              <w:jc w:val="center"/>
              <w:rPr>
                <w:rFonts w:ascii="Times New Roman" w:hAnsi="Times New Roman"/>
                <w:sz w:val="18"/>
                <w:szCs w:val="18"/>
                <w:lang w:val="zh-CN"/>
              </w:rPr>
            </w:pPr>
          </w:p>
        </w:tc>
        <w:tc>
          <w:tcPr>
            <w:tcW w:w="459" w:type="pct"/>
            <w:tcBorders>
              <w:top w:val="single" w:color="auto" w:sz="4" w:space="0"/>
            </w:tcBorders>
            <w:vAlign w:val="center"/>
          </w:tcPr>
          <w:p w14:paraId="079EAFEC">
            <w:pPr>
              <w:spacing w:line="240" w:lineRule="auto"/>
              <w:jc w:val="center"/>
              <w:rPr>
                <w:rFonts w:ascii="Times New Roman" w:hAnsi="Times New Roman"/>
                <w:sz w:val="18"/>
                <w:szCs w:val="18"/>
                <w:lang w:val="zh-CN"/>
              </w:rPr>
            </w:pPr>
          </w:p>
        </w:tc>
        <w:tc>
          <w:tcPr>
            <w:tcW w:w="562" w:type="pct"/>
            <w:tcBorders>
              <w:top w:val="single" w:color="auto" w:sz="4" w:space="0"/>
            </w:tcBorders>
            <w:vAlign w:val="center"/>
          </w:tcPr>
          <w:p w14:paraId="746671FF">
            <w:pPr>
              <w:spacing w:line="240" w:lineRule="auto"/>
              <w:jc w:val="center"/>
              <w:rPr>
                <w:rFonts w:ascii="Times New Roman" w:hAnsi="Times New Roman"/>
                <w:sz w:val="18"/>
                <w:szCs w:val="18"/>
                <w:lang w:val="zh-CN"/>
              </w:rPr>
            </w:pPr>
          </w:p>
        </w:tc>
        <w:tc>
          <w:tcPr>
            <w:tcW w:w="459" w:type="pct"/>
            <w:tcBorders>
              <w:top w:val="single" w:color="auto" w:sz="4" w:space="0"/>
            </w:tcBorders>
            <w:vAlign w:val="center"/>
          </w:tcPr>
          <w:p w14:paraId="1978AAC6">
            <w:pPr>
              <w:spacing w:line="240" w:lineRule="auto"/>
              <w:jc w:val="center"/>
              <w:rPr>
                <w:rFonts w:ascii="Times New Roman" w:hAnsi="Times New Roman"/>
                <w:sz w:val="18"/>
                <w:szCs w:val="18"/>
                <w:lang w:val="zh-CN"/>
              </w:rPr>
            </w:pPr>
          </w:p>
        </w:tc>
        <w:tc>
          <w:tcPr>
            <w:tcW w:w="459" w:type="pct"/>
            <w:tcBorders>
              <w:top w:val="single" w:color="auto" w:sz="4" w:space="0"/>
            </w:tcBorders>
            <w:vAlign w:val="center"/>
          </w:tcPr>
          <w:p w14:paraId="4AC3D7A8">
            <w:pPr>
              <w:spacing w:line="240" w:lineRule="auto"/>
              <w:jc w:val="center"/>
              <w:rPr>
                <w:rFonts w:ascii="Times New Roman" w:hAnsi="Times New Roman"/>
                <w:sz w:val="18"/>
                <w:szCs w:val="18"/>
                <w:lang w:val="zh-CN"/>
              </w:rPr>
            </w:pPr>
          </w:p>
        </w:tc>
        <w:tc>
          <w:tcPr>
            <w:tcW w:w="459" w:type="pct"/>
            <w:tcBorders>
              <w:top w:val="single" w:color="auto" w:sz="4" w:space="0"/>
            </w:tcBorders>
            <w:vAlign w:val="center"/>
          </w:tcPr>
          <w:p w14:paraId="2FFEE548">
            <w:pPr>
              <w:spacing w:line="240" w:lineRule="auto"/>
              <w:jc w:val="center"/>
              <w:rPr>
                <w:rFonts w:ascii="Times New Roman" w:hAnsi="Times New Roman"/>
                <w:sz w:val="18"/>
                <w:szCs w:val="18"/>
                <w:lang w:val="zh-CN"/>
              </w:rPr>
            </w:pPr>
          </w:p>
        </w:tc>
        <w:tc>
          <w:tcPr>
            <w:tcW w:w="457" w:type="pct"/>
            <w:tcBorders>
              <w:top w:val="single" w:color="auto" w:sz="4" w:space="0"/>
              <w:right w:val="single" w:color="auto" w:sz="4" w:space="0"/>
            </w:tcBorders>
            <w:vAlign w:val="center"/>
          </w:tcPr>
          <w:p w14:paraId="410ACB88">
            <w:pPr>
              <w:spacing w:line="240" w:lineRule="auto"/>
              <w:jc w:val="center"/>
              <w:rPr>
                <w:rFonts w:ascii="Times New Roman" w:hAnsi="Times New Roman"/>
                <w:sz w:val="18"/>
                <w:szCs w:val="18"/>
                <w:lang w:val="zh-CN"/>
              </w:rPr>
            </w:pPr>
          </w:p>
        </w:tc>
      </w:tr>
      <w:tr w14:paraId="69F56F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9" w:type="pct"/>
            <w:vMerge w:val="continue"/>
            <w:tcBorders>
              <w:left w:val="single" w:color="auto" w:sz="4" w:space="0"/>
            </w:tcBorders>
            <w:vAlign w:val="center"/>
          </w:tcPr>
          <w:p w14:paraId="5E514852">
            <w:pPr>
              <w:spacing w:line="240" w:lineRule="auto"/>
              <w:jc w:val="center"/>
              <w:rPr>
                <w:rFonts w:ascii="Times New Roman" w:hAnsi="Times New Roman"/>
                <w:sz w:val="18"/>
                <w:szCs w:val="18"/>
                <w:lang w:val="zh-CN"/>
              </w:rPr>
            </w:pPr>
          </w:p>
        </w:tc>
        <w:tc>
          <w:tcPr>
            <w:tcW w:w="666" w:type="pct"/>
            <w:vAlign w:val="center"/>
          </w:tcPr>
          <w:p w14:paraId="62D45565">
            <w:pPr>
              <w:spacing w:line="240" w:lineRule="auto"/>
              <w:jc w:val="center"/>
              <w:rPr>
                <w:rFonts w:ascii="Times New Roman" w:hAnsi="Times New Roman"/>
                <w:sz w:val="18"/>
                <w:szCs w:val="18"/>
                <w:lang w:val="zh-CN"/>
              </w:rPr>
            </w:pPr>
            <w:r>
              <w:rPr>
                <w:rFonts w:ascii="Times New Roman" w:hAnsi="Times New Roman"/>
                <w:sz w:val="18"/>
                <w:szCs w:val="18"/>
                <w:lang w:val="zh-CN"/>
              </w:rPr>
              <w:t>强度等级</w:t>
            </w:r>
          </w:p>
        </w:tc>
        <w:tc>
          <w:tcPr>
            <w:tcW w:w="459" w:type="pct"/>
            <w:vAlign w:val="center"/>
          </w:tcPr>
          <w:p w14:paraId="1F8E96CB">
            <w:pPr>
              <w:spacing w:line="240" w:lineRule="auto"/>
              <w:jc w:val="center"/>
              <w:rPr>
                <w:rFonts w:ascii="Times New Roman" w:hAnsi="Times New Roman"/>
                <w:sz w:val="18"/>
                <w:szCs w:val="18"/>
                <w:lang w:val="zh-CN"/>
              </w:rPr>
            </w:pPr>
          </w:p>
        </w:tc>
        <w:tc>
          <w:tcPr>
            <w:tcW w:w="459" w:type="pct"/>
            <w:vAlign w:val="center"/>
          </w:tcPr>
          <w:p w14:paraId="180033F7">
            <w:pPr>
              <w:spacing w:line="240" w:lineRule="auto"/>
              <w:jc w:val="center"/>
              <w:rPr>
                <w:rFonts w:ascii="Times New Roman" w:hAnsi="Times New Roman"/>
                <w:sz w:val="18"/>
                <w:szCs w:val="18"/>
                <w:lang w:val="zh-CN"/>
              </w:rPr>
            </w:pPr>
          </w:p>
        </w:tc>
        <w:tc>
          <w:tcPr>
            <w:tcW w:w="459" w:type="pct"/>
            <w:vAlign w:val="center"/>
          </w:tcPr>
          <w:p w14:paraId="4ED08B90">
            <w:pPr>
              <w:spacing w:line="240" w:lineRule="auto"/>
              <w:jc w:val="center"/>
              <w:rPr>
                <w:rFonts w:ascii="Times New Roman" w:hAnsi="Times New Roman"/>
                <w:sz w:val="18"/>
                <w:szCs w:val="18"/>
                <w:lang w:val="zh-CN"/>
              </w:rPr>
            </w:pPr>
          </w:p>
        </w:tc>
        <w:tc>
          <w:tcPr>
            <w:tcW w:w="562" w:type="pct"/>
            <w:vAlign w:val="center"/>
          </w:tcPr>
          <w:p w14:paraId="5CB91FEE">
            <w:pPr>
              <w:spacing w:line="240" w:lineRule="auto"/>
              <w:jc w:val="center"/>
              <w:rPr>
                <w:rFonts w:ascii="Times New Roman" w:hAnsi="Times New Roman"/>
                <w:sz w:val="18"/>
                <w:szCs w:val="18"/>
                <w:lang w:val="zh-CN"/>
              </w:rPr>
            </w:pPr>
          </w:p>
        </w:tc>
        <w:tc>
          <w:tcPr>
            <w:tcW w:w="459" w:type="pct"/>
            <w:vAlign w:val="center"/>
          </w:tcPr>
          <w:p w14:paraId="4231FA71">
            <w:pPr>
              <w:spacing w:line="240" w:lineRule="auto"/>
              <w:jc w:val="center"/>
              <w:rPr>
                <w:rFonts w:ascii="Times New Roman" w:hAnsi="Times New Roman"/>
                <w:sz w:val="18"/>
                <w:szCs w:val="18"/>
                <w:lang w:val="zh-CN"/>
              </w:rPr>
            </w:pPr>
          </w:p>
        </w:tc>
        <w:tc>
          <w:tcPr>
            <w:tcW w:w="459" w:type="pct"/>
            <w:vAlign w:val="center"/>
          </w:tcPr>
          <w:p w14:paraId="60718D5E">
            <w:pPr>
              <w:spacing w:line="240" w:lineRule="auto"/>
              <w:jc w:val="center"/>
              <w:rPr>
                <w:rFonts w:ascii="Times New Roman" w:hAnsi="Times New Roman"/>
                <w:sz w:val="18"/>
                <w:szCs w:val="18"/>
                <w:lang w:val="zh-CN"/>
              </w:rPr>
            </w:pPr>
          </w:p>
        </w:tc>
        <w:tc>
          <w:tcPr>
            <w:tcW w:w="459" w:type="pct"/>
            <w:vAlign w:val="center"/>
          </w:tcPr>
          <w:p w14:paraId="5653AC4C">
            <w:pPr>
              <w:spacing w:line="240" w:lineRule="auto"/>
              <w:jc w:val="center"/>
              <w:rPr>
                <w:rFonts w:ascii="Times New Roman" w:hAnsi="Times New Roman"/>
                <w:sz w:val="18"/>
                <w:szCs w:val="18"/>
                <w:lang w:val="zh-CN"/>
              </w:rPr>
            </w:pPr>
          </w:p>
        </w:tc>
        <w:tc>
          <w:tcPr>
            <w:tcW w:w="457" w:type="pct"/>
            <w:tcBorders>
              <w:right w:val="single" w:color="auto" w:sz="4" w:space="0"/>
            </w:tcBorders>
            <w:vAlign w:val="center"/>
          </w:tcPr>
          <w:p w14:paraId="1267BA63">
            <w:pPr>
              <w:spacing w:line="240" w:lineRule="auto"/>
              <w:jc w:val="center"/>
              <w:rPr>
                <w:rFonts w:ascii="Times New Roman" w:hAnsi="Times New Roman"/>
                <w:sz w:val="18"/>
                <w:szCs w:val="18"/>
                <w:lang w:val="zh-CN"/>
              </w:rPr>
            </w:pPr>
          </w:p>
        </w:tc>
      </w:tr>
      <w:tr w14:paraId="565182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9" w:type="pct"/>
            <w:vMerge w:val="continue"/>
            <w:tcBorders>
              <w:left w:val="single" w:color="auto" w:sz="4" w:space="0"/>
            </w:tcBorders>
            <w:vAlign w:val="center"/>
          </w:tcPr>
          <w:p w14:paraId="03462010">
            <w:pPr>
              <w:spacing w:line="240" w:lineRule="auto"/>
              <w:jc w:val="center"/>
              <w:rPr>
                <w:rFonts w:ascii="Times New Roman" w:hAnsi="Times New Roman"/>
                <w:sz w:val="18"/>
                <w:szCs w:val="18"/>
                <w:lang w:val="zh-CN"/>
              </w:rPr>
            </w:pPr>
          </w:p>
        </w:tc>
        <w:tc>
          <w:tcPr>
            <w:tcW w:w="666" w:type="pct"/>
            <w:vAlign w:val="center"/>
          </w:tcPr>
          <w:p w14:paraId="41E63F91">
            <w:pPr>
              <w:spacing w:line="240" w:lineRule="auto"/>
              <w:jc w:val="center"/>
              <w:rPr>
                <w:rFonts w:ascii="Times New Roman" w:hAnsi="Times New Roman"/>
                <w:sz w:val="18"/>
                <w:szCs w:val="18"/>
                <w:lang w:val="zh-CN"/>
              </w:rPr>
            </w:pPr>
            <w:r>
              <w:rPr>
                <w:rFonts w:ascii="Times New Roman" w:hAnsi="Times New Roman"/>
                <w:sz w:val="18"/>
                <w:szCs w:val="18"/>
                <w:lang w:val="zh-CN"/>
              </w:rPr>
              <w:t>成型日期</w:t>
            </w:r>
          </w:p>
        </w:tc>
        <w:tc>
          <w:tcPr>
            <w:tcW w:w="459" w:type="pct"/>
            <w:vAlign w:val="center"/>
          </w:tcPr>
          <w:p w14:paraId="00248B8F">
            <w:pPr>
              <w:spacing w:line="240" w:lineRule="auto"/>
              <w:jc w:val="center"/>
              <w:rPr>
                <w:rFonts w:ascii="Times New Roman" w:hAnsi="Times New Roman"/>
                <w:sz w:val="18"/>
                <w:szCs w:val="18"/>
                <w:lang w:val="zh-CN"/>
              </w:rPr>
            </w:pPr>
          </w:p>
        </w:tc>
        <w:tc>
          <w:tcPr>
            <w:tcW w:w="459" w:type="pct"/>
            <w:vAlign w:val="center"/>
          </w:tcPr>
          <w:p w14:paraId="466C98CD">
            <w:pPr>
              <w:spacing w:line="240" w:lineRule="auto"/>
              <w:jc w:val="center"/>
              <w:rPr>
                <w:rFonts w:ascii="Times New Roman" w:hAnsi="Times New Roman"/>
                <w:sz w:val="18"/>
                <w:szCs w:val="18"/>
                <w:lang w:val="zh-CN"/>
              </w:rPr>
            </w:pPr>
          </w:p>
        </w:tc>
        <w:tc>
          <w:tcPr>
            <w:tcW w:w="459" w:type="pct"/>
            <w:vAlign w:val="center"/>
          </w:tcPr>
          <w:p w14:paraId="0A2F0C6F">
            <w:pPr>
              <w:spacing w:line="240" w:lineRule="auto"/>
              <w:jc w:val="center"/>
              <w:rPr>
                <w:rFonts w:ascii="Times New Roman" w:hAnsi="Times New Roman"/>
                <w:sz w:val="18"/>
                <w:szCs w:val="18"/>
                <w:lang w:val="zh-CN"/>
              </w:rPr>
            </w:pPr>
          </w:p>
        </w:tc>
        <w:tc>
          <w:tcPr>
            <w:tcW w:w="562" w:type="pct"/>
            <w:vAlign w:val="center"/>
          </w:tcPr>
          <w:p w14:paraId="7985E9F9">
            <w:pPr>
              <w:spacing w:line="240" w:lineRule="auto"/>
              <w:jc w:val="center"/>
              <w:rPr>
                <w:rFonts w:ascii="Times New Roman" w:hAnsi="Times New Roman"/>
                <w:sz w:val="18"/>
                <w:szCs w:val="18"/>
                <w:lang w:val="zh-CN"/>
              </w:rPr>
            </w:pPr>
          </w:p>
        </w:tc>
        <w:tc>
          <w:tcPr>
            <w:tcW w:w="459" w:type="pct"/>
            <w:vAlign w:val="center"/>
          </w:tcPr>
          <w:p w14:paraId="6A254121">
            <w:pPr>
              <w:spacing w:line="240" w:lineRule="auto"/>
              <w:jc w:val="center"/>
              <w:rPr>
                <w:rFonts w:ascii="Times New Roman" w:hAnsi="Times New Roman"/>
                <w:sz w:val="18"/>
                <w:szCs w:val="18"/>
                <w:lang w:val="zh-CN"/>
              </w:rPr>
            </w:pPr>
          </w:p>
        </w:tc>
        <w:tc>
          <w:tcPr>
            <w:tcW w:w="459" w:type="pct"/>
            <w:vAlign w:val="center"/>
          </w:tcPr>
          <w:p w14:paraId="2453EB4B">
            <w:pPr>
              <w:spacing w:line="240" w:lineRule="auto"/>
              <w:jc w:val="center"/>
              <w:rPr>
                <w:rFonts w:ascii="Times New Roman" w:hAnsi="Times New Roman"/>
                <w:sz w:val="18"/>
                <w:szCs w:val="18"/>
                <w:lang w:val="zh-CN"/>
              </w:rPr>
            </w:pPr>
          </w:p>
        </w:tc>
        <w:tc>
          <w:tcPr>
            <w:tcW w:w="459" w:type="pct"/>
            <w:vAlign w:val="center"/>
          </w:tcPr>
          <w:p w14:paraId="18CAE7D2">
            <w:pPr>
              <w:spacing w:line="240" w:lineRule="auto"/>
              <w:jc w:val="center"/>
              <w:rPr>
                <w:rFonts w:ascii="Times New Roman" w:hAnsi="Times New Roman"/>
                <w:sz w:val="18"/>
                <w:szCs w:val="18"/>
                <w:lang w:val="zh-CN"/>
              </w:rPr>
            </w:pPr>
          </w:p>
        </w:tc>
        <w:tc>
          <w:tcPr>
            <w:tcW w:w="457" w:type="pct"/>
            <w:tcBorders>
              <w:right w:val="single" w:color="auto" w:sz="4" w:space="0"/>
            </w:tcBorders>
            <w:vAlign w:val="center"/>
          </w:tcPr>
          <w:p w14:paraId="226F9726">
            <w:pPr>
              <w:spacing w:line="240" w:lineRule="auto"/>
              <w:jc w:val="center"/>
              <w:rPr>
                <w:rFonts w:ascii="Times New Roman" w:hAnsi="Times New Roman"/>
                <w:sz w:val="18"/>
                <w:szCs w:val="18"/>
                <w:lang w:val="zh-CN"/>
              </w:rPr>
            </w:pPr>
          </w:p>
        </w:tc>
      </w:tr>
      <w:tr w14:paraId="6E7ADB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25" w:type="pct"/>
            <w:gridSpan w:val="2"/>
            <w:tcBorders>
              <w:left w:val="single" w:color="auto" w:sz="4" w:space="0"/>
            </w:tcBorders>
            <w:vAlign w:val="center"/>
          </w:tcPr>
          <w:p w14:paraId="2CF6ABBB">
            <w:pPr>
              <w:spacing w:line="240" w:lineRule="auto"/>
              <w:jc w:val="center"/>
              <w:rPr>
                <w:rFonts w:ascii="Times New Roman" w:hAnsi="Times New Roman"/>
                <w:sz w:val="18"/>
                <w:szCs w:val="18"/>
                <w:lang w:val="zh-CN"/>
              </w:rPr>
            </w:pPr>
            <w:r>
              <w:rPr>
                <w:rFonts w:ascii="Times New Roman" w:hAnsi="Times New Roman"/>
                <w:sz w:val="18"/>
                <w:szCs w:val="18"/>
                <w:lang w:val="zh-CN"/>
              </w:rPr>
              <w:t>起始累计温度</w:t>
            </w:r>
          </w:p>
        </w:tc>
        <w:tc>
          <w:tcPr>
            <w:tcW w:w="459" w:type="pct"/>
            <w:vAlign w:val="center"/>
          </w:tcPr>
          <w:p w14:paraId="2BF3989F">
            <w:pPr>
              <w:spacing w:line="240" w:lineRule="auto"/>
              <w:jc w:val="center"/>
              <w:rPr>
                <w:rFonts w:ascii="Times New Roman" w:hAnsi="Times New Roman"/>
                <w:sz w:val="18"/>
                <w:szCs w:val="18"/>
                <w:lang w:val="zh-CN"/>
              </w:rPr>
            </w:pPr>
          </w:p>
        </w:tc>
        <w:tc>
          <w:tcPr>
            <w:tcW w:w="459" w:type="pct"/>
            <w:vAlign w:val="center"/>
          </w:tcPr>
          <w:p w14:paraId="1CDE8D8A">
            <w:pPr>
              <w:spacing w:line="240" w:lineRule="auto"/>
              <w:jc w:val="center"/>
              <w:rPr>
                <w:rFonts w:ascii="Times New Roman" w:hAnsi="Times New Roman"/>
                <w:sz w:val="18"/>
                <w:szCs w:val="18"/>
                <w:lang w:val="zh-CN"/>
              </w:rPr>
            </w:pPr>
          </w:p>
        </w:tc>
        <w:tc>
          <w:tcPr>
            <w:tcW w:w="459" w:type="pct"/>
            <w:vAlign w:val="center"/>
          </w:tcPr>
          <w:p w14:paraId="39862526">
            <w:pPr>
              <w:spacing w:line="240" w:lineRule="auto"/>
              <w:jc w:val="center"/>
              <w:rPr>
                <w:rFonts w:ascii="Times New Roman" w:hAnsi="Times New Roman"/>
                <w:sz w:val="18"/>
                <w:szCs w:val="18"/>
                <w:lang w:val="zh-CN"/>
              </w:rPr>
            </w:pPr>
          </w:p>
        </w:tc>
        <w:tc>
          <w:tcPr>
            <w:tcW w:w="562" w:type="pct"/>
            <w:vAlign w:val="center"/>
          </w:tcPr>
          <w:p w14:paraId="3E21AB4E">
            <w:pPr>
              <w:spacing w:line="240" w:lineRule="auto"/>
              <w:jc w:val="center"/>
              <w:rPr>
                <w:rFonts w:ascii="Times New Roman" w:hAnsi="Times New Roman"/>
                <w:sz w:val="18"/>
                <w:szCs w:val="18"/>
                <w:lang w:val="zh-CN"/>
              </w:rPr>
            </w:pPr>
          </w:p>
        </w:tc>
        <w:tc>
          <w:tcPr>
            <w:tcW w:w="459" w:type="pct"/>
            <w:vAlign w:val="center"/>
          </w:tcPr>
          <w:p w14:paraId="2268E8A9">
            <w:pPr>
              <w:spacing w:line="240" w:lineRule="auto"/>
              <w:jc w:val="center"/>
              <w:rPr>
                <w:rFonts w:ascii="Times New Roman" w:hAnsi="Times New Roman"/>
                <w:sz w:val="18"/>
                <w:szCs w:val="18"/>
                <w:lang w:val="zh-CN"/>
              </w:rPr>
            </w:pPr>
          </w:p>
        </w:tc>
        <w:tc>
          <w:tcPr>
            <w:tcW w:w="459" w:type="pct"/>
            <w:vAlign w:val="center"/>
          </w:tcPr>
          <w:p w14:paraId="2797E0C5">
            <w:pPr>
              <w:spacing w:line="240" w:lineRule="auto"/>
              <w:jc w:val="center"/>
              <w:rPr>
                <w:rFonts w:ascii="Times New Roman" w:hAnsi="Times New Roman"/>
                <w:sz w:val="18"/>
                <w:szCs w:val="18"/>
                <w:lang w:val="zh-CN"/>
              </w:rPr>
            </w:pPr>
          </w:p>
        </w:tc>
        <w:tc>
          <w:tcPr>
            <w:tcW w:w="459" w:type="pct"/>
            <w:vAlign w:val="center"/>
          </w:tcPr>
          <w:p w14:paraId="68162AEE">
            <w:pPr>
              <w:spacing w:line="240" w:lineRule="auto"/>
              <w:jc w:val="center"/>
              <w:rPr>
                <w:rFonts w:ascii="Times New Roman" w:hAnsi="Times New Roman"/>
                <w:sz w:val="18"/>
                <w:szCs w:val="18"/>
                <w:lang w:val="zh-CN"/>
              </w:rPr>
            </w:pPr>
          </w:p>
        </w:tc>
        <w:tc>
          <w:tcPr>
            <w:tcW w:w="457" w:type="pct"/>
            <w:tcBorders>
              <w:right w:val="single" w:color="auto" w:sz="4" w:space="0"/>
            </w:tcBorders>
            <w:vAlign w:val="center"/>
          </w:tcPr>
          <w:p w14:paraId="624253FD">
            <w:pPr>
              <w:spacing w:line="240" w:lineRule="auto"/>
              <w:jc w:val="center"/>
              <w:rPr>
                <w:rFonts w:ascii="Times New Roman" w:hAnsi="Times New Roman"/>
                <w:sz w:val="18"/>
                <w:szCs w:val="18"/>
                <w:lang w:val="zh-CN"/>
              </w:rPr>
            </w:pPr>
          </w:p>
        </w:tc>
      </w:tr>
      <w:tr w14:paraId="3E050C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25" w:type="pct"/>
            <w:gridSpan w:val="2"/>
            <w:tcBorders>
              <w:left w:val="single" w:color="auto" w:sz="4" w:space="0"/>
            </w:tcBorders>
            <w:vAlign w:val="center"/>
          </w:tcPr>
          <w:p w14:paraId="50EF8D7C">
            <w:pPr>
              <w:spacing w:line="240" w:lineRule="auto"/>
              <w:jc w:val="center"/>
              <w:rPr>
                <w:rFonts w:ascii="Times New Roman" w:hAnsi="Times New Roman"/>
                <w:sz w:val="18"/>
                <w:szCs w:val="18"/>
                <w:lang w:val="zh-CN"/>
              </w:rPr>
            </w:pPr>
            <w:r>
              <w:rPr>
                <w:rFonts w:ascii="Times New Roman" w:hAnsi="Times New Roman"/>
                <w:sz w:val="18"/>
                <w:szCs w:val="18"/>
                <w:lang w:val="zh-CN"/>
              </w:rPr>
              <w:t>期望终止累计温度</w:t>
            </w:r>
          </w:p>
        </w:tc>
        <w:tc>
          <w:tcPr>
            <w:tcW w:w="459" w:type="pct"/>
            <w:vAlign w:val="center"/>
          </w:tcPr>
          <w:p w14:paraId="72BD7BC6">
            <w:pPr>
              <w:spacing w:line="240" w:lineRule="auto"/>
              <w:jc w:val="center"/>
              <w:rPr>
                <w:rFonts w:ascii="Times New Roman" w:hAnsi="Times New Roman"/>
                <w:sz w:val="18"/>
                <w:szCs w:val="18"/>
                <w:lang w:val="zh-CN"/>
              </w:rPr>
            </w:pPr>
          </w:p>
        </w:tc>
        <w:tc>
          <w:tcPr>
            <w:tcW w:w="459" w:type="pct"/>
            <w:vAlign w:val="center"/>
          </w:tcPr>
          <w:p w14:paraId="37C22AF2">
            <w:pPr>
              <w:spacing w:line="240" w:lineRule="auto"/>
              <w:jc w:val="center"/>
              <w:rPr>
                <w:rFonts w:ascii="Times New Roman" w:hAnsi="Times New Roman"/>
                <w:sz w:val="18"/>
                <w:szCs w:val="18"/>
                <w:lang w:val="zh-CN"/>
              </w:rPr>
            </w:pPr>
          </w:p>
        </w:tc>
        <w:tc>
          <w:tcPr>
            <w:tcW w:w="459" w:type="pct"/>
            <w:vAlign w:val="center"/>
          </w:tcPr>
          <w:p w14:paraId="4B3C3AF7">
            <w:pPr>
              <w:spacing w:line="240" w:lineRule="auto"/>
              <w:jc w:val="center"/>
              <w:rPr>
                <w:rFonts w:ascii="Times New Roman" w:hAnsi="Times New Roman"/>
                <w:sz w:val="18"/>
                <w:szCs w:val="18"/>
                <w:lang w:val="zh-CN"/>
              </w:rPr>
            </w:pPr>
          </w:p>
        </w:tc>
        <w:tc>
          <w:tcPr>
            <w:tcW w:w="562" w:type="pct"/>
            <w:vAlign w:val="center"/>
          </w:tcPr>
          <w:p w14:paraId="18C80720">
            <w:pPr>
              <w:spacing w:line="240" w:lineRule="auto"/>
              <w:jc w:val="center"/>
              <w:rPr>
                <w:rFonts w:ascii="Times New Roman" w:hAnsi="Times New Roman"/>
                <w:sz w:val="18"/>
                <w:szCs w:val="18"/>
                <w:lang w:val="zh-CN"/>
              </w:rPr>
            </w:pPr>
          </w:p>
        </w:tc>
        <w:tc>
          <w:tcPr>
            <w:tcW w:w="459" w:type="pct"/>
            <w:vAlign w:val="center"/>
          </w:tcPr>
          <w:p w14:paraId="6335740E">
            <w:pPr>
              <w:spacing w:line="240" w:lineRule="auto"/>
              <w:jc w:val="center"/>
              <w:rPr>
                <w:rFonts w:ascii="Times New Roman" w:hAnsi="Times New Roman"/>
                <w:sz w:val="18"/>
                <w:szCs w:val="18"/>
                <w:lang w:val="zh-CN"/>
              </w:rPr>
            </w:pPr>
          </w:p>
        </w:tc>
        <w:tc>
          <w:tcPr>
            <w:tcW w:w="459" w:type="pct"/>
            <w:vAlign w:val="center"/>
          </w:tcPr>
          <w:p w14:paraId="2F299A56">
            <w:pPr>
              <w:spacing w:line="240" w:lineRule="auto"/>
              <w:jc w:val="center"/>
              <w:rPr>
                <w:rFonts w:ascii="Times New Roman" w:hAnsi="Times New Roman"/>
                <w:sz w:val="18"/>
                <w:szCs w:val="18"/>
                <w:lang w:val="zh-CN"/>
              </w:rPr>
            </w:pPr>
          </w:p>
        </w:tc>
        <w:tc>
          <w:tcPr>
            <w:tcW w:w="459" w:type="pct"/>
            <w:vAlign w:val="center"/>
          </w:tcPr>
          <w:p w14:paraId="16460873">
            <w:pPr>
              <w:spacing w:line="240" w:lineRule="auto"/>
              <w:jc w:val="center"/>
              <w:rPr>
                <w:rFonts w:ascii="Times New Roman" w:hAnsi="Times New Roman"/>
                <w:sz w:val="18"/>
                <w:szCs w:val="18"/>
                <w:lang w:val="zh-CN"/>
              </w:rPr>
            </w:pPr>
          </w:p>
        </w:tc>
        <w:tc>
          <w:tcPr>
            <w:tcW w:w="457" w:type="pct"/>
            <w:tcBorders>
              <w:right w:val="single" w:color="auto" w:sz="4" w:space="0"/>
            </w:tcBorders>
            <w:vAlign w:val="center"/>
          </w:tcPr>
          <w:p w14:paraId="5C2B0969">
            <w:pPr>
              <w:spacing w:line="240" w:lineRule="auto"/>
              <w:jc w:val="center"/>
              <w:rPr>
                <w:rFonts w:ascii="Times New Roman" w:hAnsi="Times New Roman"/>
                <w:sz w:val="18"/>
                <w:szCs w:val="18"/>
                <w:lang w:val="zh-CN"/>
              </w:rPr>
            </w:pPr>
          </w:p>
        </w:tc>
      </w:tr>
      <w:tr w14:paraId="21DA00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225" w:type="pct"/>
            <w:gridSpan w:val="2"/>
            <w:tcBorders>
              <w:left w:val="single" w:color="auto" w:sz="4" w:space="0"/>
            </w:tcBorders>
            <w:vAlign w:val="center"/>
          </w:tcPr>
          <w:p w14:paraId="6B5E1DAC">
            <w:pPr>
              <w:spacing w:line="240" w:lineRule="auto"/>
              <w:jc w:val="center"/>
              <w:rPr>
                <w:rFonts w:ascii="Times New Roman" w:hAnsi="Times New Roman"/>
                <w:sz w:val="18"/>
                <w:szCs w:val="18"/>
                <w:lang w:val="zh-CN"/>
              </w:rPr>
            </w:pPr>
            <w:r>
              <w:rPr>
                <w:rFonts w:ascii="Times New Roman" w:hAnsi="Times New Roman"/>
                <w:sz w:val="18"/>
                <w:szCs w:val="18"/>
                <w:lang w:val="zh-CN"/>
              </w:rPr>
              <w:t>起始累计天数</w:t>
            </w:r>
          </w:p>
        </w:tc>
        <w:tc>
          <w:tcPr>
            <w:tcW w:w="459" w:type="pct"/>
            <w:vAlign w:val="center"/>
          </w:tcPr>
          <w:p w14:paraId="74C65CAC">
            <w:pPr>
              <w:spacing w:line="240" w:lineRule="auto"/>
              <w:jc w:val="center"/>
              <w:rPr>
                <w:rFonts w:ascii="Times New Roman" w:hAnsi="Times New Roman"/>
                <w:sz w:val="18"/>
                <w:szCs w:val="18"/>
                <w:lang w:val="zh-CN"/>
              </w:rPr>
            </w:pPr>
          </w:p>
        </w:tc>
        <w:tc>
          <w:tcPr>
            <w:tcW w:w="459" w:type="pct"/>
            <w:vAlign w:val="center"/>
          </w:tcPr>
          <w:p w14:paraId="20B31E8E">
            <w:pPr>
              <w:spacing w:line="240" w:lineRule="auto"/>
              <w:jc w:val="center"/>
              <w:rPr>
                <w:rFonts w:ascii="Times New Roman" w:hAnsi="Times New Roman"/>
                <w:sz w:val="18"/>
                <w:szCs w:val="18"/>
                <w:lang w:val="zh-CN"/>
              </w:rPr>
            </w:pPr>
          </w:p>
        </w:tc>
        <w:tc>
          <w:tcPr>
            <w:tcW w:w="459" w:type="pct"/>
            <w:vAlign w:val="center"/>
          </w:tcPr>
          <w:p w14:paraId="24AA959B">
            <w:pPr>
              <w:spacing w:line="240" w:lineRule="auto"/>
              <w:jc w:val="center"/>
              <w:rPr>
                <w:rFonts w:ascii="Times New Roman" w:hAnsi="Times New Roman"/>
                <w:sz w:val="18"/>
                <w:szCs w:val="18"/>
                <w:lang w:val="zh-CN"/>
              </w:rPr>
            </w:pPr>
          </w:p>
        </w:tc>
        <w:tc>
          <w:tcPr>
            <w:tcW w:w="562" w:type="pct"/>
            <w:vAlign w:val="center"/>
          </w:tcPr>
          <w:p w14:paraId="34B3063E">
            <w:pPr>
              <w:spacing w:line="240" w:lineRule="auto"/>
              <w:jc w:val="center"/>
              <w:rPr>
                <w:rFonts w:ascii="Times New Roman" w:hAnsi="Times New Roman"/>
                <w:sz w:val="18"/>
                <w:szCs w:val="18"/>
                <w:lang w:val="zh-CN"/>
              </w:rPr>
            </w:pPr>
          </w:p>
        </w:tc>
        <w:tc>
          <w:tcPr>
            <w:tcW w:w="459" w:type="pct"/>
            <w:vAlign w:val="center"/>
          </w:tcPr>
          <w:p w14:paraId="5CA697D0">
            <w:pPr>
              <w:spacing w:line="240" w:lineRule="auto"/>
              <w:jc w:val="center"/>
              <w:rPr>
                <w:rFonts w:ascii="Times New Roman" w:hAnsi="Times New Roman"/>
                <w:sz w:val="18"/>
                <w:szCs w:val="18"/>
                <w:lang w:val="zh-CN"/>
              </w:rPr>
            </w:pPr>
          </w:p>
        </w:tc>
        <w:tc>
          <w:tcPr>
            <w:tcW w:w="459" w:type="pct"/>
            <w:vAlign w:val="center"/>
          </w:tcPr>
          <w:p w14:paraId="4B121C68">
            <w:pPr>
              <w:spacing w:line="240" w:lineRule="auto"/>
              <w:jc w:val="center"/>
              <w:rPr>
                <w:rFonts w:ascii="Times New Roman" w:hAnsi="Times New Roman"/>
                <w:sz w:val="18"/>
                <w:szCs w:val="18"/>
                <w:lang w:val="zh-CN"/>
              </w:rPr>
            </w:pPr>
          </w:p>
        </w:tc>
        <w:tc>
          <w:tcPr>
            <w:tcW w:w="459" w:type="pct"/>
            <w:vAlign w:val="center"/>
          </w:tcPr>
          <w:p w14:paraId="734B6FCB">
            <w:pPr>
              <w:spacing w:line="240" w:lineRule="auto"/>
              <w:jc w:val="center"/>
              <w:rPr>
                <w:rFonts w:ascii="Times New Roman" w:hAnsi="Times New Roman"/>
                <w:sz w:val="18"/>
                <w:szCs w:val="18"/>
                <w:lang w:val="zh-CN"/>
              </w:rPr>
            </w:pPr>
          </w:p>
        </w:tc>
        <w:tc>
          <w:tcPr>
            <w:tcW w:w="457" w:type="pct"/>
            <w:tcBorders>
              <w:right w:val="single" w:color="auto" w:sz="4" w:space="0"/>
            </w:tcBorders>
            <w:vAlign w:val="center"/>
          </w:tcPr>
          <w:p w14:paraId="5DA8934F">
            <w:pPr>
              <w:spacing w:line="240" w:lineRule="auto"/>
              <w:jc w:val="center"/>
              <w:rPr>
                <w:rFonts w:ascii="Times New Roman" w:hAnsi="Times New Roman"/>
                <w:sz w:val="18"/>
                <w:szCs w:val="18"/>
                <w:lang w:val="zh-CN"/>
              </w:rPr>
            </w:pPr>
          </w:p>
        </w:tc>
      </w:tr>
      <w:tr w14:paraId="504ED0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225" w:type="pct"/>
            <w:gridSpan w:val="2"/>
            <w:tcBorders>
              <w:left w:val="single" w:color="auto" w:sz="4" w:space="0"/>
            </w:tcBorders>
            <w:vAlign w:val="center"/>
          </w:tcPr>
          <w:p w14:paraId="506CCCBE">
            <w:pPr>
              <w:spacing w:line="240" w:lineRule="auto"/>
              <w:jc w:val="center"/>
              <w:rPr>
                <w:rFonts w:ascii="Times New Roman" w:hAnsi="Times New Roman"/>
                <w:sz w:val="18"/>
                <w:szCs w:val="18"/>
                <w:lang w:val="zh-CN"/>
              </w:rPr>
            </w:pPr>
            <w:r>
              <w:rPr>
                <w:rFonts w:ascii="Times New Roman" w:hAnsi="Times New Roman"/>
                <w:sz w:val="18"/>
                <w:szCs w:val="18"/>
                <w:lang w:val="zh-CN"/>
              </w:rPr>
              <w:t>终止累计天数</w:t>
            </w:r>
          </w:p>
        </w:tc>
        <w:tc>
          <w:tcPr>
            <w:tcW w:w="459" w:type="pct"/>
            <w:vAlign w:val="center"/>
          </w:tcPr>
          <w:p w14:paraId="27A69529">
            <w:pPr>
              <w:spacing w:line="240" w:lineRule="auto"/>
              <w:jc w:val="center"/>
              <w:rPr>
                <w:rFonts w:ascii="Times New Roman" w:hAnsi="Times New Roman"/>
                <w:sz w:val="18"/>
                <w:szCs w:val="18"/>
                <w:lang w:val="zh-CN"/>
              </w:rPr>
            </w:pPr>
          </w:p>
        </w:tc>
        <w:tc>
          <w:tcPr>
            <w:tcW w:w="459" w:type="pct"/>
            <w:vAlign w:val="center"/>
          </w:tcPr>
          <w:p w14:paraId="0E16AFE4">
            <w:pPr>
              <w:spacing w:line="240" w:lineRule="auto"/>
              <w:jc w:val="center"/>
              <w:rPr>
                <w:rFonts w:ascii="Times New Roman" w:hAnsi="Times New Roman"/>
                <w:sz w:val="18"/>
                <w:szCs w:val="18"/>
                <w:lang w:val="zh-CN"/>
              </w:rPr>
            </w:pPr>
          </w:p>
        </w:tc>
        <w:tc>
          <w:tcPr>
            <w:tcW w:w="459" w:type="pct"/>
            <w:vAlign w:val="center"/>
          </w:tcPr>
          <w:p w14:paraId="327199B4">
            <w:pPr>
              <w:spacing w:line="240" w:lineRule="auto"/>
              <w:jc w:val="center"/>
              <w:rPr>
                <w:rFonts w:ascii="Times New Roman" w:hAnsi="Times New Roman"/>
                <w:sz w:val="18"/>
                <w:szCs w:val="18"/>
                <w:lang w:val="zh-CN"/>
              </w:rPr>
            </w:pPr>
          </w:p>
        </w:tc>
        <w:tc>
          <w:tcPr>
            <w:tcW w:w="562" w:type="pct"/>
            <w:vAlign w:val="center"/>
          </w:tcPr>
          <w:p w14:paraId="74AFDD80">
            <w:pPr>
              <w:spacing w:line="240" w:lineRule="auto"/>
              <w:jc w:val="center"/>
              <w:rPr>
                <w:rFonts w:ascii="Times New Roman" w:hAnsi="Times New Roman"/>
                <w:sz w:val="18"/>
                <w:szCs w:val="18"/>
                <w:lang w:val="zh-CN"/>
              </w:rPr>
            </w:pPr>
          </w:p>
        </w:tc>
        <w:tc>
          <w:tcPr>
            <w:tcW w:w="459" w:type="pct"/>
            <w:vAlign w:val="center"/>
          </w:tcPr>
          <w:p w14:paraId="4FE4DABA">
            <w:pPr>
              <w:spacing w:line="240" w:lineRule="auto"/>
              <w:jc w:val="center"/>
              <w:rPr>
                <w:rFonts w:ascii="Times New Roman" w:hAnsi="Times New Roman"/>
                <w:sz w:val="18"/>
                <w:szCs w:val="18"/>
                <w:lang w:val="zh-CN"/>
              </w:rPr>
            </w:pPr>
          </w:p>
        </w:tc>
        <w:tc>
          <w:tcPr>
            <w:tcW w:w="459" w:type="pct"/>
            <w:vAlign w:val="center"/>
          </w:tcPr>
          <w:p w14:paraId="68774635">
            <w:pPr>
              <w:spacing w:line="240" w:lineRule="auto"/>
              <w:jc w:val="center"/>
              <w:rPr>
                <w:rFonts w:ascii="Times New Roman" w:hAnsi="Times New Roman"/>
                <w:sz w:val="18"/>
                <w:szCs w:val="18"/>
                <w:lang w:val="zh-CN"/>
              </w:rPr>
            </w:pPr>
          </w:p>
        </w:tc>
        <w:tc>
          <w:tcPr>
            <w:tcW w:w="459" w:type="pct"/>
            <w:vAlign w:val="center"/>
          </w:tcPr>
          <w:p w14:paraId="0FE0C173">
            <w:pPr>
              <w:spacing w:line="240" w:lineRule="auto"/>
              <w:jc w:val="center"/>
              <w:rPr>
                <w:rFonts w:ascii="Times New Roman" w:hAnsi="Times New Roman"/>
                <w:sz w:val="18"/>
                <w:szCs w:val="18"/>
                <w:lang w:val="zh-CN"/>
              </w:rPr>
            </w:pPr>
          </w:p>
        </w:tc>
        <w:tc>
          <w:tcPr>
            <w:tcW w:w="457" w:type="pct"/>
            <w:tcBorders>
              <w:right w:val="single" w:color="auto" w:sz="4" w:space="0"/>
            </w:tcBorders>
            <w:vAlign w:val="center"/>
          </w:tcPr>
          <w:p w14:paraId="0F4238D4">
            <w:pPr>
              <w:spacing w:line="240" w:lineRule="auto"/>
              <w:jc w:val="center"/>
              <w:rPr>
                <w:rFonts w:ascii="Times New Roman" w:hAnsi="Times New Roman"/>
                <w:sz w:val="18"/>
                <w:szCs w:val="18"/>
                <w:lang w:val="zh-CN"/>
              </w:rPr>
            </w:pPr>
          </w:p>
        </w:tc>
      </w:tr>
      <w:tr w14:paraId="4518B5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25" w:type="pct"/>
            <w:gridSpan w:val="2"/>
            <w:tcBorders>
              <w:left w:val="single" w:color="auto" w:sz="4" w:space="0"/>
            </w:tcBorders>
            <w:vAlign w:val="center"/>
          </w:tcPr>
          <w:p w14:paraId="12F9C675">
            <w:pPr>
              <w:spacing w:line="240" w:lineRule="auto"/>
              <w:jc w:val="center"/>
              <w:rPr>
                <w:rFonts w:ascii="Times New Roman" w:hAnsi="Times New Roman"/>
                <w:sz w:val="18"/>
                <w:szCs w:val="18"/>
                <w:lang w:val="zh-CN"/>
              </w:rPr>
            </w:pPr>
            <w:r>
              <w:rPr>
                <w:rFonts w:ascii="Times New Roman" w:hAnsi="Times New Roman"/>
                <w:sz w:val="18"/>
                <w:szCs w:val="18"/>
                <w:lang w:val="zh-CN"/>
              </w:rPr>
              <w:t>实际累计天数</w:t>
            </w:r>
          </w:p>
        </w:tc>
        <w:tc>
          <w:tcPr>
            <w:tcW w:w="459" w:type="pct"/>
            <w:vAlign w:val="center"/>
          </w:tcPr>
          <w:p w14:paraId="60F0700A">
            <w:pPr>
              <w:spacing w:line="240" w:lineRule="auto"/>
              <w:jc w:val="center"/>
              <w:rPr>
                <w:rFonts w:ascii="Times New Roman" w:hAnsi="Times New Roman"/>
                <w:sz w:val="18"/>
                <w:szCs w:val="18"/>
                <w:lang w:val="zh-CN"/>
              </w:rPr>
            </w:pPr>
          </w:p>
        </w:tc>
        <w:tc>
          <w:tcPr>
            <w:tcW w:w="459" w:type="pct"/>
            <w:vAlign w:val="center"/>
          </w:tcPr>
          <w:p w14:paraId="15B7634D">
            <w:pPr>
              <w:spacing w:line="240" w:lineRule="auto"/>
              <w:jc w:val="center"/>
              <w:rPr>
                <w:rFonts w:ascii="Times New Roman" w:hAnsi="Times New Roman"/>
                <w:sz w:val="18"/>
                <w:szCs w:val="18"/>
                <w:lang w:val="zh-CN"/>
              </w:rPr>
            </w:pPr>
          </w:p>
        </w:tc>
        <w:tc>
          <w:tcPr>
            <w:tcW w:w="459" w:type="pct"/>
            <w:vAlign w:val="center"/>
          </w:tcPr>
          <w:p w14:paraId="67013413">
            <w:pPr>
              <w:spacing w:line="240" w:lineRule="auto"/>
              <w:jc w:val="center"/>
              <w:rPr>
                <w:rFonts w:ascii="Times New Roman" w:hAnsi="Times New Roman"/>
                <w:sz w:val="18"/>
                <w:szCs w:val="18"/>
                <w:lang w:val="zh-CN"/>
              </w:rPr>
            </w:pPr>
          </w:p>
        </w:tc>
        <w:tc>
          <w:tcPr>
            <w:tcW w:w="562" w:type="pct"/>
            <w:vAlign w:val="center"/>
          </w:tcPr>
          <w:p w14:paraId="48375BCB">
            <w:pPr>
              <w:spacing w:line="240" w:lineRule="auto"/>
              <w:jc w:val="center"/>
              <w:rPr>
                <w:rFonts w:ascii="Times New Roman" w:hAnsi="Times New Roman"/>
                <w:sz w:val="18"/>
                <w:szCs w:val="18"/>
                <w:lang w:val="zh-CN"/>
              </w:rPr>
            </w:pPr>
          </w:p>
        </w:tc>
        <w:tc>
          <w:tcPr>
            <w:tcW w:w="459" w:type="pct"/>
            <w:vAlign w:val="center"/>
          </w:tcPr>
          <w:p w14:paraId="0713FCB1">
            <w:pPr>
              <w:spacing w:line="240" w:lineRule="auto"/>
              <w:jc w:val="center"/>
              <w:rPr>
                <w:rFonts w:ascii="Times New Roman" w:hAnsi="Times New Roman"/>
                <w:sz w:val="18"/>
                <w:szCs w:val="18"/>
                <w:lang w:val="zh-CN"/>
              </w:rPr>
            </w:pPr>
          </w:p>
        </w:tc>
        <w:tc>
          <w:tcPr>
            <w:tcW w:w="459" w:type="pct"/>
            <w:vAlign w:val="center"/>
          </w:tcPr>
          <w:p w14:paraId="0D355C00">
            <w:pPr>
              <w:spacing w:line="240" w:lineRule="auto"/>
              <w:jc w:val="center"/>
              <w:rPr>
                <w:rFonts w:ascii="Times New Roman" w:hAnsi="Times New Roman"/>
                <w:sz w:val="18"/>
                <w:szCs w:val="18"/>
                <w:lang w:val="zh-CN"/>
              </w:rPr>
            </w:pPr>
          </w:p>
        </w:tc>
        <w:tc>
          <w:tcPr>
            <w:tcW w:w="459" w:type="pct"/>
            <w:vAlign w:val="center"/>
          </w:tcPr>
          <w:p w14:paraId="0F28FCC8">
            <w:pPr>
              <w:spacing w:line="240" w:lineRule="auto"/>
              <w:jc w:val="center"/>
              <w:rPr>
                <w:rFonts w:ascii="Times New Roman" w:hAnsi="Times New Roman"/>
                <w:sz w:val="18"/>
                <w:szCs w:val="18"/>
                <w:lang w:val="zh-CN"/>
              </w:rPr>
            </w:pPr>
          </w:p>
        </w:tc>
        <w:tc>
          <w:tcPr>
            <w:tcW w:w="457" w:type="pct"/>
            <w:tcBorders>
              <w:right w:val="single" w:color="auto" w:sz="4" w:space="0"/>
            </w:tcBorders>
            <w:vAlign w:val="center"/>
          </w:tcPr>
          <w:p w14:paraId="6362B933">
            <w:pPr>
              <w:spacing w:line="240" w:lineRule="auto"/>
              <w:jc w:val="center"/>
              <w:rPr>
                <w:rFonts w:ascii="Times New Roman" w:hAnsi="Times New Roman"/>
                <w:sz w:val="18"/>
                <w:szCs w:val="18"/>
                <w:lang w:val="zh-CN"/>
              </w:rPr>
            </w:pPr>
          </w:p>
        </w:tc>
      </w:tr>
      <w:tr w14:paraId="00A86F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9" w:type="pct"/>
            <w:tcBorders>
              <w:left w:val="single" w:color="auto" w:sz="4" w:space="0"/>
            </w:tcBorders>
            <w:vAlign w:val="center"/>
          </w:tcPr>
          <w:p w14:paraId="1BF3E553">
            <w:pPr>
              <w:spacing w:line="240" w:lineRule="auto"/>
              <w:jc w:val="center"/>
              <w:rPr>
                <w:rFonts w:ascii="Times New Roman" w:hAnsi="Times New Roman"/>
                <w:sz w:val="18"/>
                <w:szCs w:val="18"/>
                <w:lang w:val="zh-CN"/>
              </w:rPr>
            </w:pPr>
            <w:r>
              <w:rPr>
                <w:rFonts w:ascii="Times New Roman" w:hAnsi="Times New Roman"/>
                <w:sz w:val="18"/>
                <w:szCs w:val="18"/>
                <w:lang w:val="zh-CN"/>
              </w:rPr>
              <w:t>记录人</w:t>
            </w:r>
          </w:p>
        </w:tc>
        <w:tc>
          <w:tcPr>
            <w:tcW w:w="666" w:type="pct"/>
            <w:vAlign w:val="center"/>
          </w:tcPr>
          <w:p w14:paraId="18D2320C">
            <w:pPr>
              <w:spacing w:line="240" w:lineRule="auto"/>
              <w:jc w:val="center"/>
              <w:rPr>
                <w:rFonts w:ascii="Times New Roman" w:hAnsi="Times New Roman"/>
                <w:sz w:val="18"/>
                <w:szCs w:val="18"/>
                <w:lang w:val="zh-CN"/>
              </w:rPr>
            </w:pPr>
          </w:p>
        </w:tc>
        <w:tc>
          <w:tcPr>
            <w:tcW w:w="918" w:type="pct"/>
            <w:gridSpan w:val="2"/>
            <w:vAlign w:val="center"/>
          </w:tcPr>
          <w:p w14:paraId="1F1F51B7">
            <w:pPr>
              <w:spacing w:line="240" w:lineRule="auto"/>
              <w:jc w:val="center"/>
              <w:rPr>
                <w:rFonts w:ascii="Times New Roman" w:hAnsi="Times New Roman"/>
                <w:sz w:val="18"/>
                <w:szCs w:val="18"/>
                <w:lang w:val="zh-CN"/>
              </w:rPr>
            </w:pPr>
            <w:r>
              <w:rPr>
                <w:rFonts w:ascii="Times New Roman" w:hAnsi="Times New Roman"/>
                <w:sz w:val="18"/>
                <w:szCs w:val="18"/>
                <w:lang w:val="zh-CN"/>
              </w:rPr>
              <w:t>专业质检员</w:t>
            </w:r>
          </w:p>
        </w:tc>
        <w:tc>
          <w:tcPr>
            <w:tcW w:w="1021" w:type="pct"/>
            <w:gridSpan w:val="2"/>
            <w:vAlign w:val="center"/>
          </w:tcPr>
          <w:p w14:paraId="62401CDA">
            <w:pPr>
              <w:spacing w:line="240" w:lineRule="auto"/>
              <w:jc w:val="center"/>
              <w:rPr>
                <w:rFonts w:ascii="Times New Roman" w:hAnsi="Times New Roman"/>
                <w:sz w:val="18"/>
                <w:szCs w:val="18"/>
                <w:lang w:val="zh-CN"/>
              </w:rPr>
            </w:pPr>
          </w:p>
        </w:tc>
        <w:tc>
          <w:tcPr>
            <w:tcW w:w="918" w:type="pct"/>
            <w:gridSpan w:val="2"/>
            <w:vAlign w:val="center"/>
          </w:tcPr>
          <w:p w14:paraId="5B403FBC">
            <w:pPr>
              <w:spacing w:line="240" w:lineRule="auto"/>
              <w:jc w:val="center"/>
              <w:rPr>
                <w:rFonts w:ascii="Times New Roman" w:hAnsi="Times New Roman"/>
                <w:sz w:val="18"/>
                <w:szCs w:val="18"/>
                <w:lang w:val="zh-CN"/>
              </w:rPr>
            </w:pPr>
            <w:r>
              <w:rPr>
                <w:rFonts w:ascii="Times New Roman" w:hAnsi="Times New Roman"/>
                <w:sz w:val="18"/>
                <w:szCs w:val="18"/>
                <w:lang w:val="zh-CN"/>
              </w:rPr>
              <w:t>专业技术负责人</w:t>
            </w:r>
          </w:p>
        </w:tc>
        <w:tc>
          <w:tcPr>
            <w:tcW w:w="916" w:type="pct"/>
            <w:gridSpan w:val="2"/>
            <w:tcBorders>
              <w:right w:val="single" w:color="auto" w:sz="4" w:space="0"/>
            </w:tcBorders>
            <w:vAlign w:val="center"/>
          </w:tcPr>
          <w:p w14:paraId="2C1A63D4">
            <w:pPr>
              <w:spacing w:line="240" w:lineRule="auto"/>
              <w:jc w:val="center"/>
              <w:rPr>
                <w:rFonts w:ascii="Times New Roman" w:hAnsi="Times New Roman"/>
                <w:sz w:val="18"/>
                <w:szCs w:val="18"/>
                <w:lang w:val="zh-CN"/>
              </w:rPr>
            </w:pPr>
          </w:p>
        </w:tc>
      </w:tr>
      <w:tr w14:paraId="23C447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0"/>
            <w:tcBorders>
              <w:left w:val="single" w:color="auto" w:sz="4" w:space="0"/>
              <w:bottom w:val="single" w:color="auto" w:sz="4" w:space="0"/>
              <w:right w:val="single" w:color="auto" w:sz="4" w:space="0"/>
            </w:tcBorders>
            <w:vAlign w:val="center"/>
          </w:tcPr>
          <w:p w14:paraId="082E4C8F">
            <w:pPr>
              <w:pStyle w:val="254"/>
              <w:adjustRightInd w:val="0"/>
              <w:snapToGrid w:val="0"/>
              <w:spacing w:line="348" w:lineRule="exact"/>
              <w:rPr>
                <w:rFonts w:ascii="Times New Roman"/>
              </w:rPr>
            </w:pPr>
            <w:r>
              <w:rPr>
                <w:rFonts w:ascii="Times New Roman"/>
              </w:rPr>
              <w:t>注：</w:t>
            </w:r>
            <w:r>
              <w:rPr>
                <w:rFonts w:hint="eastAsia" w:ascii="Times New Roman"/>
              </w:rPr>
              <w:t>1</w:t>
            </w:r>
            <w:r>
              <w:rPr>
                <w:rFonts w:ascii="Times New Roman"/>
              </w:rPr>
              <w:t>　表中起始累计温度和起始累计天数可从大气测温记录表中，该组试块开始记录的当日起始累计温度和起始累计天数查出。</w:t>
            </w:r>
          </w:p>
          <w:p w14:paraId="4832A2AC">
            <w:pPr>
              <w:pStyle w:val="254"/>
              <w:adjustRightInd w:val="0"/>
              <w:snapToGrid w:val="0"/>
              <w:spacing w:line="348" w:lineRule="exact"/>
              <w:rPr>
                <w:rFonts w:ascii="Times New Roman"/>
              </w:rPr>
            </w:pPr>
            <w:r>
              <w:rPr>
                <w:rFonts w:hint="eastAsia" w:ascii="Times New Roman"/>
              </w:rPr>
              <w:t>2</w:t>
            </w:r>
            <w:r>
              <w:rPr>
                <w:rFonts w:ascii="Times New Roman"/>
              </w:rPr>
              <w:t>　期望终止累计温度=起始累计温度+600℃。</w:t>
            </w:r>
          </w:p>
          <w:p w14:paraId="757647E4">
            <w:pPr>
              <w:pStyle w:val="254"/>
              <w:adjustRightInd w:val="0"/>
              <w:snapToGrid w:val="0"/>
              <w:spacing w:line="348" w:lineRule="exact"/>
              <w:rPr>
                <w:rFonts w:ascii="Times New Roman"/>
              </w:rPr>
            </w:pPr>
            <w:r>
              <w:rPr>
                <w:rFonts w:hint="eastAsia" w:ascii="Times New Roman"/>
              </w:rPr>
              <w:t>3</w:t>
            </w:r>
            <w:r>
              <w:rPr>
                <w:rFonts w:ascii="Times New Roman"/>
              </w:rPr>
              <w:t>　实际累计温度=期望终止累计温度-起始累计温度。</w:t>
            </w:r>
          </w:p>
          <w:p w14:paraId="509881B3">
            <w:pPr>
              <w:pStyle w:val="254"/>
              <w:adjustRightInd w:val="0"/>
              <w:snapToGrid w:val="0"/>
              <w:spacing w:line="348" w:lineRule="exact"/>
              <w:rPr>
                <w:rFonts w:ascii="Times New Roman"/>
                <w:lang w:val="zh-CN"/>
              </w:rPr>
            </w:pPr>
            <w:r>
              <w:rPr>
                <w:rFonts w:hint="eastAsia" w:ascii="Times New Roman"/>
              </w:rPr>
              <w:t>4</w:t>
            </w:r>
            <w:r>
              <w:rPr>
                <w:rFonts w:ascii="Times New Roman"/>
              </w:rPr>
              <w:t>　实际累计天数=终止累计天数-起始累计天数。</w:t>
            </w:r>
          </w:p>
        </w:tc>
      </w:tr>
    </w:tbl>
    <w:p w14:paraId="2879C8DD">
      <w:pPr>
        <w:pStyle w:val="254"/>
        <w:adjustRightInd w:val="0"/>
        <w:snapToGrid w:val="0"/>
        <w:spacing w:line="348" w:lineRule="exact"/>
        <w:ind w:firstLine="480" w:firstLineChars="267"/>
        <w:rPr>
          <w:rFonts w:ascii="Times New Roman"/>
        </w:rPr>
      </w:pPr>
      <w:r>
        <w:rPr>
          <w:rFonts w:ascii="Times New Roman"/>
        </w:rPr>
        <w:br w:type="page"/>
      </w:r>
    </w:p>
    <w:p w14:paraId="039B5E88">
      <w:pPr>
        <w:pStyle w:val="107"/>
        <w:spacing w:before="78" w:beforeLines="25" w:after="156"/>
      </w:pPr>
      <w:r>
        <w:br w:type="textWrapping"/>
      </w:r>
      <w:bookmarkStart w:id="762" w:name="_Toc151390230"/>
      <w:bookmarkStart w:id="763" w:name="_Toc151390325"/>
      <w:bookmarkStart w:id="764" w:name="_Toc151389568"/>
      <w:bookmarkStart w:id="765" w:name="_Toc205482192"/>
      <w:r>
        <w:rPr>
          <w:rFonts w:hint="eastAsia"/>
        </w:rPr>
        <w:t>（资料性）</w:t>
      </w:r>
      <w:r>
        <w:br w:type="textWrapping"/>
      </w:r>
      <w:r>
        <w:rPr>
          <w:rFonts w:hint="eastAsia"/>
        </w:rPr>
        <w:t>湖北省地方标准实施信息及意见反馈表</w:t>
      </w:r>
      <w:bookmarkEnd w:id="762"/>
      <w:bookmarkEnd w:id="763"/>
      <w:bookmarkEnd w:id="764"/>
      <w:bookmarkEnd w:id="765"/>
    </w:p>
    <w:p w14:paraId="77188200">
      <w:pPr>
        <w:pStyle w:val="50"/>
      </w:pPr>
      <w:r>
        <w:rPr>
          <w:rFonts w:hint="eastAsia"/>
        </w:rPr>
        <w:t>湖北省地方标准实施信息及意见反馈表如表B.1所示。</w:t>
      </w:r>
    </w:p>
    <w:p w14:paraId="5ACF411B">
      <w:pPr>
        <w:pStyle w:val="108"/>
      </w:pPr>
      <w:r>
        <w:rPr>
          <w:rFonts w:hint="eastAsia"/>
        </w:rPr>
        <w:t>表B.1 湖北省地方标准实施信息及意见反馈表</w:t>
      </w:r>
    </w:p>
    <w:tbl>
      <w:tblPr>
        <w:tblStyle w:val="298"/>
        <w:tblW w:w="90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823"/>
        <w:gridCol w:w="338"/>
        <w:gridCol w:w="2192"/>
        <w:gridCol w:w="3109"/>
        <w:gridCol w:w="1384"/>
      </w:tblGrid>
      <w:tr w14:paraId="0814C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2034" w:type="dxa"/>
            <w:gridSpan w:val="2"/>
            <w:tcBorders>
              <w:top w:val="single" w:color="auto" w:sz="12" w:space="0"/>
              <w:left w:val="single" w:color="auto" w:sz="12" w:space="0"/>
              <w:bottom w:val="single" w:color="000000" w:sz="2" w:space="0"/>
              <w:right w:val="single" w:color="auto" w:sz="4" w:space="0"/>
            </w:tcBorders>
            <w:vAlign w:val="center"/>
          </w:tcPr>
          <w:p w14:paraId="3A72E632">
            <w:pPr>
              <w:widowControl/>
              <w:kinsoku w:val="0"/>
              <w:autoSpaceDE w:val="0"/>
              <w:autoSpaceDN w:val="0"/>
              <w:snapToGrid w:val="0"/>
              <w:ind w:left="115"/>
              <w:jc w:val="left"/>
              <w:textAlignment w:val="baseline"/>
              <w:rPr>
                <w:rFonts w:ascii="宋体" w:hAnsi="宋体" w:eastAsia="宋体"/>
                <w:color w:val="000000"/>
                <w:kern w:val="0"/>
                <w:sz w:val="18"/>
                <w:szCs w:val="18"/>
              </w:rPr>
            </w:pPr>
            <w:r>
              <w:rPr>
                <w:rFonts w:hint="eastAsia" w:ascii="宋体" w:hAnsi="宋体" w:eastAsia="宋体"/>
                <w:color w:val="000000"/>
                <w:spacing w:val="9"/>
                <w:kern w:val="0"/>
                <w:sz w:val="18"/>
                <w:szCs w:val="18"/>
              </w:rPr>
              <w:t>标准名称及编号</w:t>
            </w:r>
          </w:p>
        </w:tc>
        <w:tc>
          <w:tcPr>
            <w:tcW w:w="7023" w:type="dxa"/>
            <w:gridSpan w:val="4"/>
            <w:tcBorders>
              <w:top w:val="single" w:color="auto" w:sz="12" w:space="0"/>
              <w:left w:val="single" w:color="auto" w:sz="4" w:space="0"/>
              <w:bottom w:val="single" w:color="000000" w:sz="2" w:space="0"/>
              <w:right w:val="single" w:color="auto" w:sz="12" w:space="0"/>
            </w:tcBorders>
            <w:vAlign w:val="center"/>
          </w:tcPr>
          <w:p w14:paraId="7368B1D9">
            <w:pPr>
              <w:jc w:val="left"/>
              <w:rPr>
                <w:rFonts w:ascii="宋体" w:hAnsi="宋体" w:eastAsia="宋体" w:cs="Arial"/>
                <w:kern w:val="0"/>
                <w:sz w:val="18"/>
                <w:szCs w:val="18"/>
              </w:rPr>
            </w:pPr>
          </w:p>
        </w:tc>
      </w:tr>
      <w:tr w14:paraId="4B6FB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jc w:val="center"/>
        </w:trPr>
        <w:tc>
          <w:tcPr>
            <w:tcW w:w="1211" w:type="dxa"/>
            <w:vMerge w:val="restart"/>
            <w:tcBorders>
              <w:top w:val="single" w:color="auto" w:sz="12" w:space="0"/>
              <w:left w:val="single" w:color="auto" w:sz="12" w:space="0"/>
              <w:bottom w:val="single" w:color="auto" w:sz="4" w:space="0"/>
              <w:right w:val="single" w:color="auto" w:sz="4" w:space="0"/>
            </w:tcBorders>
            <w:vAlign w:val="center"/>
          </w:tcPr>
          <w:p w14:paraId="3468B3A9">
            <w:pPr>
              <w:widowControl/>
              <w:kinsoku w:val="0"/>
              <w:autoSpaceDE w:val="0"/>
              <w:autoSpaceDN w:val="0"/>
              <w:snapToGrid w:val="0"/>
              <w:ind w:left="147"/>
              <w:jc w:val="left"/>
              <w:textAlignment w:val="baseline"/>
              <w:rPr>
                <w:rFonts w:ascii="宋体" w:hAnsi="宋体" w:eastAsia="宋体"/>
                <w:color w:val="000000"/>
                <w:kern w:val="0"/>
                <w:sz w:val="18"/>
                <w:szCs w:val="18"/>
              </w:rPr>
            </w:pPr>
            <w:r>
              <w:rPr>
                <w:rFonts w:hint="eastAsia" w:ascii="宋体" w:hAnsi="宋体" w:eastAsia="宋体"/>
                <w:color w:val="000000"/>
                <w:spacing w:val="3"/>
                <w:kern w:val="0"/>
                <w:sz w:val="18"/>
                <w:szCs w:val="18"/>
              </w:rPr>
              <w:t>总体评价</w:t>
            </w:r>
          </w:p>
        </w:tc>
        <w:tc>
          <w:tcPr>
            <w:tcW w:w="1161" w:type="dxa"/>
            <w:gridSpan w:val="2"/>
            <w:tcBorders>
              <w:top w:val="single" w:color="auto" w:sz="12" w:space="0"/>
              <w:left w:val="single" w:color="auto" w:sz="4" w:space="0"/>
              <w:bottom w:val="single" w:color="auto" w:sz="4" w:space="0"/>
              <w:right w:val="single" w:color="auto" w:sz="4" w:space="0"/>
            </w:tcBorders>
            <w:vAlign w:val="center"/>
          </w:tcPr>
          <w:p w14:paraId="774B3AD0">
            <w:pPr>
              <w:widowControl/>
              <w:kinsoku w:val="0"/>
              <w:autoSpaceDE w:val="0"/>
              <w:autoSpaceDN w:val="0"/>
              <w:snapToGrid w:val="0"/>
              <w:ind w:left="229"/>
              <w:jc w:val="left"/>
              <w:textAlignment w:val="baseline"/>
              <w:rPr>
                <w:rFonts w:ascii="宋体" w:hAnsi="宋体" w:eastAsia="宋体"/>
                <w:color w:val="000000"/>
                <w:kern w:val="0"/>
                <w:sz w:val="18"/>
                <w:szCs w:val="18"/>
              </w:rPr>
            </w:pPr>
            <w:r>
              <w:rPr>
                <w:rFonts w:hint="eastAsia" w:ascii="宋体" w:hAnsi="宋体" w:eastAsia="宋体"/>
                <w:color w:val="000000"/>
                <w:spacing w:val="5"/>
                <w:kern w:val="0"/>
                <w:sz w:val="18"/>
                <w:szCs w:val="18"/>
              </w:rPr>
              <w:t>适用性</w:t>
            </w:r>
          </w:p>
        </w:tc>
        <w:tc>
          <w:tcPr>
            <w:tcW w:w="5301" w:type="dxa"/>
            <w:gridSpan w:val="2"/>
            <w:tcBorders>
              <w:top w:val="single" w:color="auto" w:sz="12" w:space="0"/>
              <w:left w:val="single" w:color="auto" w:sz="4" w:space="0"/>
              <w:bottom w:val="single" w:color="auto" w:sz="4" w:space="0"/>
              <w:right w:val="single" w:color="auto" w:sz="4" w:space="0"/>
            </w:tcBorders>
            <w:vAlign w:val="center"/>
          </w:tcPr>
          <w:p w14:paraId="747B8783">
            <w:pPr>
              <w:widowControl/>
              <w:kinsoku w:val="0"/>
              <w:autoSpaceDE w:val="0"/>
              <w:autoSpaceDN w:val="0"/>
              <w:snapToGrid w:val="0"/>
              <w:ind w:left="116" w:right="103"/>
              <w:jc w:val="left"/>
              <w:textAlignment w:val="baseline"/>
              <w:rPr>
                <w:rFonts w:ascii="宋体" w:hAnsi="宋体" w:eastAsia="宋体"/>
                <w:color w:val="000000"/>
                <w:spacing w:val="11"/>
                <w:kern w:val="0"/>
                <w:sz w:val="18"/>
                <w:szCs w:val="18"/>
              </w:rPr>
            </w:pPr>
            <w:r>
              <w:rPr>
                <w:rFonts w:hint="eastAsia" w:ascii="宋体" w:hAnsi="宋体" w:eastAsia="宋体"/>
                <w:color w:val="000000"/>
                <w:spacing w:val="11"/>
                <w:kern w:val="0"/>
                <w:sz w:val="18"/>
                <w:szCs w:val="18"/>
              </w:rPr>
              <w:t>该标准与当前所在地的产业或社会发展水平是否</w:t>
            </w:r>
          </w:p>
          <w:p w14:paraId="6B5CE2F4">
            <w:pPr>
              <w:widowControl/>
              <w:kinsoku w:val="0"/>
              <w:autoSpaceDE w:val="0"/>
              <w:autoSpaceDN w:val="0"/>
              <w:snapToGrid w:val="0"/>
              <w:ind w:left="116" w:right="103"/>
              <w:jc w:val="left"/>
              <w:textAlignment w:val="baseline"/>
              <w:rPr>
                <w:rFonts w:ascii="宋体" w:hAnsi="宋体" w:eastAsia="宋体"/>
                <w:color w:val="000000"/>
                <w:kern w:val="0"/>
                <w:sz w:val="18"/>
                <w:szCs w:val="18"/>
              </w:rPr>
            </w:pPr>
            <w:r>
              <w:rPr>
                <w:rFonts w:hint="eastAsia" w:ascii="宋体" w:hAnsi="宋体" w:eastAsia="宋体"/>
                <w:color w:val="000000"/>
                <w:spacing w:val="11"/>
                <w:kern w:val="0"/>
                <w:sz w:val="18"/>
                <w:szCs w:val="18"/>
              </w:rPr>
              <w:t>相匹配？</w:t>
            </w:r>
          </w:p>
        </w:tc>
        <w:tc>
          <w:tcPr>
            <w:tcW w:w="1384" w:type="dxa"/>
            <w:tcBorders>
              <w:top w:val="single" w:color="auto" w:sz="12" w:space="0"/>
              <w:left w:val="single" w:color="auto" w:sz="4" w:space="0"/>
              <w:bottom w:val="single" w:color="auto" w:sz="4" w:space="0"/>
              <w:right w:val="single" w:color="auto" w:sz="12" w:space="0"/>
            </w:tcBorders>
            <w:vAlign w:val="center"/>
          </w:tcPr>
          <w:p w14:paraId="766AF3BB">
            <w:pPr>
              <w:widowControl/>
              <w:kinsoku w:val="0"/>
              <w:autoSpaceDE w:val="0"/>
              <w:autoSpaceDN w:val="0"/>
              <w:snapToGrid w:val="0"/>
              <w:ind w:left="127"/>
              <w:jc w:val="left"/>
              <w:textAlignment w:val="baseline"/>
              <w:rPr>
                <w:rFonts w:ascii="宋体" w:hAnsi="宋体" w:eastAsia="宋体"/>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2" name="图片 2" descr="C:\Users\ADMINI~1.USE\AppData\Local\Temp\ksohtml1191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USE\AppData\Local\Temp\ksohtml11916\wps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olor w:val="000000"/>
                <w:spacing w:val="22"/>
                <w:kern w:val="0"/>
                <w:sz w:val="18"/>
                <w:szCs w:val="18"/>
              </w:rPr>
              <w:t xml:space="preserve">是  </w:t>
            </w:r>
            <w:r>
              <w:rPr>
                <w:rFonts w:ascii="宋体" w:hAnsi="宋体" w:eastAsia="Times New Roman"/>
                <w:color w:val="000000"/>
                <w:kern w:val="0"/>
                <w:sz w:val="18"/>
                <w:szCs w:val="18"/>
              </w:rPr>
              <w:drawing>
                <wp:inline distT="0" distB="0" distL="0" distR="0">
                  <wp:extent cx="114300" cy="114300"/>
                  <wp:effectExtent l="0" t="0" r="0" b="0"/>
                  <wp:docPr id="3" name="图片 3" descr="C:\Users\ADMINI~1.USE\AppData\Local\Temp\ksohtml1191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USE\AppData\Local\Temp\ksohtml11916\wps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olor w:val="000000"/>
                <w:spacing w:val="22"/>
                <w:kern w:val="0"/>
                <w:sz w:val="18"/>
                <w:szCs w:val="18"/>
              </w:rPr>
              <w:t>否</w:t>
            </w:r>
          </w:p>
        </w:tc>
      </w:tr>
      <w:tr w14:paraId="247D9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22BCD9DC">
            <w:pPr>
              <w:widowControl/>
              <w:jc w:val="left"/>
              <w:rPr>
                <w:rFonts w:ascii="宋体" w:hAnsi="宋体" w:eastAsia="宋体"/>
                <w:color w:val="000000"/>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72AB8719">
            <w:pPr>
              <w:widowControl/>
              <w:kinsoku w:val="0"/>
              <w:autoSpaceDE w:val="0"/>
              <w:autoSpaceDN w:val="0"/>
              <w:snapToGrid w:val="0"/>
              <w:ind w:left="229"/>
              <w:jc w:val="left"/>
              <w:textAlignment w:val="baseline"/>
              <w:rPr>
                <w:rFonts w:ascii="宋体" w:hAnsi="宋体" w:eastAsia="宋体"/>
                <w:color w:val="000000"/>
                <w:kern w:val="0"/>
                <w:sz w:val="18"/>
                <w:szCs w:val="18"/>
              </w:rPr>
            </w:pPr>
            <w:r>
              <w:rPr>
                <w:rFonts w:hint="eastAsia" w:ascii="宋体" w:hAnsi="宋体" w:eastAsia="宋体"/>
                <w:color w:val="000000"/>
                <w:spacing w:val="5"/>
                <w:kern w:val="0"/>
                <w:sz w:val="18"/>
                <w:szCs w:val="18"/>
              </w:rPr>
              <w:t>协调性</w:t>
            </w:r>
          </w:p>
        </w:tc>
        <w:tc>
          <w:tcPr>
            <w:tcW w:w="5301" w:type="dxa"/>
            <w:gridSpan w:val="2"/>
            <w:tcBorders>
              <w:top w:val="single" w:color="auto" w:sz="4" w:space="0"/>
              <w:left w:val="single" w:color="auto" w:sz="4" w:space="0"/>
              <w:bottom w:val="single" w:color="auto" w:sz="4" w:space="0"/>
              <w:right w:val="single" w:color="auto" w:sz="4" w:space="0"/>
            </w:tcBorders>
            <w:vAlign w:val="center"/>
          </w:tcPr>
          <w:p w14:paraId="308C1620">
            <w:pPr>
              <w:widowControl/>
              <w:kinsoku w:val="0"/>
              <w:autoSpaceDE w:val="0"/>
              <w:autoSpaceDN w:val="0"/>
              <w:snapToGrid w:val="0"/>
              <w:ind w:left="116" w:right="103"/>
              <w:jc w:val="left"/>
              <w:textAlignment w:val="baseline"/>
              <w:rPr>
                <w:rFonts w:ascii="宋体" w:hAnsi="宋体" w:eastAsia="宋体"/>
                <w:color w:val="000000"/>
                <w:kern w:val="0"/>
                <w:sz w:val="18"/>
                <w:szCs w:val="18"/>
              </w:rPr>
            </w:pPr>
            <w:r>
              <w:rPr>
                <w:rFonts w:hint="eastAsia" w:ascii="宋体" w:hAnsi="宋体" w:eastAsia="宋体"/>
                <w:color w:val="000000"/>
                <w:spacing w:val="11"/>
                <w:kern w:val="0"/>
                <w:sz w:val="18"/>
                <w:szCs w:val="18"/>
              </w:rPr>
              <w:t>该标准的特色要求与其他强制性标准的主要技术指标、相关法律法规、部门规章或产业政策是否</w:t>
            </w:r>
            <w:r>
              <w:rPr>
                <w:rFonts w:hint="eastAsia" w:ascii="宋体" w:hAnsi="宋体" w:eastAsia="宋体"/>
                <w:color w:val="000000"/>
                <w:spacing w:val="2"/>
                <w:kern w:val="0"/>
                <w:sz w:val="18"/>
                <w:szCs w:val="18"/>
              </w:rPr>
              <w:t>协调？</w:t>
            </w:r>
          </w:p>
        </w:tc>
        <w:tc>
          <w:tcPr>
            <w:tcW w:w="1384" w:type="dxa"/>
            <w:tcBorders>
              <w:top w:val="single" w:color="auto" w:sz="4" w:space="0"/>
              <w:left w:val="single" w:color="auto" w:sz="4" w:space="0"/>
              <w:bottom w:val="single" w:color="auto" w:sz="4" w:space="0"/>
              <w:right w:val="single" w:color="auto" w:sz="12" w:space="0"/>
            </w:tcBorders>
            <w:vAlign w:val="center"/>
          </w:tcPr>
          <w:p w14:paraId="2A64AF80">
            <w:pPr>
              <w:widowControl/>
              <w:kinsoku w:val="0"/>
              <w:autoSpaceDE w:val="0"/>
              <w:autoSpaceDN w:val="0"/>
              <w:snapToGrid w:val="0"/>
              <w:ind w:left="127"/>
              <w:jc w:val="left"/>
              <w:textAlignment w:val="baseline"/>
              <w:rPr>
                <w:rFonts w:ascii="宋体" w:hAnsi="宋体" w:eastAsia="宋体"/>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4" name="图片 4" descr="C:\Users\ADMINI~1.USE\AppData\Local\Temp\ksohtml1191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USE\AppData\Local\Temp\ksohtml11916\wps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olor w:val="000000"/>
                <w:spacing w:val="22"/>
                <w:kern w:val="0"/>
                <w:sz w:val="18"/>
                <w:szCs w:val="18"/>
              </w:rPr>
              <w:t xml:space="preserve">是  </w:t>
            </w:r>
            <w:r>
              <w:rPr>
                <w:rFonts w:ascii="宋体" w:hAnsi="宋体" w:eastAsia="Times New Roman"/>
                <w:color w:val="000000"/>
                <w:kern w:val="0"/>
                <w:sz w:val="18"/>
                <w:szCs w:val="18"/>
              </w:rPr>
              <w:drawing>
                <wp:inline distT="0" distB="0" distL="0" distR="0">
                  <wp:extent cx="114300" cy="114300"/>
                  <wp:effectExtent l="0" t="0" r="0" b="0"/>
                  <wp:docPr id="6" name="图片 6" descr="C:\Users\ADMINI~1.USE\AppData\Local\Temp\ksohtml11916\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USE\AppData\Local\Temp\ksohtml11916\wps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olor w:val="000000"/>
                <w:spacing w:val="22"/>
                <w:kern w:val="0"/>
                <w:sz w:val="18"/>
                <w:szCs w:val="18"/>
              </w:rPr>
              <w:t>否</w:t>
            </w:r>
          </w:p>
        </w:tc>
      </w:tr>
      <w:tr w14:paraId="42C2D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1EAFFBFB">
            <w:pPr>
              <w:widowControl/>
              <w:jc w:val="left"/>
              <w:rPr>
                <w:rFonts w:ascii="宋体" w:hAnsi="宋体" w:eastAsia="宋体"/>
                <w:color w:val="000000"/>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643BCB31">
            <w:pPr>
              <w:widowControl/>
              <w:kinsoku w:val="0"/>
              <w:autoSpaceDE w:val="0"/>
              <w:autoSpaceDN w:val="0"/>
              <w:snapToGrid w:val="0"/>
              <w:ind w:left="351"/>
              <w:jc w:val="left"/>
              <w:textAlignment w:val="baseline"/>
              <w:rPr>
                <w:rFonts w:ascii="宋体" w:hAnsi="宋体" w:eastAsia="宋体"/>
                <w:color w:val="000000"/>
                <w:kern w:val="0"/>
                <w:sz w:val="18"/>
                <w:szCs w:val="18"/>
              </w:rPr>
            </w:pPr>
            <w:r>
              <w:rPr>
                <w:rFonts w:hint="eastAsia" w:ascii="宋体" w:hAnsi="宋体" w:eastAsia="宋体"/>
                <w:color w:val="000000"/>
                <w:spacing w:val="2"/>
                <w:kern w:val="0"/>
                <w:position w:val="12"/>
                <w:sz w:val="18"/>
                <w:szCs w:val="18"/>
              </w:rPr>
              <w:t>执行</w:t>
            </w:r>
          </w:p>
          <w:p w14:paraId="42CACD6C">
            <w:pPr>
              <w:widowControl/>
              <w:kinsoku w:val="0"/>
              <w:autoSpaceDE w:val="0"/>
              <w:autoSpaceDN w:val="0"/>
              <w:snapToGrid w:val="0"/>
              <w:ind w:left="355"/>
              <w:jc w:val="left"/>
              <w:textAlignment w:val="baseline"/>
              <w:rPr>
                <w:rFonts w:ascii="宋体" w:hAnsi="宋体" w:eastAsia="宋体"/>
                <w:color w:val="000000"/>
                <w:kern w:val="0"/>
                <w:sz w:val="18"/>
                <w:szCs w:val="18"/>
              </w:rPr>
            </w:pPr>
            <w:r>
              <w:rPr>
                <w:rFonts w:hint="eastAsia" w:ascii="宋体" w:hAnsi="宋体" w:eastAsia="宋体"/>
                <w:color w:val="000000"/>
                <w:kern w:val="0"/>
                <w:sz w:val="18"/>
                <w:szCs w:val="18"/>
              </w:rPr>
              <w:t>情况</w:t>
            </w:r>
          </w:p>
        </w:tc>
        <w:tc>
          <w:tcPr>
            <w:tcW w:w="5301" w:type="dxa"/>
            <w:gridSpan w:val="2"/>
            <w:tcBorders>
              <w:top w:val="single" w:color="auto" w:sz="4" w:space="0"/>
              <w:left w:val="single" w:color="auto" w:sz="4" w:space="0"/>
              <w:bottom w:val="single" w:color="auto" w:sz="4" w:space="0"/>
              <w:right w:val="single" w:color="auto" w:sz="4" w:space="0"/>
            </w:tcBorders>
            <w:vAlign w:val="center"/>
          </w:tcPr>
          <w:p w14:paraId="61F82BD3">
            <w:pPr>
              <w:widowControl/>
              <w:kinsoku w:val="0"/>
              <w:autoSpaceDE w:val="0"/>
              <w:autoSpaceDN w:val="0"/>
              <w:snapToGrid w:val="0"/>
              <w:ind w:left="116" w:right="103"/>
              <w:jc w:val="left"/>
              <w:textAlignment w:val="baseline"/>
              <w:rPr>
                <w:rFonts w:ascii="宋体" w:hAnsi="宋体" w:eastAsia="宋体"/>
                <w:color w:val="000000"/>
                <w:spacing w:val="11"/>
                <w:kern w:val="0"/>
                <w:sz w:val="18"/>
                <w:szCs w:val="18"/>
              </w:rPr>
            </w:pPr>
            <w:r>
              <w:rPr>
                <w:rFonts w:hint="eastAsia" w:ascii="宋体" w:hAnsi="宋体" w:eastAsia="宋体"/>
                <w:color w:val="000000"/>
                <w:spacing w:val="11"/>
                <w:kern w:val="0"/>
                <w:sz w:val="18"/>
                <w:szCs w:val="18"/>
              </w:rPr>
              <w:t>标准执行单位或人员是否按照标准要求组织开展</w:t>
            </w:r>
          </w:p>
          <w:p w14:paraId="5ED032DE">
            <w:pPr>
              <w:widowControl/>
              <w:kinsoku w:val="0"/>
              <w:autoSpaceDE w:val="0"/>
              <w:autoSpaceDN w:val="0"/>
              <w:snapToGrid w:val="0"/>
              <w:ind w:left="116" w:right="103"/>
              <w:jc w:val="left"/>
              <w:textAlignment w:val="baseline"/>
              <w:rPr>
                <w:rFonts w:ascii="宋体" w:hAnsi="宋体" w:eastAsia="宋体"/>
                <w:color w:val="000000"/>
                <w:kern w:val="0"/>
                <w:sz w:val="18"/>
                <w:szCs w:val="18"/>
              </w:rPr>
            </w:pPr>
            <w:r>
              <w:rPr>
                <w:rFonts w:hint="eastAsia" w:ascii="宋体" w:hAnsi="宋体" w:eastAsia="宋体"/>
                <w:color w:val="000000"/>
                <w:spacing w:val="11"/>
                <w:kern w:val="0"/>
                <w:sz w:val="18"/>
                <w:szCs w:val="18"/>
              </w:rPr>
              <w:t>相关工作？</w:t>
            </w:r>
          </w:p>
        </w:tc>
        <w:tc>
          <w:tcPr>
            <w:tcW w:w="1384" w:type="dxa"/>
            <w:tcBorders>
              <w:top w:val="single" w:color="auto" w:sz="4" w:space="0"/>
              <w:left w:val="single" w:color="auto" w:sz="4" w:space="0"/>
              <w:bottom w:val="single" w:color="auto" w:sz="4" w:space="0"/>
              <w:right w:val="single" w:color="auto" w:sz="12" w:space="0"/>
            </w:tcBorders>
            <w:vAlign w:val="center"/>
          </w:tcPr>
          <w:p w14:paraId="2FB4E539">
            <w:pPr>
              <w:widowControl/>
              <w:kinsoku w:val="0"/>
              <w:autoSpaceDE w:val="0"/>
              <w:autoSpaceDN w:val="0"/>
              <w:snapToGrid w:val="0"/>
              <w:ind w:left="127"/>
              <w:jc w:val="left"/>
              <w:textAlignment w:val="baseline"/>
              <w:rPr>
                <w:rFonts w:ascii="宋体" w:hAnsi="宋体" w:eastAsia="宋体"/>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7" name="图片 7" descr="C:\Users\ADMINI~1.USE\AppData\Local\Temp\ksohtml1191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USE\AppData\Local\Temp\ksohtml11916\wps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olor w:val="000000"/>
                <w:spacing w:val="22"/>
                <w:kern w:val="0"/>
                <w:sz w:val="18"/>
                <w:szCs w:val="18"/>
              </w:rPr>
              <w:t xml:space="preserve">是  </w:t>
            </w:r>
            <w:r>
              <w:rPr>
                <w:rFonts w:ascii="宋体" w:hAnsi="宋体" w:eastAsia="Times New Roman"/>
                <w:color w:val="000000"/>
                <w:kern w:val="0"/>
                <w:sz w:val="18"/>
                <w:szCs w:val="18"/>
              </w:rPr>
              <w:drawing>
                <wp:inline distT="0" distB="0" distL="0" distR="0">
                  <wp:extent cx="114300" cy="114300"/>
                  <wp:effectExtent l="0" t="0" r="0" b="0"/>
                  <wp:docPr id="8" name="图片 8" descr="C:\Users\ADMINI~1.USE\AppData\Local\Temp\ksohtml11916\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USE\AppData\Local\Temp\ksohtml11916\wps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olor w:val="000000"/>
                <w:spacing w:val="22"/>
                <w:kern w:val="0"/>
                <w:sz w:val="18"/>
                <w:szCs w:val="18"/>
              </w:rPr>
              <w:t>否</w:t>
            </w:r>
          </w:p>
        </w:tc>
      </w:tr>
      <w:tr w14:paraId="06B67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1211" w:type="dxa"/>
            <w:vMerge w:val="restart"/>
            <w:tcBorders>
              <w:top w:val="single" w:color="auto" w:sz="4" w:space="0"/>
              <w:left w:val="single" w:color="auto" w:sz="12" w:space="0"/>
              <w:bottom w:val="single" w:color="auto" w:sz="4" w:space="0"/>
              <w:right w:val="single" w:color="auto" w:sz="4" w:space="0"/>
            </w:tcBorders>
            <w:vAlign w:val="center"/>
          </w:tcPr>
          <w:p w14:paraId="7CF8CD93">
            <w:pPr>
              <w:widowControl/>
              <w:kinsoku w:val="0"/>
              <w:autoSpaceDE w:val="0"/>
              <w:autoSpaceDN w:val="0"/>
              <w:snapToGrid w:val="0"/>
              <w:ind w:left="143"/>
              <w:jc w:val="left"/>
              <w:textAlignment w:val="baseline"/>
              <w:rPr>
                <w:rFonts w:ascii="宋体" w:hAnsi="宋体" w:eastAsia="宋体"/>
                <w:color w:val="000000"/>
                <w:kern w:val="0"/>
                <w:sz w:val="18"/>
                <w:szCs w:val="18"/>
              </w:rPr>
            </w:pPr>
            <w:r>
              <w:rPr>
                <w:rFonts w:hint="eastAsia" w:ascii="宋体" w:hAnsi="宋体" w:eastAsia="宋体"/>
                <w:color w:val="000000"/>
                <w:spacing w:val="4"/>
                <w:kern w:val="0"/>
                <w:sz w:val="18"/>
                <w:szCs w:val="18"/>
              </w:rPr>
              <w:t>实施信息</w:t>
            </w:r>
          </w:p>
        </w:tc>
        <w:tc>
          <w:tcPr>
            <w:tcW w:w="6462" w:type="dxa"/>
            <w:gridSpan w:val="4"/>
            <w:tcBorders>
              <w:top w:val="single" w:color="auto" w:sz="4" w:space="0"/>
              <w:left w:val="single" w:color="auto" w:sz="4" w:space="0"/>
              <w:bottom w:val="single" w:color="auto" w:sz="4" w:space="0"/>
              <w:right w:val="single" w:color="auto" w:sz="4" w:space="0"/>
            </w:tcBorders>
            <w:vAlign w:val="center"/>
          </w:tcPr>
          <w:p w14:paraId="3C2B7584">
            <w:pPr>
              <w:widowControl/>
              <w:kinsoku w:val="0"/>
              <w:autoSpaceDE w:val="0"/>
              <w:autoSpaceDN w:val="0"/>
              <w:snapToGrid w:val="0"/>
              <w:ind w:left="111"/>
              <w:jc w:val="left"/>
              <w:textAlignment w:val="baseline"/>
              <w:rPr>
                <w:rFonts w:ascii="宋体" w:hAnsi="宋体" w:eastAsia="宋体"/>
                <w:color w:val="000000"/>
                <w:kern w:val="0"/>
                <w:sz w:val="18"/>
                <w:szCs w:val="18"/>
              </w:rPr>
            </w:pPr>
            <w:r>
              <w:rPr>
                <w:rFonts w:hint="eastAsia" w:ascii="宋体" w:hAnsi="宋体" w:eastAsia="宋体"/>
                <w:color w:val="000000"/>
                <w:spacing w:val="8"/>
                <w:kern w:val="0"/>
                <w:sz w:val="18"/>
                <w:szCs w:val="18"/>
              </w:rPr>
              <w:t>标准实施过程中是否存在阻力和障碍？</w:t>
            </w:r>
          </w:p>
        </w:tc>
        <w:tc>
          <w:tcPr>
            <w:tcW w:w="1384" w:type="dxa"/>
            <w:tcBorders>
              <w:top w:val="single" w:color="auto" w:sz="4" w:space="0"/>
              <w:left w:val="single" w:color="auto" w:sz="4" w:space="0"/>
              <w:bottom w:val="single" w:color="auto" w:sz="4" w:space="0"/>
              <w:right w:val="single" w:color="auto" w:sz="12" w:space="0"/>
            </w:tcBorders>
            <w:vAlign w:val="center"/>
          </w:tcPr>
          <w:p w14:paraId="1D0ED055">
            <w:pPr>
              <w:widowControl/>
              <w:kinsoku w:val="0"/>
              <w:autoSpaceDE w:val="0"/>
              <w:autoSpaceDN w:val="0"/>
              <w:snapToGrid w:val="0"/>
              <w:ind w:left="127"/>
              <w:jc w:val="left"/>
              <w:textAlignment w:val="baseline"/>
              <w:rPr>
                <w:rFonts w:ascii="宋体" w:hAnsi="宋体" w:eastAsia="宋体"/>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9" name="图片 9" descr="C:\Users\ADMINI~1.USE\AppData\Local\Temp\ksohtml11916\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1.USE\AppData\Local\Temp\ksohtml11916\wps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olor w:val="000000"/>
                <w:spacing w:val="22"/>
                <w:kern w:val="0"/>
                <w:sz w:val="18"/>
                <w:szCs w:val="18"/>
              </w:rPr>
              <w:t xml:space="preserve">是  </w:t>
            </w:r>
            <w:r>
              <w:rPr>
                <w:rFonts w:ascii="宋体" w:hAnsi="宋体" w:eastAsia="Times New Roman"/>
                <w:color w:val="000000"/>
                <w:kern w:val="0"/>
                <w:sz w:val="18"/>
                <w:szCs w:val="18"/>
              </w:rPr>
              <w:drawing>
                <wp:inline distT="0" distB="0" distL="0" distR="0">
                  <wp:extent cx="114300" cy="114300"/>
                  <wp:effectExtent l="0" t="0" r="0" b="0"/>
                  <wp:docPr id="10" name="图片 10" descr="C:\Users\ADMINI~1.USE\AppData\Local\Temp\ksohtml11916\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1.USE\AppData\Local\Temp\ksohtml11916\wps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olor w:val="000000"/>
                <w:spacing w:val="22"/>
                <w:kern w:val="0"/>
                <w:sz w:val="18"/>
                <w:szCs w:val="18"/>
              </w:rPr>
              <w:t>否</w:t>
            </w:r>
          </w:p>
        </w:tc>
      </w:tr>
      <w:tr w14:paraId="1F9D7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0078C1F0">
            <w:pPr>
              <w:widowControl/>
              <w:jc w:val="left"/>
              <w:rPr>
                <w:rFonts w:ascii="宋体" w:hAnsi="宋体" w:eastAsia="宋体"/>
                <w:color w:val="000000"/>
                <w:kern w:val="0"/>
                <w:sz w:val="18"/>
                <w:szCs w:val="18"/>
              </w:rPr>
            </w:pPr>
          </w:p>
        </w:tc>
        <w:tc>
          <w:tcPr>
            <w:tcW w:w="3353" w:type="dxa"/>
            <w:gridSpan w:val="3"/>
            <w:tcBorders>
              <w:top w:val="single" w:color="auto" w:sz="4" w:space="0"/>
              <w:left w:val="single" w:color="auto" w:sz="4" w:space="0"/>
              <w:bottom w:val="single" w:color="auto" w:sz="4" w:space="0"/>
              <w:right w:val="single" w:color="auto" w:sz="4" w:space="0"/>
            </w:tcBorders>
            <w:vAlign w:val="center"/>
          </w:tcPr>
          <w:p w14:paraId="39B3F643">
            <w:pPr>
              <w:widowControl/>
              <w:kinsoku w:val="0"/>
              <w:autoSpaceDE w:val="0"/>
              <w:autoSpaceDN w:val="0"/>
              <w:snapToGrid w:val="0"/>
              <w:ind w:left="125"/>
              <w:jc w:val="left"/>
              <w:textAlignment w:val="baseline"/>
              <w:rPr>
                <w:rFonts w:ascii="宋体" w:hAnsi="宋体" w:eastAsia="宋体"/>
                <w:color w:val="000000"/>
                <w:kern w:val="0"/>
                <w:sz w:val="18"/>
                <w:szCs w:val="18"/>
              </w:rPr>
            </w:pPr>
            <w:r>
              <w:rPr>
                <w:rFonts w:hint="eastAsia" w:ascii="宋体" w:hAnsi="宋体" w:eastAsia="宋体"/>
                <w:color w:val="000000"/>
                <w:spacing w:val="8"/>
                <w:kern w:val="0"/>
                <w:sz w:val="18"/>
                <w:szCs w:val="18"/>
              </w:rPr>
              <w:t>实施过程中存在的主要问题</w:t>
            </w:r>
          </w:p>
        </w:tc>
        <w:tc>
          <w:tcPr>
            <w:tcW w:w="4493" w:type="dxa"/>
            <w:gridSpan w:val="2"/>
            <w:tcBorders>
              <w:top w:val="single" w:color="auto" w:sz="4" w:space="0"/>
              <w:left w:val="single" w:color="auto" w:sz="4" w:space="0"/>
              <w:bottom w:val="single" w:color="auto" w:sz="4" w:space="0"/>
              <w:right w:val="single" w:color="auto" w:sz="12" w:space="0"/>
            </w:tcBorders>
            <w:vAlign w:val="center"/>
          </w:tcPr>
          <w:p w14:paraId="2A3BA1FB">
            <w:pPr>
              <w:jc w:val="left"/>
              <w:rPr>
                <w:rFonts w:ascii="宋体" w:hAnsi="宋体" w:eastAsia="宋体" w:cs="Arial"/>
                <w:kern w:val="0"/>
                <w:sz w:val="18"/>
                <w:szCs w:val="18"/>
              </w:rPr>
            </w:pPr>
          </w:p>
        </w:tc>
      </w:tr>
      <w:tr w14:paraId="6A4A3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jc w:val="center"/>
        </w:trPr>
        <w:tc>
          <w:tcPr>
            <w:tcW w:w="1211" w:type="dxa"/>
            <w:vMerge w:val="restart"/>
            <w:tcBorders>
              <w:top w:val="single" w:color="auto" w:sz="4" w:space="0"/>
              <w:left w:val="single" w:color="auto" w:sz="12" w:space="0"/>
              <w:bottom w:val="single" w:color="auto" w:sz="4" w:space="0"/>
              <w:right w:val="single" w:color="auto" w:sz="4" w:space="0"/>
            </w:tcBorders>
            <w:vAlign w:val="center"/>
          </w:tcPr>
          <w:p w14:paraId="6C450C84">
            <w:pPr>
              <w:widowControl/>
              <w:kinsoku w:val="0"/>
              <w:autoSpaceDE w:val="0"/>
              <w:autoSpaceDN w:val="0"/>
              <w:snapToGrid w:val="0"/>
              <w:ind w:left="126"/>
              <w:jc w:val="left"/>
              <w:textAlignment w:val="baseline"/>
              <w:rPr>
                <w:rFonts w:ascii="宋体" w:hAnsi="宋体" w:eastAsia="宋体"/>
                <w:color w:val="000000"/>
                <w:kern w:val="0"/>
                <w:sz w:val="18"/>
                <w:szCs w:val="18"/>
              </w:rPr>
            </w:pPr>
            <w:r>
              <w:rPr>
                <w:rFonts w:hint="eastAsia" w:ascii="宋体" w:hAnsi="宋体" w:eastAsia="宋体"/>
                <w:color w:val="000000"/>
                <w:spacing w:val="8"/>
                <w:kern w:val="0"/>
                <w:sz w:val="18"/>
                <w:szCs w:val="18"/>
              </w:rPr>
              <w:t>修改意见</w:t>
            </w: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4AC079BF">
            <w:pPr>
              <w:widowControl/>
              <w:kinsoku w:val="0"/>
              <w:autoSpaceDE w:val="0"/>
              <w:autoSpaceDN w:val="0"/>
              <w:snapToGrid w:val="0"/>
              <w:ind w:left="361"/>
              <w:jc w:val="left"/>
              <w:textAlignment w:val="baseline"/>
              <w:rPr>
                <w:rFonts w:ascii="宋体" w:hAnsi="宋体" w:eastAsia="宋体"/>
                <w:color w:val="000000"/>
                <w:kern w:val="0"/>
                <w:sz w:val="18"/>
                <w:szCs w:val="18"/>
              </w:rPr>
            </w:pPr>
            <w:r>
              <w:rPr>
                <w:rFonts w:hint="eastAsia" w:ascii="宋体" w:hAnsi="宋体" w:eastAsia="宋体"/>
                <w:color w:val="000000"/>
                <w:spacing w:val="-3"/>
                <w:kern w:val="0"/>
                <w:position w:val="12"/>
                <w:sz w:val="18"/>
                <w:szCs w:val="18"/>
              </w:rPr>
              <w:t>总体</w:t>
            </w:r>
          </w:p>
          <w:p w14:paraId="50F89048">
            <w:pPr>
              <w:widowControl/>
              <w:kinsoku w:val="0"/>
              <w:autoSpaceDE w:val="0"/>
              <w:autoSpaceDN w:val="0"/>
              <w:snapToGrid w:val="0"/>
              <w:ind w:left="361"/>
              <w:jc w:val="left"/>
              <w:textAlignment w:val="baseline"/>
              <w:rPr>
                <w:rFonts w:ascii="宋体" w:hAnsi="宋体" w:eastAsia="宋体"/>
                <w:color w:val="000000"/>
                <w:kern w:val="0"/>
                <w:sz w:val="18"/>
                <w:szCs w:val="18"/>
              </w:rPr>
            </w:pPr>
            <w:r>
              <w:rPr>
                <w:rFonts w:hint="eastAsia" w:ascii="宋体" w:hAnsi="宋体" w:eastAsia="宋体"/>
                <w:color w:val="000000"/>
                <w:spacing w:val="-3"/>
                <w:kern w:val="0"/>
                <w:sz w:val="18"/>
                <w:szCs w:val="18"/>
              </w:rPr>
              <w:t>意见</w:t>
            </w:r>
          </w:p>
        </w:tc>
        <w:tc>
          <w:tcPr>
            <w:tcW w:w="6685" w:type="dxa"/>
            <w:gridSpan w:val="3"/>
            <w:tcBorders>
              <w:top w:val="single" w:color="auto" w:sz="4" w:space="0"/>
              <w:left w:val="single" w:color="auto" w:sz="4" w:space="0"/>
              <w:bottom w:val="single" w:color="auto" w:sz="4" w:space="0"/>
              <w:right w:val="single" w:color="auto" w:sz="12" w:space="0"/>
            </w:tcBorders>
            <w:vAlign w:val="center"/>
          </w:tcPr>
          <w:p w14:paraId="6A074F28">
            <w:pPr>
              <w:widowControl/>
              <w:kinsoku w:val="0"/>
              <w:autoSpaceDE w:val="0"/>
              <w:autoSpaceDN w:val="0"/>
              <w:snapToGrid w:val="0"/>
              <w:ind w:left="124"/>
              <w:jc w:val="left"/>
              <w:textAlignment w:val="baseline"/>
              <w:rPr>
                <w:rFonts w:ascii="宋体" w:hAnsi="宋体" w:eastAsia="宋体"/>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11" name="图片 11" descr="C:\Users\ADMINI~1.USE\AppData\Local\Temp\ksohtml11916\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1.USE\AppData\Local\Temp\ksohtml11916\wps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olor w:val="000000"/>
                <w:spacing w:val="14"/>
                <w:kern w:val="0"/>
                <w:sz w:val="18"/>
                <w:szCs w:val="18"/>
              </w:rPr>
              <w:t xml:space="preserve">适用    </w:t>
            </w:r>
            <w:r>
              <w:rPr>
                <w:rFonts w:ascii="宋体" w:hAnsi="宋体" w:eastAsia="Times New Roman"/>
                <w:color w:val="000000"/>
                <w:kern w:val="0"/>
                <w:sz w:val="18"/>
                <w:szCs w:val="18"/>
              </w:rPr>
              <w:drawing>
                <wp:inline distT="0" distB="0" distL="0" distR="0">
                  <wp:extent cx="114300" cy="114300"/>
                  <wp:effectExtent l="0" t="0" r="0" b="0"/>
                  <wp:docPr id="12" name="图片 12" descr="C:\Users\ADMINI~1.USE\AppData\Local\Temp\ksohtml11916\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1.USE\AppData\Local\Temp\ksohtml11916\wps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olor w:val="000000"/>
                <w:spacing w:val="14"/>
                <w:kern w:val="0"/>
                <w:sz w:val="18"/>
                <w:szCs w:val="18"/>
              </w:rPr>
              <w:t xml:space="preserve">修改    </w:t>
            </w:r>
            <w:r>
              <w:rPr>
                <w:rFonts w:ascii="宋体" w:hAnsi="宋体" w:eastAsia="Times New Roman"/>
                <w:color w:val="000000"/>
                <w:kern w:val="0"/>
                <w:sz w:val="18"/>
                <w:szCs w:val="18"/>
              </w:rPr>
              <w:drawing>
                <wp:inline distT="0" distB="0" distL="0" distR="0">
                  <wp:extent cx="114300" cy="114300"/>
                  <wp:effectExtent l="0" t="0" r="0" b="0"/>
                  <wp:docPr id="13" name="图片 13" descr="C:\Users\ADMINI~1.USE\AppData\Local\Temp\ksohtml11916\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1.USE\AppData\Local\Temp\ksohtml11916\wps1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olor w:val="000000"/>
                <w:spacing w:val="14"/>
                <w:kern w:val="0"/>
                <w:sz w:val="18"/>
                <w:szCs w:val="18"/>
              </w:rPr>
              <w:t>废止</w:t>
            </w:r>
          </w:p>
        </w:tc>
      </w:tr>
      <w:tr w14:paraId="2FA5C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14:paraId="5BB5948B">
            <w:pPr>
              <w:widowControl/>
              <w:jc w:val="left"/>
              <w:rPr>
                <w:rFonts w:ascii="宋体" w:hAnsi="宋体" w:eastAsia="宋体"/>
                <w:color w:val="000000"/>
                <w:kern w:val="0"/>
                <w:sz w:val="18"/>
                <w:szCs w:val="18"/>
              </w:rPr>
            </w:pPr>
          </w:p>
        </w:tc>
        <w:tc>
          <w:tcPr>
            <w:tcW w:w="1161" w:type="dxa"/>
            <w:gridSpan w:val="2"/>
            <w:tcBorders>
              <w:top w:val="single" w:color="auto" w:sz="4" w:space="0"/>
              <w:left w:val="single" w:color="auto" w:sz="4" w:space="0"/>
              <w:bottom w:val="single" w:color="000000" w:sz="2" w:space="0"/>
              <w:right w:val="single" w:color="auto" w:sz="4" w:space="0"/>
            </w:tcBorders>
            <w:vAlign w:val="center"/>
          </w:tcPr>
          <w:p w14:paraId="50C94961">
            <w:pPr>
              <w:widowControl/>
              <w:kinsoku w:val="0"/>
              <w:autoSpaceDE w:val="0"/>
              <w:autoSpaceDN w:val="0"/>
              <w:snapToGrid w:val="0"/>
              <w:ind w:left="233"/>
              <w:jc w:val="left"/>
              <w:textAlignment w:val="baseline"/>
              <w:rPr>
                <w:rFonts w:ascii="宋体" w:hAnsi="宋体" w:eastAsia="宋体"/>
                <w:color w:val="000000"/>
                <w:kern w:val="0"/>
                <w:sz w:val="18"/>
                <w:szCs w:val="18"/>
              </w:rPr>
            </w:pPr>
            <w:r>
              <w:rPr>
                <w:rFonts w:hint="eastAsia" w:ascii="宋体" w:hAnsi="宋体" w:eastAsia="宋体"/>
                <w:color w:val="000000"/>
                <w:spacing w:val="4"/>
                <w:kern w:val="0"/>
                <w:position w:val="12"/>
                <w:sz w:val="18"/>
                <w:szCs w:val="18"/>
              </w:rPr>
              <w:t>具体修</w:t>
            </w:r>
          </w:p>
          <w:p w14:paraId="00ED5001">
            <w:pPr>
              <w:widowControl/>
              <w:kinsoku w:val="0"/>
              <w:autoSpaceDE w:val="0"/>
              <w:autoSpaceDN w:val="0"/>
              <w:snapToGrid w:val="0"/>
              <w:ind w:left="251"/>
              <w:jc w:val="left"/>
              <w:textAlignment w:val="baseline"/>
              <w:rPr>
                <w:rFonts w:ascii="宋体" w:hAnsi="宋体" w:eastAsia="宋体"/>
                <w:color w:val="000000"/>
                <w:kern w:val="0"/>
                <w:sz w:val="18"/>
                <w:szCs w:val="18"/>
              </w:rPr>
            </w:pPr>
            <w:r>
              <w:rPr>
                <w:rFonts w:hint="eastAsia" w:ascii="宋体" w:hAnsi="宋体" w:eastAsia="宋体"/>
                <w:color w:val="000000"/>
                <w:spacing w:val="-2"/>
                <w:kern w:val="0"/>
                <w:sz w:val="18"/>
                <w:szCs w:val="18"/>
              </w:rPr>
              <w:t>改意见</w:t>
            </w:r>
          </w:p>
        </w:tc>
        <w:tc>
          <w:tcPr>
            <w:tcW w:w="6685" w:type="dxa"/>
            <w:gridSpan w:val="3"/>
            <w:tcBorders>
              <w:top w:val="single" w:color="auto" w:sz="4" w:space="0"/>
              <w:left w:val="single" w:color="auto" w:sz="4" w:space="0"/>
              <w:bottom w:val="single" w:color="000000" w:sz="2" w:space="0"/>
              <w:right w:val="single" w:color="auto" w:sz="12" w:space="0"/>
            </w:tcBorders>
            <w:vAlign w:val="center"/>
          </w:tcPr>
          <w:p w14:paraId="5DDF43CF">
            <w:pPr>
              <w:widowControl/>
              <w:kinsoku w:val="0"/>
              <w:autoSpaceDE w:val="0"/>
              <w:autoSpaceDN w:val="0"/>
              <w:snapToGrid w:val="0"/>
              <w:ind w:left="127"/>
              <w:jc w:val="left"/>
              <w:textAlignment w:val="baseline"/>
              <w:rPr>
                <w:rFonts w:ascii="宋体" w:hAnsi="宋体" w:eastAsia="宋体"/>
                <w:color w:val="000000"/>
                <w:kern w:val="0"/>
                <w:sz w:val="18"/>
                <w:szCs w:val="18"/>
              </w:rPr>
            </w:pPr>
            <w:r>
              <w:rPr>
                <w:rFonts w:hint="eastAsia" w:ascii="宋体" w:hAnsi="宋体" w:eastAsia="宋体"/>
                <w:color w:val="000000"/>
                <w:spacing w:val="4"/>
                <w:kern w:val="0"/>
                <w:sz w:val="18"/>
                <w:szCs w:val="18"/>
              </w:rPr>
              <w:t>需修改章节：</w:t>
            </w:r>
          </w:p>
          <w:p w14:paraId="270E9B9F">
            <w:pPr>
              <w:widowControl/>
              <w:kinsoku w:val="0"/>
              <w:autoSpaceDE w:val="0"/>
              <w:autoSpaceDN w:val="0"/>
              <w:snapToGrid w:val="0"/>
              <w:ind w:left="121"/>
              <w:jc w:val="left"/>
              <w:textAlignment w:val="baseline"/>
              <w:rPr>
                <w:rFonts w:ascii="宋体" w:hAnsi="宋体" w:eastAsia="宋体"/>
                <w:color w:val="000000"/>
                <w:kern w:val="0"/>
                <w:sz w:val="18"/>
                <w:szCs w:val="18"/>
              </w:rPr>
            </w:pPr>
            <w:r>
              <w:rPr>
                <w:rFonts w:hint="eastAsia" w:ascii="宋体" w:hAnsi="宋体" w:eastAsia="宋体"/>
                <w:color w:val="000000"/>
                <w:spacing w:val="6"/>
                <w:kern w:val="0"/>
                <w:sz w:val="18"/>
                <w:szCs w:val="18"/>
              </w:rPr>
              <w:t>具体修改意见：</w:t>
            </w:r>
          </w:p>
        </w:tc>
      </w:tr>
      <w:tr w14:paraId="6EB19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jc w:val="center"/>
        </w:trPr>
        <w:tc>
          <w:tcPr>
            <w:tcW w:w="1211" w:type="dxa"/>
            <w:tcBorders>
              <w:top w:val="single" w:color="auto" w:sz="4" w:space="0"/>
              <w:left w:val="single" w:color="auto" w:sz="12" w:space="0"/>
              <w:bottom w:val="single" w:color="auto" w:sz="4" w:space="0"/>
              <w:right w:val="single" w:color="auto" w:sz="4" w:space="0"/>
            </w:tcBorders>
            <w:vAlign w:val="center"/>
          </w:tcPr>
          <w:p w14:paraId="5B2D36AD">
            <w:pPr>
              <w:widowControl/>
              <w:kinsoku w:val="0"/>
              <w:autoSpaceDE w:val="0"/>
              <w:autoSpaceDN w:val="0"/>
              <w:snapToGrid w:val="0"/>
              <w:ind w:left="132"/>
              <w:jc w:val="left"/>
              <w:textAlignment w:val="baseline"/>
              <w:rPr>
                <w:rFonts w:ascii="宋体" w:hAnsi="宋体" w:eastAsia="宋体"/>
                <w:color w:val="000000"/>
                <w:kern w:val="0"/>
                <w:sz w:val="18"/>
                <w:szCs w:val="18"/>
              </w:rPr>
            </w:pPr>
            <w:r>
              <w:rPr>
                <w:rFonts w:hint="eastAsia" w:ascii="宋体" w:hAnsi="宋体" w:eastAsia="宋体"/>
                <w:color w:val="000000"/>
                <w:spacing w:val="7"/>
                <w:kern w:val="0"/>
                <w:sz w:val="18"/>
                <w:szCs w:val="18"/>
              </w:rPr>
              <w:t>反馈渠道</w:t>
            </w:r>
          </w:p>
        </w:tc>
        <w:tc>
          <w:tcPr>
            <w:tcW w:w="7846" w:type="dxa"/>
            <w:gridSpan w:val="5"/>
            <w:tcBorders>
              <w:top w:val="single" w:color="000000" w:sz="2" w:space="0"/>
              <w:left w:val="single" w:color="auto" w:sz="4" w:space="0"/>
              <w:bottom w:val="single" w:color="000000" w:sz="2" w:space="0"/>
              <w:right w:val="single" w:color="auto" w:sz="12" w:space="0"/>
            </w:tcBorders>
            <w:vAlign w:val="center"/>
          </w:tcPr>
          <w:p w14:paraId="74899CFD">
            <w:pPr>
              <w:widowControl/>
              <w:kinsoku w:val="0"/>
              <w:autoSpaceDE w:val="0"/>
              <w:autoSpaceDN w:val="0"/>
              <w:snapToGrid w:val="0"/>
              <w:ind w:left="124"/>
              <w:jc w:val="left"/>
              <w:textAlignment w:val="baseline"/>
              <w:rPr>
                <w:rFonts w:ascii="宋体" w:hAnsi="宋体" w:eastAsia="宋体"/>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14" name="图片 14" descr="C:\Users\ADMINI~1.USE\AppData\Local\Temp\ksohtml11916\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1.USE\AppData\Local\Temp\ksohtml11916\wps1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olor w:val="000000"/>
                <w:spacing w:val="12"/>
                <w:kern w:val="0"/>
                <w:sz w:val="18"/>
                <w:szCs w:val="18"/>
              </w:rPr>
              <w:t>标准化行政主管部门</w:t>
            </w:r>
          </w:p>
          <w:p w14:paraId="101AD308">
            <w:pPr>
              <w:widowControl/>
              <w:kinsoku w:val="0"/>
              <w:autoSpaceDE w:val="0"/>
              <w:autoSpaceDN w:val="0"/>
              <w:snapToGrid w:val="0"/>
              <w:ind w:left="124"/>
              <w:jc w:val="left"/>
              <w:textAlignment w:val="baseline"/>
              <w:rPr>
                <w:rFonts w:ascii="宋体" w:hAnsi="宋体" w:eastAsia="宋体"/>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15" name="图片 15" descr="C:\Users\ADMINI~1.USE\AppData\Local\Temp\ksohtml11916\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1.USE\AppData\Local\Temp\ksohtml11916\wps1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olor w:val="000000"/>
                <w:spacing w:val="12"/>
                <w:kern w:val="0"/>
                <w:sz w:val="18"/>
                <w:szCs w:val="18"/>
              </w:rPr>
              <w:t>省直行业主管部门</w:t>
            </w:r>
          </w:p>
          <w:p w14:paraId="001BC8F6">
            <w:pPr>
              <w:widowControl/>
              <w:kinsoku w:val="0"/>
              <w:autoSpaceDE w:val="0"/>
              <w:autoSpaceDN w:val="0"/>
              <w:snapToGrid w:val="0"/>
              <w:ind w:left="124"/>
              <w:jc w:val="left"/>
              <w:textAlignment w:val="baseline"/>
              <w:rPr>
                <w:rFonts w:ascii="宋体" w:hAnsi="宋体" w:eastAsia="宋体"/>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16" name="图片 16" descr="C:\Users\ADMINI~1.USE\AppData\Local\Temp\ksohtml11916\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1.USE\AppData\Local\Temp\ksohtml11916\wps1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olor w:val="000000"/>
                <w:spacing w:val="10"/>
                <w:kern w:val="0"/>
                <w:sz w:val="18"/>
                <w:szCs w:val="18"/>
              </w:rPr>
              <w:t>专业标准化技术委员会（工作组）</w:t>
            </w:r>
          </w:p>
          <w:p w14:paraId="12A4F495">
            <w:pPr>
              <w:widowControl/>
              <w:kinsoku w:val="0"/>
              <w:autoSpaceDE w:val="0"/>
              <w:autoSpaceDN w:val="0"/>
              <w:snapToGrid w:val="0"/>
              <w:ind w:left="124"/>
              <w:jc w:val="left"/>
              <w:textAlignment w:val="baseline"/>
              <w:rPr>
                <w:rFonts w:ascii="宋体" w:hAnsi="宋体" w:eastAsia="宋体"/>
                <w:color w:val="000000"/>
                <w:kern w:val="0"/>
                <w:sz w:val="18"/>
                <w:szCs w:val="18"/>
              </w:rPr>
            </w:pPr>
            <w:r>
              <w:rPr>
                <w:rFonts w:ascii="宋体" w:hAnsi="宋体" w:eastAsia="Times New Roman"/>
                <w:color w:val="000000"/>
                <w:kern w:val="0"/>
                <w:sz w:val="18"/>
                <w:szCs w:val="18"/>
              </w:rPr>
              <w:drawing>
                <wp:inline distT="0" distB="0" distL="0" distR="0">
                  <wp:extent cx="114300" cy="114300"/>
                  <wp:effectExtent l="0" t="0" r="0" b="0"/>
                  <wp:docPr id="17" name="图片 17" descr="C:\Users\ADMINI~1.USE\AppData\Local\Temp\ksohtml11916\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1.USE\AppData\Local\Temp\ksohtml11916\wps1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olor w:val="000000"/>
                <w:spacing w:val="11"/>
                <w:kern w:val="0"/>
                <w:sz w:val="18"/>
                <w:szCs w:val="18"/>
              </w:rPr>
              <w:t>标准起草组（牵头起草单位）</w:t>
            </w:r>
          </w:p>
        </w:tc>
      </w:tr>
      <w:tr w14:paraId="65F84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jc w:val="center"/>
        </w:trPr>
        <w:tc>
          <w:tcPr>
            <w:tcW w:w="1211" w:type="dxa"/>
            <w:tcBorders>
              <w:top w:val="single" w:color="auto" w:sz="4" w:space="0"/>
              <w:left w:val="single" w:color="auto" w:sz="12" w:space="0"/>
              <w:bottom w:val="single" w:color="auto" w:sz="12" w:space="0"/>
              <w:right w:val="single" w:color="auto" w:sz="4" w:space="0"/>
            </w:tcBorders>
            <w:vAlign w:val="center"/>
          </w:tcPr>
          <w:p w14:paraId="01378C5B">
            <w:pPr>
              <w:widowControl/>
              <w:kinsoku w:val="0"/>
              <w:autoSpaceDE w:val="0"/>
              <w:autoSpaceDN w:val="0"/>
              <w:snapToGrid w:val="0"/>
              <w:ind w:left="252"/>
              <w:jc w:val="left"/>
              <w:textAlignment w:val="baseline"/>
              <w:rPr>
                <w:rFonts w:ascii="宋体" w:hAnsi="宋体" w:eastAsia="宋体"/>
                <w:color w:val="000000"/>
                <w:kern w:val="0"/>
                <w:sz w:val="18"/>
                <w:szCs w:val="18"/>
              </w:rPr>
            </w:pPr>
            <w:r>
              <w:rPr>
                <w:rFonts w:hint="eastAsia" w:ascii="宋体" w:hAnsi="宋体" w:eastAsia="宋体"/>
                <w:color w:val="000000"/>
                <w:spacing w:val="6"/>
                <w:kern w:val="0"/>
                <w:sz w:val="18"/>
                <w:szCs w:val="18"/>
              </w:rPr>
              <w:t>反馈人</w:t>
            </w:r>
          </w:p>
        </w:tc>
        <w:tc>
          <w:tcPr>
            <w:tcW w:w="7846" w:type="dxa"/>
            <w:gridSpan w:val="5"/>
            <w:tcBorders>
              <w:top w:val="single" w:color="000000" w:sz="2" w:space="0"/>
              <w:left w:val="single" w:color="auto" w:sz="4" w:space="0"/>
              <w:bottom w:val="single" w:color="auto" w:sz="12" w:space="0"/>
              <w:right w:val="single" w:color="auto" w:sz="12" w:space="0"/>
            </w:tcBorders>
            <w:vAlign w:val="center"/>
          </w:tcPr>
          <w:p w14:paraId="52F28927">
            <w:pPr>
              <w:widowControl/>
              <w:kinsoku w:val="0"/>
              <w:autoSpaceDE w:val="0"/>
              <w:autoSpaceDN w:val="0"/>
              <w:snapToGrid w:val="0"/>
              <w:ind w:left="113"/>
              <w:jc w:val="left"/>
              <w:textAlignment w:val="baseline"/>
              <w:rPr>
                <w:rFonts w:ascii="宋体" w:hAnsi="宋体" w:eastAsia="宋体"/>
                <w:color w:val="000000"/>
                <w:kern w:val="0"/>
                <w:sz w:val="18"/>
                <w:szCs w:val="18"/>
              </w:rPr>
            </w:pPr>
            <w:r>
              <w:rPr>
                <w:rFonts w:hint="eastAsia" w:ascii="宋体" w:hAnsi="宋体" w:eastAsia="宋体"/>
                <w:color w:val="000000"/>
                <w:spacing w:val="2"/>
                <w:kern w:val="0"/>
                <w:sz w:val="18"/>
                <w:szCs w:val="18"/>
              </w:rPr>
              <w:t>姓名：</w:t>
            </w:r>
            <w:r>
              <w:rPr>
                <w:rFonts w:hint="eastAsia" w:ascii="宋体" w:hAnsi="宋体" w:eastAsia="宋体"/>
                <w:color w:val="000000"/>
                <w:spacing w:val="8"/>
                <w:kern w:val="0"/>
                <w:sz w:val="18"/>
                <w:szCs w:val="18"/>
              </w:rPr>
              <w:t xml:space="preserve">           </w:t>
            </w:r>
            <w:r>
              <w:rPr>
                <w:rFonts w:hint="eastAsia" w:ascii="宋体" w:hAnsi="宋体" w:eastAsia="宋体"/>
                <w:color w:val="000000"/>
                <w:spacing w:val="2"/>
                <w:kern w:val="0"/>
                <w:sz w:val="18"/>
                <w:szCs w:val="18"/>
              </w:rPr>
              <w:t>单位：</w:t>
            </w:r>
            <w:r>
              <w:rPr>
                <w:rFonts w:hint="eastAsia" w:ascii="宋体" w:hAnsi="宋体" w:eastAsia="宋体"/>
                <w:color w:val="000000"/>
                <w:spacing w:val="1"/>
                <w:kern w:val="0"/>
                <w:sz w:val="18"/>
                <w:szCs w:val="18"/>
              </w:rPr>
              <w:t xml:space="preserve">                      </w:t>
            </w:r>
            <w:r>
              <w:rPr>
                <w:rFonts w:hint="eastAsia" w:ascii="宋体" w:hAnsi="宋体" w:eastAsia="宋体"/>
                <w:color w:val="000000"/>
                <w:spacing w:val="2"/>
                <w:kern w:val="0"/>
                <w:sz w:val="18"/>
                <w:szCs w:val="18"/>
              </w:rPr>
              <w:t>联系方式：</w:t>
            </w:r>
          </w:p>
        </w:tc>
      </w:tr>
    </w:tbl>
    <w:p w14:paraId="347205E8">
      <w:pPr>
        <w:ind w:firstLine="360" w:firstLineChars="200"/>
        <w:jc w:val="left"/>
        <w:rPr>
          <w:rFonts w:ascii="宋体" w:hAnsi="宋体" w:cs="宋体"/>
          <w:color w:val="000000"/>
          <w:sz w:val="18"/>
          <w:szCs w:val="18"/>
        </w:rPr>
      </w:pPr>
      <w:r>
        <w:rPr>
          <w:rFonts w:hint="eastAsia" w:ascii="宋体" w:hAnsi="宋体" w:cs="宋体"/>
          <w:color w:val="000000"/>
          <w:sz w:val="18"/>
          <w:szCs w:val="18"/>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p>
    <w:p w14:paraId="58CDFDEC">
      <w:pPr>
        <w:pStyle w:val="254"/>
        <w:adjustRightInd w:val="0"/>
        <w:snapToGrid w:val="0"/>
        <w:spacing w:line="348" w:lineRule="exact"/>
        <w:ind w:firstLine="480" w:firstLineChars="267"/>
        <w:rPr>
          <w:rFonts w:ascii="Times New Roman"/>
        </w:rPr>
      </w:pPr>
    </w:p>
    <w:p w14:paraId="33CF3754">
      <w:pPr>
        <w:pStyle w:val="254"/>
        <w:adjustRightInd w:val="0"/>
        <w:snapToGrid w:val="0"/>
        <w:spacing w:line="348" w:lineRule="exact"/>
        <w:rPr>
          <w:rFonts w:ascii="Times New Roman"/>
          <w:szCs w:val="21"/>
        </w:rPr>
        <w:sectPr>
          <w:headerReference r:id="rId13" w:type="default"/>
          <w:footerReference r:id="rId14" w:type="default"/>
          <w:pgSz w:w="11906" w:h="16838"/>
          <w:pgMar w:top="1417" w:right="1134" w:bottom="1134" w:left="1417" w:header="1418" w:footer="1134" w:gutter="0"/>
          <w:pgNumType w:start="1"/>
          <w:cols w:space="720" w:num="1"/>
          <w:docGrid w:type="lines" w:linePitch="312" w:charSpace="0"/>
        </w:sectPr>
      </w:pPr>
    </w:p>
    <w:p w14:paraId="102AC9FA">
      <w:pPr>
        <w:rPr>
          <w:rFonts w:ascii="Times New Roman" w:hAnsi="Times New Roman" w:eastAsia="黑体"/>
          <w:spacing w:val="-40"/>
          <w:sz w:val="48"/>
          <w:szCs w:val="48"/>
        </w:rPr>
      </w:pPr>
      <w:bookmarkStart w:id="766" w:name="_Toc7962"/>
      <w:bookmarkStart w:id="767" w:name="_Toc5100"/>
    </w:p>
    <w:p w14:paraId="1336321B">
      <w:pPr>
        <w:widowControl/>
        <w:adjustRightInd/>
        <w:spacing w:line="300" w:lineRule="auto"/>
        <w:jc w:val="distribute"/>
        <w:rPr>
          <w:rFonts w:ascii="Times New Roman" w:hAnsi="Times New Roman" w:eastAsia="黑体"/>
          <w:spacing w:val="-40"/>
          <w:sz w:val="48"/>
          <w:szCs w:val="48"/>
        </w:rPr>
      </w:pPr>
      <w:r>
        <w:rPr>
          <w:rFonts w:ascii="Times New Roman" w:hAnsi="Times New Roman" w:eastAsia="黑体"/>
          <w:spacing w:val="-40"/>
          <w:sz w:val="48"/>
          <w:szCs w:val="48"/>
        </w:rPr>
        <w:t>湖北省地方标准</w:t>
      </w:r>
    </w:p>
    <w:p w14:paraId="26203907">
      <w:pPr>
        <w:spacing w:line="300" w:lineRule="auto"/>
        <w:ind w:firstLine="420" w:firstLineChars="200"/>
        <w:rPr>
          <w:rFonts w:ascii="Times New Roman" w:hAnsi="Times New Roman"/>
        </w:rPr>
      </w:pPr>
    </w:p>
    <w:p w14:paraId="41927D0E">
      <w:pPr>
        <w:pStyle w:val="219"/>
        <w:framePr w:x="1066" w:y="6481"/>
        <w:ind w:left="141" w:leftChars="67"/>
        <w:rPr>
          <w:rFonts w:ascii="Times New Roman" w:hAnsi="Times New Roman"/>
        </w:rPr>
      </w:pPr>
      <w:r>
        <w:rPr>
          <w:rFonts w:ascii="Times New Roman" w:hAnsi="Times New Roman"/>
        </w:rPr>
        <w:t>钢渣类固废基胶凝材料混凝土应用</w:t>
      </w:r>
    </w:p>
    <w:p w14:paraId="4132E88B">
      <w:pPr>
        <w:pStyle w:val="219"/>
        <w:framePr w:x="1066" w:y="6481"/>
        <w:ind w:left="141" w:leftChars="67"/>
        <w:rPr>
          <w:rFonts w:ascii="Times New Roman" w:hAnsi="Times New Roman"/>
        </w:rPr>
      </w:pPr>
      <w:r>
        <w:rPr>
          <w:rFonts w:ascii="Times New Roman" w:hAnsi="Times New Roman"/>
        </w:rPr>
        <w:t>技术规程</w:t>
      </w:r>
    </w:p>
    <w:p w14:paraId="37C0D9FA">
      <w:pPr>
        <w:framePr w:w="9464" w:h="5101" w:hRule="exact" w:wrap="around" w:vAnchor="page" w:hAnchor="page" w:x="1276" w:y="7021" w:anchorLock="1"/>
        <w:ind w:left="-1418"/>
        <w:rPr>
          <w:rFonts w:ascii="Times New Roman" w:hAnsi="Times New Roman"/>
        </w:rPr>
      </w:pPr>
    </w:p>
    <w:p w14:paraId="0F5FB1FA">
      <w:pPr>
        <w:pStyle w:val="149"/>
        <w:framePr w:w="9464" w:h="5101" w:hRule="exact" w:wrap="around" w:vAnchor="page" w:hAnchor="page" w:x="1276" w:y="7021" w:anchorLock="1"/>
        <w:textAlignment w:val="bottom"/>
        <w:rPr>
          <w:rFonts w:eastAsia="黑体"/>
          <w:szCs w:val="28"/>
        </w:rPr>
      </w:pPr>
    </w:p>
    <w:p w14:paraId="5505BDCE">
      <w:pPr>
        <w:pStyle w:val="149"/>
        <w:framePr w:w="9464" w:h="5101" w:hRule="exact" w:wrap="around" w:vAnchor="page" w:hAnchor="page" w:x="1276" w:y="7021" w:anchorLock="1"/>
        <w:textAlignment w:val="bottom"/>
        <w:rPr>
          <w:rFonts w:eastAsia="黑体"/>
          <w:szCs w:val="28"/>
        </w:rPr>
      </w:pPr>
    </w:p>
    <w:p w14:paraId="53B85C86">
      <w:pPr>
        <w:pStyle w:val="149"/>
        <w:framePr w:w="9464" w:h="5101" w:hRule="exact" w:wrap="around" w:vAnchor="page" w:hAnchor="page" w:x="1276" w:y="7021" w:anchorLock="1"/>
        <w:textAlignment w:val="bottom"/>
        <w:rPr>
          <w:rFonts w:eastAsia="黑体"/>
          <w:szCs w:val="28"/>
        </w:rPr>
      </w:pPr>
      <w:r>
        <w:rPr>
          <w:rFonts w:eastAsia="黑体"/>
          <w:szCs w:val="28"/>
        </w:rPr>
        <w:t xml:space="preserve">Technical specification for application of steel slag solid waste based </w:t>
      </w:r>
    </w:p>
    <w:p w14:paraId="041AB8FA">
      <w:pPr>
        <w:pStyle w:val="149"/>
        <w:framePr w:w="9464" w:h="5101" w:hRule="exact" w:wrap="around" w:vAnchor="page" w:hAnchor="page" w:x="1276" w:y="7021" w:anchorLock="1"/>
        <w:textAlignment w:val="bottom"/>
        <w:rPr>
          <w:rFonts w:eastAsia="黑体"/>
          <w:sz w:val="32"/>
          <w:szCs w:val="32"/>
        </w:rPr>
      </w:pPr>
      <w:r>
        <w:rPr>
          <w:rFonts w:eastAsia="黑体"/>
          <w:szCs w:val="28"/>
        </w:rPr>
        <w:t>cementitious materials in concrete</w:t>
      </w:r>
    </w:p>
    <w:p w14:paraId="33965209">
      <w:pPr>
        <w:pStyle w:val="149"/>
        <w:framePr w:w="9464" w:h="5101" w:hRule="exact" w:wrap="around" w:vAnchor="page" w:hAnchor="page" w:x="1276" w:y="7021" w:anchorLock="1"/>
        <w:spacing w:after="850" w:line="240" w:lineRule="auto"/>
        <w:textAlignment w:val="bottom"/>
        <w:rPr>
          <w:rFonts w:eastAsia="黑体"/>
          <w:sz w:val="32"/>
          <w:szCs w:val="32"/>
        </w:rPr>
      </w:pPr>
    </w:p>
    <w:p w14:paraId="1B121BA0">
      <w:pPr>
        <w:framePr w:w="9464" w:h="5101" w:hRule="exact" w:wrap="around" w:vAnchor="page" w:hAnchor="page" w:x="1276" w:y="7021" w:anchorLock="1"/>
        <w:spacing w:line="760" w:lineRule="exact"/>
        <w:ind w:left="-1418"/>
        <w:rPr>
          <w:rFonts w:ascii="Times New Roman" w:hAnsi="Times New Roman"/>
        </w:rPr>
      </w:pPr>
    </w:p>
    <w:p w14:paraId="264128FC">
      <w:pPr>
        <w:pStyle w:val="52"/>
        <w:framePr w:w="9464" w:h="5101" w:hRule="exact" w:wrap="around" w:vAnchor="page" w:hAnchor="page" w:x="1276" w:y="7021" w:anchorLock="1"/>
        <w:numPr>
          <w:ilvl w:val="0"/>
          <w:numId w:val="0"/>
        </w:numPr>
        <w:spacing w:before="312" w:after="312"/>
        <w:jc w:val="center"/>
        <w:rPr>
          <w:rFonts w:ascii="Times New Roman"/>
          <w:kern w:val="2"/>
          <w:sz w:val="28"/>
          <w:szCs w:val="28"/>
        </w:rPr>
      </w:pPr>
      <w:bookmarkStart w:id="768" w:name="_Toc192490765"/>
      <w:bookmarkStart w:id="769" w:name="_Toc190188340"/>
      <w:bookmarkStart w:id="770" w:name="_Toc205237790"/>
      <w:bookmarkStart w:id="771" w:name="_Toc190188169"/>
      <w:bookmarkStart w:id="772" w:name="_Toc176997406"/>
      <w:bookmarkStart w:id="773" w:name="_Toc191805239"/>
      <w:bookmarkStart w:id="774" w:name="_Toc21695"/>
      <w:bookmarkStart w:id="775" w:name="_Toc14949"/>
      <w:bookmarkStart w:id="776" w:name="_Toc205482193"/>
      <w:r>
        <w:rPr>
          <w:rFonts w:ascii="Times New Roman"/>
          <w:kern w:val="2"/>
          <w:sz w:val="28"/>
          <w:szCs w:val="28"/>
        </w:rPr>
        <w:t>条文说明</w:t>
      </w:r>
      <w:bookmarkEnd w:id="768"/>
      <w:bookmarkEnd w:id="769"/>
      <w:bookmarkEnd w:id="770"/>
      <w:bookmarkEnd w:id="771"/>
      <w:bookmarkEnd w:id="772"/>
      <w:bookmarkEnd w:id="773"/>
      <w:bookmarkEnd w:id="774"/>
      <w:bookmarkEnd w:id="775"/>
      <w:bookmarkEnd w:id="776"/>
    </w:p>
    <w:p w14:paraId="7F894223">
      <w:pPr>
        <w:pStyle w:val="149"/>
        <w:framePr w:w="9464" w:h="5101" w:hRule="exact" w:wrap="around" w:vAnchor="page" w:hAnchor="page" w:x="1276" w:y="7021" w:anchorLock="1"/>
        <w:spacing w:before="180" w:line="240" w:lineRule="atLeast"/>
        <w:textAlignment w:val="bottom"/>
        <w:rPr>
          <w:sz w:val="21"/>
          <w:szCs w:val="28"/>
        </w:rPr>
      </w:pPr>
    </w:p>
    <w:p w14:paraId="3E1B070D">
      <w:pPr>
        <w:pStyle w:val="149"/>
        <w:framePr w:w="9464" w:h="5101" w:hRule="exact" w:wrap="around" w:vAnchor="page" w:hAnchor="page" w:x="1276" w:y="7021" w:anchorLock="1"/>
        <w:spacing w:before="936" w:beforeLines="300" w:after="93" w:afterLines="30" w:line="240" w:lineRule="auto"/>
        <w:textAlignment w:val="bottom"/>
        <w:rPr>
          <w:b/>
          <w:sz w:val="21"/>
          <w:szCs w:val="28"/>
        </w:rPr>
      </w:pPr>
    </w:p>
    <w:p w14:paraId="288A4A81">
      <w:pPr>
        <w:spacing w:line="300" w:lineRule="auto"/>
        <w:jc w:val="center"/>
        <w:rPr>
          <w:rFonts w:ascii="Times New Roman" w:hAnsi="Times New Roman" w:eastAsia="黑体"/>
          <w:sz w:val="36"/>
          <w:szCs w:val="36"/>
        </w:rPr>
      </w:pPr>
    </w:p>
    <w:bookmarkEnd w:id="766"/>
    <w:bookmarkEnd w:id="767"/>
    <w:p w14:paraId="168B187D">
      <w:pPr>
        <w:rPr>
          <w:rFonts w:ascii="Times New Roman" w:hAnsi="Times New Roman" w:eastAsia="黑体"/>
          <w:sz w:val="32"/>
          <w:szCs w:val="32"/>
        </w:rPr>
        <w:sectPr>
          <w:pgSz w:w="11906" w:h="16838"/>
          <w:pgMar w:top="1417" w:right="1134" w:bottom="1134" w:left="1417" w:header="1418" w:footer="1134" w:gutter="0"/>
          <w:cols w:space="720" w:num="1"/>
          <w:docGrid w:type="lines" w:linePitch="312" w:charSpace="0"/>
        </w:sectPr>
      </w:pPr>
      <w:bookmarkStart w:id="777" w:name="_Toc169011097"/>
      <w:bookmarkStart w:id="778" w:name="_Toc63000830"/>
      <w:bookmarkStart w:id="779" w:name="_Toc162893127"/>
      <w:bookmarkStart w:id="780" w:name="_Toc169011586"/>
      <w:bookmarkStart w:id="781" w:name="_Toc162893491"/>
      <w:bookmarkStart w:id="782" w:name="_Toc12273"/>
      <w:bookmarkStart w:id="783" w:name="_Toc63000392"/>
    </w:p>
    <w:bookmarkEnd w:id="777"/>
    <w:bookmarkEnd w:id="778"/>
    <w:bookmarkEnd w:id="779"/>
    <w:bookmarkEnd w:id="780"/>
    <w:bookmarkEnd w:id="781"/>
    <w:bookmarkEnd w:id="782"/>
    <w:bookmarkEnd w:id="783"/>
    <w:p w14:paraId="096856F5">
      <w:pPr>
        <w:pStyle w:val="121"/>
        <w:spacing w:before="850" w:after="680" w:afterLines="0"/>
        <w:rPr>
          <w:rFonts w:asciiTheme="minorHAnsi" w:hAnsiTheme="minorHAnsi" w:eastAsiaTheme="minorEastAsia" w:cstheme="minorBidi"/>
          <w:szCs w:val="22"/>
        </w:rPr>
      </w:pPr>
      <w:r>
        <w:rPr>
          <w:rFonts w:ascii="Times New Roman" w:hAnsi="Times New Roman"/>
          <w:spacing w:val="320"/>
        </w:rPr>
        <w:t>目</w:t>
      </w:r>
      <w:r>
        <w:rPr>
          <w:rFonts w:ascii="Times New Roman" w:hAnsi="Times New Roman"/>
        </w:rPr>
        <w:t>次</w:t>
      </w: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p>
    <w:p w14:paraId="4A8E6EDF">
      <w:pPr>
        <w:pStyle w:val="28"/>
        <w:tabs>
          <w:tab w:val="right" w:leader="dot" w:pos="9345"/>
        </w:tabs>
        <w:rPr>
          <w:rStyle w:val="46"/>
          <w:rFonts w:ascii="Times New Roman"/>
        </w:rPr>
      </w:pPr>
      <w:r>
        <w:fldChar w:fldCharType="begin"/>
      </w:r>
      <w:r>
        <w:instrText xml:space="preserve"> HYPERLINK \l "_Toc205482195" </w:instrText>
      </w:r>
      <w:r>
        <w:fldChar w:fldCharType="separate"/>
      </w:r>
      <w:r>
        <w:rPr>
          <w:rStyle w:val="46"/>
          <w:rFonts w:ascii="Times New Roman"/>
        </w:rPr>
        <w:t>3</w:t>
      </w:r>
      <w:r>
        <w:rPr>
          <w:rStyle w:val="46"/>
          <w:rFonts w:hint="eastAsia" w:ascii="Times New Roman"/>
        </w:rPr>
        <w:t>　术语和定义</w:t>
      </w:r>
      <w:r>
        <w:rPr>
          <w:rStyle w:val="46"/>
          <w:rFonts w:ascii="Times New Roman"/>
        </w:rPr>
        <w:tab/>
      </w:r>
      <w:r>
        <w:rPr>
          <w:rStyle w:val="46"/>
          <w:rFonts w:ascii="Times New Roman"/>
        </w:rPr>
        <w:fldChar w:fldCharType="begin"/>
      </w:r>
      <w:r>
        <w:rPr>
          <w:rStyle w:val="46"/>
          <w:rFonts w:ascii="Times New Roman"/>
        </w:rPr>
        <w:instrText xml:space="preserve"> PAGEREF _Toc205482195 \h </w:instrText>
      </w:r>
      <w:r>
        <w:rPr>
          <w:rStyle w:val="46"/>
          <w:rFonts w:ascii="Times New Roman"/>
        </w:rPr>
        <w:fldChar w:fldCharType="separate"/>
      </w:r>
      <w:r>
        <w:rPr>
          <w:rStyle w:val="46"/>
          <w:rFonts w:ascii="Times New Roman"/>
        </w:rPr>
        <w:t>2</w:t>
      </w:r>
      <w:r>
        <w:rPr>
          <w:rStyle w:val="46"/>
          <w:rFonts w:hint="eastAsia" w:ascii="Times New Roman"/>
        </w:rPr>
        <w:t>0</w:t>
      </w:r>
      <w:r>
        <w:rPr>
          <w:rStyle w:val="46"/>
          <w:rFonts w:ascii="Times New Roman"/>
        </w:rPr>
        <w:fldChar w:fldCharType="end"/>
      </w:r>
      <w:r>
        <w:rPr>
          <w:rStyle w:val="46"/>
          <w:rFonts w:ascii="Times New Roman"/>
        </w:rPr>
        <w:fldChar w:fldCharType="end"/>
      </w:r>
    </w:p>
    <w:p w14:paraId="5925122C">
      <w:pPr>
        <w:pStyle w:val="28"/>
        <w:tabs>
          <w:tab w:val="right" w:leader="dot" w:pos="9345"/>
        </w:tabs>
        <w:rPr>
          <w:rStyle w:val="46"/>
          <w:rFonts w:ascii="Times New Roman"/>
        </w:rPr>
      </w:pPr>
      <w:r>
        <w:fldChar w:fldCharType="begin"/>
      </w:r>
      <w:r>
        <w:instrText xml:space="preserve"> HYPERLINK \l "_Toc205482196" </w:instrText>
      </w:r>
      <w:r>
        <w:fldChar w:fldCharType="separate"/>
      </w:r>
      <w:r>
        <w:rPr>
          <w:rStyle w:val="46"/>
          <w:rFonts w:ascii="Times New Roman"/>
        </w:rPr>
        <w:t>3.1</w:t>
      </w:r>
      <w:r>
        <w:rPr>
          <w:rStyle w:val="46"/>
          <w:rFonts w:hint="eastAsia" w:ascii="Times New Roman"/>
        </w:rPr>
        <w:t>钢铁渣复合胶凝材料</w:t>
      </w:r>
      <w:r>
        <w:rPr>
          <w:rStyle w:val="46"/>
          <w:rFonts w:ascii="Times New Roman"/>
        </w:rPr>
        <w:tab/>
      </w:r>
      <w:r>
        <w:rPr>
          <w:rStyle w:val="46"/>
          <w:rFonts w:ascii="Times New Roman"/>
        </w:rPr>
        <w:fldChar w:fldCharType="begin"/>
      </w:r>
      <w:r>
        <w:rPr>
          <w:rStyle w:val="46"/>
          <w:rFonts w:ascii="Times New Roman"/>
        </w:rPr>
        <w:instrText xml:space="preserve"> PAGEREF _Toc205482196 \h </w:instrText>
      </w:r>
      <w:r>
        <w:rPr>
          <w:rStyle w:val="46"/>
          <w:rFonts w:ascii="Times New Roman"/>
        </w:rPr>
        <w:fldChar w:fldCharType="separate"/>
      </w:r>
      <w:r>
        <w:rPr>
          <w:rStyle w:val="46"/>
          <w:rFonts w:ascii="Times New Roman"/>
        </w:rPr>
        <w:t>2</w:t>
      </w:r>
      <w:r>
        <w:rPr>
          <w:rStyle w:val="46"/>
          <w:rFonts w:hint="eastAsia" w:ascii="Times New Roman"/>
        </w:rPr>
        <w:t>0</w:t>
      </w:r>
      <w:r>
        <w:rPr>
          <w:rStyle w:val="46"/>
          <w:rFonts w:ascii="Times New Roman"/>
        </w:rPr>
        <w:fldChar w:fldCharType="end"/>
      </w:r>
      <w:r>
        <w:rPr>
          <w:rStyle w:val="46"/>
          <w:rFonts w:ascii="Times New Roman"/>
        </w:rPr>
        <w:fldChar w:fldCharType="end"/>
      </w:r>
    </w:p>
    <w:p w14:paraId="4968A30F">
      <w:pPr>
        <w:pStyle w:val="28"/>
        <w:tabs>
          <w:tab w:val="right" w:leader="dot" w:pos="9345"/>
        </w:tabs>
        <w:rPr>
          <w:rStyle w:val="46"/>
          <w:rFonts w:ascii="Times New Roman"/>
        </w:rPr>
      </w:pPr>
      <w:r>
        <w:fldChar w:fldCharType="begin"/>
      </w:r>
      <w:r>
        <w:instrText xml:space="preserve"> HYPERLINK \l "_Toc205482197" </w:instrText>
      </w:r>
      <w:r>
        <w:fldChar w:fldCharType="separate"/>
      </w:r>
      <w:r>
        <w:rPr>
          <w:rStyle w:val="46"/>
          <w:rFonts w:ascii="Times New Roman"/>
        </w:rPr>
        <w:t>4</w:t>
      </w:r>
      <w:r>
        <w:rPr>
          <w:rStyle w:val="46"/>
          <w:rFonts w:hint="eastAsia" w:ascii="Times New Roman"/>
        </w:rPr>
        <w:t>　基本规定</w:t>
      </w:r>
      <w:r>
        <w:rPr>
          <w:rStyle w:val="46"/>
          <w:rFonts w:ascii="Times New Roman"/>
        </w:rPr>
        <w:tab/>
      </w:r>
      <w:r>
        <w:rPr>
          <w:rStyle w:val="46"/>
          <w:rFonts w:ascii="Times New Roman"/>
        </w:rPr>
        <w:fldChar w:fldCharType="begin"/>
      </w:r>
      <w:r>
        <w:rPr>
          <w:rStyle w:val="46"/>
          <w:rFonts w:ascii="Times New Roman"/>
        </w:rPr>
        <w:instrText xml:space="preserve"> PAGEREF _Toc205482197 \h </w:instrText>
      </w:r>
      <w:r>
        <w:rPr>
          <w:rStyle w:val="46"/>
          <w:rFonts w:ascii="Times New Roman"/>
        </w:rPr>
        <w:fldChar w:fldCharType="separate"/>
      </w:r>
      <w:r>
        <w:rPr>
          <w:rStyle w:val="46"/>
          <w:rFonts w:ascii="Times New Roman"/>
        </w:rPr>
        <w:t>2</w:t>
      </w:r>
      <w:r>
        <w:rPr>
          <w:rStyle w:val="46"/>
          <w:rFonts w:hint="eastAsia" w:ascii="Times New Roman"/>
        </w:rPr>
        <w:t>0</w:t>
      </w:r>
      <w:r>
        <w:rPr>
          <w:rStyle w:val="46"/>
          <w:rFonts w:ascii="Times New Roman"/>
        </w:rPr>
        <w:fldChar w:fldCharType="end"/>
      </w:r>
      <w:r>
        <w:rPr>
          <w:rStyle w:val="46"/>
          <w:rFonts w:ascii="Times New Roman"/>
        </w:rPr>
        <w:fldChar w:fldCharType="end"/>
      </w:r>
    </w:p>
    <w:p w14:paraId="7F084F21">
      <w:pPr>
        <w:pStyle w:val="28"/>
        <w:tabs>
          <w:tab w:val="right" w:leader="dot" w:pos="9345"/>
        </w:tabs>
        <w:rPr>
          <w:rStyle w:val="46"/>
          <w:rFonts w:ascii="Times New Roman"/>
        </w:rPr>
      </w:pPr>
      <w:r>
        <w:fldChar w:fldCharType="begin"/>
      </w:r>
      <w:r>
        <w:instrText xml:space="preserve"> HYPERLINK \l "_Toc205482202" </w:instrText>
      </w:r>
      <w:r>
        <w:fldChar w:fldCharType="separate"/>
      </w:r>
      <w:r>
        <w:rPr>
          <w:rStyle w:val="46"/>
          <w:rFonts w:ascii="Times New Roman"/>
        </w:rPr>
        <w:t>5</w:t>
      </w:r>
      <w:r>
        <w:rPr>
          <w:rStyle w:val="46"/>
          <w:rFonts w:hint="eastAsia" w:ascii="Times New Roman"/>
        </w:rPr>
        <w:t>　原材料要求</w:t>
      </w:r>
      <w:r>
        <w:rPr>
          <w:rStyle w:val="46"/>
          <w:rFonts w:ascii="Times New Roman"/>
        </w:rPr>
        <w:tab/>
      </w:r>
      <w:r>
        <w:rPr>
          <w:rStyle w:val="46"/>
          <w:rFonts w:ascii="Times New Roman"/>
        </w:rPr>
        <w:fldChar w:fldCharType="begin"/>
      </w:r>
      <w:r>
        <w:rPr>
          <w:rStyle w:val="46"/>
          <w:rFonts w:ascii="Times New Roman"/>
        </w:rPr>
        <w:instrText xml:space="preserve"> PAGEREF _Toc205482202 \h </w:instrText>
      </w:r>
      <w:r>
        <w:rPr>
          <w:rStyle w:val="46"/>
          <w:rFonts w:ascii="Times New Roman"/>
        </w:rPr>
        <w:fldChar w:fldCharType="separate"/>
      </w:r>
      <w:r>
        <w:rPr>
          <w:rStyle w:val="46"/>
          <w:rFonts w:ascii="Times New Roman"/>
        </w:rPr>
        <w:t>2</w:t>
      </w:r>
      <w:r>
        <w:rPr>
          <w:rStyle w:val="46"/>
          <w:rFonts w:hint="eastAsia" w:ascii="Times New Roman"/>
        </w:rPr>
        <w:t>0</w:t>
      </w:r>
      <w:r>
        <w:rPr>
          <w:rStyle w:val="46"/>
          <w:rFonts w:ascii="Times New Roman"/>
        </w:rPr>
        <w:fldChar w:fldCharType="end"/>
      </w:r>
      <w:r>
        <w:rPr>
          <w:rStyle w:val="46"/>
          <w:rFonts w:ascii="Times New Roman"/>
        </w:rPr>
        <w:fldChar w:fldCharType="end"/>
      </w:r>
    </w:p>
    <w:p w14:paraId="3D39D563">
      <w:pPr>
        <w:pStyle w:val="28"/>
        <w:tabs>
          <w:tab w:val="right" w:leader="dot" w:pos="9345"/>
        </w:tabs>
        <w:rPr>
          <w:rStyle w:val="46"/>
          <w:rFonts w:ascii="Times New Roman"/>
        </w:rPr>
      </w:pPr>
      <w:r>
        <w:fldChar w:fldCharType="begin"/>
      </w:r>
      <w:r>
        <w:instrText xml:space="preserve"> HYPERLINK \l "_Toc205482203" </w:instrText>
      </w:r>
      <w:r>
        <w:fldChar w:fldCharType="separate"/>
      </w:r>
      <w:r>
        <w:rPr>
          <w:rStyle w:val="46"/>
          <w:rFonts w:ascii="Times New Roman"/>
        </w:rPr>
        <w:t xml:space="preserve">5.1 </w:t>
      </w:r>
      <w:r>
        <w:rPr>
          <w:rStyle w:val="46"/>
          <w:rFonts w:hint="eastAsia" w:ascii="Times New Roman"/>
        </w:rPr>
        <w:t>复合胶材</w:t>
      </w:r>
      <w:r>
        <w:rPr>
          <w:rStyle w:val="46"/>
          <w:rFonts w:ascii="Times New Roman"/>
        </w:rPr>
        <w:tab/>
      </w:r>
      <w:r>
        <w:rPr>
          <w:rStyle w:val="46"/>
          <w:rFonts w:ascii="Times New Roman"/>
        </w:rPr>
        <w:fldChar w:fldCharType="begin"/>
      </w:r>
      <w:r>
        <w:rPr>
          <w:rStyle w:val="46"/>
          <w:rFonts w:ascii="Times New Roman"/>
        </w:rPr>
        <w:instrText xml:space="preserve"> PAGEREF _Toc205482203 \h </w:instrText>
      </w:r>
      <w:r>
        <w:rPr>
          <w:rStyle w:val="46"/>
          <w:rFonts w:ascii="Times New Roman"/>
        </w:rPr>
        <w:fldChar w:fldCharType="separate"/>
      </w:r>
      <w:r>
        <w:rPr>
          <w:rStyle w:val="46"/>
          <w:rFonts w:ascii="Times New Roman"/>
        </w:rPr>
        <w:t>2</w:t>
      </w:r>
      <w:r>
        <w:rPr>
          <w:rStyle w:val="46"/>
          <w:rFonts w:hint="eastAsia" w:ascii="Times New Roman"/>
        </w:rPr>
        <w:t>0</w:t>
      </w:r>
      <w:r>
        <w:rPr>
          <w:rStyle w:val="46"/>
          <w:rFonts w:ascii="Times New Roman"/>
        </w:rPr>
        <w:fldChar w:fldCharType="end"/>
      </w:r>
      <w:r>
        <w:rPr>
          <w:rStyle w:val="46"/>
          <w:rFonts w:ascii="Times New Roman"/>
        </w:rPr>
        <w:fldChar w:fldCharType="end"/>
      </w:r>
    </w:p>
    <w:p w14:paraId="1EC76047">
      <w:pPr>
        <w:pStyle w:val="28"/>
        <w:tabs>
          <w:tab w:val="right" w:leader="dot" w:pos="9345"/>
        </w:tabs>
        <w:rPr>
          <w:rStyle w:val="46"/>
          <w:rFonts w:ascii="Times New Roman"/>
        </w:rPr>
      </w:pPr>
      <w:r>
        <w:fldChar w:fldCharType="begin"/>
      </w:r>
      <w:r>
        <w:instrText xml:space="preserve"> HYPERLINK \l "_Toc205482205" </w:instrText>
      </w:r>
      <w:r>
        <w:fldChar w:fldCharType="separate"/>
      </w:r>
      <w:r>
        <w:rPr>
          <w:rStyle w:val="46"/>
          <w:rFonts w:ascii="Times New Roman"/>
        </w:rPr>
        <w:t>5.2</w:t>
      </w:r>
      <w:r>
        <w:rPr>
          <w:rStyle w:val="46"/>
          <w:rFonts w:hint="eastAsia" w:ascii="Times New Roman"/>
        </w:rPr>
        <w:t>　水泥</w:t>
      </w:r>
      <w:r>
        <w:rPr>
          <w:rStyle w:val="46"/>
          <w:rFonts w:ascii="Times New Roman"/>
        </w:rPr>
        <w:tab/>
      </w:r>
      <w:r>
        <w:rPr>
          <w:rStyle w:val="46"/>
          <w:rFonts w:ascii="Times New Roman"/>
        </w:rPr>
        <w:fldChar w:fldCharType="begin"/>
      </w:r>
      <w:r>
        <w:rPr>
          <w:rStyle w:val="46"/>
          <w:rFonts w:ascii="Times New Roman"/>
        </w:rPr>
        <w:instrText xml:space="preserve"> PAGEREF _Toc205482205 \h </w:instrText>
      </w:r>
      <w:r>
        <w:rPr>
          <w:rStyle w:val="46"/>
          <w:rFonts w:ascii="Times New Roman"/>
        </w:rPr>
        <w:fldChar w:fldCharType="separate"/>
      </w:r>
      <w:r>
        <w:rPr>
          <w:rStyle w:val="46"/>
          <w:rFonts w:ascii="Times New Roman"/>
        </w:rPr>
        <w:t>2</w:t>
      </w:r>
      <w:r>
        <w:rPr>
          <w:rStyle w:val="46"/>
          <w:rFonts w:hint="eastAsia" w:ascii="Times New Roman"/>
        </w:rPr>
        <w:t>1</w:t>
      </w:r>
      <w:r>
        <w:rPr>
          <w:rStyle w:val="46"/>
          <w:rFonts w:ascii="Times New Roman"/>
        </w:rPr>
        <w:fldChar w:fldCharType="end"/>
      </w:r>
      <w:r>
        <w:rPr>
          <w:rStyle w:val="46"/>
          <w:rFonts w:ascii="Times New Roman"/>
        </w:rPr>
        <w:fldChar w:fldCharType="end"/>
      </w:r>
    </w:p>
    <w:p w14:paraId="6AAA177A">
      <w:pPr>
        <w:pStyle w:val="28"/>
        <w:tabs>
          <w:tab w:val="right" w:leader="dot" w:pos="9345"/>
        </w:tabs>
        <w:rPr>
          <w:rStyle w:val="46"/>
          <w:rFonts w:ascii="Times New Roman"/>
        </w:rPr>
      </w:pPr>
      <w:r>
        <w:fldChar w:fldCharType="begin"/>
      </w:r>
      <w:r>
        <w:instrText xml:space="preserve"> HYPERLINK \l "_Toc205482210" </w:instrText>
      </w:r>
      <w:r>
        <w:fldChar w:fldCharType="separate"/>
      </w:r>
      <w:r>
        <w:rPr>
          <w:rStyle w:val="46"/>
          <w:rFonts w:ascii="Times New Roman"/>
        </w:rPr>
        <w:t>5.6</w:t>
      </w:r>
      <w:r>
        <w:rPr>
          <w:rStyle w:val="46"/>
          <w:rFonts w:hint="eastAsia" w:ascii="Times New Roman"/>
        </w:rPr>
        <w:t>　外加剂</w:t>
      </w:r>
      <w:r>
        <w:rPr>
          <w:rStyle w:val="46"/>
          <w:rFonts w:ascii="Times New Roman"/>
        </w:rPr>
        <w:tab/>
      </w:r>
      <w:r>
        <w:rPr>
          <w:rStyle w:val="46"/>
          <w:rFonts w:ascii="Times New Roman"/>
        </w:rPr>
        <w:fldChar w:fldCharType="begin"/>
      </w:r>
      <w:r>
        <w:rPr>
          <w:rStyle w:val="46"/>
          <w:rFonts w:ascii="Times New Roman"/>
        </w:rPr>
        <w:instrText xml:space="preserve"> PAGEREF _Toc205482210 \h </w:instrText>
      </w:r>
      <w:r>
        <w:rPr>
          <w:rStyle w:val="46"/>
          <w:rFonts w:ascii="Times New Roman"/>
        </w:rPr>
        <w:fldChar w:fldCharType="separate"/>
      </w:r>
      <w:r>
        <w:rPr>
          <w:rStyle w:val="46"/>
          <w:rFonts w:ascii="Times New Roman"/>
        </w:rPr>
        <w:t>2</w:t>
      </w:r>
      <w:r>
        <w:rPr>
          <w:rStyle w:val="46"/>
          <w:rFonts w:hint="eastAsia" w:ascii="Times New Roman"/>
        </w:rPr>
        <w:t>1</w:t>
      </w:r>
      <w:r>
        <w:rPr>
          <w:rStyle w:val="46"/>
          <w:rFonts w:ascii="Times New Roman"/>
        </w:rPr>
        <w:fldChar w:fldCharType="end"/>
      </w:r>
      <w:r>
        <w:rPr>
          <w:rStyle w:val="46"/>
          <w:rFonts w:ascii="Times New Roman"/>
        </w:rPr>
        <w:fldChar w:fldCharType="end"/>
      </w:r>
    </w:p>
    <w:p w14:paraId="7C666AC0">
      <w:pPr>
        <w:pStyle w:val="28"/>
        <w:tabs>
          <w:tab w:val="right" w:leader="dot" w:pos="9345"/>
        </w:tabs>
        <w:rPr>
          <w:rStyle w:val="46"/>
          <w:rFonts w:ascii="Times New Roman"/>
        </w:rPr>
      </w:pPr>
      <w:r>
        <w:fldChar w:fldCharType="begin"/>
      </w:r>
      <w:r>
        <w:instrText xml:space="preserve"> HYPERLINK \l "_Toc205482212" </w:instrText>
      </w:r>
      <w:r>
        <w:fldChar w:fldCharType="separate"/>
      </w:r>
      <w:r>
        <w:rPr>
          <w:rStyle w:val="46"/>
          <w:rFonts w:ascii="Times New Roman"/>
        </w:rPr>
        <w:t>6</w:t>
      </w:r>
      <w:r>
        <w:rPr>
          <w:rStyle w:val="46"/>
          <w:rFonts w:hint="eastAsia" w:ascii="Times New Roman"/>
        </w:rPr>
        <w:t>　混凝土性能</w:t>
      </w:r>
      <w:r>
        <w:rPr>
          <w:rStyle w:val="46"/>
          <w:rFonts w:ascii="Times New Roman"/>
        </w:rPr>
        <w:tab/>
      </w:r>
      <w:r>
        <w:rPr>
          <w:rStyle w:val="46"/>
          <w:rFonts w:ascii="Times New Roman"/>
        </w:rPr>
        <w:fldChar w:fldCharType="begin"/>
      </w:r>
      <w:r>
        <w:rPr>
          <w:rStyle w:val="46"/>
          <w:rFonts w:ascii="Times New Roman"/>
        </w:rPr>
        <w:instrText xml:space="preserve"> PAGEREF _Toc205482212 \h </w:instrText>
      </w:r>
      <w:r>
        <w:rPr>
          <w:rStyle w:val="46"/>
          <w:rFonts w:ascii="Times New Roman"/>
        </w:rPr>
        <w:fldChar w:fldCharType="separate"/>
      </w:r>
      <w:r>
        <w:rPr>
          <w:rStyle w:val="46"/>
          <w:rFonts w:ascii="Times New Roman"/>
        </w:rPr>
        <w:t>2</w:t>
      </w:r>
      <w:r>
        <w:rPr>
          <w:rStyle w:val="46"/>
          <w:rFonts w:hint="eastAsia" w:ascii="Times New Roman"/>
        </w:rPr>
        <w:t>1</w:t>
      </w:r>
      <w:r>
        <w:rPr>
          <w:rStyle w:val="46"/>
          <w:rFonts w:ascii="Times New Roman"/>
        </w:rPr>
        <w:fldChar w:fldCharType="end"/>
      </w:r>
      <w:r>
        <w:rPr>
          <w:rStyle w:val="46"/>
          <w:rFonts w:ascii="Times New Roman"/>
        </w:rPr>
        <w:fldChar w:fldCharType="end"/>
      </w:r>
    </w:p>
    <w:p w14:paraId="46E8A713">
      <w:pPr>
        <w:pStyle w:val="28"/>
        <w:tabs>
          <w:tab w:val="right" w:leader="dot" w:pos="9345"/>
        </w:tabs>
        <w:rPr>
          <w:rStyle w:val="46"/>
          <w:rFonts w:ascii="Times New Roman"/>
        </w:rPr>
      </w:pPr>
      <w:r>
        <w:fldChar w:fldCharType="begin"/>
      </w:r>
      <w:r>
        <w:instrText xml:space="preserve"> HYPERLINK \l "_Toc205482213" </w:instrText>
      </w:r>
      <w:r>
        <w:fldChar w:fldCharType="separate"/>
      </w:r>
      <w:r>
        <w:rPr>
          <w:rStyle w:val="46"/>
          <w:rFonts w:ascii="Times New Roman"/>
        </w:rPr>
        <w:t>6.1</w:t>
      </w:r>
      <w:r>
        <w:rPr>
          <w:rStyle w:val="46"/>
          <w:rFonts w:hint="eastAsia" w:ascii="Times New Roman"/>
        </w:rPr>
        <w:t>　拌合物性能</w:t>
      </w:r>
      <w:r>
        <w:rPr>
          <w:rStyle w:val="46"/>
          <w:rFonts w:ascii="Times New Roman"/>
        </w:rPr>
        <w:tab/>
      </w:r>
      <w:r>
        <w:rPr>
          <w:rStyle w:val="46"/>
          <w:rFonts w:ascii="Times New Roman"/>
        </w:rPr>
        <w:fldChar w:fldCharType="begin"/>
      </w:r>
      <w:r>
        <w:rPr>
          <w:rStyle w:val="46"/>
          <w:rFonts w:ascii="Times New Roman"/>
        </w:rPr>
        <w:instrText xml:space="preserve"> PAGEREF _Toc205482213 \h </w:instrText>
      </w:r>
      <w:r>
        <w:rPr>
          <w:rStyle w:val="46"/>
          <w:rFonts w:ascii="Times New Roman"/>
        </w:rPr>
        <w:fldChar w:fldCharType="separate"/>
      </w:r>
      <w:r>
        <w:rPr>
          <w:rStyle w:val="46"/>
          <w:rFonts w:ascii="Times New Roman"/>
        </w:rPr>
        <w:t>2</w:t>
      </w:r>
      <w:r>
        <w:rPr>
          <w:rStyle w:val="46"/>
          <w:rFonts w:hint="eastAsia" w:ascii="Times New Roman"/>
        </w:rPr>
        <w:t>1</w:t>
      </w:r>
      <w:r>
        <w:rPr>
          <w:rStyle w:val="46"/>
          <w:rFonts w:ascii="Times New Roman"/>
        </w:rPr>
        <w:fldChar w:fldCharType="end"/>
      </w:r>
      <w:r>
        <w:rPr>
          <w:rStyle w:val="46"/>
          <w:rFonts w:ascii="Times New Roman"/>
        </w:rPr>
        <w:fldChar w:fldCharType="end"/>
      </w:r>
    </w:p>
    <w:p w14:paraId="727AD4D4">
      <w:pPr>
        <w:pStyle w:val="28"/>
        <w:tabs>
          <w:tab w:val="right" w:leader="dot" w:pos="9345"/>
        </w:tabs>
        <w:rPr>
          <w:rStyle w:val="46"/>
          <w:rFonts w:ascii="Times New Roman"/>
        </w:rPr>
      </w:pPr>
      <w:r>
        <w:fldChar w:fldCharType="begin"/>
      </w:r>
      <w:r>
        <w:instrText xml:space="preserve"> HYPERLINK \l "_Toc205482219" </w:instrText>
      </w:r>
      <w:r>
        <w:fldChar w:fldCharType="separate"/>
      </w:r>
      <w:r>
        <w:rPr>
          <w:rStyle w:val="46"/>
          <w:rFonts w:ascii="Times New Roman"/>
        </w:rPr>
        <w:t>6.3</w:t>
      </w:r>
      <w:r>
        <w:rPr>
          <w:rStyle w:val="46"/>
          <w:rFonts w:hint="eastAsia" w:ascii="Times New Roman"/>
        </w:rPr>
        <w:t>　长期性能和耐久性能</w:t>
      </w:r>
      <w:r>
        <w:rPr>
          <w:rStyle w:val="46"/>
          <w:rFonts w:ascii="Times New Roman"/>
        </w:rPr>
        <w:tab/>
      </w:r>
      <w:r>
        <w:rPr>
          <w:rStyle w:val="46"/>
          <w:rFonts w:ascii="Times New Roman"/>
        </w:rPr>
        <w:fldChar w:fldCharType="begin"/>
      </w:r>
      <w:r>
        <w:rPr>
          <w:rStyle w:val="46"/>
          <w:rFonts w:ascii="Times New Roman"/>
        </w:rPr>
        <w:instrText xml:space="preserve"> PAGEREF _Toc205482219 \h </w:instrText>
      </w:r>
      <w:r>
        <w:rPr>
          <w:rStyle w:val="46"/>
          <w:rFonts w:ascii="Times New Roman"/>
        </w:rPr>
        <w:fldChar w:fldCharType="separate"/>
      </w:r>
      <w:r>
        <w:rPr>
          <w:rStyle w:val="46"/>
          <w:rFonts w:ascii="Times New Roman"/>
        </w:rPr>
        <w:t>2</w:t>
      </w:r>
      <w:r>
        <w:rPr>
          <w:rStyle w:val="46"/>
          <w:rFonts w:hint="eastAsia" w:ascii="Times New Roman"/>
        </w:rPr>
        <w:t>1</w:t>
      </w:r>
      <w:r>
        <w:rPr>
          <w:rStyle w:val="46"/>
          <w:rFonts w:ascii="Times New Roman"/>
        </w:rPr>
        <w:fldChar w:fldCharType="end"/>
      </w:r>
      <w:r>
        <w:rPr>
          <w:rStyle w:val="46"/>
          <w:rFonts w:ascii="Times New Roman"/>
        </w:rPr>
        <w:fldChar w:fldCharType="end"/>
      </w:r>
    </w:p>
    <w:p w14:paraId="0BE622E6">
      <w:pPr>
        <w:pStyle w:val="28"/>
        <w:tabs>
          <w:tab w:val="right" w:leader="dot" w:pos="9345"/>
        </w:tabs>
        <w:rPr>
          <w:rStyle w:val="46"/>
          <w:rFonts w:ascii="Times New Roman"/>
        </w:rPr>
      </w:pPr>
      <w:r>
        <w:fldChar w:fldCharType="begin"/>
      </w:r>
      <w:r>
        <w:instrText xml:space="preserve"> HYPERLINK \l "_Toc205482222" </w:instrText>
      </w:r>
      <w:r>
        <w:fldChar w:fldCharType="separate"/>
      </w:r>
      <w:r>
        <w:rPr>
          <w:rStyle w:val="46"/>
          <w:rFonts w:ascii="Times New Roman"/>
        </w:rPr>
        <w:t>7</w:t>
      </w:r>
      <w:r>
        <w:rPr>
          <w:rStyle w:val="46"/>
          <w:rFonts w:hint="eastAsia" w:ascii="Times New Roman"/>
        </w:rPr>
        <w:t>　配合比设计</w:t>
      </w:r>
      <w:r>
        <w:rPr>
          <w:rStyle w:val="46"/>
          <w:rFonts w:ascii="Times New Roman"/>
        </w:rPr>
        <w:tab/>
      </w:r>
      <w:r>
        <w:rPr>
          <w:rStyle w:val="46"/>
          <w:rFonts w:ascii="Times New Roman"/>
        </w:rPr>
        <w:fldChar w:fldCharType="begin"/>
      </w:r>
      <w:r>
        <w:rPr>
          <w:rStyle w:val="46"/>
          <w:rFonts w:ascii="Times New Roman"/>
        </w:rPr>
        <w:instrText xml:space="preserve"> PAGEREF _Toc205482222 \h </w:instrText>
      </w:r>
      <w:r>
        <w:rPr>
          <w:rStyle w:val="46"/>
          <w:rFonts w:ascii="Times New Roman"/>
        </w:rPr>
        <w:fldChar w:fldCharType="separate"/>
      </w:r>
      <w:r>
        <w:rPr>
          <w:rStyle w:val="46"/>
          <w:rFonts w:ascii="Times New Roman"/>
        </w:rPr>
        <w:t>2</w:t>
      </w:r>
      <w:r>
        <w:rPr>
          <w:rStyle w:val="46"/>
          <w:rFonts w:hint="eastAsia" w:ascii="Times New Roman"/>
        </w:rPr>
        <w:t>1</w:t>
      </w:r>
      <w:r>
        <w:rPr>
          <w:rStyle w:val="46"/>
          <w:rFonts w:ascii="Times New Roman"/>
        </w:rPr>
        <w:fldChar w:fldCharType="end"/>
      </w:r>
      <w:r>
        <w:rPr>
          <w:rStyle w:val="46"/>
          <w:rFonts w:ascii="Times New Roman"/>
        </w:rPr>
        <w:fldChar w:fldCharType="end"/>
      </w:r>
    </w:p>
    <w:p w14:paraId="099E1C37">
      <w:pPr>
        <w:pStyle w:val="28"/>
        <w:tabs>
          <w:tab w:val="right" w:leader="dot" w:pos="9345"/>
        </w:tabs>
        <w:rPr>
          <w:rStyle w:val="46"/>
          <w:rFonts w:ascii="Times New Roman"/>
        </w:rPr>
      </w:pPr>
      <w:r>
        <w:fldChar w:fldCharType="begin"/>
      </w:r>
      <w:r>
        <w:instrText xml:space="preserve"> HYPERLINK \l "_Toc205482223" </w:instrText>
      </w:r>
      <w:r>
        <w:fldChar w:fldCharType="separate"/>
      </w:r>
      <w:r>
        <w:rPr>
          <w:rStyle w:val="46"/>
          <w:rFonts w:ascii="Times New Roman"/>
        </w:rPr>
        <w:t>7.1</w:t>
      </w:r>
      <w:r>
        <w:rPr>
          <w:rStyle w:val="46"/>
          <w:rFonts w:hint="eastAsia" w:ascii="Times New Roman"/>
        </w:rPr>
        <w:t>　一般规定</w:t>
      </w:r>
      <w:r>
        <w:rPr>
          <w:rStyle w:val="46"/>
          <w:rFonts w:ascii="Times New Roman"/>
        </w:rPr>
        <w:tab/>
      </w:r>
      <w:r>
        <w:rPr>
          <w:rStyle w:val="46"/>
          <w:rFonts w:ascii="Times New Roman"/>
        </w:rPr>
        <w:fldChar w:fldCharType="begin"/>
      </w:r>
      <w:r>
        <w:rPr>
          <w:rStyle w:val="46"/>
          <w:rFonts w:ascii="Times New Roman"/>
        </w:rPr>
        <w:instrText xml:space="preserve"> PAGEREF _Toc205482223 \h </w:instrText>
      </w:r>
      <w:r>
        <w:rPr>
          <w:rStyle w:val="46"/>
          <w:rFonts w:ascii="Times New Roman"/>
        </w:rPr>
        <w:fldChar w:fldCharType="separate"/>
      </w:r>
      <w:r>
        <w:rPr>
          <w:rStyle w:val="46"/>
          <w:rFonts w:ascii="Times New Roman"/>
        </w:rPr>
        <w:t>2</w:t>
      </w:r>
      <w:r>
        <w:rPr>
          <w:rStyle w:val="46"/>
          <w:rFonts w:hint="eastAsia" w:ascii="Times New Roman"/>
        </w:rPr>
        <w:t>1</w:t>
      </w:r>
      <w:r>
        <w:rPr>
          <w:rStyle w:val="46"/>
          <w:rFonts w:ascii="Times New Roman"/>
        </w:rPr>
        <w:fldChar w:fldCharType="end"/>
      </w:r>
      <w:r>
        <w:rPr>
          <w:rStyle w:val="46"/>
          <w:rFonts w:ascii="Times New Roman"/>
        </w:rPr>
        <w:fldChar w:fldCharType="end"/>
      </w:r>
    </w:p>
    <w:p w14:paraId="4232A3B5">
      <w:pPr>
        <w:pStyle w:val="28"/>
        <w:tabs>
          <w:tab w:val="right" w:leader="dot" w:pos="9345"/>
        </w:tabs>
        <w:rPr>
          <w:rStyle w:val="46"/>
          <w:rFonts w:ascii="Times New Roman"/>
        </w:rPr>
      </w:pPr>
      <w:r>
        <w:fldChar w:fldCharType="begin"/>
      </w:r>
      <w:r>
        <w:instrText xml:space="preserve"> HYPERLINK \l "_Toc205482227" </w:instrText>
      </w:r>
      <w:r>
        <w:fldChar w:fldCharType="separate"/>
      </w:r>
      <w:r>
        <w:rPr>
          <w:rStyle w:val="46"/>
          <w:rFonts w:ascii="Times New Roman"/>
        </w:rPr>
        <w:t>7.2</w:t>
      </w:r>
      <w:r>
        <w:rPr>
          <w:rStyle w:val="46"/>
          <w:rFonts w:hint="eastAsia" w:ascii="Times New Roman"/>
        </w:rPr>
        <w:t>　主要参数</w:t>
      </w:r>
      <w:r>
        <w:rPr>
          <w:rStyle w:val="46"/>
          <w:rFonts w:ascii="Times New Roman"/>
        </w:rPr>
        <w:tab/>
      </w:r>
      <w:r>
        <w:rPr>
          <w:rStyle w:val="46"/>
          <w:rFonts w:ascii="Times New Roman"/>
        </w:rPr>
        <w:fldChar w:fldCharType="begin"/>
      </w:r>
      <w:r>
        <w:rPr>
          <w:rStyle w:val="46"/>
          <w:rFonts w:ascii="Times New Roman"/>
        </w:rPr>
        <w:instrText xml:space="preserve"> PAGEREF _Toc205482227 \h </w:instrText>
      </w:r>
      <w:r>
        <w:rPr>
          <w:rStyle w:val="46"/>
          <w:rFonts w:ascii="Times New Roman"/>
        </w:rPr>
        <w:fldChar w:fldCharType="separate"/>
      </w:r>
      <w:r>
        <w:rPr>
          <w:rStyle w:val="46"/>
          <w:rFonts w:ascii="Times New Roman"/>
        </w:rPr>
        <w:t>2</w:t>
      </w:r>
      <w:r>
        <w:rPr>
          <w:rStyle w:val="46"/>
          <w:rFonts w:hint="eastAsia" w:ascii="Times New Roman"/>
        </w:rPr>
        <w:t>1</w:t>
      </w:r>
      <w:r>
        <w:rPr>
          <w:rStyle w:val="46"/>
          <w:rFonts w:ascii="Times New Roman"/>
        </w:rPr>
        <w:fldChar w:fldCharType="end"/>
      </w:r>
      <w:r>
        <w:rPr>
          <w:rStyle w:val="46"/>
          <w:rFonts w:ascii="Times New Roman"/>
        </w:rPr>
        <w:fldChar w:fldCharType="end"/>
      </w:r>
    </w:p>
    <w:p w14:paraId="0A4D1194">
      <w:pPr>
        <w:pStyle w:val="28"/>
        <w:tabs>
          <w:tab w:val="right" w:leader="dot" w:pos="9345"/>
        </w:tabs>
        <w:rPr>
          <w:rStyle w:val="46"/>
          <w:rFonts w:ascii="Times New Roman"/>
        </w:rPr>
      </w:pPr>
      <w:r>
        <w:fldChar w:fldCharType="begin"/>
      </w:r>
      <w:r>
        <w:instrText xml:space="preserve"> HYPERLINK \l "_Toc205482232" </w:instrText>
      </w:r>
      <w:r>
        <w:fldChar w:fldCharType="separate"/>
      </w:r>
      <w:r>
        <w:rPr>
          <w:rStyle w:val="46"/>
          <w:rFonts w:ascii="Times New Roman"/>
        </w:rPr>
        <w:t>7.3</w:t>
      </w:r>
      <w:r>
        <w:rPr>
          <w:rStyle w:val="46"/>
          <w:rFonts w:hint="eastAsia" w:ascii="Times New Roman"/>
        </w:rPr>
        <w:t>　设计控制</w:t>
      </w:r>
      <w:r>
        <w:rPr>
          <w:rStyle w:val="46"/>
          <w:rFonts w:ascii="Times New Roman"/>
        </w:rPr>
        <w:tab/>
      </w:r>
      <w:r>
        <w:rPr>
          <w:rStyle w:val="46"/>
          <w:rFonts w:hint="eastAsia" w:ascii="Times New Roman"/>
        </w:rPr>
        <w:t>23</w:t>
      </w:r>
      <w:r>
        <w:rPr>
          <w:rStyle w:val="46"/>
          <w:rFonts w:hint="eastAsia" w:ascii="Times New Roman"/>
        </w:rPr>
        <w:fldChar w:fldCharType="end"/>
      </w:r>
    </w:p>
    <w:p w14:paraId="3AF17D23">
      <w:pPr>
        <w:pStyle w:val="28"/>
        <w:tabs>
          <w:tab w:val="right" w:leader="dot" w:pos="9345"/>
        </w:tabs>
        <w:rPr>
          <w:rStyle w:val="46"/>
          <w:rFonts w:ascii="Times New Roman"/>
        </w:rPr>
      </w:pPr>
      <w:r>
        <w:fldChar w:fldCharType="begin"/>
      </w:r>
      <w:r>
        <w:instrText xml:space="preserve"> HYPERLINK \l "_Toc205482236" </w:instrText>
      </w:r>
      <w:r>
        <w:fldChar w:fldCharType="separate"/>
      </w:r>
      <w:r>
        <w:rPr>
          <w:rStyle w:val="46"/>
          <w:rFonts w:ascii="Times New Roman"/>
        </w:rPr>
        <w:t>8</w:t>
      </w:r>
      <w:r>
        <w:rPr>
          <w:rStyle w:val="46"/>
          <w:rFonts w:ascii="Times New Roman"/>
        </w:rPr>
        <w:sym w:font="Symbol" w:char="007F"/>
      </w:r>
      <w:r>
        <w:rPr>
          <w:rStyle w:val="46"/>
          <w:rFonts w:hint="eastAsia" w:ascii="Times New Roman"/>
        </w:rPr>
        <w:t>生产与施工</w:t>
      </w:r>
      <w:r>
        <w:rPr>
          <w:rStyle w:val="46"/>
          <w:rFonts w:ascii="Times New Roman"/>
        </w:rPr>
        <w:tab/>
      </w:r>
      <w:r>
        <w:rPr>
          <w:rStyle w:val="46"/>
          <w:rFonts w:hint="eastAsia" w:ascii="Times New Roman"/>
        </w:rPr>
        <w:t>23</w:t>
      </w:r>
      <w:r>
        <w:rPr>
          <w:rStyle w:val="46"/>
          <w:rFonts w:hint="eastAsia" w:ascii="Times New Roman"/>
        </w:rPr>
        <w:fldChar w:fldCharType="end"/>
      </w:r>
    </w:p>
    <w:p w14:paraId="4A2660E8">
      <w:pPr>
        <w:pStyle w:val="28"/>
        <w:tabs>
          <w:tab w:val="right" w:leader="dot" w:pos="9345"/>
        </w:tabs>
        <w:rPr>
          <w:rStyle w:val="46"/>
          <w:rFonts w:ascii="Times New Roman"/>
        </w:rPr>
      </w:pPr>
      <w:r>
        <w:fldChar w:fldCharType="begin"/>
      </w:r>
      <w:r>
        <w:instrText xml:space="preserve"> HYPERLINK \l "_Toc205482241" </w:instrText>
      </w:r>
      <w:r>
        <w:fldChar w:fldCharType="separate"/>
      </w:r>
      <w:r>
        <w:rPr>
          <w:rStyle w:val="46"/>
          <w:rFonts w:ascii="Times New Roman"/>
        </w:rPr>
        <w:t>8.2</w:t>
      </w:r>
      <w:r>
        <w:rPr>
          <w:rStyle w:val="46"/>
          <w:rFonts w:hint="eastAsia" w:ascii="Times New Roman"/>
        </w:rPr>
        <w:t>　原材料进场与贮存</w:t>
      </w:r>
      <w:r>
        <w:rPr>
          <w:rStyle w:val="46"/>
          <w:rFonts w:ascii="Times New Roman"/>
        </w:rPr>
        <w:tab/>
      </w:r>
      <w:r>
        <w:rPr>
          <w:rStyle w:val="46"/>
          <w:rFonts w:hint="eastAsia" w:ascii="Times New Roman"/>
        </w:rPr>
        <w:t>23</w:t>
      </w:r>
      <w:r>
        <w:rPr>
          <w:rStyle w:val="46"/>
          <w:rFonts w:hint="eastAsia" w:ascii="Times New Roman"/>
        </w:rPr>
        <w:fldChar w:fldCharType="end"/>
      </w:r>
    </w:p>
    <w:p w14:paraId="19D7538D">
      <w:pPr>
        <w:pStyle w:val="28"/>
        <w:tabs>
          <w:tab w:val="right" w:leader="dot" w:pos="9345"/>
        </w:tabs>
        <w:rPr>
          <w:rStyle w:val="46"/>
          <w:rFonts w:ascii="Times New Roman"/>
        </w:rPr>
      </w:pPr>
      <w:r>
        <w:fldChar w:fldCharType="begin"/>
      </w:r>
      <w:r>
        <w:instrText xml:space="preserve"> HYPERLINK \l "_Toc205482251" </w:instrText>
      </w:r>
      <w:r>
        <w:fldChar w:fldCharType="separate"/>
      </w:r>
      <w:r>
        <w:rPr>
          <w:rStyle w:val="46"/>
          <w:rFonts w:ascii="Times New Roman"/>
        </w:rPr>
        <w:t>8.5</w:t>
      </w:r>
      <w:r>
        <w:rPr>
          <w:rStyle w:val="46"/>
          <w:rFonts w:hint="eastAsia" w:ascii="Times New Roman"/>
        </w:rPr>
        <w:t>　浇筑</w:t>
      </w:r>
      <w:r>
        <w:rPr>
          <w:rStyle w:val="46"/>
          <w:rFonts w:ascii="Times New Roman"/>
        </w:rPr>
        <w:tab/>
      </w:r>
      <w:r>
        <w:rPr>
          <w:rStyle w:val="46"/>
          <w:rFonts w:hint="eastAsia" w:ascii="Times New Roman"/>
        </w:rPr>
        <w:t>23</w:t>
      </w:r>
      <w:r>
        <w:rPr>
          <w:rStyle w:val="46"/>
          <w:rFonts w:hint="eastAsia" w:ascii="Times New Roman"/>
        </w:rPr>
        <w:fldChar w:fldCharType="end"/>
      </w:r>
    </w:p>
    <w:p w14:paraId="5636309A">
      <w:pPr>
        <w:pStyle w:val="28"/>
        <w:tabs>
          <w:tab w:val="right" w:leader="dot" w:pos="9345"/>
        </w:tabs>
        <w:rPr>
          <w:rStyle w:val="46"/>
          <w:rFonts w:ascii="Times New Roman"/>
        </w:rPr>
      </w:pPr>
      <w:r>
        <w:fldChar w:fldCharType="begin"/>
      </w:r>
      <w:r>
        <w:instrText xml:space="preserve"> HYPERLINK \l "_Toc205482259" </w:instrText>
      </w:r>
      <w:r>
        <w:fldChar w:fldCharType="separate"/>
      </w:r>
      <w:r>
        <w:rPr>
          <w:rStyle w:val="46"/>
          <w:rFonts w:ascii="Times New Roman"/>
        </w:rPr>
        <w:t>8.6</w:t>
      </w:r>
      <w:r>
        <w:rPr>
          <w:rStyle w:val="46"/>
          <w:rFonts w:hint="eastAsia" w:ascii="Times New Roman"/>
        </w:rPr>
        <w:t>　</w:t>
      </w:r>
      <w:r>
        <w:rPr>
          <w:rStyle w:val="46"/>
          <w:rFonts w:ascii="Times New Roman"/>
        </w:rPr>
        <w:t xml:space="preserve"> </w:t>
      </w:r>
      <w:r>
        <w:rPr>
          <w:rStyle w:val="46"/>
          <w:rFonts w:hint="eastAsia" w:ascii="Times New Roman"/>
        </w:rPr>
        <w:t>养护与拆模</w:t>
      </w:r>
      <w:r>
        <w:rPr>
          <w:rStyle w:val="46"/>
          <w:rFonts w:ascii="Times New Roman"/>
        </w:rPr>
        <w:tab/>
      </w:r>
      <w:r>
        <w:rPr>
          <w:rStyle w:val="46"/>
          <w:rFonts w:hint="eastAsia" w:ascii="Times New Roman"/>
        </w:rPr>
        <w:t>24</w:t>
      </w:r>
      <w:r>
        <w:rPr>
          <w:rStyle w:val="46"/>
          <w:rFonts w:hint="eastAsia" w:ascii="Times New Roman"/>
        </w:rPr>
        <w:fldChar w:fldCharType="end"/>
      </w:r>
    </w:p>
    <w:p w14:paraId="71467BEA">
      <w:pPr>
        <w:pStyle w:val="28"/>
        <w:tabs>
          <w:tab w:val="right" w:leader="dot" w:pos="9345"/>
        </w:tabs>
        <w:rPr>
          <w:rStyle w:val="46"/>
          <w:rFonts w:ascii="Times New Roman"/>
        </w:rPr>
      </w:pPr>
      <w:r>
        <w:fldChar w:fldCharType="begin"/>
      </w:r>
      <w:r>
        <w:instrText xml:space="preserve"> HYPERLINK \l "_Toc205482263" </w:instrText>
      </w:r>
      <w:r>
        <w:fldChar w:fldCharType="separate"/>
      </w:r>
      <w:r>
        <w:rPr>
          <w:rStyle w:val="46"/>
          <w:rFonts w:ascii="Times New Roman"/>
        </w:rPr>
        <w:t>9</w:t>
      </w:r>
      <w:r>
        <w:rPr>
          <w:rStyle w:val="46"/>
          <w:rFonts w:ascii="Times New Roman"/>
        </w:rPr>
        <w:sym w:font="Symbol" w:char="007F"/>
      </w:r>
      <w:r>
        <w:rPr>
          <w:rStyle w:val="46"/>
          <w:rFonts w:hint="eastAsia" w:ascii="Times New Roman"/>
        </w:rPr>
        <w:t>质量检验与验收</w:t>
      </w:r>
      <w:r>
        <w:rPr>
          <w:rStyle w:val="46"/>
          <w:rFonts w:ascii="Times New Roman"/>
        </w:rPr>
        <w:tab/>
      </w:r>
      <w:r>
        <w:rPr>
          <w:rStyle w:val="46"/>
          <w:rFonts w:hint="eastAsia" w:ascii="Times New Roman"/>
        </w:rPr>
        <w:t>24</w:t>
      </w:r>
      <w:r>
        <w:rPr>
          <w:rStyle w:val="46"/>
          <w:rFonts w:hint="eastAsia" w:ascii="Times New Roman"/>
        </w:rPr>
        <w:fldChar w:fldCharType="end"/>
      </w:r>
    </w:p>
    <w:p w14:paraId="14B79F2E">
      <w:pPr>
        <w:pStyle w:val="28"/>
        <w:tabs>
          <w:tab w:val="right" w:leader="dot" w:pos="9345"/>
        </w:tabs>
        <w:rPr>
          <w:rStyle w:val="46"/>
          <w:rFonts w:ascii="Times New Roman"/>
        </w:rPr>
      </w:pPr>
      <w:r>
        <w:fldChar w:fldCharType="begin"/>
      </w:r>
      <w:r>
        <w:instrText xml:space="preserve"> HYPERLINK \l "_Toc205482264" </w:instrText>
      </w:r>
      <w:r>
        <w:fldChar w:fldCharType="separate"/>
      </w:r>
      <w:r>
        <w:rPr>
          <w:rStyle w:val="46"/>
          <w:rFonts w:ascii="Times New Roman"/>
        </w:rPr>
        <w:t>9.1</w:t>
      </w:r>
      <w:r>
        <w:rPr>
          <w:rStyle w:val="46"/>
          <w:rFonts w:hint="eastAsia" w:ascii="Times New Roman"/>
        </w:rPr>
        <w:t>　一般规定</w:t>
      </w:r>
      <w:r>
        <w:rPr>
          <w:rStyle w:val="46"/>
          <w:rFonts w:ascii="Times New Roman"/>
        </w:rPr>
        <w:tab/>
      </w:r>
      <w:r>
        <w:rPr>
          <w:rStyle w:val="46"/>
          <w:rFonts w:hint="eastAsia" w:ascii="Times New Roman"/>
        </w:rPr>
        <w:t>24</w:t>
      </w:r>
      <w:r>
        <w:rPr>
          <w:rStyle w:val="46"/>
          <w:rFonts w:hint="eastAsia" w:ascii="Times New Roman"/>
        </w:rPr>
        <w:fldChar w:fldCharType="end"/>
      </w:r>
    </w:p>
    <w:p w14:paraId="44AC6974">
      <w:pPr>
        <w:pStyle w:val="28"/>
        <w:tabs>
          <w:tab w:val="right" w:leader="dot" w:pos="9345"/>
        </w:tabs>
        <w:rPr>
          <w:rStyle w:val="46"/>
          <w:rFonts w:ascii="Times New Roman"/>
        </w:rPr>
      </w:pPr>
    </w:p>
    <w:p w14:paraId="26DA102F">
      <w:pPr>
        <w:rPr>
          <w:rFonts w:ascii="Times New Roman" w:hAnsi="Times New Roman"/>
          <w:bCs/>
          <w:lang w:val="zh-CN"/>
        </w:rPr>
        <w:sectPr>
          <w:pgSz w:w="11906" w:h="16838"/>
          <w:pgMar w:top="1417" w:right="1134" w:bottom="1134" w:left="1417" w:header="1418" w:footer="1134" w:gutter="0"/>
          <w:cols w:space="720" w:num="1"/>
          <w:docGrid w:type="lines" w:linePitch="312" w:charSpace="0"/>
        </w:sectPr>
      </w:pPr>
      <w:r>
        <w:rPr>
          <w:rFonts w:ascii="Times New Roman" w:hAnsi="Times New Roman"/>
          <w:bCs/>
          <w:lang w:val="zh-CN"/>
        </w:rPr>
        <w:fldChar w:fldCharType="end"/>
      </w:r>
    </w:p>
    <w:p w14:paraId="0A238EE8">
      <w:pPr>
        <w:spacing w:before="850" w:after="640" w:line="240" w:lineRule="auto"/>
        <w:jc w:val="center"/>
        <w:rPr>
          <w:rFonts w:ascii="Times New Roman" w:hAnsi="Times New Roman" w:eastAsia="黑体"/>
          <w:sz w:val="32"/>
          <w:szCs w:val="32"/>
        </w:rPr>
      </w:pPr>
      <w:r>
        <w:rPr>
          <w:rFonts w:ascii="Times New Roman" w:hAnsi="Times New Roman" w:eastAsia="黑体"/>
          <w:sz w:val="32"/>
          <w:szCs w:val="32"/>
        </w:rPr>
        <w:t>钢渣类固废基胶凝材料混凝土应用技术规程</w:t>
      </w:r>
    </w:p>
    <w:p w14:paraId="42265F0A">
      <w:pPr>
        <w:pStyle w:val="52"/>
        <w:numPr>
          <w:ilvl w:val="1"/>
          <w:numId w:val="0"/>
        </w:numPr>
        <w:spacing w:before="312" w:after="312"/>
        <w:rPr>
          <w:rFonts w:ascii="Times New Roman"/>
        </w:rPr>
      </w:pPr>
      <w:bookmarkStart w:id="784" w:name="_Toc162893129"/>
      <w:bookmarkStart w:id="785" w:name="_Toc169011099"/>
      <w:bookmarkStart w:id="786" w:name="_Toc169011588"/>
      <w:bookmarkStart w:id="787" w:name="_Toc195801202"/>
      <w:bookmarkStart w:id="788" w:name="_Toc10425"/>
      <w:bookmarkStart w:id="789" w:name="_Toc204017222"/>
      <w:bookmarkStart w:id="790" w:name="_Toc195801924"/>
      <w:bookmarkStart w:id="791" w:name="_Toc6635"/>
      <w:bookmarkStart w:id="792" w:name="_Toc30885"/>
      <w:bookmarkStart w:id="793" w:name="_Toc205482195"/>
      <w:bookmarkStart w:id="794" w:name="_Toc205222380"/>
      <w:bookmarkStart w:id="795" w:name="_Toc195801503"/>
      <w:bookmarkStart w:id="796" w:name="_Toc205237792"/>
      <w:r>
        <w:rPr>
          <w:rFonts w:ascii="Times New Roman"/>
        </w:rPr>
        <w:t>3　术语</w:t>
      </w:r>
      <w:bookmarkEnd w:id="784"/>
      <w:bookmarkEnd w:id="785"/>
      <w:bookmarkEnd w:id="786"/>
      <w:r>
        <w:rPr>
          <w:rFonts w:ascii="Times New Roman"/>
        </w:rPr>
        <w:t>和定义</w:t>
      </w:r>
      <w:bookmarkEnd w:id="787"/>
      <w:bookmarkEnd w:id="788"/>
      <w:bookmarkEnd w:id="789"/>
      <w:bookmarkEnd w:id="790"/>
      <w:bookmarkEnd w:id="791"/>
      <w:bookmarkEnd w:id="792"/>
      <w:bookmarkEnd w:id="793"/>
      <w:bookmarkEnd w:id="794"/>
      <w:bookmarkEnd w:id="795"/>
      <w:bookmarkEnd w:id="796"/>
    </w:p>
    <w:p w14:paraId="0637E492">
      <w:pPr>
        <w:pStyle w:val="53"/>
        <w:numPr>
          <w:ilvl w:val="0"/>
          <w:numId w:val="0"/>
        </w:numPr>
        <w:rPr>
          <w:rFonts w:ascii="Times New Roman"/>
        </w:rPr>
      </w:pPr>
      <w:bookmarkStart w:id="797" w:name="_Toc205222555"/>
      <w:bookmarkStart w:id="798" w:name="_Toc205222381"/>
      <w:bookmarkStart w:id="799" w:name="_Toc205237793"/>
      <w:bookmarkStart w:id="800" w:name="_Toc205482196"/>
      <w:bookmarkStart w:id="801" w:name="_Toc7750"/>
      <w:bookmarkStart w:id="802" w:name="_Toc24084"/>
      <w:bookmarkStart w:id="803" w:name="_Toc17468"/>
      <w:bookmarkStart w:id="804" w:name="_Toc19110"/>
      <w:bookmarkStart w:id="805" w:name="_Toc204017223"/>
      <w:bookmarkStart w:id="806" w:name="_Toc204018410"/>
      <w:r>
        <w:rPr>
          <w:rFonts w:ascii="Times New Roman"/>
        </w:rPr>
        <w:t>3.1</w:t>
      </w:r>
      <w:bookmarkEnd w:id="797"/>
      <w:bookmarkEnd w:id="798"/>
      <w:bookmarkEnd w:id="799"/>
      <w:bookmarkEnd w:id="800"/>
      <w:r>
        <w:rPr>
          <w:rFonts w:ascii="Times New Roman"/>
        </w:rPr>
        <w:t>　</w:t>
      </w:r>
      <w:r>
        <w:rPr>
          <w:rFonts w:hint="eastAsia" w:ascii="Times New Roman"/>
        </w:rPr>
        <w:t>钢铁渣复合胶凝材料</w:t>
      </w:r>
    </w:p>
    <w:p w14:paraId="12A24934">
      <w:pPr>
        <w:pStyle w:val="50"/>
        <w:rPr>
          <w:rFonts w:ascii="Times New Roman"/>
        </w:rPr>
      </w:pPr>
      <w:r>
        <w:rPr>
          <w:rFonts w:ascii="Times New Roman"/>
        </w:rPr>
        <w:t>钢铁渣复合胶凝材料是以粒化高炉矿渣、钢渣、工业副产石膏为基本组分，粉煤灰、铁尾矿为混合材料，依靠钢渣中的二价金属氧化物、氢氧化物和工业副产石膏对粒化高炉矿渣、粉煤灰、尾矿的激发形成胶凝性能。</w:t>
      </w:r>
      <w:bookmarkEnd w:id="801"/>
      <w:bookmarkEnd w:id="802"/>
      <w:bookmarkEnd w:id="803"/>
      <w:bookmarkEnd w:id="804"/>
      <w:r>
        <w:rPr>
          <w:rFonts w:ascii="Times New Roman"/>
        </w:rPr>
        <w:t>以下简称复合胶材。</w:t>
      </w:r>
      <w:bookmarkEnd w:id="805"/>
      <w:bookmarkEnd w:id="806"/>
    </w:p>
    <w:p w14:paraId="16689D27">
      <w:pPr>
        <w:pStyle w:val="52"/>
        <w:numPr>
          <w:ilvl w:val="1"/>
          <w:numId w:val="0"/>
        </w:numPr>
        <w:spacing w:before="312" w:after="312"/>
        <w:rPr>
          <w:rFonts w:ascii="Times New Roman"/>
        </w:rPr>
      </w:pPr>
      <w:bookmarkStart w:id="807" w:name="_Toc162893130"/>
      <w:bookmarkStart w:id="808" w:name="_Toc205222382"/>
      <w:bookmarkStart w:id="809" w:name="_Toc6921"/>
      <w:bookmarkStart w:id="810" w:name="_Toc205237794"/>
      <w:bookmarkStart w:id="811" w:name="_Toc205482197"/>
      <w:bookmarkStart w:id="812" w:name="_Toc169011589"/>
      <w:bookmarkStart w:id="813" w:name="_Toc169011100"/>
      <w:bookmarkStart w:id="814" w:name="_Toc195801925"/>
      <w:bookmarkStart w:id="815" w:name="_Toc195801203"/>
      <w:bookmarkStart w:id="816" w:name="_Toc204017224"/>
      <w:bookmarkStart w:id="817" w:name="_Toc2157"/>
      <w:bookmarkStart w:id="818" w:name="_Toc27217"/>
      <w:bookmarkStart w:id="819" w:name="_Toc195801504"/>
      <w:r>
        <w:rPr>
          <w:rFonts w:ascii="Times New Roman"/>
        </w:rPr>
        <w:t>4　基本规定</w:t>
      </w:r>
      <w:bookmarkEnd w:id="807"/>
      <w:bookmarkEnd w:id="808"/>
      <w:bookmarkEnd w:id="809"/>
      <w:bookmarkEnd w:id="810"/>
      <w:bookmarkEnd w:id="811"/>
      <w:bookmarkEnd w:id="812"/>
      <w:bookmarkEnd w:id="813"/>
      <w:bookmarkEnd w:id="814"/>
      <w:bookmarkEnd w:id="815"/>
      <w:bookmarkEnd w:id="816"/>
      <w:bookmarkEnd w:id="817"/>
      <w:bookmarkEnd w:id="818"/>
      <w:bookmarkEnd w:id="819"/>
    </w:p>
    <w:p w14:paraId="72A254E2">
      <w:pPr>
        <w:pStyle w:val="53"/>
        <w:numPr>
          <w:ilvl w:val="0"/>
          <w:numId w:val="0"/>
        </w:numPr>
        <w:rPr>
          <w:rFonts w:ascii="Times New Roman"/>
        </w:rPr>
      </w:pPr>
      <w:bookmarkStart w:id="820" w:name="_Toc23541"/>
      <w:bookmarkStart w:id="821" w:name="_Toc205222383"/>
      <w:bookmarkStart w:id="822" w:name="_Toc16162"/>
      <w:bookmarkStart w:id="823" w:name="_Toc204017225"/>
      <w:bookmarkStart w:id="824" w:name="_Toc204018412"/>
      <w:bookmarkStart w:id="825" w:name="_Toc15178"/>
      <w:bookmarkStart w:id="826" w:name="_Toc4636"/>
      <w:bookmarkStart w:id="827" w:name="_Toc205482198"/>
      <w:bookmarkStart w:id="828" w:name="_Toc205237795"/>
      <w:bookmarkStart w:id="829" w:name="_Toc205222557"/>
      <w:r>
        <w:rPr>
          <w:rFonts w:ascii="Times New Roman"/>
        </w:rPr>
        <w:t>4.1　复合胶材是各种原料按照一定比例和细度、经过粉磨均化的整体性胶凝材料，为满足其混凝土技术要求及环境、经济效益，在配制混凝土时可以根据实际情况加入硅酸盐水泥和其它矿物掺合料。</w:t>
      </w:r>
      <w:bookmarkEnd w:id="820"/>
      <w:bookmarkEnd w:id="821"/>
      <w:bookmarkEnd w:id="822"/>
      <w:bookmarkEnd w:id="823"/>
      <w:bookmarkEnd w:id="824"/>
      <w:bookmarkEnd w:id="825"/>
      <w:bookmarkEnd w:id="826"/>
      <w:bookmarkEnd w:id="827"/>
      <w:bookmarkEnd w:id="828"/>
      <w:bookmarkEnd w:id="829"/>
    </w:p>
    <w:p w14:paraId="37FA9019">
      <w:pPr>
        <w:pStyle w:val="53"/>
        <w:numPr>
          <w:ilvl w:val="0"/>
          <w:numId w:val="0"/>
        </w:numPr>
        <w:rPr>
          <w:rFonts w:ascii="Times New Roman"/>
        </w:rPr>
      </w:pPr>
      <w:bookmarkStart w:id="830" w:name="_Toc19100"/>
      <w:bookmarkStart w:id="831" w:name="_Toc11241"/>
      <w:bookmarkStart w:id="832" w:name="_Toc204018413"/>
      <w:bookmarkStart w:id="833" w:name="_Toc2793"/>
      <w:bookmarkStart w:id="834" w:name="_Toc204017226"/>
      <w:bookmarkStart w:id="835" w:name="_Toc27412"/>
      <w:bookmarkStart w:id="836" w:name="_Toc205222384"/>
      <w:bookmarkStart w:id="837" w:name="_Toc205222558"/>
      <w:bookmarkStart w:id="838" w:name="_Toc205237796"/>
      <w:bookmarkStart w:id="839" w:name="_Toc205482199"/>
      <w:r>
        <w:rPr>
          <w:rFonts w:ascii="Times New Roman"/>
        </w:rPr>
        <w:t>4.2　复合胶材具有良好的颗粒级配和较低的需水量，采用较低水胶比和用水量能够保证混凝土具有满足工程要求的强度和耐久性。</w:t>
      </w:r>
      <w:bookmarkEnd w:id="830"/>
      <w:bookmarkEnd w:id="831"/>
      <w:bookmarkEnd w:id="832"/>
      <w:bookmarkEnd w:id="833"/>
      <w:bookmarkEnd w:id="834"/>
      <w:bookmarkEnd w:id="835"/>
      <w:bookmarkEnd w:id="836"/>
      <w:bookmarkEnd w:id="837"/>
      <w:bookmarkEnd w:id="838"/>
      <w:bookmarkEnd w:id="839"/>
    </w:p>
    <w:p w14:paraId="12204034">
      <w:pPr>
        <w:pStyle w:val="53"/>
        <w:numPr>
          <w:ilvl w:val="0"/>
          <w:numId w:val="0"/>
        </w:numPr>
        <w:rPr>
          <w:rFonts w:ascii="Times New Roman"/>
        </w:rPr>
      </w:pPr>
      <w:bookmarkStart w:id="840" w:name="_Toc22868"/>
      <w:bookmarkStart w:id="841" w:name="_Toc6884"/>
      <w:bookmarkStart w:id="842" w:name="_Toc204018414"/>
      <w:bookmarkStart w:id="843" w:name="_Toc204017227"/>
      <w:bookmarkStart w:id="844" w:name="_Toc11289"/>
      <w:bookmarkStart w:id="845" w:name="_Toc22140"/>
      <w:bookmarkStart w:id="846" w:name="_Toc205222385"/>
      <w:bookmarkStart w:id="847" w:name="_Toc205222559"/>
      <w:bookmarkStart w:id="848" w:name="_Toc205237797"/>
      <w:bookmarkStart w:id="849" w:name="_Toc205482200"/>
      <w:r>
        <w:rPr>
          <w:rFonts w:ascii="Times New Roman"/>
        </w:rPr>
        <w:t>4.3　</w:t>
      </w:r>
      <w:bookmarkEnd w:id="840"/>
      <w:bookmarkEnd w:id="841"/>
      <w:bookmarkEnd w:id="842"/>
      <w:bookmarkEnd w:id="843"/>
      <w:bookmarkEnd w:id="844"/>
      <w:bookmarkEnd w:id="845"/>
      <w:r>
        <w:rPr>
          <w:rFonts w:ascii="Times New Roman"/>
        </w:rPr>
        <w:t>良好的养护对于复合胶材混凝土硬化性能至关重要，我国混凝土中的很多质量问题都源于养护的缺失。大量的混凝土开裂是由于温度应力和早期干缩、碳化造成的，控制混凝土内外温差、加强养护是防止混凝土开裂的重要措施。</w:t>
      </w:r>
      <w:bookmarkEnd w:id="846"/>
      <w:bookmarkEnd w:id="847"/>
      <w:bookmarkEnd w:id="848"/>
      <w:bookmarkEnd w:id="849"/>
    </w:p>
    <w:p w14:paraId="434FF148">
      <w:pPr>
        <w:pStyle w:val="53"/>
        <w:numPr>
          <w:ilvl w:val="0"/>
          <w:numId w:val="0"/>
        </w:numPr>
        <w:rPr>
          <w:rFonts w:ascii="Times New Roman"/>
        </w:rPr>
      </w:pPr>
      <w:bookmarkStart w:id="850" w:name="_Toc31286"/>
      <w:bookmarkStart w:id="851" w:name="_Toc13005"/>
      <w:bookmarkStart w:id="852" w:name="_Toc26685"/>
      <w:bookmarkStart w:id="853" w:name="_Toc24538"/>
      <w:bookmarkStart w:id="854" w:name="_Toc204017228"/>
      <w:bookmarkStart w:id="855" w:name="_Toc204018415"/>
      <w:bookmarkStart w:id="856" w:name="_Toc205222386"/>
      <w:bookmarkStart w:id="857" w:name="_Toc205222560"/>
      <w:bookmarkStart w:id="858" w:name="_Toc205237798"/>
      <w:bookmarkStart w:id="859" w:name="_Toc205482201"/>
      <w:r>
        <w:rPr>
          <w:rFonts w:ascii="Times New Roman"/>
        </w:rPr>
        <w:t>4.4　</w:t>
      </w:r>
      <w:bookmarkEnd w:id="850"/>
      <w:bookmarkEnd w:id="851"/>
      <w:bookmarkEnd w:id="852"/>
      <w:bookmarkEnd w:id="853"/>
      <w:bookmarkEnd w:id="854"/>
      <w:bookmarkEnd w:id="855"/>
      <w:r>
        <w:rPr>
          <w:rFonts w:ascii="Times New Roman"/>
        </w:rPr>
        <w:t>对于长期性能和耐久性能检测龄期的规定是因为复合胶材属于无熟料胶凝材料，水化速度较慢，有利于降低混凝土结构早期水化温峰，提高混凝土结构早期抗裂性，是高性能混凝土技术的发展方向。采用56</w:t>
      </w:r>
      <w:r>
        <w:rPr>
          <w:rFonts w:hint="eastAsia" w:ascii="Times New Roman"/>
        </w:rPr>
        <w:t xml:space="preserve"> </w:t>
      </w:r>
      <w:r>
        <w:rPr>
          <w:rFonts w:ascii="Times New Roman"/>
        </w:rPr>
        <w:t>d龄期是与现行的JGJ/T 193对耐久性测试龄期的规定相一致。</w:t>
      </w:r>
      <w:bookmarkEnd w:id="856"/>
      <w:bookmarkEnd w:id="857"/>
      <w:bookmarkEnd w:id="858"/>
      <w:bookmarkEnd w:id="859"/>
    </w:p>
    <w:p w14:paraId="409CAA1B">
      <w:pPr>
        <w:pStyle w:val="52"/>
        <w:numPr>
          <w:ilvl w:val="1"/>
          <w:numId w:val="0"/>
        </w:numPr>
        <w:spacing w:before="312" w:after="312"/>
        <w:rPr>
          <w:rFonts w:ascii="Times New Roman"/>
        </w:rPr>
      </w:pPr>
      <w:bookmarkStart w:id="860" w:name="_Toc195801926"/>
      <w:bookmarkStart w:id="861" w:name="_Toc4604"/>
      <w:bookmarkStart w:id="862" w:name="_Toc162893131"/>
      <w:bookmarkStart w:id="863" w:name="_Toc195801505"/>
      <w:bookmarkStart w:id="864" w:name="_Toc195801204"/>
      <w:bookmarkStart w:id="865" w:name="_Toc169011101"/>
      <w:bookmarkStart w:id="866" w:name="_Toc169011590"/>
      <w:bookmarkStart w:id="867" w:name="_Toc19107"/>
      <w:bookmarkStart w:id="868" w:name="_Toc5456"/>
      <w:bookmarkStart w:id="869" w:name="_Toc204017229"/>
      <w:bookmarkStart w:id="870" w:name="_Toc205222387"/>
      <w:bookmarkStart w:id="871" w:name="_Toc205237799"/>
      <w:bookmarkStart w:id="872" w:name="_Toc205482202"/>
      <w:r>
        <w:rPr>
          <w:rFonts w:ascii="Times New Roman"/>
        </w:rPr>
        <w:t>5　原材料要求</w:t>
      </w:r>
      <w:bookmarkEnd w:id="860"/>
      <w:bookmarkEnd w:id="861"/>
      <w:bookmarkEnd w:id="862"/>
      <w:bookmarkEnd w:id="863"/>
      <w:bookmarkEnd w:id="864"/>
      <w:bookmarkEnd w:id="865"/>
      <w:bookmarkEnd w:id="866"/>
      <w:bookmarkEnd w:id="867"/>
      <w:bookmarkEnd w:id="868"/>
      <w:bookmarkEnd w:id="869"/>
      <w:bookmarkEnd w:id="870"/>
      <w:bookmarkEnd w:id="871"/>
      <w:bookmarkEnd w:id="872"/>
    </w:p>
    <w:p w14:paraId="588251F2">
      <w:pPr>
        <w:pStyle w:val="53"/>
        <w:numPr>
          <w:ilvl w:val="0"/>
          <w:numId w:val="0"/>
        </w:numPr>
        <w:rPr>
          <w:rFonts w:ascii="Times New Roman"/>
        </w:rPr>
      </w:pPr>
      <w:bookmarkStart w:id="873" w:name="_Toc9960"/>
      <w:bookmarkStart w:id="874" w:name="_Toc195801506"/>
      <w:bookmarkStart w:id="875" w:name="_Toc32522"/>
      <w:bookmarkStart w:id="876" w:name="_Toc195801205"/>
      <w:bookmarkStart w:id="877" w:name="_Toc23588"/>
      <w:bookmarkStart w:id="878" w:name="_Toc195801927"/>
      <w:bookmarkStart w:id="879" w:name="_Toc204017230"/>
      <w:bookmarkStart w:id="880" w:name="_Toc205222388"/>
      <w:bookmarkStart w:id="881" w:name="_Toc205237800"/>
      <w:bookmarkStart w:id="882" w:name="_Toc205482203"/>
      <w:bookmarkStart w:id="883" w:name="_Toc169011102"/>
      <w:bookmarkStart w:id="884" w:name="_Toc169011591"/>
      <w:bookmarkStart w:id="885" w:name="_Toc162893132"/>
      <w:bookmarkStart w:id="886" w:name="_Toc162893496"/>
      <w:r>
        <w:rPr>
          <w:rFonts w:ascii="Times New Roman"/>
        </w:rPr>
        <w:t xml:space="preserve">5.1 </w:t>
      </w:r>
      <w:bookmarkEnd w:id="873"/>
      <w:bookmarkEnd w:id="874"/>
      <w:bookmarkEnd w:id="875"/>
      <w:bookmarkEnd w:id="876"/>
      <w:bookmarkEnd w:id="877"/>
      <w:bookmarkEnd w:id="878"/>
      <w:r>
        <w:rPr>
          <w:rFonts w:ascii="Times New Roman"/>
        </w:rPr>
        <w:t>复合胶材</w:t>
      </w:r>
      <w:bookmarkEnd w:id="879"/>
      <w:bookmarkEnd w:id="880"/>
      <w:bookmarkEnd w:id="881"/>
      <w:bookmarkEnd w:id="882"/>
    </w:p>
    <w:p w14:paraId="64B49889">
      <w:pPr>
        <w:pStyle w:val="49"/>
        <w:numPr>
          <w:ilvl w:val="0"/>
          <w:numId w:val="0"/>
        </w:numPr>
        <w:ind w:left="420"/>
        <w:rPr>
          <w:rFonts w:ascii="Times New Roman" w:hAnsi="Times New Roman"/>
        </w:rPr>
      </w:pPr>
      <w:bookmarkStart w:id="887" w:name="_Toc21032"/>
      <w:bookmarkStart w:id="888" w:name="_Toc195801928"/>
      <w:bookmarkStart w:id="889" w:name="_Toc204018418"/>
      <w:bookmarkStart w:id="890" w:name="_Toc195801507"/>
      <w:bookmarkStart w:id="891" w:name="_Toc195801206"/>
      <w:bookmarkStart w:id="892" w:name="_Toc205222563"/>
      <w:bookmarkStart w:id="893" w:name="_Toc205482204"/>
      <w:r>
        <w:rPr>
          <w:rFonts w:ascii="Times New Roman" w:hAnsi="Times New Roman"/>
        </w:rPr>
        <w:t>5.1.1 复合胶材的分类、组分及各组分应符合下列规定：</w:t>
      </w:r>
      <w:bookmarkEnd w:id="887"/>
      <w:bookmarkEnd w:id="888"/>
      <w:bookmarkEnd w:id="889"/>
      <w:bookmarkEnd w:id="890"/>
      <w:bookmarkEnd w:id="891"/>
      <w:bookmarkEnd w:id="892"/>
      <w:bookmarkEnd w:id="893"/>
    </w:p>
    <w:p w14:paraId="6EE277E3">
      <w:pPr>
        <w:pStyle w:val="156"/>
        <w:numPr>
          <w:ilvl w:val="0"/>
          <w:numId w:val="46"/>
        </w:numPr>
        <w:ind w:left="845"/>
        <w:rPr>
          <w:rFonts w:ascii="Times New Roman"/>
        </w:rPr>
      </w:pPr>
      <w:r>
        <w:rPr>
          <w:rFonts w:ascii="Times New Roman"/>
        </w:rPr>
        <w:t>复合胶材按强度可分为22.5、32.5、42.5三个等级；</w:t>
      </w:r>
    </w:p>
    <w:p w14:paraId="47E1A750">
      <w:pPr>
        <w:pStyle w:val="156"/>
        <w:numPr>
          <w:ilvl w:val="0"/>
          <w:numId w:val="46"/>
        </w:numPr>
        <w:ind w:left="845"/>
        <w:rPr>
          <w:rFonts w:ascii="Times New Roman"/>
        </w:rPr>
      </w:pPr>
      <w:r>
        <w:rPr>
          <w:rFonts w:ascii="Times New Roman"/>
        </w:rPr>
        <w:t>复合胶材的组分和适用范围应符合表10的规定；</w:t>
      </w:r>
    </w:p>
    <w:p w14:paraId="4364293B">
      <w:pPr>
        <w:pStyle w:val="136"/>
        <w:rPr>
          <w:rFonts w:ascii="Times New Roman"/>
        </w:rPr>
      </w:pPr>
      <w:r>
        <w:rPr>
          <w:rFonts w:ascii="Times New Roman"/>
        </w:rPr>
        <w:t>复合胶材的组分和适用范围</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9"/>
        <w:gridCol w:w="1736"/>
        <w:gridCol w:w="1302"/>
        <w:gridCol w:w="1589"/>
        <w:gridCol w:w="1447"/>
        <w:gridCol w:w="1198"/>
      </w:tblGrid>
      <w:tr w14:paraId="61A1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1" w:type="pct"/>
            <w:vMerge w:val="restart"/>
            <w:vAlign w:val="center"/>
          </w:tcPr>
          <w:p w14:paraId="72CF1EA2">
            <w:pPr>
              <w:snapToGrid w:val="0"/>
              <w:spacing w:line="240" w:lineRule="auto"/>
              <w:jc w:val="center"/>
              <w:rPr>
                <w:rFonts w:ascii="Times New Roman" w:hAnsi="Times New Roman"/>
                <w:sz w:val="18"/>
                <w:szCs w:val="18"/>
              </w:rPr>
            </w:pPr>
            <w:r>
              <w:rPr>
                <w:rFonts w:ascii="Times New Roman" w:hAnsi="Times New Roman"/>
                <w:sz w:val="18"/>
                <w:szCs w:val="18"/>
              </w:rPr>
              <w:t>适用范围</w:t>
            </w:r>
          </w:p>
        </w:tc>
        <w:tc>
          <w:tcPr>
            <w:tcW w:w="3799" w:type="pct"/>
            <w:gridSpan w:val="5"/>
            <w:vAlign w:val="center"/>
          </w:tcPr>
          <w:p w14:paraId="2FF8BA18">
            <w:pPr>
              <w:snapToGrid w:val="0"/>
              <w:spacing w:line="240" w:lineRule="auto"/>
              <w:jc w:val="center"/>
              <w:rPr>
                <w:rFonts w:ascii="Times New Roman" w:hAnsi="Times New Roman"/>
                <w:sz w:val="18"/>
                <w:szCs w:val="18"/>
              </w:rPr>
            </w:pPr>
            <w:r>
              <w:rPr>
                <w:rFonts w:ascii="Times New Roman" w:hAnsi="Times New Roman"/>
                <w:sz w:val="18"/>
                <w:szCs w:val="18"/>
              </w:rPr>
              <w:t>组分/%</w:t>
            </w:r>
          </w:p>
        </w:tc>
      </w:tr>
      <w:tr w14:paraId="238C4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1" w:type="pct"/>
            <w:vMerge w:val="continue"/>
            <w:vAlign w:val="center"/>
          </w:tcPr>
          <w:p w14:paraId="457D4111">
            <w:pPr>
              <w:snapToGrid w:val="0"/>
              <w:spacing w:line="240" w:lineRule="auto"/>
              <w:jc w:val="center"/>
              <w:rPr>
                <w:rFonts w:ascii="Times New Roman" w:hAnsi="Times New Roman"/>
                <w:sz w:val="18"/>
                <w:szCs w:val="18"/>
              </w:rPr>
            </w:pPr>
          </w:p>
        </w:tc>
        <w:tc>
          <w:tcPr>
            <w:tcW w:w="907" w:type="pct"/>
            <w:vAlign w:val="center"/>
          </w:tcPr>
          <w:p w14:paraId="48C41710">
            <w:pPr>
              <w:snapToGrid w:val="0"/>
              <w:spacing w:line="240" w:lineRule="auto"/>
              <w:jc w:val="center"/>
              <w:rPr>
                <w:rFonts w:ascii="Times New Roman" w:hAnsi="Times New Roman"/>
                <w:sz w:val="18"/>
                <w:szCs w:val="18"/>
              </w:rPr>
            </w:pPr>
            <w:r>
              <w:rPr>
                <w:rFonts w:ascii="Times New Roman" w:hAnsi="Times New Roman"/>
                <w:sz w:val="18"/>
                <w:szCs w:val="18"/>
              </w:rPr>
              <w:t>粒化高炉矿渣</w:t>
            </w:r>
            <w:r>
              <w:rPr>
                <w:rFonts w:ascii="Times New Roman" w:hAnsi="Times New Roman"/>
                <w:i/>
                <w:iCs/>
                <w:sz w:val="18"/>
                <w:szCs w:val="18"/>
              </w:rPr>
              <w:t>d</w:t>
            </w:r>
            <w:r>
              <w:rPr>
                <w:rFonts w:ascii="Times New Roman" w:hAnsi="Times New Roman"/>
                <w:sz w:val="18"/>
                <w:szCs w:val="18"/>
                <w:vertAlign w:val="subscript"/>
              </w:rPr>
              <w:t>1</w:t>
            </w:r>
          </w:p>
        </w:tc>
        <w:tc>
          <w:tcPr>
            <w:tcW w:w="680" w:type="pct"/>
            <w:vAlign w:val="center"/>
          </w:tcPr>
          <w:p w14:paraId="08663EE2">
            <w:pPr>
              <w:snapToGrid w:val="0"/>
              <w:spacing w:line="240" w:lineRule="auto"/>
              <w:jc w:val="center"/>
              <w:rPr>
                <w:rFonts w:ascii="Times New Roman" w:hAnsi="Times New Roman"/>
                <w:sz w:val="18"/>
                <w:szCs w:val="18"/>
                <w:vertAlign w:val="subscript"/>
              </w:rPr>
            </w:pPr>
            <w:r>
              <w:rPr>
                <w:rFonts w:ascii="Times New Roman" w:hAnsi="Times New Roman"/>
                <w:sz w:val="18"/>
                <w:szCs w:val="18"/>
              </w:rPr>
              <w:t>钢渣</w:t>
            </w:r>
            <w:r>
              <w:rPr>
                <w:rFonts w:ascii="Times New Roman" w:hAnsi="Times New Roman"/>
                <w:i/>
                <w:iCs/>
                <w:sz w:val="18"/>
                <w:szCs w:val="18"/>
              </w:rPr>
              <w:t>d</w:t>
            </w:r>
            <w:r>
              <w:rPr>
                <w:rFonts w:ascii="Times New Roman" w:hAnsi="Times New Roman"/>
                <w:i/>
                <w:iCs/>
                <w:sz w:val="18"/>
                <w:szCs w:val="18"/>
                <w:vertAlign w:val="subscript"/>
              </w:rPr>
              <w:t>2</w:t>
            </w:r>
          </w:p>
        </w:tc>
        <w:tc>
          <w:tcPr>
            <w:tcW w:w="830" w:type="pct"/>
            <w:vAlign w:val="center"/>
          </w:tcPr>
          <w:p w14:paraId="1F028485">
            <w:pPr>
              <w:snapToGrid w:val="0"/>
              <w:spacing w:line="240" w:lineRule="auto"/>
              <w:jc w:val="center"/>
              <w:rPr>
                <w:rFonts w:ascii="Times New Roman" w:hAnsi="Times New Roman"/>
                <w:sz w:val="18"/>
                <w:szCs w:val="18"/>
                <w:vertAlign w:val="subscript"/>
              </w:rPr>
            </w:pPr>
            <w:r>
              <w:rPr>
                <w:rFonts w:ascii="Times New Roman" w:hAnsi="Times New Roman"/>
                <w:sz w:val="18"/>
                <w:szCs w:val="18"/>
              </w:rPr>
              <w:t>工业副产石膏</w:t>
            </w:r>
            <w:r>
              <w:rPr>
                <w:rFonts w:ascii="Times New Roman" w:hAnsi="Times New Roman"/>
                <w:i/>
                <w:iCs/>
                <w:sz w:val="18"/>
                <w:szCs w:val="18"/>
              </w:rPr>
              <w:t>d</w:t>
            </w:r>
            <w:r>
              <w:rPr>
                <w:rFonts w:ascii="Times New Roman" w:hAnsi="Times New Roman"/>
                <w:sz w:val="18"/>
                <w:szCs w:val="18"/>
                <w:vertAlign w:val="subscript"/>
              </w:rPr>
              <w:t>3</w:t>
            </w:r>
          </w:p>
        </w:tc>
        <w:tc>
          <w:tcPr>
            <w:tcW w:w="756" w:type="pct"/>
            <w:vAlign w:val="center"/>
          </w:tcPr>
          <w:p w14:paraId="0EBD0B90">
            <w:pPr>
              <w:snapToGrid w:val="0"/>
              <w:spacing w:line="240" w:lineRule="auto"/>
              <w:jc w:val="center"/>
              <w:rPr>
                <w:rFonts w:ascii="Times New Roman" w:hAnsi="Times New Roman"/>
                <w:sz w:val="18"/>
                <w:szCs w:val="18"/>
                <w:vertAlign w:val="subscript"/>
              </w:rPr>
            </w:pPr>
            <w:r>
              <w:rPr>
                <w:rFonts w:ascii="Times New Roman" w:hAnsi="Times New Roman"/>
                <w:sz w:val="18"/>
                <w:szCs w:val="18"/>
              </w:rPr>
              <w:t>粉煤灰</w:t>
            </w:r>
            <w:r>
              <w:rPr>
                <w:rFonts w:ascii="Times New Roman" w:hAnsi="Times New Roman"/>
                <w:i/>
                <w:iCs/>
                <w:sz w:val="18"/>
                <w:szCs w:val="18"/>
              </w:rPr>
              <w:t>d</w:t>
            </w:r>
            <w:r>
              <w:rPr>
                <w:rFonts w:ascii="Times New Roman" w:hAnsi="Times New Roman"/>
                <w:sz w:val="18"/>
                <w:szCs w:val="18"/>
                <w:vertAlign w:val="subscript"/>
              </w:rPr>
              <w:t>4</w:t>
            </w:r>
          </w:p>
        </w:tc>
        <w:tc>
          <w:tcPr>
            <w:tcW w:w="626" w:type="pct"/>
            <w:vAlign w:val="center"/>
          </w:tcPr>
          <w:p w14:paraId="2FFAFAC3">
            <w:pPr>
              <w:snapToGrid w:val="0"/>
              <w:spacing w:line="240" w:lineRule="auto"/>
              <w:jc w:val="center"/>
              <w:rPr>
                <w:rFonts w:ascii="Times New Roman" w:hAnsi="Times New Roman"/>
                <w:sz w:val="18"/>
                <w:szCs w:val="18"/>
                <w:vertAlign w:val="subscript"/>
              </w:rPr>
            </w:pPr>
            <w:r>
              <w:rPr>
                <w:rFonts w:ascii="Times New Roman" w:hAnsi="Times New Roman"/>
                <w:sz w:val="18"/>
                <w:szCs w:val="18"/>
              </w:rPr>
              <w:t>铁尾矿</w:t>
            </w:r>
            <w:r>
              <w:rPr>
                <w:rFonts w:ascii="Times New Roman" w:hAnsi="Times New Roman"/>
                <w:i/>
                <w:iCs/>
                <w:sz w:val="18"/>
                <w:szCs w:val="18"/>
              </w:rPr>
              <w:t>d</w:t>
            </w:r>
            <w:r>
              <w:rPr>
                <w:rFonts w:ascii="Times New Roman" w:hAnsi="Times New Roman"/>
                <w:sz w:val="18"/>
                <w:szCs w:val="18"/>
                <w:vertAlign w:val="subscript"/>
              </w:rPr>
              <w:t>5</w:t>
            </w:r>
          </w:p>
        </w:tc>
      </w:tr>
      <w:tr w14:paraId="2088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1" w:type="pct"/>
            <w:vAlign w:val="center"/>
          </w:tcPr>
          <w:p w14:paraId="747EDE7D">
            <w:pPr>
              <w:snapToGrid w:val="0"/>
              <w:spacing w:line="240" w:lineRule="auto"/>
              <w:jc w:val="center"/>
              <w:rPr>
                <w:rFonts w:ascii="Times New Roman" w:hAnsi="Times New Roman"/>
                <w:sz w:val="18"/>
                <w:szCs w:val="18"/>
              </w:rPr>
            </w:pPr>
            <w:r>
              <w:rPr>
                <w:rFonts w:ascii="Times New Roman" w:hAnsi="Times New Roman"/>
                <w:sz w:val="18"/>
                <w:szCs w:val="18"/>
              </w:rPr>
              <w:t>C20及以下混凝土、M15及以下砂浆</w:t>
            </w:r>
          </w:p>
        </w:tc>
        <w:tc>
          <w:tcPr>
            <w:tcW w:w="907" w:type="pct"/>
            <w:vAlign w:val="center"/>
          </w:tcPr>
          <w:p w14:paraId="3A9468F7">
            <w:pPr>
              <w:snapToGrid w:val="0"/>
              <w:spacing w:line="240" w:lineRule="auto"/>
              <w:jc w:val="center"/>
              <w:rPr>
                <w:rFonts w:ascii="Times New Roman" w:hAnsi="Times New Roman"/>
                <w:sz w:val="18"/>
                <w:szCs w:val="18"/>
              </w:rPr>
            </w:pPr>
            <w:r>
              <w:rPr>
                <w:rFonts w:ascii="Times New Roman" w:hAnsi="Times New Roman"/>
                <w:sz w:val="18"/>
                <w:szCs w:val="18"/>
              </w:rPr>
              <w:t>30≤</w:t>
            </w:r>
            <w:r>
              <w:rPr>
                <w:rFonts w:ascii="Times New Roman" w:hAnsi="Times New Roman"/>
                <w:i/>
                <w:iCs/>
                <w:sz w:val="18"/>
                <w:szCs w:val="18"/>
              </w:rPr>
              <w:t>d</w:t>
            </w:r>
            <w:r>
              <w:rPr>
                <w:rFonts w:ascii="Times New Roman" w:hAnsi="Times New Roman"/>
                <w:sz w:val="18"/>
                <w:szCs w:val="18"/>
                <w:vertAlign w:val="subscript"/>
              </w:rPr>
              <w:t>1</w:t>
            </w:r>
            <w:r>
              <w:rPr>
                <w:rFonts w:ascii="Times New Roman" w:hAnsi="Times New Roman"/>
                <w:sz w:val="18"/>
                <w:szCs w:val="18"/>
              </w:rPr>
              <w:t>≤45</w:t>
            </w:r>
          </w:p>
        </w:tc>
        <w:tc>
          <w:tcPr>
            <w:tcW w:w="680" w:type="pct"/>
            <w:vAlign w:val="center"/>
          </w:tcPr>
          <w:p w14:paraId="5CC27A07">
            <w:pPr>
              <w:snapToGrid w:val="0"/>
              <w:spacing w:line="240" w:lineRule="auto"/>
              <w:jc w:val="center"/>
              <w:rPr>
                <w:rFonts w:ascii="Times New Roman" w:hAnsi="Times New Roman"/>
                <w:sz w:val="18"/>
                <w:szCs w:val="18"/>
              </w:rPr>
            </w:pPr>
            <w:r>
              <w:rPr>
                <w:rFonts w:ascii="Times New Roman" w:hAnsi="Times New Roman"/>
                <w:sz w:val="18"/>
                <w:szCs w:val="18"/>
              </w:rPr>
              <w:t>30≤</w:t>
            </w:r>
            <w:r>
              <w:rPr>
                <w:rFonts w:ascii="Times New Roman" w:hAnsi="Times New Roman"/>
                <w:i/>
                <w:iCs/>
                <w:sz w:val="18"/>
                <w:szCs w:val="18"/>
              </w:rPr>
              <w:t>d</w:t>
            </w:r>
            <w:r>
              <w:rPr>
                <w:rFonts w:ascii="Times New Roman" w:hAnsi="Times New Roman"/>
                <w:sz w:val="18"/>
                <w:szCs w:val="18"/>
                <w:vertAlign w:val="subscript"/>
              </w:rPr>
              <w:t>2</w:t>
            </w:r>
            <w:r>
              <w:rPr>
                <w:rFonts w:ascii="Times New Roman" w:hAnsi="Times New Roman"/>
                <w:sz w:val="18"/>
                <w:szCs w:val="18"/>
              </w:rPr>
              <w:t>≤50</w:t>
            </w:r>
          </w:p>
        </w:tc>
        <w:tc>
          <w:tcPr>
            <w:tcW w:w="830" w:type="pct"/>
            <w:vAlign w:val="center"/>
          </w:tcPr>
          <w:p w14:paraId="142C068A">
            <w:pPr>
              <w:snapToGrid w:val="0"/>
              <w:spacing w:line="240" w:lineRule="auto"/>
              <w:jc w:val="center"/>
              <w:rPr>
                <w:rFonts w:ascii="Times New Roman" w:hAnsi="Times New Roman"/>
                <w:sz w:val="18"/>
                <w:szCs w:val="18"/>
              </w:rPr>
            </w:pPr>
            <w:r>
              <w:rPr>
                <w:rFonts w:ascii="Times New Roman" w:hAnsi="Times New Roman"/>
                <w:sz w:val="18"/>
                <w:szCs w:val="18"/>
              </w:rPr>
              <w:t>10≤</w:t>
            </w:r>
            <w:r>
              <w:rPr>
                <w:rFonts w:ascii="Times New Roman" w:hAnsi="Times New Roman"/>
                <w:i/>
                <w:iCs/>
                <w:sz w:val="18"/>
                <w:szCs w:val="18"/>
              </w:rPr>
              <w:t>d</w:t>
            </w:r>
            <w:r>
              <w:rPr>
                <w:rFonts w:ascii="Times New Roman" w:hAnsi="Times New Roman"/>
                <w:i/>
                <w:iCs/>
                <w:sz w:val="18"/>
                <w:szCs w:val="18"/>
                <w:vertAlign w:val="subscript"/>
              </w:rPr>
              <w:t>3</w:t>
            </w:r>
            <w:r>
              <w:rPr>
                <w:rFonts w:ascii="Times New Roman" w:hAnsi="Times New Roman"/>
                <w:sz w:val="18"/>
                <w:szCs w:val="18"/>
              </w:rPr>
              <w:t>≤20</w:t>
            </w:r>
          </w:p>
        </w:tc>
        <w:tc>
          <w:tcPr>
            <w:tcW w:w="756" w:type="pct"/>
            <w:vAlign w:val="center"/>
          </w:tcPr>
          <w:p w14:paraId="770C7EF3">
            <w:pPr>
              <w:snapToGrid w:val="0"/>
              <w:spacing w:line="240" w:lineRule="auto"/>
              <w:jc w:val="center"/>
              <w:rPr>
                <w:rFonts w:ascii="Times New Roman" w:hAnsi="Times New Roman"/>
                <w:sz w:val="18"/>
                <w:szCs w:val="18"/>
              </w:rPr>
            </w:pPr>
            <w:r>
              <w:rPr>
                <w:rFonts w:ascii="Times New Roman" w:hAnsi="Times New Roman"/>
                <w:i/>
                <w:iCs/>
                <w:sz w:val="18"/>
                <w:szCs w:val="18"/>
              </w:rPr>
              <w:t>d</w:t>
            </w:r>
            <w:r>
              <w:rPr>
                <w:rFonts w:ascii="Times New Roman" w:hAnsi="Times New Roman"/>
                <w:i/>
                <w:iCs/>
                <w:sz w:val="18"/>
                <w:szCs w:val="18"/>
                <w:vertAlign w:val="subscript"/>
              </w:rPr>
              <w:t>4</w:t>
            </w:r>
            <w:r>
              <w:rPr>
                <w:rFonts w:ascii="Times New Roman" w:hAnsi="Times New Roman"/>
                <w:sz w:val="18"/>
                <w:szCs w:val="18"/>
              </w:rPr>
              <w:t>≤10</w:t>
            </w:r>
          </w:p>
        </w:tc>
        <w:tc>
          <w:tcPr>
            <w:tcW w:w="626" w:type="pct"/>
            <w:vAlign w:val="center"/>
          </w:tcPr>
          <w:p w14:paraId="07897F86">
            <w:pPr>
              <w:snapToGrid w:val="0"/>
              <w:spacing w:line="240" w:lineRule="auto"/>
              <w:jc w:val="center"/>
              <w:rPr>
                <w:rFonts w:ascii="Times New Roman" w:hAnsi="Times New Roman"/>
                <w:sz w:val="18"/>
                <w:szCs w:val="18"/>
              </w:rPr>
            </w:pPr>
            <w:r>
              <w:rPr>
                <w:rFonts w:ascii="Times New Roman" w:hAnsi="Times New Roman"/>
                <w:i/>
                <w:iCs/>
                <w:sz w:val="18"/>
                <w:szCs w:val="18"/>
              </w:rPr>
              <w:t>d</w:t>
            </w:r>
            <w:r>
              <w:rPr>
                <w:rFonts w:ascii="Times New Roman" w:hAnsi="Times New Roman"/>
                <w:i/>
                <w:iCs/>
                <w:sz w:val="18"/>
                <w:szCs w:val="18"/>
                <w:vertAlign w:val="subscript"/>
              </w:rPr>
              <w:t>5</w:t>
            </w:r>
            <w:r>
              <w:rPr>
                <w:rFonts w:ascii="Times New Roman" w:hAnsi="Times New Roman"/>
                <w:sz w:val="18"/>
                <w:szCs w:val="18"/>
              </w:rPr>
              <w:t>≤10</w:t>
            </w:r>
          </w:p>
        </w:tc>
      </w:tr>
    </w:tbl>
    <w:p w14:paraId="4E9F4359">
      <w:pPr>
        <w:spacing w:before="156" w:beforeLines="50" w:after="156" w:afterLines="50" w:line="240" w:lineRule="auto"/>
        <w:jc w:val="center"/>
        <w:rPr>
          <w:rFonts w:ascii="Times New Roman" w:hAnsi="Times New Roman" w:eastAsia="黑体"/>
        </w:rPr>
      </w:pPr>
      <w:r>
        <w:rPr>
          <w:rFonts w:ascii="Times New Roman" w:hAnsi="Times New Roman" w:eastAsia="黑体"/>
        </w:rPr>
        <w:t>表10　复合胶材的组分和适用范围</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9"/>
        <w:gridCol w:w="1736"/>
        <w:gridCol w:w="1302"/>
        <w:gridCol w:w="1589"/>
        <w:gridCol w:w="1447"/>
        <w:gridCol w:w="1198"/>
      </w:tblGrid>
      <w:tr w14:paraId="14687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1" w:type="pct"/>
            <w:vMerge w:val="restart"/>
            <w:vAlign w:val="center"/>
          </w:tcPr>
          <w:p w14:paraId="5CF0EEE0">
            <w:pPr>
              <w:snapToGrid w:val="0"/>
              <w:spacing w:line="240" w:lineRule="auto"/>
              <w:jc w:val="center"/>
              <w:rPr>
                <w:rFonts w:ascii="Times New Roman" w:hAnsi="Times New Roman"/>
                <w:sz w:val="18"/>
                <w:szCs w:val="18"/>
              </w:rPr>
            </w:pPr>
            <w:r>
              <w:rPr>
                <w:rFonts w:ascii="Times New Roman" w:hAnsi="Times New Roman"/>
                <w:sz w:val="18"/>
                <w:szCs w:val="18"/>
              </w:rPr>
              <w:t>适用范围</w:t>
            </w:r>
          </w:p>
        </w:tc>
        <w:tc>
          <w:tcPr>
            <w:tcW w:w="3799" w:type="pct"/>
            <w:gridSpan w:val="5"/>
            <w:vAlign w:val="center"/>
          </w:tcPr>
          <w:p w14:paraId="20E7154A">
            <w:pPr>
              <w:snapToGrid w:val="0"/>
              <w:spacing w:line="240" w:lineRule="auto"/>
              <w:jc w:val="center"/>
              <w:rPr>
                <w:rFonts w:ascii="Times New Roman" w:hAnsi="Times New Roman"/>
                <w:i/>
                <w:iCs/>
                <w:sz w:val="18"/>
                <w:szCs w:val="18"/>
              </w:rPr>
            </w:pPr>
            <w:r>
              <w:rPr>
                <w:rFonts w:ascii="Times New Roman" w:hAnsi="Times New Roman"/>
                <w:sz w:val="18"/>
                <w:szCs w:val="18"/>
              </w:rPr>
              <w:t>组分/%</w:t>
            </w:r>
          </w:p>
        </w:tc>
      </w:tr>
      <w:tr w14:paraId="62672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1" w:type="pct"/>
            <w:vMerge w:val="continue"/>
            <w:vAlign w:val="center"/>
          </w:tcPr>
          <w:p w14:paraId="420D6FCF">
            <w:pPr>
              <w:snapToGrid w:val="0"/>
              <w:spacing w:line="240" w:lineRule="auto"/>
              <w:jc w:val="center"/>
              <w:rPr>
                <w:rFonts w:ascii="Times New Roman" w:hAnsi="Times New Roman"/>
                <w:sz w:val="18"/>
                <w:szCs w:val="18"/>
              </w:rPr>
            </w:pPr>
          </w:p>
        </w:tc>
        <w:tc>
          <w:tcPr>
            <w:tcW w:w="907" w:type="pct"/>
            <w:vAlign w:val="center"/>
          </w:tcPr>
          <w:p w14:paraId="7BA642AD">
            <w:pPr>
              <w:snapToGrid w:val="0"/>
              <w:spacing w:line="240" w:lineRule="auto"/>
              <w:jc w:val="center"/>
              <w:rPr>
                <w:rFonts w:ascii="Times New Roman" w:hAnsi="Times New Roman"/>
                <w:sz w:val="18"/>
                <w:szCs w:val="18"/>
              </w:rPr>
            </w:pPr>
            <w:r>
              <w:rPr>
                <w:rFonts w:ascii="Times New Roman" w:hAnsi="Times New Roman"/>
                <w:sz w:val="18"/>
                <w:szCs w:val="18"/>
              </w:rPr>
              <w:t>粒化高炉矿渣</w:t>
            </w:r>
            <w:r>
              <w:rPr>
                <w:rFonts w:ascii="Times New Roman" w:hAnsi="Times New Roman"/>
                <w:i/>
                <w:iCs/>
                <w:sz w:val="18"/>
                <w:szCs w:val="18"/>
              </w:rPr>
              <w:t>d</w:t>
            </w:r>
            <w:r>
              <w:rPr>
                <w:rFonts w:ascii="Times New Roman" w:hAnsi="Times New Roman"/>
                <w:sz w:val="18"/>
                <w:szCs w:val="18"/>
                <w:vertAlign w:val="subscript"/>
              </w:rPr>
              <w:t>1</w:t>
            </w:r>
          </w:p>
        </w:tc>
        <w:tc>
          <w:tcPr>
            <w:tcW w:w="680" w:type="pct"/>
            <w:vAlign w:val="center"/>
          </w:tcPr>
          <w:p w14:paraId="417F56CB">
            <w:pPr>
              <w:snapToGrid w:val="0"/>
              <w:spacing w:line="240" w:lineRule="auto"/>
              <w:jc w:val="center"/>
              <w:rPr>
                <w:rFonts w:ascii="Times New Roman" w:hAnsi="Times New Roman"/>
                <w:sz w:val="18"/>
                <w:szCs w:val="18"/>
              </w:rPr>
            </w:pPr>
            <w:r>
              <w:rPr>
                <w:rFonts w:ascii="Times New Roman" w:hAnsi="Times New Roman"/>
                <w:sz w:val="18"/>
                <w:szCs w:val="18"/>
              </w:rPr>
              <w:t>粒化高炉矿渣</w:t>
            </w:r>
            <w:r>
              <w:rPr>
                <w:rFonts w:ascii="Times New Roman" w:hAnsi="Times New Roman"/>
                <w:i/>
                <w:iCs/>
                <w:sz w:val="18"/>
                <w:szCs w:val="18"/>
              </w:rPr>
              <w:t>d</w:t>
            </w:r>
            <w:r>
              <w:rPr>
                <w:rFonts w:ascii="Times New Roman" w:hAnsi="Times New Roman"/>
                <w:sz w:val="18"/>
                <w:szCs w:val="18"/>
                <w:vertAlign w:val="subscript"/>
              </w:rPr>
              <w:t>1</w:t>
            </w:r>
          </w:p>
        </w:tc>
        <w:tc>
          <w:tcPr>
            <w:tcW w:w="830" w:type="pct"/>
            <w:vAlign w:val="center"/>
          </w:tcPr>
          <w:p w14:paraId="1820F12F">
            <w:pPr>
              <w:snapToGrid w:val="0"/>
              <w:spacing w:line="240" w:lineRule="auto"/>
              <w:jc w:val="center"/>
              <w:rPr>
                <w:rFonts w:ascii="Times New Roman" w:hAnsi="Times New Roman"/>
                <w:sz w:val="18"/>
                <w:szCs w:val="18"/>
              </w:rPr>
            </w:pPr>
            <w:r>
              <w:rPr>
                <w:rFonts w:ascii="Times New Roman" w:hAnsi="Times New Roman"/>
                <w:sz w:val="18"/>
                <w:szCs w:val="18"/>
              </w:rPr>
              <w:t>粒化高炉矿渣</w:t>
            </w:r>
            <w:r>
              <w:rPr>
                <w:rFonts w:ascii="Times New Roman" w:hAnsi="Times New Roman"/>
                <w:i/>
                <w:iCs/>
                <w:sz w:val="18"/>
                <w:szCs w:val="18"/>
              </w:rPr>
              <w:t>d</w:t>
            </w:r>
            <w:r>
              <w:rPr>
                <w:rFonts w:ascii="Times New Roman" w:hAnsi="Times New Roman"/>
                <w:sz w:val="18"/>
                <w:szCs w:val="18"/>
                <w:vertAlign w:val="subscript"/>
              </w:rPr>
              <w:t>1</w:t>
            </w:r>
          </w:p>
        </w:tc>
        <w:tc>
          <w:tcPr>
            <w:tcW w:w="756" w:type="pct"/>
            <w:vAlign w:val="center"/>
          </w:tcPr>
          <w:p w14:paraId="020B6FB2">
            <w:pPr>
              <w:snapToGrid w:val="0"/>
              <w:spacing w:line="240" w:lineRule="auto"/>
              <w:jc w:val="center"/>
              <w:rPr>
                <w:rFonts w:ascii="Times New Roman" w:hAnsi="Times New Roman"/>
                <w:i/>
                <w:iCs/>
                <w:sz w:val="18"/>
                <w:szCs w:val="18"/>
              </w:rPr>
            </w:pPr>
            <w:r>
              <w:rPr>
                <w:rFonts w:ascii="Times New Roman" w:hAnsi="Times New Roman"/>
                <w:sz w:val="18"/>
                <w:szCs w:val="18"/>
              </w:rPr>
              <w:t>粒化高炉矿渣</w:t>
            </w:r>
            <w:r>
              <w:rPr>
                <w:rFonts w:ascii="Times New Roman" w:hAnsi="Times New Roman"/>
                <w:i/>
                <w:iCs/>
                <w:sz w:val="18"/>
                <w:szCs w:val="18"/>
              </w:rPr>
              <w:t>d</w:t>
            </w:r>
            <w:r>
              <w:rPr>
                <w:rFonts w:ascii="Times New Roman" w:hAnsi="Times New Roman"/>
                <w:sz w:val="18"/>
                <w:szCs w:val="18"/>
                <w:vertAlign w:val="subscript"/>
              </w:rPr>
              <w:t>1</w:t>
            </w:r>
          </w:p>
        </w:tc>
        <w:tc>
          <w:tcPr>
            <w:tcW w:w="626" w:type="pct"/>
            <w:vAlign w:val="center"/>
          </w:tcPr>
          <w:p w14:paraId="67211989">
            <w:pPr>
              <w:snapToGrid w:val="0"/>
              <w:spacing w:line="240" w:lineRule="auto"/>
              <w:jc w:val="center"/>
              <w:rPr>
                <w:rFonts w:ascii="Times New Roman" w:hAnsi="Times New Roman"/>
                <w:i/>
                <w:iCs/>
                <w:sz w:val="18"/>
                <w:szCs w:val="18"/>
              </w:rPr>
            </w:pPr>
            <w:r>
              <w:rPr>
                <w:rFonts w:ascii="Times New Roman" w:hAnsi="Times New Roman"/>
                <w:sz w:val="18"/>
                <w:szCs w:val="18"/>
              </w:rPr>
              <w:t>粒化高炉矿渣</w:t>
            </w:r>
            <w:r>
              <w:rPr>
                <w:rFonts w:ascii="Times New Roman" w:hAnsi="Times New Roman"/>
                <w:i/>
                <w:iCs/>
                <w:sz w:val="18"/>
                <w:szCs w:val="18"/>
              </w:rPr>
              <w:t>d</w:t>
            </w:r>
            <w:r>
              <w:rPr>
                <w:rFonts w:ascii="Times New Roman" w:hAnsi="Times New Roman"/>
                <w:sz w:val="18"/>
                <w:szCs w:val="18"/>
                <w:vertAlign w:val="subscript"/>
              </w:rPr>
              <w:t>1</w:t>
            </w:r>
          </w:p>
        </w:tc>
      </w:tr>
      <w:tr w14:paraId="636B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1" w:type="pct"/>
            <w:vAlign w:val="center"/>
          </w:tcPr>
          <w:p w14:paraId="2B38DA87">
            <w:pPr>
              <w:snapToGrid w:val="0"/>
              <w:spacing w:line="240" w:lineRule="auto"/>
              <w:jc w:val="center"/>
              <w:rPr>
                <w:rFonts w:ascii="Times New Roman" w:hAnsi="Times New Roman"/>
                <w:sz w:val="18"/>
                <w:szCs w:val="18"/>
              </w:rPr>
            </w:pPr>
            <w:r>
              <w:rPr>
                <w:rFonts w:ascii="Times New Roman" w:hAnsi="Times New Roman"/>
                <w:sz w:val="18"/>
                <w:szCs w:val="18"/>
              </w:rPr>
              <w:t>C55及以下混凝土、M30及以下砂浆</w:t>
            </w:r>
          </w:p>
        </w:tc>
        <w:tc>
          <w:tcPr>
            <w:tcW w:w="907" w:type="pct"/>
            <w:vAlign w:val="center"/>
          </w:tcPr>
          <w:p w14:paraId="186B5C8A">
            <w:pPr>
              <w:snapToGrid w:val="0"/>
              <w:spacing w:line="240" w:lineRule="auto"/>
              <w:jc w:val="center"/>
              <w:rPr>
                <w:rFonts w:ascii="Times New Roman" w:hAnsi="Times New Roman"/>
                <w:sz w:val="18"/>
                <w:szCs w:val="18"/>
              </w:rPr>
            </w:pPr>
            <w:r>
              <w:rPr>
                <w:rFonts w:ascii="Times New Roman" w:hAnsi="Times New Roman"/>
                <w:sz w:val="18"/>
                <w:szCs w:val="18"/>
              </w:rPr>
              <w:t>40≤</w:t>
            </w:r>
            <w:r>
              <w:rPr>
                <w:rFonts w:ascii="Times New Roman" w:hAnsi="Times New Roman"/>
                <w:i/>
                <w:iCs/>
                <w:sz w:val="18"/>
                <w:szCs w:val="18"/>
              </w:rPr>
              <w:t>d</w:t>
            </w:r>
            <w:r>
              <w:rPr>
                <w:rFonts w:ascii="Times New Roman" w:hAnsi="Times New Roman"/>
                <w:sz w:val="18"/>
                <w:szCs w:val="18"/>
                <w:vertAlign w:val="subscript"/>
              </w:rPr>
              <w:t>1</w:t>
            </w:r>
            <w:r>
              <w:rPr>
                <w:rFonts w:ascii="Times New Roman" w:hAnsi="Times New Roman"/>
                <w:sz w:val="18"/>
                <w:szCs w:val="18"/>
              </w:rPr>
              <w:t>≤60</w:t>
            </w:r>
          </w:p>
        </w:tc>
        <w:tc>
          <w:tcPr>
            <w:tcW w:w="680" w:type="pct"/>
            <w:vAlign w:val="center"/>
          </w:tcPr>
          <w:p w14:paraId="66011E27">
            <w:pPr>
              <w:snapToGrid w:val="0"/>
              <w:spacing w:line="240" w:lineRule="auto"/>
              <w:jc w:val="center"/>
              <w:rPr>
                <w:rFonts w:ascii="Times New Roman" w:hAnsi="Times New Roman"/>
                <w:sz w:val="18"/>
                <w:szCs w:val="18"/>
              </w:rPr>
            </w:pPr>
            <w:r>
              <w:rPr>
                <w:rFonts w:ascii="Times New Roman" w:hAnsi="Times New Roman"/>
                <w:sz w:val="18"/>
                <w:szCs w:val="18"/>
              </w:rPr>
              <w:t>30≤</w:t>
            </w:r>
            <w:r>
              <w:rPr>
                <w:rFonts w:ascii="Times New Roman" w:hAnsi="Times New Roman"/>
                <w:i/>
                <w:iCs/>
                <w:sz w:val="18"/>
                <w:szCs w:val="18"/>
              </w:rPr>
              <w:t>d</w:t>
            </w:r>
            <w:r>
              <w:rPr>
                <w:rFonts w:ascii="Times New Roman" w:hAnsi="Times New Roman"/>
                <w:sz w:val="18"/>
                <w:szCs w:val="18"/>
                <w:vertAlign w:val="subscript"/>
              </w:rPr>
              <w:t>2</w:t>
            </w:r>
            <w:r>
              <w:rPr>
                <w:rFonts w:ascii="Times New Roman" w:hAnsi="Times New Roman"/>
                <w:sz w:val="18"/>
                <w:szCs w:val="18"/>
              </w:rPr>
              <w:t>≤40</w:t>
            </w:r>
          </w:p>
        </w:tc>
        <w:tc>
          <w:tcPr>
            <w:tcW w:w="830" w:type="pct"/>
            <w:vAlign w:val="center"/>
          </w:tcPr>
          <w:p w14:paraId="2DD8A760">
            <w:pPr>
              <w:snapToGrid w:val="0"/>
              <w:spacing w:line="240" w:lineRule="auto"/>
              <w:jc w:val="center"/>
              <w:rPr>
                <w:rFonts w:ascii="Times New Roman" w:hAnsi="Times New Roman"/>
                <w:sz w:val="18"/>
                <w:szCs w:val="18"/>
              </w:rPr>
            </w:pPr>
            <w:r>
              <w:rPr>
                <w:rFonts w:ascii="Times New Roman" w:hAnsi="Times New Roman"/>
                <w:sz w:val="18"/>
                <w:szCs w:val="18"/>
              </w:rPr>
              <w:t>10≤</w:t>
            </w:r>
            <w:r>
              <w:rPr>
                <w:rFonts w:ascii="Times New Roman" w:hAnsi="Times New Roman"/>
                <w:i/>
                <w:iCs/>
                <w:sz w:val="18"/>
                <w:szCs w:val="18"/>
              </w:rPr>
              <w:t>d</w:t>
            </w:r>
            <w:r>
              <w:rPr>
                <w:rFonts w:ascii="Times New Roman" w:hAnsi="Times New Roman"/>
                <w:i/>
                <w:iCs/>
                <w:sz w:val="18"/>
                <w:szCs w:val="18"/>
                <w:vertAlign w:val="subscript"/>
              </w:rPr>
              <w:t>3</w:t>
            </w:r>
            <w:r>
              <w:rPr>
                <w:rFonts w:ascii="Times New Roman" w:hAnsi="Times New Roman"/>
                <w:sz w:val="18"/>
                <w:szCs w:val="18"/>
              </w:rPr>
              <w:t>≤20</w:t>
            </w:r>
          </w:p>
        </w:tc>
        <w:tc>
          <w:tcPr>
            <w:tcW w:w="756" w:type="pct"/>
            <w:vAlign w:val="center"/>
          </w:tcPr>
          <w:p w14:paraId="5E9A12DB">
            <w:pPr>
              <w:snapToGrid w:val="0"/>
              <w:spacing w:line="240" w:lineRule="auto"/>
              <w:jc w:val="center"/>
              <w:rPr>
                <w:rFonts w:ascii="Times New Roman" w:hAnsi="Times New Roman"/>
                <w:sz w:val="18"/>
                <w:szCs w:val="18"/>
              </w:rPr>
            </w:pPr>
            <w:r>
              <w:rPr>
                <w:rFonts w:ascii="Times New Roman" w:hAnsi="Times New Roman"/>
                <w:i/>
                <w:iCs/>
                <w:sz w:val="18"/>
                <w:szCs w:val="18"/>
              </w:rPr>
              <w:t>d</w:t>
            </w:r>
            <w:r>
              <w:rPr>
                <w:rFonts w:ascii="Times New Roman" w:hAnsi="Times New Roman"/>
                <w:i/>
                <w:iCs/>
                <w:sz w:val="18"/>
                <w:szCs w:val="18"/>
                <w:vertAlign w:val="subscript"/>
              </w:rPr>
              <w:t>4</w:t>
            </w:r>
            <w:r>
              <w:rPr>
                <w:rFonts w:ascii="Times New Roman" w:hAnsi="Times New Roman"/>
                <w:sz w:val="18"/>
                <w:szCs w:val="18"/>
              </w:rPr>
              <w:t>≤5</w:t>
            </w:r>
          </w:p>
        </w:tc>
        <w:tc>
          <w:tcPr>
            <w:tcW w:w="626" w:type="pct"/>
            <w:vAlign w:val="center"/>
          </w:tcPr>
          <w:p w14:paraId="5FD2BA1D">
            <w:pPr>
              <w:snapToGrid w:val="0"/>
              <w:spacing w:line="240" w:lineRule="auto"/>
              <w:jc w:val="center"/>
              <w:rPr>
                <w:rFonts w:ascii="Times New Roman" w:hAnsi="Times New Roman"/>
                <w:sz w:val="18"/>
                <w:szCs w:val="18"/>
              </w:rPr>
            </w:pPr>
            <w:r>
              <w:rPr>
                <w:rFonts w:ascii="Times New Roman" w:hAnsi="Times New Roman"/>
                <w:i/>
                <w:iCs/>
                <w:sz w:val="18"/>
                <w:szCs w:val="18"/>
              </w:rPr>
              <w:t>d</w:t>
            </w:r>
            <w:r>
              <w:rPr>
                <w:rFonts w:ascii="Times New Roman" w:hAnsi="Times New Roman"/>
                <w:i/>
                <w:iCs/>
                <w:sz w:val="18"/>
                <w:szCs w:val="18"/>
                <w:vertAlign w:val="subscript"/>
              </w:rPr>
              <w:t>5</w:t>
            </w:r>
            <w:r>
              <w:rPr>
                <w:rFonts w:ascii="Times New Roman" w:hAnsi="Times New Roman"/>
                <w:sz w:val="18"/>
                <w:szCs w:val="18"/>
              </w:rPr>
              <w:t>≤5</w:t>
            </w:r>
          </w:p>
        </w:tc>
      </w:tr>
      <w:tr w14:paraId="65EA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1" w:type="pct"/>
            <w:vAlign w:val="center"/>
          </w:tcPr>
          <w:p w14:paraId="6A59DF3B">
            <w:pPr>
              <w:snapToGrid w:val="0"/>
              <w:spacing w:line="240" w:lineRule="auto"/>
              <w:jc w:val="center"/>
              <w:rPr>
                <w:rFonts w:ascii="Times New Roman" w:hAnsi="Times New Roman"/>
                <w:sz w:val="18"/>
                <w:szCs w:val="18"/>
              </w:rPr>
            </w:pPr>
            <w:r>
              <w:rPr>
                <w:rFonts w:ascii="Times New Roman" w:hAnsi="Times New Roman"/>
                <w:sz w:val="18"/>
                <w:szCs w:val="18"/>
              </w:rPr>
              <w:t>C80及以下混凝土</w:t>
            </w:r>
          </w:p>
        </w:tc>
        <w:tc>
          <w:tcPr>
            <w:tcW w:w="907" w:type="pct"/>
            <w:vAlign w:val="center"/>
          </w:tcPr>
          <w:p w14:paraId="04FA231A">
            <w:pPr>
              <w:snapToGrid w:val="0"/>
              <w:spacing w:line="240" w:lineRule="auto"/>
              <w:jc w:val="center"/>
              <w:rPr>
                <w:rFonts w:ascii="Times New Roman" w:hAnsi="Times New Roman"/>
                <w:sz w:val="18"/>
                <w:szCs w:val="18"/>
              </w:rPr>
            </w:pPr>
            <w:r>
              <w:rPr>
                <w:rFonts w:ascii="Times New Roman" w:hAnsi="Times New Roman"/>
                <w:sz w:val="18"/>
                <w:szCs w:val="18"/>
              </w:rPr>
              <w:t>45≤</w:t>
            </w:r>
            <w:r>
              <w:rPr>
                <w:rFonts w:ascii="Times New Roman" w:hAnsi="Times New Roman"/>
                <w:i/>
                <w:iCs/>
                <w:sz w:val="18"/>
                <w:szCs w:val="18"/>
              </w:rPr>
              <w:t>d</w:t>
            </w:r>
            <w:r>
              <w:rPr>
                <w:rFonts w:ascii="Times New Roman" w:hAnsi="Times New Roman"/>
                <w:sz w:val="18"/>
                <w:szCs w:val="18"/>
                <w:vertAlign w:val="subscript"/>
              </w:rPr>
              <w:t>1</w:t>
            </w:r>
            <w:r>
              <w:rPr>
                <w:rFonts w:ascii="Times New Roman" w:hAnsi="Times New Roman"/>
                <w:sz w:val="18"/>
                <w:szCs w:val="18"/>
              </w:rPr>
              <w:t>≤60</w:t>
            </w:r>
          </w:p>
        </w:tc>
        <w:tc>
          <w:tcPr>
            <w:tcW w:w="680" w:type="pct"/>
            <w:vAlign w:val="center"/>
          </w:tcPr>
          <w:p w14:paraId="3A86199F">
            <w:pPr>
              <w:snapToGrid w:val="0"/>
              <w:spacing w:line="240" w:lineRule="auto"/>
              <w:jc w:val="center"/>
              <w:rPr>
                <w:rFonts w:ascii="Times New Roman" w:hAnsi="Times New Roman"/>
                <w:sz w:val="18"/>
                <w:szCs w:val="18"/>
              </w:rPr>
            </w:pPr>
            <w:r>
              <w:rPr>
                <w:rFonts w:ascii="Times New Roman" w:hAnsi="Times New Roman"/>
                <w:sz w:val="18"/>
                <w:szCs w:val="18"/>
              </w:rPr>
              <w:t>30≤</w:t>
            </w:r>
            <w:r>
              <w:rPr>
                <w:rFonts w:ascii="Times New Roman" w:hAnsi="Times New Roman"/>
                <w:i/>
                <w:iCs/>
                <w:sz w:val="18"/>
                <w:szCs w:val="18"/>
              </w:rPr>
              <w:t>d</w:t>
            </w:r>
            <w:r>
              <w:rPr>
                <w:rFonts w:ascii="Times New Roman" w:hAnsi="Times New Roman"/>
                <w:sz w:val="18"/>
                <w:szCs w:val="18"/>
                <w:vertAlign w:val="subscript"/>
              </w:rPr>
              <w:t>2</w:t>
            </w:r>
            <w:r>
              <w:rPr>
                <w:rFonts w:ascii="Times New Roman" w:hAnsi="Times New Roman"/>
                <w:sz w:val="18"/>
                <w:szCs w:val="18"/>
              </w:rPr>
              <w:t>≤35</w:t>
            </w:r>
          </w:p>
        </w:tc>
        <w:tc>
          <w:tcPr>
            <w:tcW w:w="830" w:type="pct"/>
            <w:vAlign w:val="center"/>
          </w:tcPr>
          <w:p w14:paraId="37A4073E">
            <w:pPr>
              <w:snapToGrid w:val="0"/>
              <w:spacing w:line="240" w:lineRule="auto"/>
              <w:jc w:val="center"/>
              <w:rPr>
                <w:rFonts w:ascii="Times New Roman" w:hAnsi="Times New Roman"/>
                <w:sz w:val="18"/>
                <w:szCs w:val="18"/>
              </w:rPr>
            </w:pPr>
            <w:r>
              <w:rPr>
                <w:rFonts w:ascii="Times New Roman" w:hAnsi="Times New Roman"/>
                <w:sz w:val="18"/>
                <w:szCs w:val="18"/>
              </w:rPr>
              <w:t>10≤</w:t>
            </w:r>
            <w:r>
              <w:rPr>
                <w:rFonts w:ascii="Times New Roman" w:hAnsi="Times New Roman"/>
                <w:i/>
                <w:iCs/>
                <w:sz w:val="18"/>
                <w:szCs w:val="18"/>
              </w:rPr>
              <w:t>d</w:t>
            </w:r>
            <w:r>
              <w:rPr>
                <w:rFonts w:ascii="Times New Roman" w:hAnsi="Times New Roman"/>
                <w:i/>
                <w:iCs/>
                <w:sz w:val="18"/>
                <w:szCs w:val="18"/>
                <w:vertAlign w:val="subscript"/>
              </w:rPr>
              <w:t>3</w:t>
            </w:r>
            <w:r>
              <w:rPr>
                <w:rFonts w:ascii="Times New Roman" w:hAnsi="Times New Roman"/>
                <w:sz w:val="18"/>
                <w:szCs w:val="18"/>
              </w:rPr>
              <w:t>≤20</w:t>
            </w:r>
          </w:p>
        </w:tc>
        <w:tc>
          <w:tcPr>
            <w:tcW w:w="756" w:type="pct"/>
            <w:vAlign w:val="center"/>
          </w:tcPr>
          <w:p w14:paraId="25AFA33D">
            <w:pPr>
              <w:snapToGrid w:val="0"/>
              <w:spacing w:line="240" w:lineRule="auto"/>
              <w:jc w:val="center"/>
              <w:rPr>
                <w:rFonts w:ascii="Times New Roman" w:hAnsi="Times New Roman"/>
                <w:sz w:val="18"/>
                <w:szCs w:val="18"/>
              </w:rPr>
            </w:pPr>
            <w:r>
              <w:rPr>
                <w:rFonts w:ascii="Times New Roman" w:hAnsi="Times New Roman"/>
                <w:i/>
                <w:iCs/>
                <w:sz w:val="18"/>
                <w:szCs w:val="18"/>
              </w:rPr>
              <w:t>d</w:t>
            </w:r>
            <w:r>
              <w:rPr>
                <w:rFonts w:ascii="Times New Roman" w:hAnsi="Times New Roman"/>
                <w:i/>
                <w:iCs/>
                <w:sz w:val="18"/>
                <w:szCs w:val="18"/>
                <w:vertAlign w:val="subscript"/>
              </w:rPr>
              <w:t>4</w:t>
            </w:r>
            <w:r>
              <w:rPr>
                <w:rFonts w:ascii="Times New Roman" w:hAnsi="Times New Roman"/>
                <w:sz w:val="18"/>
                <w:szCs w:val="18"/>
              </w:rPr>
              <w:t>≤5</w:t>
            </w:r>
          </w:p>
        </w:tc>
        <w:tc>
          <w:tcPr>
            <w:tcW w:w="626" w:type="pct"/>
            <w:vAlign w:val="center"/>
          </w:tcPr>
          <w:p w14:paraId="5DA147DE">
            <w:pPr>
              <w:snapToGrid w:val="0"/>
              <w:spacing w:line="240" w:lineRule="auto"/>
              <w:jc w:val="center"/>
              <w:rPr>
                <w:rFonts w:ascii="Times New Roman" w:hAnsi="Times New Roman"/>
                <w:sz w:val="18"/>
                <w:szCs w:val="18"/>
              </w:rPr>
            </w:pPr>
            <w:r>
              <w:rPr>
                <w:rFonts w:ascii="Times New Roman" w:hAnsi="Times New Roman"/>
                <w:i/>
                <w:iCs/>
                <w:sz w:val="18"/>
                <w:szCs w:val="18"/>
              </w:rPr>
              <w:t>d</w:t>
            </w:r>
            <w:r>
              <w:rPr>
                <w:rFonts w:ascii="Times New Roman" w:hAnsi="Times New Roman"/>
                <w:i/>
                <w:iCs/>
                <w:sz w:val="18"/>
                <w:szCs w:val="18"/>
                <w:vertAlign w:val="subscript"/>
              </w:rPr>
              <w:t>5</w:t>
            </w:r>
            <w:r>
              <w:rPr>
                <w:rFonts w:ascii="Times New Roman" w:hAnsi="Times New Roman"/>
                <w:sz w:val="18"/>
                <w:szCs w:val="18"/>
              </w:rPr>
              <w:t>≤5</w:t>
            </w:r>
          </w:p>
        </w:tc>
      </w:tr>
    </w:tbl>
    <w:p w14:paraId="7CB9FF72">
      <w:pPr>
        <w:pStyle w:val="49"/>
        <w:numPr>
          <w:ilvl w:val="0"/>
          <w:numId w:val="0"/>
        </w:numPr>
        <w:rPr>
          <w:rFonts w:ascii="Times New Roman" w:hAnsi="Times New Roman"/>
        </w:rPr>
      </w:pPr>
    </w:p>
    <w:p w14:paraId="5FB02E4C">
      <w:pPr>
        <w:pStyle w:val="53"/>
        <w:numPr>
          <w:ilvl w:val="0"/>
          <w:numId w:val="0"/>
        </w:numPr>
        <w:rPr>
          <w:rFonts w:ascii="Times New Roman"/>
        </w:rPr>
      </w:pPr>
      <w:bookmarkStart w:id="894" w:name="_Toc195801508"/>
      <w:bookmarkStart w:id="895" w:name="_Toc204017231"/>
      <w:bookmarkStart w:id="896" w:name="_Toc29708"/>
      <w:bookmarkStart w:id="897" w:name="_Toc195801207"/>
      <w:bookmarkStart w:id="898" w:name="_Toc195801929"/>
      <w:bookmarkStart w:id="899" w:name="_Toc1522"/>
      <w:bookmarkStart w:id="900" w:name="_Toc25624"/>
      <w:bookmarkStart w:id="901" w:name="_Toc205237801"/>
      <w:bookmarkStart w:id="902" w:name="_Toc205482205"/>
      <w:bookmarkStart w:id="903" w:name="_Toc205222389"/>
      <w:r>
        <w:rPr>
          <w:rFonts w:ascii="Times New Roman"/>
        </w:rPr>
        <w:t>5.2　</w:t>
      </w:r>
      <w:bookmarkEnd w:id="883"/>
      <w:bookmarkEnd w:id="884"/>
      <w:bookmarkEnd w:id="885"/>
      <w:bookmarkEnd w:id="886"/>
      <w:bookmarkEnd w:id="894"/>
      <w:bookmarkEnd w:id="895"/>
      <w:bookmarkEnd w:id="896"/>
      <w:bookmarkEnd w:id="897"/>
      <w:bookmarkEnd w:id="898"/>
      <w:bookmarkEnd w:id="899"/>
      <w:bookmarkEnd w:id="900"/>
      <w:r>
        <w:rPr>
          <w:rFonts w:ascii="Times New Roman"/>
        </w:rPr>
        <w:t>水泥</w:t>
      </w:r>
      <w:bookmarkEnd w:id="901"/>
      <w:bookmarkEnd w:id="902"/>
      <w:bookmarkEnd w:id="903"/>
    </w:p>
    <w:p w14:paraId="527777EB">
      <w:pPr>
        <w:pStyle w:val="49"/>
        <w:numPr>
          <w:ilvl w:val="0"/>
          <w:numId w:val="0"/>
        </w:numPr>
        <w:ind w:left="420"/>
        <w:rPr>
          <w:rFonts w:ascii="Times New Roman" w:hAnsi="Times New Roman"/>
        </w:rPr>
      </w:pPr>
      <w:bookmarkStart w:id="904" w:name="_Toc205222565"/>
      <w:bookmarkStart w:id="905" w:name="_Toc204018420"/>
      <w:bookmarkStart w:id="906" w:name="_Toc205482206"/>
      <w:r>
        <w:rPr>
          <w:rFonts w:ascii="Times New Roman" w:hAnsi="Times New Roman"/>
        </w:rPr>
        <w:t>5.2.1　硅酸盐水泥和普通硅酸盐水泥本身用于工程较多，混合材料掺量较少，质量更容易控制，所以更适用于固废基胶凝材料混凝土及其制品的生产。</w:t>
      </w:r>
      <w:bookmarkEnd w:id="904"/>
      <w:bookmarkEnd w:id="905"/>
      <w:bookmarkEnd w:id="906"/>
    </w:p>
    <w:p w14:paraId="081FBA16">
      <w:pPr>
        <w:pStyle w:val="53"/>
        <w:numPr>
          <w:ilvl w:val="0"/>
          <w:numId w:val="0"/>
        </w:numPr>
        <w:rPr>
          <w:rFonts w:ascii="Times New Roman"/>
        </w:rPr>
      </w:pPr>
      <w:bookmarkStart w:id="907" w:name="_Toc4543"/>
      <w:bookmarkStart w:id="908" w:name="_Toc4329"/>
      <w:bookmarkStart w:id="909" w:name="_Toc195801510"/>
      <w:bookmarkStart w:id="910" w:name="_Toc195801209"/>
      <w:bookmarkStart w:id="911" w:name="_Toc204017233"/>
      <w:bookmarkStart w:id="912" w:name="_Toc18333"/>
      <w:bookmarkStart w:id="913" w:name="_Toc205237803"/>
      <w:bookmarkStart w:id="914" w:name="_Toc195801931"/>
      <w:bookmarkStart w:id="915" w:name="_Toc205482210"/>
      <w:bookmarkStart w:id="916" w:name="_Toc205222392"/>
      <w:r>
        <w:rPr>
          <w:rFonts w:ascii="Times New Roman"/>
        </w:rPr>
        <w:t>5.6　外加剂</w:t>
      </w:r>
      <w:bookmarkEnd w:id="907"/>
      <w:bookmarkEnd w:id="908"/>
      <w:bookmarkEnd w:id="909"/>
      <w:bookmarkEnd w:id="910"/>
      <w:bookmarkEnd w:id="911"/>
      <w:bookmarkEnd w:id="912"/>
      <w:bookmarkEnd w:id="913"/>
      <w:bookmarkEnd w:id="914"/>
      <w:bookmarkEnd w:id="915"/>
      <w:bookmarkEnd w:id="916"/>
    </w:p>
    <w:p w14:paraId="4F9E24F7">
      <w:pPr>
        <w:pStyle w:val="49"/>
        <w:numPr>
          <w:ilvl w:val="0"/>
          <w:numId w:val="0"/>
        </w:numPr>
        <w:ind w:left="420"/>
        <w:rPr>
          <w:rFonts w:ascii="Times New Roman" w:hAnsi="Times New Roman"/>
        </w:rPr>
      </w:pPr>
      <w:bookmarkStart w:id="917" w:name="_Toc195801511"/>
      <w:bookmarkStart w:id="918" w:name="_Toc195801210"/>
      <w:bookmarkStart w:id="919" w:name="_Toc21172"/>
      <w:bookmarkStart w:id="920" w:name="_Toc195801932"/>
      <w:bookmarkStart w:id="921" w:name="_Toc204018426"/>
      <w:bookmarkStart w:id="922" w:name="_Toc205237804"/>
      <w:bookmarkStart w:id="923" w:name="_Toc205482211"/>
      <w:bookmarkStart w:id="924" w:name="_Toc205222393"/>
      <w:bookmarkStart w:id="925" w:name="_Toc205222572"/>
      <w:r>
        <w:rPr>
          <w:rFonts w:ascii="Times New Roman" w:hAnsi="Times New Roman"/>
        </w:rPr>
        <w:t>5.6.2　</w:t>
      </w:r>
      <w:bookmarkEnd w:id="917"/>
      <w:bookmarkEnd w:id="918"/>
      <w:bookmarkEnd w:id="919"/>
      <w:bookmarkEnd w:id="920"/>
      <w:bookmarkEnd w:id="921"/>
      <w:bookmarkStart w:id="926" w:name="_Toc169011596"/>
      <w:bookmarkStart w:id="927" w:name="_Toc169011107"/>
      <w:bookmarkStart w:id="928" w:name="_Toc162893137"/>
      <w:r>
        <w:rPr>
          <w:rFonts w:ascii="Times New Roman" w:hAnsi="Times New Roman"/>
        </w:rPr>
        <w:t>聚羧酸减水剂具有更高的减水率、更低的掺量，且使混凝土收缩更小，有利于混凝土开裂控制。减水剂计量时包含了减水剂中所含的水，所以应从拌合水计量中扣除。</w:t>
      </w:r>
      <w:bookmarkEnd w:id="922"/>
      <w:bookmarkEnd w:id="923"/>
      <w:bookmarkStart w:id="929" w:name="_Toc204017234"/>
      <w:bookmarkStart w:id="930" w:name="_Toc11792"/>
      <w:bookmarkStart w:id="931" w:name="_Toc195801211"/>
      <w:bookmarkStart w:id="932" w:name="_Toc13732"/>
      <w:bookmarkStart w:id="933" w:name="_Toc195801512"/>
      <w:bookmarkStart w:id="934" w:name="_Toc31314"/>
      <w:bookmarkStart w:id="935" w:name="_Toc195801933"/>
    </w:p>
    <w:p w14:paraId="24DC4818">
      <w:pPr>
        <w:pStyle w:val="52"/>
        <w:numPr>
          <w:ilvl w:val="1"/>
          <w:numId w:val="0"/>
        </w:numPr>
        <w:spacing w:before="312" w:after="312"/>
        <w:rPr>
          <w:rFonts w:ascii="Times New Roman"/>
        </w:rPr>
      </w:pPr>
      <w:bookmarkStart w:id="936" w:name="_Toc205237805"/>
      <w:bookmarkStart w:id="937" w:name="_Toc205482212"/>
      <w:r>
        <w:rPr>
          <w:rFonts w:ascii="Times New Roman"/>
        </w:rPr>
        <w:t>6　混凝土性能</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14:paraId="7F664795">
      <w:pPr>
        <w:pStyle w:val="53"/>
        <w:numPr>
          <w:ilvl w:val="0"/>
          <w:numId w:val="0"/>
        </w:numPr>
        <w:rPr>
          <w:rFonts w:ascii="Times New Roman"/>
        </w:rPr>
      </w:pPr>
      <w:bookmarkStart w:id="938" w:name="_Toc169011108"/>
      <w:bookmarkStart w:id="939" w:name="_Toc195801212"/>
      <w:bookmarkStart w:id="940" w:name="_Toc162893138"/>
      <w:bookmarkStart w:id="941" w:name="_Toc162893502"/>
      <w:bookmarkStart w:id="942" w:name="_Toc4282"/>
      <w:bookmarkStart w:id="943" w:name="_Toc169011597"/>
      <w:bookmarkStart w:id="944" w:name="_Toc19340"/>
      <w:bookmarkStart w:id="945" w:name="_Toc204017235"/>
      <w:bookmarkStart w:id="946" w:name="_Toc195801513"/>
      <w:bookmarkStart w:id="947" w:name="_Toc195801934"/>
      <w:bookmarkStart w:id="948" w:name="_Toc26355"/>
      <w:bookmarkStart w:id="949" w:name="_Toc205222394"/>
      <w:bookmarkStart w:id="950" w:name="_Toc205237806"/>
      <w:bookmarkStart w:id="951" w:name="_Toc205482213"/>
      <w:r>
        <w:rPr>
          <w:rFonts w:ascii="Times New Roman"/>
        </w:rPr>
        <w:t>6.1　拌合物性能</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p w14:paraId="654CD631">
      <w:pPr>
        <w:pStyle w:val="49"/>
        <w:numPr>
          <w:ilvl w:val="0"/>
          <w:numId w:val="0"/>
        </w:numPr>
        <w:ind w:left="420"/>
        <w:rPr>
          <w:rFonts w:ascii="Times New Roman" w:hAnsi="Times New Roman"/>
        </w:rPr>
      </w:pPr>
      <w:bookmarkStart w:id="952" w:name="_Toc204018429"/>
      <w:bookmarkStart w:id="953" w:name="_Toc205222574"/>
      <w:bookmarkStart w:id="954" w:name="_Toc15378"/>
      <w:bookmarkStart w:id="955" w:name="_Toc205482214"/>
      <w:r>
        <w:rPr>
          <w:rFonts w:ascii="Times New Roman" w:hAnsi="Times New Roman"/>
        </w:rPr>
        <w:t>6.1.1　复合混凝土拌合物粘聚性比传统的水泥混凝土粘聚性有所降低，应控制好拌合物的和易性，不应离析或泌水，且坍落度、扩展度、坍落度经时损失、扩展度经时损失和凝结时间应满足施工要求。</w:t>
      </w:r>
      <w:bookmarkEnd w:id="952"/>
      <w:bookmarkEnd w:id="953"/>
      <w:bookmarkEnd w:id="954"/>
      <w:bookmarkEnd w:id="955"/>
    </w:p>
    <w:p w14:paraId="128BFB11">
      <w:pPr>
        <w:pStyle w:val="53"/>
        <w:numPr>
          <w:ilvl w:val="0"/>
          <w:numId w:val="0"/>
        </w:numPr>
        <w:rPr>
          <w:rFonts w:ascii="Times New Roman"/>
        </w:rPr>
      </w:pPr>
      <w:bookmarkStart w:id="956" w:name="_Toc205482219"/>
      <w:bookmarkStart w:id="957" w:name="_Toc162893504"/>
      <w:bookmarkStart w:id="958" w:name="_Toc204017237"/>
      <w:bookmarkStart w:id="959" w:name="_Toc195801936"/>
      <w:bookmarkStart w:id="960" w:name="_Toc195801214"/>
      <w:bookmarkStart w:id="961" w:name="_Toc16185"/>
      <w:bookmarkStart w:id="962" w:name="_Toc12117"/>
      <w:bookmarkStart w:id="963" w:name="_Toc7251"/>
      <w:bookmarkStart w:id="964" w:name="_Toc169011599"/>
      <w:bookmarkStart w:id="965" w:name="_Toc195801515"/>
      <w:bookmarkStart w:id="966" w:name="_Toc162893140"/>
      <w:bookmarkStart w:id="967" w:name="_Toc169011110"/>
      <w:bookmarkStart w:id="968" w:name="_Toc205222396"/>
      <w:bookmarkStart w:id="969" w:name="_Toc205237808"/>
      <w:r>
        <w:rPr>
          <w:rFonts w:ascii="Times New Roman"/>
        </w:rPr>
        <w:t>6.3　长期性能和耐久性能</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 w14:paraId="765F07E5">
      <w:pPr>
        <w:pStyle w:val="49"/>
        <w:numPr>
          <w:ilvl w:val="0"/>
          <w:numId w:val="0"/>
        </w:numPr>
        <w:ind w:left="420"/>
        <w:rPr>
          <w:rFonts w:ascii="Times New Roman" w:hAnsi="Times New Roman"/>
        </w:rPr>
      </w:pPr>
      <w:bookmarkStart w:id="970" w:name="_Toc205482220"/>
      <w:bookmarkStart w:id="971" w:name="_Toc204018436"/>
      <w:bookmarkStart w:id="972" w:name="_Toc205222580"/>
      <w:bookmarkStart w:id="973" w:name="_Toc28161"/>
      <w:r>
        <w:rPr>
          <w:rFonts w:ascii="Times New Roman" w:hAnsi="Times New Roman"/>
        </w:rPr>
        <w:t>6.3.2　试验表明，复合胶材碱含量很低，一般情况下对混凝土发生碱骨料反应的潜在危害很低。但当复合混凝土可能存在碱骨料反应危害时，混凝土应符合GB/T 50733的规定。</w:t>
      </w:r>
      <w:bookmarkEnd w:id="970"/>
      <w:bookmarkEnd w:id="971"/>
      <w:bookmarkEnd w:id="972"/>
      <w:bookmarkEnd w:id="973"/>
    </w:p>
    <w:p w14:paraId="6E7D4468">
      <w:pPr>
        <w:pStyle w:val="52"/>
        <w:numPr>
          <w:ilvl w:val="1"/>
          <w:numId w:val="0"/>
        </w:numPr>
        <w:spacing w:before="312" w:after="312"/>
        <w:rPr>
          <w:rFonts w:ascii="Times New Roman"/>
        </w:rPr>
      </w:pPr>
      <w:bookmarkStart w:id="974" w:name="_Toc195801516"/>
      <w:bookmarkStart w:id="975" w:name="_Toc7022"/>
      <w:bookmarkStart w:id="976" w:name="_Toc204017238"/>
      <w:bookmarkStart w:id="977" w:name="_Toc162893134"/>
      <w:bookmarkStart w:id="978" w:name="_Toc195801215"/>
      <w:bookmarkStart w:id="979" w:name="_Toc5066"/>
      <w:bookmarkStart w:id="980" w:name="_Toc195801937"/>
      <w:bookmarkStart w:id="981" w:name="_Toc169011104"/>
      <w:bookmarkStart w:id="982" w:name="_Toc169011593"/>
      <w:bookmarkStart w:id="983" w:name="_Toc22418"/>
      <w:bookmarkStart w:id="984" w:name="_Toc205222397"/>
      <w:bookmarkStart w:id="985" w:name="_Toc205237809"/>
      <w:bookmarkStart w:id="986" w:name="_Toc205482222"/>
      <w:r>
        <w:rPr>
          <w:rFonts w:ascii="Times New Roman"/>
        </w:rPr>
        <w:t>7　配合比设计</w:t>
      </w:r>
      <w:bookmarkEnd w:id="974"/>
      <w:bookmarkEnd w:id="975"/>
      <w:bookmarkEnd w:id="976"/>
      <w:bookmarkEnd w:id="977"/>
      <w:bookmarkEnd w:id="978"/>
      <w:bookmarkEnd w:id="979"/>
      <w:bookmarkEnd w:id="980"/>
      <w:bookmarkEnd w:id="981"/>
      <w:bookmarkEnd w:id="982"/>
      <w:bookmarkEnd w:id="983"/>
      <w:bookmarkEnd w:id="984"/>
      <w:bookmarkEnd w:id="985"/>
      <w:bookmarkEnd w:id="986"/>
    </w:p>
    <w:p w14:paraId="1D6B5D16">
      <w:pPr>
        <w:pStyle w:val="53"/>
        <w:numPr>
          <w:ilvl w:val="0"/>
          <w:numId w:val="0"/>
        </w:numPr>
        <w:rPr>
          <w:rFonts w:ascii="Times New Roman"/>
        </w:rPr>
      </w:pPr>
      <w:bookmarkStart w:id="987" w:name="_Toc195801216"/>
      <w:bookmarkStart w:id="988" w:name="_Toc195801517"/>
      <w:bookmarkStart w:id="989" w:name="_Toc27216"/>
      <w:bookmarkStart w:id="990" w:name="_Toc32624"/>
      <w:bookmarkStart w:id="991" w:name="_Toc162893135"/>
      <w:bookmarkStart w:id="992" w:name="_Toc169011594"/>
      <w:bookmarkStart w:id="993" w:name="_Toc204017239"/>
      <w:bookmarkStart w:id="994" w:name="_Toc29469"/>
      <w:bookmarkStart w:id="995" w:name="_Toc162893499"/>
      <w:bookmarkStart w:id="996" w:name="_Toc195801938"/>
      <w:bookmarkStart w:id="997" w:name="_Toc169011105"/>
      <w:bookmarkStart w:id="998" w:name="_Toc205222398"/>
      <w:bookmarkStart w:id="999" w:name="_Toc205237810"/>
      <w:bookmarkStart w:id="1000" w:name="_Toc205482223"/>
      <w:r>
        <w:rPr>
          <w:rFonts w:ascii="Times New Roman"/>
        </w:rPr>
        <w:t>7.1　一般规定</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p w14:paraId="0BDCE854">
      <w:pPr>
        <w:pStyle w:val="49"/>
        <w:numPr>
          <w:ilvl w:val="0"/>
          <w:numId w:val="0"/>
        </w:numPr>
        <w:ind w:left="420"/>
        <w:rPr>
          <w:rFonts w:ascii="Times New Roman" w:hAnsi="Times New Roman"/>
        </w:rPr>
      </w:pPr>
      <w:bookmarkStart w:id="1001" w:name="_Toc205482224"/>
      <w:bookmarkStart w:id="1002" w:name="_Toc205222584"/>
      <w:r>
        <w:rPr>
          <w:rFonts w:ascii="Times New Roman" w:hAnsi="Times New Roman"/>
        </w:rPr>
        <w:t>7.1.1　大量实验数据证明，强度等级为SCM42.5的复合胶材可等量替代水泥使用。其他等级的复合胶材替水泥的量等比例降低，具体用量应根据实验确定。</w:t>
      </w:r>
      <w:bookmarkEnd w:id="1001"/>
      <w:bookmarkEnd w:id="1002"/>
    </w:p>
    <w:p w14:paraId="3F3672A3">
      <w:pPr>
        <w:pStyle w:val="49"/>
        <w:numPr>
          <w:ilvl w:val="0"/>
          <w:numId w:val="0"/>
        </w:numPr>
        <w:ind w:left="420"/>
        <w:rPr>
          <w:rFonts w:ascii="Times New Roman" w:hAnsi="Times New Roman"/>
        </w:rPr>
      </w:pPr>
      <w:bookmarkStart w:id="1003" w:name="_Toc204018441"/>
      <w:bookmarkStart w:id="1004" w:name="_Toc205222585"/>
      <w:bookmarkStart w:id="1005" w:name="_Toc205482225"/>
      <w:bookmarkStart w:id="1006" w:name="_Toc12402"/>
      <w:r>
        <w:rPr>
          <w:rFonts w:ascii="Times New Roman" w:hAnsi="Times New Roman"/>
        </w:rPr>
        <w:t>7.1.2　大量实验数据证明，复合胶材制备C30等级以上的混凝土的用水量控制在165 kg/m</w:t>
      </w:r>
      <w:r>
        <w:rPr>
          <w:rFonts w:ascii="Times New Roman" w:hAnsi="Times New Roman"/>
          <w:vertAlign w:val="superscript"/>
        </w:rPr>
        <w:t>3</w:t>
      </w:r>
      <w:r>
        <w:rPr>
          <w:rFonts w:ascii="Times New Roman" w:hAnsi="Times New Roman"/>
        </w:rPr>
        <w:t>以内，混凝土具有良好的长期和耐久性能。</w:t>
      </w:r>
      <w:bookmarkEnd w:id="1003"/>
      <w:bookmarkEnd w:id="1004"/>
      <w:bookmarkEnd w:id="1005"/>
      <w:bookmarkEnd w:id="1006"/>
    </w:p>
    <w:p w14:paraId="2D107A4F">
      <w:pPr>
        <w:pStyle w:val="49"/>
        <w:numPr>
          <w:ilvl w:val="0"/>
          <w:numId w:val="0"/>
        </w:numPr>
        <w:ind w:left="420"/>
        <w:rPr>
          <w:rFonts w:ascii="Times New Roman" w:hAnsi="Times New Roman"/>
        </w:rPr>
      </w:pPr>
      <w:bookmarkStart w:id="1007" w:name="_Toc205482226"/>
      <w:bookmarkStart w:id="1008" w:name="_Toc23390"/>
      <w:bookmarkStart w:id="1009" w:name="_Toc204018442"/>
      <w:bookmarkStart w:id="1010" w:name="_Toc205222586"/>
      <w:r>
        <w:rPr>
          <w:rFonts w:ascii="Times New Roman" w:hAnsi="Times New Roman"/>
        </w:rPr>
        <w:t>7.1.3　在配制混凝土时，复合胶材可用于减少混凝土中水泥的用量，根据实际应用情况，复合胶材在总胶凝材料中的比例为1%～100%。</w:t>
      </w:r>
      <w:bookmarkEnd w:id="1007"/>
      <w:bookmarkEnd w:id="1008"/>
      <w:bookmarkEnd w:id="1009"/>
      <w:bookmarkEnd w:id="1010"/>
    </w:p>
    <w:p w14:paraId="4314C895">
      <w:pPr>
        <w:pStyle w:val="53"/>
        <w:numPr>
          <w:ilvl w:val="0"/>
          <w:numId w:val="0"/>
        </w:numPr>
        <w:rPr>
          <w:rFonts w:ascii="Times New Roman"/>
        </w:rPr>
      </w:pPr>
      <w:bookmarkStart w:id="1011" w:name="_Toc204017240"/>
      <w:bookmarkStart w:id="1012" w:name="_Toc195801939"/>
      <w:bookmarkStart w:id="1013" w:name="_Toc6219"/>
      <w:bookmarkStart w:id="1014" w:name="_Toc6612"/>
      <w:bookmarkStart w:id="1015" w:name="_Toc162893500"/>
      <w:bookmarkStart w:id="1016" w:name="_Toc169011595"/>
      <w:bookmarkStart w:id="1017" w:name="_Toc195801518"/>
      <w:bookmarkStart w:id="1018" w:name="_Toc162893136"/>
      <w:bookmarkStart w:id="1019" w:name="_Toc195801217"/>
      <w:bookmarkStart w:id="1020" w:name="_Toc8167"/>
      <w:bookmarkStart w:id="1021" w:name="_Toc169011106"/>
      <w:bookmarkStart w:id="1022" w:name="_Toc205222399"/>
      <w:bookmarkStart w:id="1023" w:name="_Toc205237811"/>
      <w:bookmarkStart w:id="1024" w:name="_Toc205482227"/>
      <w:r>
        <w:rPr>
          <w:rFonts w:ascii="Times New Roman"/>
        </w:rPr>
        <w:t>7.2　主要参数</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14:paraId="18B0A006">
      <w:pPr>
        <w:pStyle w:val="49"/>
        <w:numPr>
          <w:ilvl w:val="0"/>
          <w:numId w:val="0"/>
        </w:numPr>
        <w:ind w:left="420"/>
        <w:rPr>
          <w:rFonts w:ascii="Times New Roman" w:hAnsi="Times New Roman"/>
        </w:rPr>
      </w:pPr>
      <w:bookmarkStart w:id="1025" w:name="_Toc20181"/>
      <w:bookmarkStart w:id="1026" w:name="_Toc204018444"/>
      <w:bookmarkStart w:id="1027" w:name="_Toc205222588"/>
      <w:bookmarkStart w:id="1028" w:name="_Toc205482228"/>
      <w:r>
        <w:rPr>
          <w:rFonts w:ascii="Times New Roman" w:hAnsi="Times New Roman"/>
        </w:rPr>
        <w:t>7.2.1　根据大量的试验和生产数据，确定了配制C15～C80复合混凝土的水胶比和胶凝材料用量推荐范围，其中C70～C80仅适用于预制构件混凝土。</w:t>
      </w:r>
      <w:bookmarkEnd w:id="1025"/>
      <w:bookmarkEnd w:id="1026"/>
      <w:r>
        <w:rPr>
          <w:rFonts w:ascii="Times New Roman" w:hAnsi="Times New Roman"/>
        </w:rPr>
        <w:t>在此前提下配制的混凝土和易性、长期性能和耐久性能均可以达到较高水平。适当降低总胶凝材料用量同样可以达到不同混凝土等级的强度要求，但是，需要经过试验验证并保证混凝土的各项性能。表11和表12分别给出了配合比和抗压强度示例。复合胶凝材料部分替代水泥使用，用“水泥+复合胶凝材料+矿粉+粉煤灰”为胶凝材料，复合胶凝材料等量替代70～110kg的水泥用量。表11为建筑混凝土配合比，表12为复合混凝土抗压强度检测结果。</w:t>
      </w:r>
      <w:bookmarkEnd w:id="1027"/>
      <w:bookmarkEnd w:id="1028"/>
    </w:p>
    <w:p w14:paraId="01F1ACEB">
      <w:pPr>
        <w:pStyle w:val="136"/>
        <w:rPr>
          <w:rFonts w:ascii="Times New Roman"/>
        </w:rPr>
      </w:pPr>
      <w:r>
        <w:rPr>
          <w:rFonts w:ascii="Times New Roman"/>
        </w:rPr>
        <w:t>复合混凝土配合比（kg/m</w:t>
      </w:r>
      <w:r>
        <w:rPr>
          <w:rFonts w:ascii="Times New Roman"/>
          <w:vertAlign w:val="superscript"/>
        </w:rPr>
        <w:t>3</w:t>
      </w:r>
      <w:r>
        <w:rPr>
          <w:rFonts w:ascii="Times New Roman"/>
        </w:rPr>
        <w:t>）</w:t>
      </w:r>
    </w:p>
    <w:tbl>
      <w:tblPr>
        <w:tblStyle w:val="40"/>
        <w:tblW w:w="5000" w:type="pct"/>
        <w:tblInd w:w="0" w:type="dxa"/>
        <w:tblLayout w:type="autofit"/>
        <w:tblCellMar>
          <w:top w:w="0" w:type="dxa"/>
          <w:left w:w="108" w:type="dxa"/>
          <w:bottom w:w="0" w:type="dxa"/>
          <w:right w:w="108" w:type="dxa"/>
        </w:tblCellMar>
      </w:tblPr>
      <w:tblGrid>
        <w:gridCol w:w="954"/>
        <w:gridCol w:w="1268"/>
        <w:gridCol w:w="1407"/>
        <w:gridCol w:w="986"/>
        <w:gridCol w:w="932"/>
        <w:gridCol w:w="1068"/>
        <w:gridCol w:w="1096"/>
        <w:gridCol w:w="966"/>
        <w:gridCol w:w="894"/>
      </w:tblGrid>
      <w:tr w14:paraId="018004C7">
        <w:tblPrEx>
          <w:tblCellMar>
            <w:top w:w="0" w:type="dxa"/>
            <w:left w:w="108" w:type="dxa"/>
            <w:bottom w:w="0" w:type="dxa"/>
            <w:right w:w="108" w:type="dxa"/>
          </w:tblCellMar>
        </w:tblPrEx>
        <w:trPr>
          <w:trHeight w:val="454" w:hRule="atLeast"/>
        </w:trPr>
        <w:tc>
          <w:tcPr>
            <w:tcW w:w="954" w:type="dxa"/>
            <w:tcBorders>
              <w:top w:val="single" w:color="000000" w:sz="4" w:space="0"/>
              <w:left w:val="single" w:color="000000" w:sz="4" w:space="0"/>
              <w:bottom w:val="single" w:color="000000" w:sz="4" w:space="0"/>
              <w:right w:val="single" w:color="000000" w:sz="4" w:space="0"/>
            </w:tcBorders>
            <w:vAlign w:val="center"/>
          </w:tcPr>
          <w:p w14:paraId="513A329A">
            <w:pPr>
              <w:spacing w:line="240" w:lineRule="auto"/>
              <w:jc w:val="center"/>
              <w:rPr>
                <w:rFonts w:ascii="Times New Roman" w:hAnsi="Times New Roman"/>
                <w:sz w:val="18"/>
                <w:szCs w:val="18"/>
                <w:lang w:val="zh-CN"/>
              </w:rPr>
            </w:pPr>
            <w:r>
              <w:rPr>
                <w:rFonts w:ascii="Times New Roman" w:hAnsi="Times New Roman"/>
                <w:sz w:val="18"/>
                <w:szCs w:val="18"/>
                <w:lang w:val="zh-CN"/>
              </w:rPr>
              <w:t>混凝土</w:t>
            </w:r>
          </w:p>
          <w:p w14:paraId="1FD10BE4">
            <w:pPr>
              <w:spacing w:line="240" w:lineRule="auto"/>
              <w:jc w:val="center"/>
              <w:rPr>
                <w:rFonts w:ascii="Times New Roman" w:hAnsi="Times New Roman"/>
                <w:sz w:val="18"/>
                <w:szCs w:val="18"/>
                <w:lang w:val="zh-CN"/>
              </w:rPr>
            </w:pPr>
            <w:r>
              <w:rPr>
                <w:rFonts w:ascii="Times New Roman" w:hAnsi="Times New Roman"/>
                <w:sz w:val="18"/>
                <w:szCs w:val="18"/>
                <w:lang w:val="zh-CN"/>
              </w:rPr>
              <w:t>等级</w:t>
            </w:r>
          </w:p>
        </w:tc>
        <w:tc>
          <w:tcPr>
            <w:tcW w:w="1268" w:type="dxa"/>
            <w:tcBorders>
              <w:top w:val="single" w:color="000000" w:sz="4" w:space="0"/>
              <w:left w:val="single" w:color="000000" w:sz="4" w:space="0"/>
              <w:bottom w:val="single" w:color="000000" w:sz="4" w:space="0"/>
              <w:right w:val="single" w:color="000000" w:sz="4" w:space="0"/>
            </w:tcBorders>
            <w:vAlign w:val="center"/>
          </w:tcPr>
          <w:p w14:paraId="44199315">
            <w:pPr>
              <w:spacing w:line="240" w:lineRule="auto"/>
              <w:jc w:val="center"/>
              <w:rPr>
                <w:rFonts w:ascii="Times New Roman" w:hAnsi="Times New Roman"/>
                <w:sz w:val="18"/>
                <w:szCs w:val="18"/>
                <w:lang w:val="zh-CN"/>
              </w:rPr>
            </w:pPr>
            <w:r>
              <w:rPr>
                <w:rFonts w:ascii="Times New Roman" w:hAnsi="Times New Roman"/>
                <w:sz w:val="18"/>
                <w:szCs w:val="18"/>
                <w:lang w:val="zh-CN"/>
              </w:rPr>
              <w:t>P.O 42.5</w:t>
            </w:r>
          </w:p>
          <w:p w14:paraId="69434D0E">
            <w:pPr>
              <w:spacing w:line="240" w:lineRule="auto"/>
              <w:jc w:val="center"/>
              <w:rPr>
                <w:rFonts w:ascii="Times New Roman" w:hAnsi="Times New Roman"/>
                <w:sz w:val="18"/>
                <w:szCs w:val="18"/>
                <w:lang w:val="zh-CN"/>
              </w:rPr>
            </w:pPr>
            <w:r>
              <w:rPr>
                <w:rFonts w:ascii="Times New Roman" w:hAnsi="Times New Roman"/>
                <w:sz w:val="18"/>
                <w:szCs w:val="18"/>
                <w:lang w:val="zh-CN"/>
              </w:rPr>
              <w:t>水泥</w:t>
            </w:r>
          </w:p>
        </w:tc>
        <w:tc>
          <w:tcPr>
            <w:tcW w:w="1407" w:type="dxa"/>
            <w:tcBorders>
              <w:top w:val="single" w:color="000000" w:sz="4" w:space="0"/>
              <w:left w:val="single" w:color="000000" w:sz="4" w:space="0"/>
              <w:bottom w:val="single" w:color="000000" w:sz="4" w:space="0"/>
              <w:right w:val="single" w:color="000000" w:sz="4" w:space="0"/>
            </w:tcBorders>
            <w:vAlign w:val="center"/>
          </w:tcPr>
          <w:p w14:paraId="7C0589D9">
            <w:pPr>
              <w:spacing w:line="240" w:lineRule="auto"/>
              <w:jc w:val="center"/>
              <w:rPr>
                <w:rFonts w:ascii="Times New Roman" w:hAnsi="Times New Roman"/>
                <w:sz w:val="18"/>
                <w:szCs w:val="18"/>
                <w:lang w:val="zh-CN"/>
              </w:rPr>
            </w:pPr>
            <w:r>
              <w:rPr>
                <w:rFonts w:ascii="Times New Roman" w:hAnsi="Times New Roman"/>
                <w:sz w:val="18"/>
                <w:szCs w:val="18"/>
                <w:lang w:val="zh-CN"/>
              </w:rPr>
              <w:t>钢铁渣复合胶</w:t>
            </w:r>
          </w:p>
          <w:p w14:paraId="2F112D72">
            <w:pPr>
              <w:spacing w:line="240" w:lineRule="auto"/>
              <w:jc w:val="center"/>
              <w:rPr>
                <w:rFonts w:ascii="Times New Roman" w:hAnsi="Times New Roman"/>
                <w:sz w:val="18"/>
                <w:szCs w:val="18"/>
                <w:lang w:val="zh-CN"/>
              </w:rPr>
            </w:pPr>
            <w:r>
              <w:rPr>
                <w:rFonts w:ascii="Times New Roman" w:hAnsi="Times New Roman"/>
                <w:sz w:val="18"/>
                <w:szCs w:val="18"/>
                <w:lang w:val="zh-CN"/>
              </w:rPr>
              <w:t>凝材料</w:t>
            </w:r>
          </w:p>
        </w:tc>
        <w:tc>
          <w:tcPr>
            <w:tcW w:w="986" w:type="dxa"/>
            <w:tcBorders>
              <w:top w:val="single" w:color="000000" w:sz="4" w:space="0"/>
              <w:left w:val="single" w:color="000000" w:sz="4" w:space="0"/>
              <w:bottom w:val="single" w:color="000000" w:sz="4" w:space="0"/>
              <w:right w:val="single" w:color="000000" w:sz="4" w:space="0"/>
            </w:tcBorders>
            <w:vAlign w:val="center"/>
          </w:tcPr>
          <w:p w14:paraId="3627C3A8">
            <w:pPr>
              <w:spacing w:line="240" w:lineRule="auto"/>
              <w:jc w:val="center"/>
              <w:rPr>
                <w:rFonts w:ascii="Times New Roman" w:hAnsi="Times New Roman"/>
                <w:sz w:val="18"/>
                <w:szCs w:val="18"/>
                <w:lang w:val="zh-CN"/>
              </w:rPr>
            </w:pPr>
            <w:r>
              <w:rPr>
                <w:rFonts w:ascii="Times New Roman" w:hAnsi="Times New Roman"/>
                <w:sz w:val="18"/>
                <w:szCs w:val="18"/>
                <w:lang w:val="zh-CN"/>
              </w:rPr>
              <w:t>矿粉</w:t>
            </w:r>
          </w:p>
        </w:tc>
        <w:tc>
          <w:tcPr>
            <w:tcW w:w="932" w:type="dxa"/>
            <w:tcBorders>
              <w:top w:val="single" w:color="000000" w:sz="4" w:space="0"/>
              <w:left w:val="single" w:color="000000" w:sz="4" w:space="0"/>
              <w:bottom w:val="single" w:color="000000" w:sz="4" w:space="0"/>
              <w:right w:val="single" w:color="000000" w:sz="4" w:space="0"/>
            </w:tcBorders>
            <w:vAlign w:val="center"/>
          </w:tcPr>
          <w:p w14:paraId="3D203EB3">
            <w:pPr>
              <w:spacing w:line="240" w:lineRule="auto"/>
              <w:jc w:val="center"/>
              <w:rPr>
                <w:rFonts w:ascii="Times New Roman" w:hAnsi="Times New Roman"/>
                <w:sz w:val="18"/>
                <w:szCs w:val="18"/>
                <w:lang w:val="zh-CN"/>
              </w:rPr>
            </w:pPr>
            <w:r>
              <w:rPr>
                <w:rFonts w:ascii="Times New Roman" w:hAnsi="Times New Roman"/>
                <w:sz w:val="18"/>
                <w:szCs w:val="18"/>
                <w:lang w:val="zh-CN"/>
              </w:rPr>
              <w:t>粉煤灰</w:t>
            </w:r>
          </w:p>
        </w:tc>
        <w:tc>
          <w:tcPr>
            <w:tcW w:w="1068" w:type="dxa"/>
            <w:tcBorders>
              <w:top w:val="single" w:color="000000" w:sz="4" w:space="0"/>
              <w:left w:val="single" w:color="000000" w:sz="4" w:space="0"/>
              <w:bottom w:val="single" w:color="000000" w:sz="4" w:space="0"/>
              <w:right w:val="single" w:color="000000" w:sz="4" w:space="0"/>
            </w:tcBorders>
            <w:vAlign w:val="center"/>
          </w:tcPr>
          <w:p w14:paraId="1FC9604A">
            <w:pPr>
              <w:spacing w:line="240" w:lineRule="auto"/>
              <w:jc w:val="center"/>
              <w:rPr>
                <w:rFonts w:ascii="Times New Roman" w:hAnsi="Times New Roman"/>
                <w:sz w:val="18"/>
                <w:szCs w:val="18"/>
                <w:lang w:val="zh-CN"/>
              </w:rPr>
            </w:pPr>
            <w:r>
              <w:rPr>
                <w:rFonts w:ascii="Times New Roman" w:hAnsi="Times New Roman"/>
                <w:sz w:val="18"/>
                <w:szCs w:val="18"/>
                <w:lang w:val="zh-CN"/>
              </w:rPr>
              <w:t>水</w:t>
            </w:r>
          </w:p>
        </w:tc>
        <w:tc>
          <w:tcPr>
            <w:tcW w:w="1096" w:type="dxa"/>
            <w:tcBorders>
              <w:top w:val="single" w:color="000000" w:sz="4" w:space="0"/>
              <w:left w:val="single" w:color="000000" w:sz="4" w:space="0"/>
              <w:bottom w:val="single" w:color="000000" w:sz="4" w:space="0"/>
              <w:right w:val="single" w:color="000000" w:sz="4" w:space="0"/>
            </w:tcBorders>
            <w:vAlign w:val="center"/>
          </w:tcPr>
          <w:p w14:paraId="41AA3BC7">
            <w:pPr>
              <w:spacing w:line="240" w:lineRule="auto"/>
              <w:jc w:val="center"/>
              <w:rPr>
                <w:rFonts w:ascii="Times New Roman" w:hAnsi="Times New Roman"/>
                <w:sz w:val="18"/>
                <w:szCs w:val="18"/>
                <w:lang w:val="zh-CN"/>
              </w:rPr>
            </w:pPr>
            <w:r>
              <w:rPr>
                <w:rFonts w:ascii="Times New Roman" w:hAnsi="Times New Roman"/>
                <w:sz w:val="18"/>
                <w:szCs w:val="18"/>
                <w:lang w:val="zh-CN"/>
              </w:rPr>
              <w:t>石子</w:t>
            </w:r>
          </w:p>
        </w:tc>
        <w:tc>
          <w:tcPr>
            <w:tcW w:w="966" w:type="dxa"/>
            <w:tcBorders>
              <w:top w:val="single" w:color="000000" w:sz="4" w:space="0"/>
              <w:left w:val="single" w:color="000000" w:sz="4" w:space="0"/>
              <w:bottom w:val="single" w:color="000000" w:sz="4" w:space="0"/>
              <w:right w:val="single" w:color="000000" w:sz="4" w:space="0"/>
            </w:tcBorders>
            <w:vAlign w:val="center"/>
          </w:tcPr>
          <w:p w14:paraId="5E480CD4">
            <w:pPr>
              <w:spacing w:line="240" w:lineRule="auto"/>
              <w:jc w:val="center"/>
              <w:rPr>
                <w:rFonts w:ascii="Times New Roman" w:hAnsi="Times New Roman"/>
                <w:sz w:val="18"/>
                <w:szCs w:val="18"/>
                <w:lang w:val="zh-CN"/>
              </w:rPr>
            </w:pPr>
            <w:r>
              <w:rPr>
                <w:rFonts w:ascii="Times New Roman" w:hAnsi="Times New Roman"/>
                <w:sz w:val="18"/>
                <w:szCs w:val="18"/>
              </w:rPr>
              <w:t>中砂</w:t>
            </w:r>
          </w:p>
        </w:tc>
        <w:tc>
          <w:tcPr>
            <w:tcW w:w="894" w:type="dxa"/>
            <w:tcBorders>
              <w:top w:val="single" w:color="000000" w:sz="4" w:space="0"/>
              <w:left w:val="single" w:color="000000" w:sz="4" w:space="0"/>
              <w:bottom w:val="single" w:color="000000" w:sz="4" w:space="0"/>
              <w:right w:val="single" w:color="000000" w:sz="4" w:space="0"/>
            </w:tcBorders>
            <w:vAlign w:val="center"/>
          </w:tcPr>
          <w:p w14:paraId="09EFF54D">
            <w:pPr>
              <w:spacing w:line="240" w:lineRule="auto"/>
              <w:jc w:val="center"/>
              <w:rPr>
                <w:rFonts w:ascii="Times New Roman" w:hAnsi="Times New Roman"/>
                <w:sz w:val="18"/>
                <w:szCs w:val="18"/>
                <w:lang w:val="zh-CN"/>
              </w:rPr>
            </w:pPr>
            <w:r>
              <w:rPr>
                <w:rFonts w:ascii="Times New Roman" w:hAnsi="Times New Roman"/>
                <w:sz w:val="18"/>
                <w:szCs w:val="18"/>
                <w:lang w:val="zh-CN"/>
              </w:rPr>
              <w:t>外加剂</w:t>
            </w:r>
          </w:p>
        </w:tc>
      </w:tr>
      <w:tr w14:paraId="10A3AAF0">
        <w:tblPrEx>
          <w:tblCellMar>
            <w:top w:w="0" w:type="dxa"/>
            <w:left w:w="108" w:type="dxa"/>
            <w:bottom w:w="0" w:type="dxa"/>
            <w:right w:w="108" w:type="dxa"/>
          </w:tblCellMar>
        </w:tblPrEx>
        <w:trPr>
          <w:trHeight w:val="454" w:hRule="atLeast"/>
        </w:trPr>
        <w:tc>
          <w:tcPr>
            <w:tcW w:w="954" w:type="dxa"/>
            <w:tcBorders>
              <w:top w:val="single" w:color="000000" w:sz="4" w:space="0"/>
              <w:left w:val="single" w:color="000000" w:sz="4" w:space="0"/>
              <w:bottom w:val="single" w:color="000000" w:sz="4" w:space="0"/>
              <w:right w:val="single" w:color="000000" w:sz="4" w:space="0"/>
            </w:tcBorders>
            <w:vAlign w:val="center"/>
          </w:tcPr>
          <w:p w14:paraId="74FA208D">
            <w:pPr>
              <w:spacing w:line="240" w:lineRule="auto"/>
              <w:jc w:val="center"/>
              <w:rPr>
                <w:rFonts w:ascii="Times New Roman" w:hAnsi="Times New Roman"/>
                <w:sz w:val="18"/>
                <w:szCs w:val="18"/>
                <w:lang w:val="zh-CN"/>
              </w:rPr>
            </w:pPr>
            <w:r>
              <w:rPr>
                <w:rFonts w:ascii="Times New Roman" w:hAnsi="Times New Roman"/>
                <w:sz w:val="18"/>
                <w:szCs w:val="18"/>
                <w:lang w:val="zh-CN"/>
              </w:rPr>
              <w:t>C25</w:t>
            </w:r>
          </w:p>
        </w:tc>
        <w:tc>
          <w:tcPr>
            <w:tcW w:w="1268" w:type="dxa"/>
            <w:tcBorders>
              <w:top w:val="single" w:color="000000" w:sz="4" w:space="0"/>
              <w:left w:val="single" w:color="000000" w:sz="4" w:space="0"/>
              <w:bottom w:val="single" w:color="000000" w:sz="4" w:space="0"/>
              <w:right w:val="single" w:color="000000" w:sz="4" w:space="0"/>
            </w:tcBorders>
            <w:vAlign w:val="center"/>
          </w:tcPr>
          <w:p w14:paraId="19E45910">
            <w:pPr>
              <w:spacing w:line="240" w:lineRule="auto"/>
              <w:jc w:val="center"/>
              <w:rPr>
                <w:rFonts w:ascii="Times New Roman" w:hAnsi="Times New Roman"/>
                <w:sz w:val="18"/>
                <w:szCs w:val="18"/>
                <w:lang w:val="zh-CN"/>
              </w:rPr>
            </w:pPr>
            <w:r>
              <w:rPr>
                <w:rFonts w:ascii="Times New Roman" w:hAnsi="Times New Roman"/>
                <w:sz w:val="18"/>
                <w:szCs w:val="18"/>
                <w:lang w:val="zh-CN"/>
              </w:rPr>
              <w:t>110</w:t>
            </w:r>
          </w:p>
        </w:tc>
        <w:tc>
          <w:tcPr>
            <w:tcW w:w="1407" w:type="dxa"/>
            <w:tcBorders>
              <w:top w:val="single" w:color="000000" w:sz="4" w:space="0"/>
              <w:left w:val="single" w:color="000000" w:sz="4" w:space="0"/>
              <w:bottom w:val="single" w:color="000000" w:sz="4" w:space="0"/>
              <w:right w:val="single" w:color="000000" w:sz="4" w:space="0"/>
            </w:tcBorders>
            <w:vAlign w:val="center"/>
          </w:tcPr>
          <w:p w14:paraId="57AB1B2B">
            <w:pPr>
              <w:spacing w:line="240" w:lineRule="auto"/>
              <w:jc w:val="center"/>
              <w:rPr>
                <w:rFonts w:ascii="Times New Roman" w:hAnsi="Times New Roman"/>
                <w:sz w:val="18"/>
                <w:szCs w:val="18"/>
                <w:lang w:val="zh-CN"/>
              </w:rPr>
            </w:pPr>
            <w:r>
              <w:rPr>
                <w:rFonts w:ascii="Times New Roman" w:hAnsi="Times New Roman"/>
                <w:sz w:val="18"/>
                <w:szCs w:val="18"/>
                <w:lang w:val="zh-CN"/>
              </w:rPr>
              <w:t>70</w:t>
            </w:r>
          </w:p>
        </w:tc>
        <w:tc>
          <w:tcPr>
            <w:tcW w:w="986" w:type="dxa"/>
            <w:tcBorders>
              <w:top w:val="single" w:color="000000" w:sz="4" w:space="0"/>
              <w:left w:val="single" w:color="000000" w:sz="4" w:space="0"/>
              <w:bottom w:val="single" w:color="000000" w:sz="4" w:space="0"/>
              <w:right w:val="single" w:color="000000" w:sz="4" w:space="0"/>
            </w:tcBorders>
            <w:vAlign w:val="center"/>
          </w:tcPr>
          <w:p w14:paraId="66DB552B">
            <w:pPr>
              <w:spacing w:line="240" w:lineRule="auto"/>
              <w:jc w:val="center"/>
              <w:rPr>
                <w:rFonts w:ascii="Times New Roman" w:hAnsi="Times New Roman"/>
                <w:sz w:val="18"/>
                <w:szCs w:val="18"/>
                <w:lang w:val="zh-CN"/>
              </w:rPr>
            </w:pPr>
            <w:r>
              <w:rPr>
                <w:rFonts w:ascii="Times New Roman" w:hAnsi="Times New Roman"/>
                <w:sz w:val="18"/>
                <w:szCs w:val="18"/>
                <w:lang w:val="zh-CN"/>
              </w:rPr>
              <w:t>70</w:t>
            </w:r>
          </w:p>
        </w:tc>
        <w:tc>
          <w:tcPr>
            <w:tcW w:w="932" w:type="dxa"/>
            <w:tcBorders>
              <w:top w:val="single" w:color="000000" w:sz="4" w:space="0"/>
              <w:left w:val="single" w:color="000000" w:sz="4" w:space="0"/>
              <w:bottom w:val="single" w:color="000000" w:sz="4" w:space="0"/>
              <w:right w:val="single" w:color="000000" w:sz="4" w:space="0"/>
            </w:tcBorders>
            <w:vAlign w:val="center"/>
          </w:tcPr>
          <w:p w14:paraId="3DAD1910">
            <w:pPr>
              <w:spacing w:line="240" w:lineRule="auto"/>
              <w:jc w:val="center"/>
              <w:rPr>
                <w:rFonts w:ascii="Times New Roman" w:hAnsi="Times New Roman"/>
                <w:sz w:val="18"/>
                <w:szCs w:val="18"/>
                <w:lang w:val="zh-CN"/>
              </w:rPr>
            </w:pPr>
            <w:r>
              <w:rPr>
                <w:rFonts w:ascii="Times New Roman" w:hAnsi="Times New Roman"/>
                <w:sz w:val="18"/>
                <w:szCs w:val="18"/>
                <w:lang w:val="zh-CN"/>
              </w:rPr>
              <w:t>60</w:t>
            </w:r>
          </w:p>
        </w:tc>
        <w:tc>
          <w:tcPr>
            <w:tcW w:w="1068" w:type="dxa"/>
            <w:tcBorders>
              <w:top w:val="single" w:color="000000" w:sz="4" w:space="0"/>
              <w:left w:val="single" w:color="000000" w:sz="4" w:space="0"/>
              <w:bottom w:val="single" w:color="000000" w:sz="4" w:space="0"/>
              <w:right w:val="single" w:color="000000" w:sz="4" w:space="0"/>
            </w:tcBorders>
            <w:vAlign w:val="center"/>
          </w:tcPr>
          <w:p w14:paraId="573F3DC8">
            <w:pPr>
              <w:spacing w:line="240" w:lineRule="auto"/>
              <w:jc w:val="center"/>
              <w:rPr>
                <w:rFonts w:ascii="Times New Roman" w:hAnsi="Times New Roman"/>
                <w:sz w:val="18"/>
                <w:szCs w:val="18"/>
                <w:lang w:val="zh-CN"/>
              </w:rPr>
            </w:pPr>
            <w:r>
              <w:rPr>
                <w:rFonts w:ascii="Times New Roman" w:hAnsi="Times New Roman"/>
                <w:sz w:val="18"/>
                <w:szCs w:val="18"/>
                <w:lang w:val="zh-CN"/>
              </w:rPr>
              <w:t>160</w:t>
            </w:r>
          </w:p>
        </w:tc>
        <w:tc>
          <w:tcPr>
            <w:tcW w:w="1096" w:type="dxa"/>
            <w:tcBorders>
              <w:top w:val="single" w:color="000000" w:sz="4" w:space="0"/>
              <w:left w:val="single" w:color="000000" w:sz="4" w:space="0"/>
              <w:bottom w:val="single" w:color="000000" w:sz="4" w:space="0"/>
              <w:right w:val="single" w:color="000000" w:sz="4" w:space="0"/>
            </w:tcBorders>
            <w:vAlign w:val="center"/>
          </w:tcPr>
          <w:p w14:paraId="1AAE9B1B">
            <w:pPr>
              <w:spacing w:line="240" w:lineRule="auto"/>
              <w:jc w:val="center"/>
              <w:rPr>
                <w:rFonts w:ascii="Times New Roman" w:hAnsi="Times New Roman"/>
                <w:sz w:val="18"/>
                <w:szCs w:val="18"/>
                <w:lang w:val="zh-CN"/>
              </w:rPr>
            </w:pPr>
            <w:r>
              <w:rPr>
                <w:rFonts w:ascii="Times New Roman" w:hAnsi="Times New Roman"/>
                <w:sz w:val="18"/>
                <w:szCs w:val="18"/>
                <w:lang w:val="zh-CN"/>
              </w:rPr>
              <w:t>1060</w:t>
            </w:r>
          </w:p>
        </w:tc>
        <w:tc>
          <w:tcPr>
            <w:tcW w:w="966" w:type="dxa"/>
            <w:tcBorders>
              <w:top w:val="single" w:color="000000" w:sz="4" w:space="0"/>
              <w:left w:val="single" w:color="000000" w:sz="4" w:space="0"/>
              <w:bottom w:val="single" w:color="000000" w:sz="4" w:space="0"/>
              <w:right w:val="single" w:color="000000" w:sz="4" w:space="0"/>
            </w:tcBorders>
            <w:vAlign w:val="center"/>
          </w:tcPr>
          <w:p w14:paraId="6F37C45F">
            <w:pPr>
              <w:spacing w:line="240" w:lineRule="auto"/>
              <w:jc w:val="center"/>
              <w:rPr>
                <w:rFonts w:ascii="Times New Roman" w:hAnsi="Times New Roman"/>
                <w:sz w:val="18"/>
                <w:szCs w:val="18"/>
                <w:lang w:val="zh-CN"/>
              </w:rPr>
            </w:pPr>
            <w:r>
              <w:rPr>
                <w:rFonts w:ascii="Times New Roman" w:hAnsi="Times New Roman"/>
                <w:sz w:val="18"/>
                <w:szCs w:val="18"/>
                <w:lang w:val="zh-CN"/>
              </w:rPr>
              <w:t>850</w:t>
            </w:r>
          </w:p>
        </w:tc>
        <w:tc>
          <w:tcPr>
            <w:tcW w:w="894" w:type="dxa"/>
            <w:tcBorders>
              <w:top w:val="single" w:color="000000" w:sz="4" w:space="0"/>
              <w:left w:val="single" w:color="000000" w:sz="4" w:space="0"/>
              <w:bottom w:val="single" w:color="000000" w:sz="4" w:space="0"/>
              <w:right w:val="single" w:color="000000" w:sz="4" w:space="0"/>
            </w:tcBorders>
            <w:vAlign w:val="center"/>
          </w:tcPr>
          <w:p w14:paraId="44DEBE65">
            <w:pPr>
              <w:spacing w:line="240" w:lineRule="auto"/>
              <w:jc w:val="center"/>
              <w:rPr>
                <w:rFonts w:ascii="Times New Roman" w:hAnsi="Times New Roman"/>
                <w:sz w:val="18"/>
                <w:szCs w:val="18"/>
                <w:lang w:val="zh-CN"/>
              </w:rPr>
            </w:pPr>
            <w:r>
              <w:rPr>
                <w:rFonts w:ascii="Times New Roman" w:hAnsi="Times New Roman"/>
                <w:sz w:val="18"/>
                <w:szCs w:val="18"/>
                <w:lang w:val="zh-CN"/>
              </w:rPr>
              <w:t>6.5</w:t>
            </w:r>
          </w:p>
        </w:tc>
      </w:tr>
      <w:tr w14:paraId="0FB03283">
        <w:tblPrEx>
          <w:tblCellMar>
            <w:top w:w="0" w:type="dxa"/>
            <w:left w:w="108" w:type="dxa"/>
            <w:bottom w:w="0" w:type="dxa"/>
            <w:right w:w="108" w:type="dxa"/>
          </w:tblCellMar>
        </w:tblPrEx>
        <w:trPr>
          <w:trHeight w:val="454" w:hRule="atLeast"/>
        </w:trPr>
        <w:tc>
          <w:tcPr>
            <w:tcW w:w="954" w:type="dxa"/>
            <w:tcBorders>
              <w:top w:val="single" w:color="000000" w:sz="4" w:space="0"/>
              <w:left w:val="single" w:color="000000" w:sz="4" w:space="0"/>
              <w:bottom w:val="single" w:color="000000" w:sz="4" w:space="0"/>
              <w:right w:val="single" w:color="000000" w:sz="4" w:space="0"/>
            </w:tcBorders>
            <w:vAlign w:val="center"/>
          </w:tcPr>
          <w:p w14:paraId="24025BD9">
            <w:pPr>
              <w:spacing w:line="240" w:lineRule="auto"/>
              <w:jc w:val="center"/>
              <w:rPr>
                <w:rFonts w:ascii="Times New Roman" w:hAnsi="Times New Roman"/>
                <w:sz w:val="18"/>
                <w:szCs w:val="18"/>
                <w:lang w:val="zh-CN"/>
              </w:rPr>
            </w:pPr>
            <w:r>
              <w:rPr>
                <w:rFonts w:ascii="Times New Roman" w:hAnsi="Times New Roman"/>
                <w:sz w:val="18"/>
                <w:szCs w:val="18"/>
                <w:lang w:val="zh-CN"/>
              </w:rPr>
              <w:t>C30</w:t>
            </w:r>
          </w:p>
        </w:tc>
        <w:tc>
          <w:tcPr>
            <w:tcW w:w="1268" w:type="dxa"/>
            <w:tcBorders>
              <w:top w:val="single" w:color="000000" w:sz="4" w:space="0"/>
              <w:left w:val="single" w:color="000000" w:sz="4" w:space="0"/>
              <w:bottom w:val="single" w:color="000000" w:sz="4" w:space="0"/>
              <w:right w:val="single" w:color="000000" w:sz="4" w:space="0"/>
            </w:tcBorders>
            <w:vAlign w:val="center"/>
          </w:tcPr>
          <w:p w14:paraId="4B94C889">
            <w:pPr>
              <w:spacing w:line="240" w:lineRule="auto"/>
              <w:jc w:val="center"/>
              <w:rPr>
                <w:rFonts w:ascii="Times New Roman" w:hAnsi="Times New Roman"/>
                <w:sz w:val="18"/>
                <w:szCs w:val="18"/>
                <w:lang w:val="zh-CN"/>
              </w:rPr>
            </w:pPr>
            <w:r>
              <w:rPr>
                <w:rFonts w:ascii="Times New Roman" w:hAnsi="Times New Roman"/>
                <w:sz w:val="18"/>
                <w:szCs w:val="18"/>
                <w:lang w:val="zh-CN"/>
              </w:rPr>
              <w:t>140</w:t>
            </w:r>
          </w:p>
        </w:tc>
        <w:tc>
          <w:tcPr>
            <w:tcW w:w="1407" w:type="dxa"/>
            <w:tcBorders>
              <w:top w:val="single" w:color="000000" w:sz="4" w:space="0"/>
              <w:left w:val="single" w:color="000000" w:sz="4" w:space="0"/>
              <w:bottom w:val="single" w:color="000000" w:sz="4" w:space="0"/>
              <w:right w:val="single" w:color="000000" w:sz="4" w:space="0"/>
            </w:tcBorders>
            <w:vAlign w:val="center"/>
          </w:tcPr>
          <w:p w14:paraId="20705633">
            <w:pPr>
              <w:spacing w:line="240" w:lineRule="auto"/>
              <w:jc w:val="center"/>
              <w:rPr>
                <w:rFonts w:ascii="Times New Roman" w:hAnsi="Times New Roman"/>
                <w:sz w:val="18"/>
                <w:szCs w:val="18"/>
                <w:lang w:val="zh-CN"/>
              </w:rPr>
            </w:pPr>
            <w:r>
              <w:rPr>
                <w:rFonts w:ascii="Times New Roman" w:hAnsi="Times New Roman"/>
                <w:sz w:val="18"/>
                <w:szCs w:val="18"/>
                <w:lang w:val="zh-CN"/>
              </w:rPr>
              <w:t>70</w:t>
            </w:r>
          </w:p>
        </w:tc>
        <w:tc>
          <w:tcPr>
            <w:tcW w:w="986" w:type="dxa"/>
            <w:tcBorders>
              <w:top w:val="single" w:color="000000" w:sz="4" w:space="0"/>
              <w:left w:val="single" w:color="000000" w:sz="4" w:space="0"/>
              <w:bottom w:val="single" w:color="000000" w:sz="4" w:space="0"/>
              <w:right w:val="single" w:color="000000" w:sz="4" w:space="0"/>
            </w:tcBorders>
            <w:vAlign w:val="center"/>
          </w:tcPr>
          <w:p w14:paraId="1D61CFF8">
            <w:pPr>
              <w:spacing w:line="240" w:lineRule="auto"/>
              <w:jc w:val="center"/>
              <w:rPr>
                <w:rFonts w:ascii="Times New Roman" w:hAnsi="Times New Roman"/>
                <w:sz w:val="18"/>
                <w:szCs w:val="18"/>
                <w:lang w:val="zh-CN"/>
              </w:rPr>
            </w:pPr>
            <w:r>
              <w:rPr>
                <w:rFonts w:ascii="Times New Roman" w:hAnsi="Times New Roman"/>
                <w:sz w:val="18"/>
                <w:szCs w:val="18"/>
                <w:lang w:val="zh-CN"/>
              </w:rPr>
              <w:t>70</w:t>
            </w:r>
          </w:p>
        </w:tc>
        <w:tc>
          <w:tcPr>
            <w:tcW w:w="932" w:type="dxa"/>
            <w:tcBorders>
              <w:top w:val="single" w:color="000000" w:sz="4" w:space="0"/>
              <w:left w:val="single" w:color="000000" w:sz="4" w:space="0"/>
              <w:bottom w:val="single" w:color="000000" w:sz="4" w:space="0"/>
              <w:right w:val="single" w:color="000000" w:sz="4" w:space="0"/>
            </w:tcBorders>
            <w:vAlign w:val="center"/>
          </w:tcPr>
          <w:p w14:paraId="1D3C755A">
            <w:pPr>
              <w:spacing w:line="240" w:lineRule="auto"/>
              <w:jc w:val="center"/>
              <w:rPr>
                <w:rFonts w:ascii="Times New Roman" w:hAnsi="Times New Roman"/>
                <w:sz w:val="18"/>
                <w:szCs w:val="18"/>
                <w:lang w:val="zh-CN"/>
              </w:rPr>
            </w:pPr>
            <w:r>
              <w:rPr>
                <w:rFonts w:ascii="Times New Roman" w:hAnsi="Times New Roman"/>
                <w:sz w:val="18"/>
                <w:szCs w:val="18"/>
                <w:lang w:val="zh-CN"/>
              </w:rPr>
              <w:t>60</w:t>
            </w:r>
          </w:p>
        </w:tc>
        <w:tc>
          <w:tcPr>
            <w:tcW w:w="1068" w:type="dxa"/>
            <w:tcBorders>
              <w:top w:val="single" w:color="000000" w:sz="4" w:space="0"/>
              <w:left w:val="single" w:color="000000" w:sz="4" w:space="0"/>
              <w:bottom w:val="single" w:color="000000" w:sz="4" w:space="0"/>
              <w:right w:val="single" w:color="000000" w:sz="4" w:space="0"/>
            </w:tcBorders>
            <w:vAlign w:val="center"/>
          </w:tcPr>
          <w:p w14:paraId="3B704561">
            <w:pPr>
              <w:spacing w:line="240" w:lineRule="auto"/>
              <w:jc w:val="center"/>
              <w:rPr>
                <w:rFonts w:ascii="Times New Roman" w:hAnsi="Times New Roman"/>
                <w:sz w:val="18"/>
                <w:szCs w:val="18"/>
                <w:lang w:val="zh-CN"/>
              </w:rPr>
            </w:pPr>
            <w:r>
              <w:rPr>
                <w:rFonts w:ascii="Times New Roman" w:hAnsi="Times New Roman"/>
                <w:sz w:val="18"/>
                <w:szCs w:val="18"/>
                <w:lang w:val="zh-CN"/>
              </w:rPr>
              <w:t>160</w:t>
            </w:r>
          </w:p>
        </w:tc>
        <w:tc>
          <w:tcPr>
            <w:tcW w:w="1096" w:type="dxa"/>
            <w:tcBorders>
              <w:top w:val="single" w:color="000000" w:sz="4" w:space="0"/>
              <w:left w:val="single" w:color="000000" w:sz="4" w:space="0"/>
              <w:bottom w:val="single" w:color="000000" w:sz="4" w:space="0"/>
              <w:right w:val="single" w:color="000000" w:sz="4" w:space="0"/>
            </w:tcBorders>
            <w:vAlign w:val="center"/>
          </w:tcPr>
          <w:p w14:paraId="5C34F573">
            <w:pPr>
              <w:spacing w:line="240" w:lineRule="auto"/>
              <w:jc w:val="center"/>
              <w:rPr>
                <w:rFonts w:ascii="Times New Roman" w:hAnsi="Times New Roman"/>
                <w:sz w:val="18"/>
                <w:szCs w:val="18"/>
                <w:lang w:val="zh-CN"/>
              </w:rPr>
            </w:pPr>
            <w:r>
              <w:rPr>
                <w:rFonts w:ascii="Times New Roman" w:hAnsi="Times New Roman"/>
                <w:sz w:val="18"/>
                <w:szCs w:val="18"/>
                <w:lang w:val="zh-CN"/>
              </w:rPr>
              <w:t>1060</w:t>
            </w:r>
          </w:p>
        </w:tc>
        <w:tc>
          <w:tcPr>
            <w:tcW w:w="966" w:type="dxa"/>
            <w:tcBorders>
              <w:top w:val="single" w:color="000000" w:sz="4" w:space="0"/>
              <w:left w:val="single" w:color="000000" w:sz="4" w:space="0"/>
              <w:bottom w:val="single" w:color="000000" w:sz="4" w:space="0"/>
              <w:right w:val="single" w:color="000000" w:sz="4" w:space="0"/>
            </w:tcBorders>
            <w:vAlign w:val="center"/>
          </w:tcPr>
          <w:p w14:paraId="50403E8B">
            <w:pPr>
              <w:spacing w:line="240" w:lineRule="auto"/>
              <w:jc w:val="center"/>
              <w:rPr>
                <w:rFonts w:ascii="Times New Roman" w:hAnsi="Times New Roman"/>
                <w:sz w:val="18"/>
                <w:szCs w:val="18"/>
                <w:lang w:val="zh-CN"/>
              </w:rPr>
            </w:pPr>
            <w:r>
              <w:rPr>
                <w:rFonts w:ascii="Times New Roman" w:hAnsi="Times New Roman"/>
                <w:sz w:val="18"/>
                <w:szCs w:val="18"/>
                <w:lang w:val="zh-CN"/>
              </w:rPr>
              <w:t>840</w:t>
            </w:r>
          </w:p>
        </w:tc>
        <w:tc>
          <w:tcPr>
            <w:tcW w:w="894" w:type="dxa"/>
            <w:tcBorders>
              <w:top w:val="single" w:color="000000" w:sz="4" w:space="0"/>
              <w:left w:val="single" w:color="000000" w:sz="4" w:space="0"/>
              <w:bottom w:val="single" w:color="000000" w:sz="4" w:space="0"/>
              <w:right w:val="single" w:color="000000" w:sz="4" w:space="0"/>
            </w:tcBorders>
            <w:vAlign w:val="center"/>
          </w:tcPr>
          <w:p w14:paraId="0875632E">
            <w:pPr>
              <w:spacing w:line="240" w:lineRule="auto"/>
              <w:jc w:val="center"/>
              <w:rPr>
                <w:rFonts w:ascii="Times New Roman" w:hAnsi="Times New Roman"/>
                <w:sz w:val="18"/>
                <w:szCs w:val="18"/>
                <w:lang w:val="zh-CN"/>
              </w:rPr>
            </w:pPr>
            <w:r>
              <w:rPr>
                <w:rFonts w:ascii="Times New Roman" w:hAnsi="Times New Roman"/>
                <w:sz w:val="18"/>
                <w:szCs w:val="18"/>
                <w:lang w:val="zh-CN"/>
              </w:rPr>
              <w:t>6.8</w:t>
            </w:r>
          </w:p>
        </w:tc>
      </w:tr>
      <w:tr w14:paraId="08E9343E">
        <w:tblPrEx>
          <w:tblCellMar>
            <w:top w:w="0" w:type="dxa"/>
            <w:left w:w="108" w:type="dxa"/>
            <w:bottom w:w="0" w:type="dxa"/>
            <w:right w:w="108" w:type="dxa"/>
          </w:tblCellMar>
        </w:tblPrEx>
        <w:trPr>
          <w:trHeight w:val="454" w:hRule="atLeast"/>
        </w:trPr>
        <w:tc>
          <w:tcPr>
            <w:tcW w:w="954" w:type="dxa"/>
            <w:tcBorders>
              <w:top w:val="single" w:color="000000" w:sz="4" w:space="0"/>
              <w:left w:val="single" w:color="000000" w:sz="4" w:space="0"/>
              <w:bottom w:val="single" w:color="000000" w:sz="4" w:space="0"/>
              <w:right w:val="single" w:color="000000" w:sz="4" w:space="0"/>
            </w:tcBorders>
            <w:vAlign w:val="center"/>
          </w:tcPr>
          <w:p w14:paraId="252CF59A">
            <w:pPr>
              <w:spacing w:line="240" w:lineRule="auto"/>
              <w:jc w:val="center"/>
              <w:rPr>
                <w:rFonts w:ascii="Times New Roman" w:hAnsi="Times New Roman"/>
                <w:sz w:val="18"/>
                <w:szCs w:val="18"/>
                <w:lang w:val="zh-CN"/>
              </w:rPr>
            </w:pPr>
            <w:r>
              <w:rPr>
                <w:rFonts w:ascii="Times New Roman" w:hAnsi="Times New Roman"/>
                <w:sz w:val="18"/>
                <w:szCs w:val="18"/>
                <w:lang w:val="zh-CN"/>
              </w:rPr>
              <w:t>C35</w:t>
            </w:r>
          </w:p>
        </w:tc>
        <w:tc>
          <w:tcPr>
            <w:tcW w:w="1268" w:type="dxa"/>
            <w:tcBorders>
              <w:top w:val="single" w:color="000000" w:sz="4" w:space="0"/>
              <w:left w:val="single" w:color="000000" w:sz="4" w:space="0"/>
              <w:bottom w:val="single" w:color="000000" w:sz="4" w:space="0"/>
              <w:right w:val="single" w:color="000000" w:sz="4" w:space="0"/>
            </w:tcBorders>
            <w:vAlign w:val="center"/>
          </w:tcPr>
          <w:p w14:paraId="518195B8">
            <w:pPr>
              <w:spacing w:line="240" w:lineRule="auto"/>
              <w:jc w:val="center"/>
              <w:rPr>
                <w:rFonts w:ascii="Times New Roman" w:hAnsi="Times New Roman"/>
                <w:sz w:val="18"/>
                <w:szCs w:val="18"/>
                <w:lang w:val="zh-CN"/>
              </w:rPr>
            </w:pPr>
            <w:r>
              <w:rPr>
                <w:rFonts w:ascii="Times New Roman" w:hAnsi="Times New Roman"/>
                <w:sz w:val="18"/>
                <w:szCs w:val="18"/>
                <w:lang w:val="zh-CN"/>
              </w:rPr>
              <w:t>160</w:t>
            </w:r>
          </w:p>
        </w:tc>
        <w:tc>
          <w:tcPr>
            <w:tcW w:w="1407" w:type="dxa"/>
            <w:tcBorders>
              <w:top w:val="single" w:color="000000" w:sz="4" w:space="0"/>
              <w:left w:val="single" w:color="000000" w:sz="4" w:space="0"/>
              <w:bottom w:val="single" w:color="000000" w:sz="4" w:space="0"/>
              <w:right w:val="single" w:color="000000" w:sz="4" w:space="0"/>
            </w:tcBorders>
            <w:vAlign w:val="center"/>
          </w:tcPr>
          <w:p w14:paraId="3D90DDA5">
            <w:pPr>
              <w:spacing w:line="240" w:lineRule="auto"/>
              <w:jc w:val="center"/>
              <w:rPr>
                <w:rFonts w:ascii="Times New Roman" w:hAnsi="Times New Roman"/>
                <w:sz w:val="18"/>
                <w:szCs w:val="18"/>
                <w:lang w:val="zh-CN"/>
              </w:rPr>
            </w:pPr>
            <w:r>
              <w:rPr>
                <w:rFonts w:ascii="Times New Roman" w:hAnsi="Times New Roman"/>
                <w:sz w:val="18"/>
                <w:szCs w:val="18"/>
                <w:lang w:val="zh-CN"/>
              </w:rPr>
              <w:t>75</w:t>
            </w:r>
          </w:p>
        </w:tc>
        <w:tc>
          <w:tcPr>
            <w:tcW w:w="986" w:type="dxa"/>
            <w:tcBorders>
              <w:top w:val="single" w:color="000000" w:sz="4" w:space="0"/>
              <w:left w:val="single" w:color="000000" w:sz="4" w:space="0"/>
              <w:bottom w:val="single" w:color="000000" w:sz="4" w:space="0"/>
              <w:right w:val="single" w:color="000000" w:sz="4" w:space="0"/>
            </w:tcBorders>
            <w:vAlign w:val="center"/>
          </w:tcPr>
          <w:p w14:paraId="1E585F5F">
            <w:pPr>
              <w:spacing w:line="240" w:lineRule="auto"/>
              <w:jc w:val="center"/>
              <w:rPr>
                <w:rFonts w:ascii="Times New Roman" w:hAnsi="Times New Roman"/>
                <w:sz w:val="18"/>
                <w:szCs w:val="18"/>
                <w:lang w:val="zh-CN"/>
              </w:rPr>
            </w:pPr>
            <w:r>
              <w:rPr>
                <w:rFonts w:ascii="Times New Roman" w:hAnsi="Times New Roman"/>
                <w:sz w:val="18"/>
                <w:szCs w:val="18"/>
                <w:lang w:val="zh-CN"/>
              </w:rPr>
              <w:t>75</w:t>
            </w:r>
          </w:p>
        </w:tc>
        <w:tc>
          <w:tcPr>
            <w:tcW w:w="932" w:type="dxa"/>
            <w:tcBorders>
              <w:top w:val="single" w:color="000000" w:sz="4" w:space="0"/>
              <w:left w:val="single" w:color="000000" w:sz="4" w:space="0"/>
              <w:bottom w:val="single" w:color="000000" w:sz="4" w:space="0"/>
              <w:right w:val="single" w:color="000000" w:sz="4" w:space="0"/>
            </w:tcBorders>
            <w:vAlign w:val="center"/>
          </w:tcPr>
          <w:p w14:paraId="0ECE7C8B">
            <w:pPr>
              <w:spacing w:line="240" w:lineRule="auto"/>
              <w:jc w:val="center"/>
              <w:rPr>
                <w:rFonts w:ascii="Times New Roman" w:hAnsi="Times New Roman"/>
                <w:sz w:val="18"/>
                <w:szCs w:val="18"/>
                <w:lang w:val="zh-CN"/>
              </w:rPr>
            </w:pPr>
            <w:r>
              <w:rPr>
                <w:rFonts w:ascii="Times New Roman" w:hAnsi="Times New Roman"/>
                <w:sz w:val="18"/>
                <w:szCs w:val="18"/>
                <w:lang w:val="zh-CN"/>
              </w:rPr>
              <w:t>70</w:t>
            </w:r>
          </w:p>
        </w:tc>
        <w:tc>
          <w:tcPr>
            <w:tcW w:w="1068" w:type="dxa"/>
            <w:tcBorders>
              <w:top w:val="single" w:color="000000" w:sz="4" w:space="0"/>
              <w:left w:val="single" w:color="000000" w:sz="4" w:space="0"/>
              <w:bottom w:val="single" w:color="000000" w:sz="4" w:space="0"/>
              <w:right w:val="single" w:color="000000" w:sz="4" w:space="0"/>
            </w:tcBorders>
            <w:vAlign w:val="center"/>
          </w:tcPr>
          <w:p w14:paraId="3CCFF3CD">
            <w:pPr>
              <w:spacing w:line="240" w:lineRule="auto"/>
              <w:jc w:val="center"/>
              <w:rPr>
                <w:rFonts w:ascii="Times New Roman" w:hAnsi="Times New Roman"/>
                <w:sz w:val="18"/>
                <w:szCs w:val="18"/>
                <w:lang w:val="zh-CN"/>
              </w:rPr>
            </w:pPr>
            <w:r>
              <w:rPr>
                <w:rFonts w:ascii="Times New Roman" w:hAnsi="Times New Roman"/>
                <w:sz w:val="18"/>
                <w:szCs w:val="18"/>
                <w:lang w:val="zh-CN"/>
              </w:rPr>
              <w:t>160</w:t>
            </w:r>
          </w:p>
        </w:tc>
        <w:tc>
          <w:tcPr>
            <w:tcW w:w="1096" w:type="dxa"/>
            <w:tcBorders>
              <w:top w:val="single" w:color="000000" w:sz="4" w:space="0"/>
              <w:left w:val="single" w:color="000000" w:sz="4" w:space="0"/>
              <w:bottom w:val="single" w:color="000000" w:sz="4" w:space="0"/>
              <w:right w:val="single" w:color="000000" w:sz="4" w:space="0"/>
            </w:tcBorders>
            <w:vAlign w:val="center"/>
          </w:tcPr>
          <w:p w14:paraId="7F0D1F3B">
            <w:pPr>
              <w:spacing w:line="240" w:lineRule="auto"/>
              <w:jc w:val="center"/>
              <w:rPr>
                <w:rFonts w:ascii="Times New Roman" w:hAnsi="Times New Roman"/>
                <w:sz w:val="18"/>
                <w:szCs w:val="18"/>
                <w:lang w:val="zh-CN"/>
              </w:rPr>
            </w:pPr>
            <w:r>
              <w:rPr>
                <w:rFonts w:ascii="Times New Roman" w:hAnsi="Times New Roman"/>
                <w:sz w:val="18"/>
                <w:szCs w:val="18"/>
                <w:lang w:val="zh-CN"/>
              </w:rPr>
              <w:t>1050</w:t>
            </w:r>
          </w:p>
        </w:tc>
        <w:tc>
          <w:tcPr>
            <w:tcW w:w="966" w:type="dxa"/>
            <w:tcBorders>
              <w:top w:val="single" w:color="000000" w:sz="4" w:space="0"/>
              <w:left w:val="single" w:color="000000" w:sz="4" w:space="0"/>
              <w:bottom w:val="single" w:color="000000" w:sz="4" w:space="0"/>
              <w:right w:val="single" w:color="000000" w:sz="4" w:space="0"/>
            </w:tcBorders>
            <w:vAlign w:val="center"/>
          </w:tcPr>
          <w:p w14:paraId="0B888877">
            <w:pPr>
              <w:spacing w:line="240" w:lineRule="auto"/>
              <w:jc w:val="center"/>
              <w:rPr>
                <w:rFonts w:ascii="Times New Roman" w:hAnsi="Times New Roman"/>
                <w:sz w:val="18"/>
                <w:szCs w:val="18"/>
                <w:lang w:val="zh-CN"/>
              </w:rPr>
            </w:pPr>
            <w:r>
              <w:rPr>
                <w:rFonts w:ascii="Times New Roman" w:hAnsi="Times New Roman"/>
                <w:sz w:val="18"/>
                <w:szCs w:val="18"/>
                <w:lang w:val="zh-CN"/>
              </w:rPr>
              <w:t>820</w:t>
            </w:r>
          </w:p>
        </w:tc>
        <w:tc>
          <w:tcPr>
            <w:tcW w:w="894" w:type="dxa"/>
            <w:tcBorders>
              <w:top w:val="single" w:color="000000" w:sz="4" w:space="0"/>
              <w:left w:val="single" w:color="000000" w:sz="4" w:space="0"/>
              <w:bottom w:val="single" w:color="000000" w:sz="4" w:space="0"/>
              <w:right w:val="single" w:color="000000" w:sz="4" w:space="0"/>
            </w:tcBorders>
            <w:vAlign w:val="center"/>
          </w:tcPr>
          <w:p w14:paraId="0A13330D">
            <w:pPr>
              <w:spacing w:line="240" w:lineRule="auto"/>
              <w:jc w:val="center"/>
              <w:rPr>
                <w:rFonts w:ascii="Times New Roman" w:hAnsi="Times New Roman"/>
                <w:sz w:val="18"/>
                <w:szCs w:val="18"/>
                <w:lang w:val="zh-CN"/>
              </w:rPr>
            </w:pPr>
            <w:r>
              <w:rPr>
                <w:rFonts w:ascii="Times New Roman" w:hAnsi="Times New Roman"/>
                <w:sz w:val="18"/>
                <w:szCs w:val="18"/>
                <w:lang w:val="zh-CN"/>
              </w:rPr>
              <w:t>7.6</w:t>
            </w:r>
          </w:p>
        </w:tc>
      </w:tr>
      <w:tr w14:paraId="4B00A075">
        <w:tblPrEx>
          <w:tblCellMar>
            <w:top w:w="0" w:type="dxa"/>
            <w:left w:w="108" w:type="dxa"/>
            <w:bottom w:w="0" w:type="dxa"/>
            <w:right w:w="108" w:type="dxa"/>
          </w:tblCellMar>
        </w:tblPrEx>
        <w:trPr>
          <w:trHeight w:val="454" w:hRule="atLeast"/>
        </w:trPr>
        <w:tc>
          <w:tcPr>
            <w:tcW w:w="954" w:type="dxa"/>
            <w:tcBorders>
              <w:top w:val="single" w:color="000000" w:sz="4" w:space="0"/>
              <w:left w:val="single" w:color="000000" w:sz="4" w:space="0"/>
              <w:bottom w:val="single" w:color="000000" w:sz="4" w:space="0"/>
              <w:right w:val="single" w:color="000000" w:sz="4" w:space="0"/>
            </w:tcBorders>
            <w:vAlign w:val="center"/>
          </w:tcPr>
          <w:p w14:paraId="3EDFD9F0">
            <w:pPr>
              <w:spacing w:line="240" w:lineRule="auto"/>
              <w:jc w:val="center"/>
              <w:rPr>
                <w:rFonts w:ascii="Times New Roman" w:hAnsi="Times New Roman"/>
                <w:sz w:val="18"/>
                <w:szCs w:val="18"/>
                <w:lang w:val="zh-CN"/>
              </w:rPr>
            </w:pPr>
            <w:r>
              <w:rPr>
                <w:rFonts w:ascii="Times New Roman" w:hAnsi="Times New Roman"/>
                <w:sz w:val="18"/>
                <w:szCs w:val="18"/>
                <w:lang w:val="zh-CN"/>
              </w:rPr>
              <w:t>C40</w:t>
            </w:r>
          </w:p>
        </w:tc>
        <w:tc>
          <w:tcPr>
            <w:tcW w:w="1268" w:type="dxa"/>
            <w:tcBorders>
              <w:top w:val="single" w:color="000000" w:sz="4" w:space="0"/>
              <w:left w:val="single" w:color="000000" w:sz="4" w:space="0"/>
              <w:bottom w:val="single" w:color="000000" w:sz="4" w:space="0"/>
              <w:right w:val="single" w:color="000000" w:sz="4" w:space="0"/>
            </w:tcBorders>
            <w:vAlign w:val="center"/>
          </w:tcPr>
          <w:p w14:paraId="69281CC0">
            <w:pPr>
              <w:spacing w:line="240" w:lineRule="auto"/>
              <w:jc w:val="center"/>
              <w:rPr>
                <w:rFonts w:ascii="Times New Roman" w:hAnsi="Times New Roman"/>
                <w:sz w:val="18"/>
                <w:szCs w:val="18"/>
                <w:lang w:val="zh-CN"/>
              </w:rPr>
            </w:pPr>
            <w:r>
              <w:rPr>
                <w:rFonts w:ascii="Times New Roman" w:hAnsi="Times New Roman"/>
                <w:sz w:val="18"/>
                <w:szCs w:val="18"/>
                <w:lang w:val="zh-CN"/>
              </w:rPr>
              <w:t>190</w:t>
            </w:r>
          </w:p>
        </w:tc>
        <w:tc>
          <w:tcPr>
            <w:tcW w:w="1407" w:type="dxa"/>
            <w:tcBorders>
              <w:top w:val="single" w:color="000000" w:sz="4" w:space="0"/>
              <w:left w:val="single" w:color="000000" w:sz="4" w:space="0"/>
              <w:bottom w:val="single" w:color="000000" w:sz="4" w:space="0"/>
              <w:right w:val="single" w:color="000000" w:sz="4" w:space="0"/>
            </w:tcBorders>
            <w:vAlign w:val="center"/>
          </w:tcPr>
          <w:p w14:paraId="0B0774CA">
            <w:pPr>
              <w:spacing w:line="240" w:lineRule="auto"/>
              <w:jc w:val="center"/>
              <w:rPr>
                <w:rFonts w:ascii="Times New Roman" w:hAnsi="Times New Roman"/>
                <w:sz w:val="18"/>
                <w:szCs w:val="18"/>
                <w:lang w:val="zh-CN"/>
              </w:rPr>
            </w:pPr>
            <w:r>
              <w:rPr>
                <w:rFonts w:ascii="Times New Roman" w:hAnsi="Times New Roman"/>
                <w:sz w:val="18"/>
                <w:szCs w:val="18"/>
                <w:lang w:val="zh-CN"/>
              </w:rPr>
              <w:t>70</w:t>
            </w:r>
          </w:p>
        </w:tc>
        <w:tc>
          <w:tcPr>
            <w:tcW w:w="986" w:type="dxa"/>
            <w:tcBorders>
              <w:top w:val="single" w:color="000000" w:sz="4" w:space="0"/>
              <w:left w:val="single" w:color="000000" w:sz="4" w:space="0"/>
              <w:bottom w:val="single" w:color="000000" w:sz="4" w:space="0"/>
              <w:right w:val="single" w:color="000000" w:sz="4" w:space="0"/>
            </w:tcBorders>
            <w:vAlign w:val="center"/>
          </w:tcPr>
          <w:p w14:paraId="70A1A43D">
            <w:pPr>
              <w:spacing w:line="240" w:lineRule="auto"/>
              <w:jc w:val="center"/>
              <w:rPr>
                <w:rFonts w:ascii="Times New Roman" w:hAnsi="Times New Roman"/>
                <w:sz w:val="18"/>
                <w:szCs w:val="18"/>
                <w:lang w:val="zh-CN"/>
              </w:rPr>
            </w:pPr>
            <w:r>
              <w:rPr>
                <w:rFonts w:ascii="Times New Roman" w:hAnsi="Times New Roman"/>
                <w:sz w:val="18"/>
                <w:szCs w:val="18"/>
                <w:lang w:val="zh-CN"/>
              </w:rPr>
              <w:t>70</w:t>
            </w:r>
          </w:p>
        </w:tc>
        <w:tc>
          <w:tcPr>
            <w:tcW w:w="932" w:type="dxa"/>
            <w:tcBorders>
              <w:top w:val="single" w:color="000000" w:sz="4" w:space="0"/>
              <w:left w:val="single" w:color="000000" w:sz="4" w:space="0"/>
              <w:bottom w:val="single" w:color="000000" w:sz="4" w:space="0"/>
              <w:right w:val="single" w:color="000000" w:sz="4" w:space="0"/>
            </w:tcBorders>
            <w:vAlign w:val="center"/>
          </w:tcPr>
          <w:p w14:paraId="0C6DC86C">
            <w:pPr>
              <w:spacing w:line="240" w:lineRule="auto"/>
              <w:jc w:val="center"/>
              <w:rPr>
                <w:rFonts w:ascii="Times New Roman" w:hAnsi="Times New Roman"/>
                <w:sz w:val="18"/>
                <w:szCs w:val="18"/>
                <w:lang w:val="zh-CN"/>
              </w:rPr>
            </w:pPr>
            <w:r>
              <w:rPr>
                <w:rFonts w:ascii="Times New Roman" w:hAnsi="Times New Roman"/>
                <w:sz w:val="18"/>
                <w:szCs w:val="18"/>
                <w:lang w:val="zh-CN"/>
              </w:rPr>
              <w:t>70</w:t>
            </w:r>
          </w:p>
        </w:tc>
        <w:tc>
          <w:tcPr>
            <w:tcW w:w="1068" w:type="dxa"/>
            <w:tcBorders>
              <w:top w:val="single" w:color="000000" w:sz="4" w:space="0"/>
              <w:left w:val="single" w:color="000000" w:sz="4" w:space="0"/>
              <w:bottom w:val="single" w:color="000000" w:sz="4" w:space="0"/>
              <w:right w:val="single" w:color="000000" w:sz="4" w:space="0"/>
            </w:tcBorders>
            <w:vAlign w:val="center"/>
          </w:tcPr>
          <w:p w14:paraId="48AE4DE0">
            <w:pPr>
              <w:spacing w:line="240" w:lineRule="auto"/>
              <w:jc w:val="center"/>
              <w:rPr>
                <w:rFonts w:ascii="Times New Roman" w:hAnsi="Times New Roman"/>
                <w:sz w:val="18"/>
                <w:szCs w:val="18"/>
                <w:lang w:val="zh-CN"/>
              </w:rPr>
            </w:pPr>
            <w:r>
              <w:rPr>
                <w:rFonts w:ascii="Times New Roman" w:hAnsi="Times New Roman"/>
                <w:sz w:val="18"/>
                <w:szCs w:val="18"/>
                <w:lang w:val="zh-CN"/>
              </w:rPr>
              <w:t>155</w:t>
            </w:r>
          </w:p>
        </w:tc>
        <w:tc>
          <w:tcPr>
            <w:tcW w:w="1096" w:type="dxa"/>
            <w:tcBorders>
              <w:top w:val="single" w:color="000000" w:sz="4" w:space="0"/>
              <w:left w:val="single" w:color="000000" w:sz="4" w:space="0"/>
              <w:bottom w:val="single" w:color="000000" w:sz="4" w:space="0"/>
              <w:right w:val="single" w:color="000000" w:sz="4" w:space="0"/>
            </w:tcBorders>
            <w:vAlign w:val="center"/>
          </w:tcPr>
          <w:p w14:paraId="35CBB1B4">
            <w:pPr>
              <w:spacing w:line="240" w:lineRule="auto"/>
              <w:jc w:val="center"/>
              <w:rPr>
                <w:rFonts w:ascii="Times New Roman" w:hAnsi="Times New Roman"/>
                <w:sz w:val="18"/>
                <w:szCs w:val="18"/>
                <w:lang w:val="zh-CN"/>
              </w:rPr>
            </w:pPr>
            <w:r>
              <w:rPr>
                <w:rFonts w:ascii="Times New Roman" w:hAnsi="Times New Roman"/>
                <w:sz w:val="18"/>
                <w:szCs w:val="18"/>
                <w:lang w:val="zh-CN"/>
              </w:rPr>
              <w:t>1030</w:t>
            </w:r>
          </w:p>
        </w:tc>
        <w:tc>
          <w:tcPr>
            <w:tcW w:w="966" w:type="dxa"/>
            <w:tcBorders>
              <w:top w:val="single" w:color="000000" w:sz="4" w:space="0"/>
              <w:left w:val="single" w:color="000000" w:sz="4" w:space="0"/>
              <w:bottom w:val="single" w:color="000000" w:sz="4" w:space="0"/>
              <w:right w:val="single" w:color="000000" w:sz="4" w:space="0"/>
            </w:tcBorders>
            <w:vAlign w:val="center"/>
          </w:tcPr>
          <w:p w14:paraId="06AA97F3">
            <w:pPr>
              <w:spacing w:line="240" w:lineRule="auto"/>
              <w:jc w:val="center"/>
              <w:rPr>
                <w:rFonts w:ascii="Times New Roman" w:hAnsi="Times New Roman"/>
                <w:sz w:val="18"/>
                <w:szCs w:val="18"/>
                <w:lang w:val="zh-CN"/>
              </w:rPr>
            </w:pPr>
            <w:r>
              <w:rPr>
                <w:rFonts w:ascii="Times New Roman" w:hAnsi="Times New Roman"/>
                <w:sz w:val="18"/>
                <w:szCs w:val="18"/>
                <w:lang w:val="zh-CN"/>
              </w:rPr>
              <w:t>820</w:t>
            </w:r>
          </w:p>
        </w:tc>
        <w:tc>
          <w:tcPr>
            <w:tcW w:w="894" w:type="dxa"/>
            <w:tcBorders>
              <w:top w:val="single" w:color="000000" w:sz="4" w:space="0"/>
              <w:left w:val="single" w:color="000000" w:sz="4" w:space="0"/>
              <w:bottom w:val="single" w:color="000000" w:sz="4" w:space="0"/>
              <w:right w:val="single" w:color="000000" w:sz="4" w:space="0"/>
            </w:tcBorders>
            <w:vAlign w:val="center"/>
          </w:tcPr>
          <w:p w14:paraId="49F8A2A2">
            <w:pPr>
              <w:spacing w:line="240" w:lineRule="auto"/>
              <w:jc w:val="center"/>
              <w:rPr>
                <w:rFonts w:ascii="Times New Roman" w:hAnsi="Times New Roman"/>
                <w:sz w:val="18"/>
                <w:szCs w:val="18"/>
                <w:lang w:val="zh-CN"/>
              </w:rPr>
            </w:pPr>
            <w:r>
              <w:rPr>
                <w:rFonts w:ascii="Times New Roman" w:hAnsi="Times New Roman"/>
                <w:sz w:val="18"/>
                <w:szCs w:val="18"/>
                <w:lang w:val="zh-CN"/>
              </w:rPr>
              <w:t>8.2</w:t>
            </w:r>
          </w:p>
        </w:tc>
      </w:tr>
      <w:tr w14:paraId="1541DBFB">
        <w:tblPrEx>
          <w:tblCellMar>
            <w:top w:w="0" w:type="dxa"/>
            <w:left w:w="108" w:type="dxa"/>
            <w:bottom w:w="0" w:type="dxa"/>
            <w:right w:w="108" w:type="dxa"/>
          </w:tblCellMar>
        </w:tblPrEx>
        <w:trPr>
          <w:trHeight w:val="454" w:hRule="atLeast"/>
        </w:trPr>
        <w:tc>
          <w:tcPr>
            <w:tcW w:w="954" w:type="dxa"/>
            <w:tcBorders>
              <w:top w:val="single" w:color="000000" w:sz="4" w:space="0"/>
              <w:left w:val="single" w:color="000000" w:sz="4" w:space="0"/>
              <w:bottom w:val="single" w:color="000000" w:sz="4" w:space="0"/>
              <w:right w:val="single" w:color="000000" w:sz="4" w:space="0"/>
            </w:tcBorders>
            <w:vAlign w:val="center"/>
          </w:tcPr>
          <w:p w14:paraId="13798B58">
            <w:pPr>
              <w:spacing w:line="240" w:lineRule="auto"/>
              <w:jc w:val="center"/>
              <w:rPr>
                <w:rFonts w:ascii="Times New Roman" w:hAnsi="Times New Roman"/>
                <w:sz w:val="18"/>
                <w:szCs w:val="18"/>
                <w:lang w:val="zh-CN"/>
              </w:rPr>
            </w:pPr>
            <w:r>
              <w:rPr>
                <w:rFonts w:ascii="Times New Roman" w:hAnsi="Times New Roman"/>
                <w:sz w:val="18"/>
                <w:szCs w:val="18"/>
                <w:lang w:val="zh-CN"/>
              </w:rPr>
              <w:t>C45</w:t>
            </w:r>
          </w:p>
        </w:tc>
        <w:tc>
          <w:tcPr>
            <w:tcW w:w="1268" w:type="dxa"/>
            <w:tcBorders>
              <w:top w:val="single" w:color="000000" w:sz="4" w:space="0"/>
              <w:left w:val="single" w:color="000000" w:sz="4" w:space="0"/>
              <w:bottom w:val="single" w:color="000000" w:sz="4" w:space="0"/>
              <w:right w:val="single" w:color="000000" w:sz="4" w:space="0"/>
            </w:tcBorders>
            <w:vAlign w:val="center"/>
          </w:tcPr>
          <w:p w14:paraId="14FB3713">
            <w:pPr>
              <w:spacing w:line="240" w:lineRule="auto"/>
              <w:jc w:val="center"/>
              <w:rPr>
                <w:rFonts w:ascii="Times New Roman" w:hAnsi="Times New Roman"/>
                <w:sz w:val="18"/>
                <w:szCs w:val="18"/>
                <w:lang w:val="zh-CN"/>
              </w:rPr>
            </w:pPr>
            <w:r>
              <w:rPr>
                <w:rFonts w:ascii="Times New Roman" w:hAnsi="Times New Roman"/>
                <w:sz w:val="18"/>
                <w:szCs w:val="18"/>
                <w:lang w:val="zh-CN"/>
              </w:rPr>
              <w:t>220</w:t>
            </w:r>
          </w:p>
        </w:tc>
        <w:tc>
          <w:tcPr>
            <w:tcW w:w="1407" w:type="dxa"/>
            <w:tcBorders>
              <w:top w:val="single" w:color="000000" w:sz="4" w:space="0"/>
              <w:left w:val="single" w:color="000000" w:sz="4" w:space="0"/>
              <w:bottom w:val="single" w:color="000000" w:sz="4" w:space="0"/>
              <w:right w:val="single" w:color="000000" w:sz="4" w:space="0"/>
            </w:tcBorders>
            <w:vAlign w:val="center"/>
          </w:tcPr>
          <w:p w14:paraId="740B9F00">
            <w:pPr>
              <w:spacing w:line="240" w:lineRule="auto"/>
              <w:jc w:val="center"/>
              <w:rPr>
                <w:rFonts w:ascii="Times New Roman" w:hAnsi="Times New Roman"/>
                <w:sz w:val="18"/>
                <w:szCs w:val="18"/>
                <w:lang w:val="zh-CN"/>
              </w:rPr>
            </w:pPr>
            <w:r>
              <w:rPr>
                <w:rFonts w:ascii="Times New Roman" w:hAnsi="Times New Roman"/>
                <w:sz w:val="18"/>
                <w:szCs w:val="18"/>
                <w:lang w:val="zh-CN"/>
              </w:rPr>
              <w:t>75</w:t>
            </w:r>
          </w:p>
        </w:tc>
        <w:tc>
          <w:tcPr>
            <w:tcW w:w="986" w:type="dxa"/>
            <w:tcBorders>
              <w:top w:val="single" w:color="000000" w:sz="4" w:space="0"/>
              <w:left w:val="single" w:color="000000" w:sz="4" w:space="0"/>
              <w:bottom w:val="single" w:color="000000" w:sz="4" w:space="0"/>
              <w:right w:val="single" w:color="000000" w:sz="4" w:space="0"/>
            </w:tcBorders>
            <w:vAlign w:val="center"/>
          </w:tcPr>
          <w:p w14:paraId="7342CF29">
            <w:pPr>
              <w:spacing w:line="240" w:lineRule="auto"/>
              <w:jc w:val="center"/>
              <w:rPr>
                <w:rFonts w:ascii="Times New Roman" w:hAnsi="Times New Roman"/>
                <w:sz w:val="18"/>
                <w:szCs w:val="18"/>
                <w:lang w:val="zh-CN"/>
              </w:rPr>
            </w:pPr>
            <w:r>
              <w:rPr>
                <w:rFonts w:ascii="Times New Roman" w:hAnsi="Times New Roman"/>
                <w:sz w:val="18"/>
                <w:szCs w:val="18"/>
                <w:lang w:val="zh-CN"/>
              </w:rPr>
              <w:t>75</w:t>
            </w:r>
          </w:p>
        </w:tc>
        <w:tc>
          <w:tcPr>
            <w:tcW w:w="932" w:type="dxa"/>
            <w:tcBorders>
              <w:top w:val="single" w:color="000000" w:sz="4" w:space="0"/>
              <w:left w:val="single" w:color="000000" w:sz="4" w:space="0"/>
              <w:bottom w:val="single" w:color="000000" w:sz="4" w:space="0"/>
              <w:right w:val="single" w:color="000000" w:sz="4" w:space="0"/>
            </w:tcBorders>
            <w:vAlign w:val="center"/>
          </w:tcPr>
          <w:p w14:paraId="72FA10F1">
            <w:pPr>
              <w:spacing w:line="240" w:lineRule="auto"/>
              <w:jc w:val="center"/>
              <w:rPr>
                <w:rFonts w:ascii="Times New Roman" w:hAnsi="Times New Roman"/>
                <w:sz w:val="18"/>
                <w:szCs w:val="18"/>
                <w:lang w:val="zh-CN"/>
              </w:rPr>
            </w:pPr>
            <w:r>
              <w:rPr>
                <w:rFonts w:ascii="Times New Roman" w:hAnsi="Times New Roman"/>
                <w:sz w:val="18"/>
                <w:szCs w:val="18"/>
                <w:lang w:val="zh-CN"/>
              </w:rPr>
              <w:t>70</w:t>
            </w:r>
          </w:p>
        </w:tc>
        <w:tc>
          <w:tcPr>
            <w:tcW w:w="1068" w:type="dxa"/>
            <w:tcBorders>
              <w:top w:val="single" w:color="000000" w:sz="4" w:space="0"/>
              <w:left w:val="single" w:color="000000" w:sz="4" w:space="0"/>
              <w:bottom w:val="single" w:color="000000" w:sz="4" w:space="0"/>
              <w:right w:val="single" w:color="000000" w:sz="4" w:space="0"/>
            </w:tcBorders>
            <w:vAlign w:val="center"/>
          </w:tcPr>
          <w:p w14:paraId="4E8240F2">
            <w:pPr>
              <w:spacing w:line="240" w:lineRule="auto"/>
              <w:jc w:val="center"/>
              <w:rPr>
                <w:rFonts w:ascii="Times New Roman" w:hAnsi="Times New Roman"/>
                <w:sz w:val="18"/>
                <w:szCs w:val="18"/>
                <w:lang w:val="zh-CN"/>
              </w:rPr>
            </w:pPr>
            <w:r>
              <w:rPr>
                <w:rFonts w:ascii="Times New Roman" w:hAnsi="Times New Roman"/>
                <w:sz w:val="18"/>
                <w:szCs w:val="18"/>
                <w:lang w:val="zh-CN"/>
              </w:rPr>
              <w:t>155</w:t>
            </w:r>
          </w:p>
        </w:tc>
        <w:tc>
          <w:tcPr>
            <w:tcW w:w="1096" w:type="dxa"/>
            <w:tcBorders>
              <w:top w:val="single" w:color="000000" w:sz="4" w:space="0"/>
              <w:left w:val="single" w:color="000000" w:sz="4" w:space="0"/>
              <w:bottom w:val="single" w:color="000000" w:sz="4" w:space="0"/>
              <w:right w:val="single" w:color="000000" w:sz="4" w:space="0"/>
            </w:tcBorders>
            <w:vAlign w:val="center"/>
          </w:tcPr>
          <w:p w14:paraId="0030457D">
            <w:pPr>
              <w:spacing w:line="240" w:lineRule="auto"/>
              <w:jc w:val="center"/>
              <w:rPr>
                <w:rFonts w:ascii="Times New Roman" w:hAnsi="Times New Roman"/>
                <w:sz w:val="18"/>
                <w:szCs w:val="18"/>
                <w:lang w:val="zh-CN"/>
              </w:rPr>
            </w:pPr>
            <w:r>
              <w:rPr>
                <w:rFonts w:ascii="Times New Roman" w:hAnsi="Times New Roman"/>
                <w:sz w:val="18"/>
                <w:szCs w:val="18"/>
                <w:lang w:val="zh-CN"/>
              </w:rPr>
              <w:t>1020</w:t>
            </w:r>
          </w:p>
        </w:tc>
        <w:tc>
          <w:tcPr>
            <w:tcW w:w="966" w:type="dxa"/>
            <w:tcBorders>
              <w:top w:val="single" w:color="000000" w:sz="4" w:space="0"/>
              <w:left w:val="single" w:color="000000" w:sz="4" w:space="0"/>
              <w:bottom w:val="single" w:color="000000" w:sz="4" w:space="0"/>
              <w:right w:val="single" w:color="000000" w:sz="4" w:space="0"/>
            </w:tcBorders>
            <w:vAlign w:val="center"/>
          </w:tcPr>
          <w:p w14:paraId="68C23C2E">
            <w:pPr>
              <w:spacing w:line="240" w:lineRule="auto"/>
              <w:jc w:val="center"/>
              <w:rPr>
                <w:rFonts w:ascii="Times New Roman" w:hAnsi="Times New Roman"/>
                <w:sz w:val="18"/>
                <w:szCs w:val="18"/>
                <w:lang w:val="zh-CN"/>
              </w:rPr>
            </w:pPr>
            <w:r>
              <w:rPr>
                <w:rFonts w:ascii="Times New Roman" w:hAnsi="Times New Roman"/>
                <w:sz w:val="18"/>
                <w:szCs w:val="18"/>
                <w:lang w:val="zh-CN"/>
              </w:rPr>
              <w:t>810</w:t>
            </w:r>
          </w:p>
        </w:tc>
        <w:tc>
          <w:tcPr>
            <w:tcW w:w="894" w:type="dxa"/>
            <w:tcBorders>
              <w:top w:val="single" w:color="000000" w:sz="4" w:space="0"/>
              <w:left w:val="single" w:color="000000" w:sz="4" w:space="0"/>
              <w:bottom w:val="single" w:color="000000" w:sz="4" w:space="0"/>
              <w:right w:val="single" w:color="000000" w:sz="4" w:space="0"/>
            </w:tcBorders>
            <w:vAlign w:val="center"/>
          </w:tcPr>
          <w:p w14:paraId="084D1D36">
            <w:pPr>
              <w:spacing w:line="240" w:lineRule="auto"/>
              <w:jc w:val="center"/>
              <w:rPr>
                <w:rFonts w:ascii="Times New Roman" w:hAnsi="Times New Roman"/>
                <w:sz w:val="18"/>
                <w:szCs w:val="18"/>
                <w:lang w:val="zh-CN"/>
              </w:rPr>
            </w:pPr>
            <w:r>
              <w:rPr>
                <w:rFonts w:ascii="Times New Roman" w:hAnsi="Times New Roman"/>
                <w:sz w:val="18"/>
                <w:szCs w:val="18"/>
                <w:lang w:val="zh-CN"/>
              </w:rPr>
              <w:t>9.0</w:t>
            </w:r>
          </w:p>
        </w:tc>
      </w:tr>
      <w:tr w14:paraId="697DE8D0">
        <w:tblPrEx>
          <w:tblCellMar>
            <w:top w:w="0" w:type="dxa"/>
            <w:left w:w="108" w:type="dxa"/>
            <w:bottom w:w="0" w:type="dxa"/>
            <w:right w:w="108" w:type="dxa"/>
          </w:tblCellMar>
        </w:tblPrEx>
        <w:trPr>
          <w:trHeight w:val="454" w:hRule="atLeast"/>
        </w:trPr>
        <w:tc>
          <w:tcPr>
            <w:tcW w:w="954" w:type="dxa"/>
            <w:tcBorders>
              <w:top w:val="single" w:color="000000" w:sz="4" w:space="0"/>
              <w:left w:val="single" w:color="000000" w:sz="4" w:space="0"/>
              <w:bottom w:val="single" w:color="000000" w:sz="4" w:space="0"/>
              <w:right w:val="single" w:color="000000" w:sz="4" w:space="0"/>
            </w:tcBorders>
            <w:vAlign w:val="center"/>
          </w:tcPr>
          <w:p w14:paraId="5DF688FD">
            <w:pPr>
              <w:spacing w:line="240" w:lineRule="auto"/>
              <w:jc w:val="center"/>
              <w:rPr>
                <w:rFonts w:ascii="Times New Roman" w:hAnsi="Times New Roman"/>
                <w:sz w:val="18"/>
                <w:szCs w:val="18"/>
                <w:lang w:val="zh-CN"/>
              </w:rPr>
            </w:pPr>
            <w:r>
              <w:rPr>
                <w:rFonts w:ascii="Times New Roman" w:hAnsi="Times New Roman"/>
                <w:sz w:val="18"/>
                <w:szCs w:val="18"/>
                <w:lang w:val="zh-CN"/>
              </w:rPr>
              <w:t>C50</w:t>
            </w:r>
          </w:p>
        </w:tc>
        <w:tc>
          <w:tcPr>
            <w:tcW w:w="1268" w:type="dxa"/>
            <w:tcBorders>
              <w:top w:val="single" w:color="000000" w:sz="4" w:space="0"/>
              <w:left w:val="single" w:color="000000" w:sz="4" w:space="0"/>
              <w:bottom w:val="single" w:color="000000" w:sz="4" w:space="0"/>
              <w:right w:val="single" w:color="000000" w:sz="4" w:space="0"/>
            </w:tcBorders>
            <w:vAlign w:val="center"/>
          </w:tcPr>
          <w:p w14:paraId="598DBC19">
            <w:pPr>
              <w:spacing w:line="240" w:lineRule="auto"/>
              <w:jc w:val="center"/>
              <w:rPr>
                <w:rFonts w:ascii="Times New Roman" w:hAnsi="Times New Roman"/>
                <w:sz w:val="18"/>
                <w:szCs w:val="18"/>
                <w:lang w:val="zh-CN"/>
              </w:rPr>
            </w:pPr>
            <w:r>
              <w:rPr>
                <w:rFonts w:ascii="Times New Roman" w:hAnsi="Times New Roman"/>
                <w:sz w:val="18"/>
                <w:szCs w:val="18"/>
                <w:lang w:val="zh-CN"/>
              </w:rPr>
              <w:t>250</w:t>
            </w:r>
          </w:p>
        </w:tc>
        <w:tc>
          <w:tcPr>
            <w:tcW w:w="1407" w:type="dxa"/>
            <w:tcBorders>
              <w:top w:val="single" w:color="000000" w:sz="4" w:space="0"/>
              <w:left w:val="single" w:color="000000" w:sz="4" w:space="0"/>
              <w:bottom w:val="single" w:color="000000" w:sz="4" w:space="0"/>
              <w:right w:val="single" w:color="000000" w:sz="4" w:space="0"/>
            </w:tcBorders>
            <w:vAlign w:val="center"/>
          </w:tcPr>
          <w:p w14:paraId="615ACBD1">
            <w:pPr>
              <w:spacing w:line="240" w:lineRule="auto"/>
              <w:jc w:val="center"/>
              <w:rPr>
                <w:rFonts w:ascii="Times New Roman" w:hAnsi="Times New Roman"/>
                <w:sz w:val="18"/>
                <w:szCs w:val="18"/>
                <w:lang w:val="zh-CN"/>
              </w:rPr>
            </w:pPr>
            <w:r>
              <w:rPr>
                <w:rFonts w:ascii="Times New Roman" w:hAnsi="Times New Roman"/>
                <w:sz w:val="18"/>
                <w:szCs w:val="18"/>
                <w:lang w:val="zh-CN"/>
              </w:rPr>
              <w:t>90</w:t>
            </w:r>
          </w:p>
        </w:tc>
        <w:tc>
          <w:tcPr>
            <w:tcW w:w="986" w:type="dxa"/>
            <w:tcBorders>
              <w:top w:val="single" w:color="000000" w:sz="4" w:space="0"/>
              <w:left w:val="single" w:color="000000" w:sz="4" w:space="0"/>
              <w:bottom w:val="single" w:color="000000" w:sz="4" w:space="0"/>
              <w:right w:val="single" w:color="000000" w:sz="4" w:space="0"/>
            </w:tcBorders>
            <w:vAlign w:val="center"/>
          </w:tcPr>
          <w:p w14:paraId="08575A36">
            <w:pPr>
              <w:spacing w:line="240" w:lineRule="auto"/>
              <w:jc w:val="center"/>
              <w:rPr>
                <w:rFonts w:ascii="Times New Roman" w:hAnsi="Times New Roman"/>
                <w:sz w:val="18"/>
                <w:szCs w:val="18"/>
                <w:lang w:val="zh-CN"/>
              </w:rPr>
            </w:pPr>
            <w:r>
              <w:rPr>
                <w:rFonts w:ascii="Times New Roman" w:hAnsi="Times New Roman"/>
                <w:sz w:val="18"/>
                <w:szCs w:val="18"/>
                <w:lang w:val="zh-CN"/>
              </w:rPr>
              <w:t>90</w:t>
            </w:r>
          </w:p>
        </w:tc>
        <w:tc>
          <w:tcPr>
            <w:tcW w:w="932" w:type="dxa"/>
            <w:tcBorders>
              <w:top w:val="single" w:color="000000" w:sz="4" w:space="0"/>
              <w:left w:val="single" w:color="000000" w:sz="4" w:space="0"/>
              <w:bottom w:val="single" w:color="000000" w:sz="4" w:space="0"/>
              <w:right w:val="single" w:color="000000" w:sz="4" w:space="0"/>
            </w:tcBorders>
            <w:vAlign w:val="center"/>
          </w:tcPr>
          <w:p w14:paraId="1426EFCB">
            <w:pPr>
              <w:spacing w:line="240" w:lineRule="auto"/>
              <w:jc w:val="center"/>
              <w:rPr>
                <w:rFonts w:ascii="Times New Roman" w:hAnsi="Times New Roman"/>
                <w:sz w:val="18"/>
                <w:szCs w:val="18"/>
                <w:lang w:val="zh-CN"/>
              </w:rPr>
            </w:pPr>
            <w:r>
              <w:rPr>
                <w:rFonts w:ascii="Times New Roman" w:hAnsi="Times New Roman"/>
                <w:sz w:val="18"/>
                <w:szCs w:val="18"/>
                <w:lang w:val="zh-CN"/>
              </w:rPr>
              <w:t>60</w:t>
            </w:r>
          </w:p>
        </w:tc>
        <w:tc>
          <w:tcPr>
            <w:tcW w:w="1068" w:type="dxa"/>
            <w:tcBorders>
              <w:top w:val="single" w:color="000000" w:sz="4" w:space="0"/>
              <w:left w:val="single" w:color="000000" w:sz="4" w:space="0"/>
              <w:bottom w:val="single" w:color="000000" w:sz="4" w:space="0"/>
              <w:right w:val="single" w:color="000000" w:sz="4" w:space="0"/>
            </w:tcBorders>
            <w:vAlign w:val="center"/>
          </w:tcPr>
          <w:p w14:paraId="79D2D067">
            <w:pPr>
              <w:spacing w:line="240" w:lineRule="auto"/>
              <w:jc w:val="center"/>
              <w:rPr>
                <w:rFonts w:ascii="Times New Roman" w:hAnsi="Times New Roman"/>
                <w:sz w:val="18"/>
                <w:szCs w:val="18"/>
                <w:lang w:val="zh-CN"/>
              </w:rPr>
            </w:pPr>
            <w:r>
              <w:rPr>
                <w:rFonts w:ascii="Times New Roman" w:hAnsi="Times New Roman"/>
                <w:sz w:val="18"/>
                <w:szCs w:val="18"/>
                <w:lang w:val="zh-CN"/>
              </w:rPr>
              <w:t>150</w:t>
            </w:r>
          </w:p>
        </w:tc>
        <w:tc>
          <w:tcPr>
            <w:tcW w:w="1096" w:type="dxa"/>
            <w:tcBorders>
              <w:top w:val="single" w:color="000000" w:sz="4" w:space="0"/>
              <w:left w:val="single" w:color="000000" w:sz="4" w:space="0"/>
              <w:bottom w:val="single" w:color="000000" w:sz="4" w:space="0"/>
              <w:right w:val="single" w:color="000000" w:sz="4" w:space="0"/>
            </w:tcBorders>
            <w:vAlign w:val="center"/>
          </w:tcPr>
          <w:p w14:paraId="3E315534">
            <w:pPr>
              <w:spacing w:line="240" w:lineRule="auto"/>
              <w:jc w:val="center"/>
              <w:rPr>
                <w:rFonts w:ascii="Times New Roman" w:hAnsi="Times New Roman"/>
                <w:sz w:val="18"/>
                <w:szCs w:val="18"/>
                <w:lang w:val="zh-CN"/>
              </w:rPr>
            </w:pPr>
            <w:r>
              <w:rPr>
                <w:rFonts w:ascii="Times New Roman" w:hAnsi="Times New Roman"/>
                <w:sz w:val="18"/>
                <w:szCs w:val="18"/>
                <w:lang w:val="zh-CN"/>
              </w:rPr>
              <w:t>1000</w:t>
            </w:r>
          </w:p>
        </w:tc>
        <w:tc>
          <w:tcPr>
            <w:tcW w:w="966" w:type="dxa"/>
            <w:tcBorders>
              <w:top w:val="single" w:color="000000" w:sz="4" w:space="0"/>
              <w:left w:val="single" w:color="000000" w:sz="4" w:space="0"/>
              <w:bottom w:val="single" w:color="000000" w:sz="4" w:space="0"/>
              <w:right w:val="single" w:color="000000" w:sz="4" w:space="0"/>
            </w:tcBorders>
            <w:vAlign w:val="center"/>
          </w:tcPr>
          <w:p w14:paraId="51BA825A">
            <w:pPr>
              <w:spacing w:line="240" w:lineRule="auto"/>
              <w:jc w:val="center"/>
              <w:rPr>
                <w:rFonts w:ascii="Times New Roman" w:hAnsi="Times New Roman"/>
                <w:sz w:val="18"/>
                <w:szCs w:val="18"/>
                <w:lang w:val="zh-CN"/>
              </w:rPr>
            </w:pPr>
            <w:r>
              <w:rPr>
                <w:rFonts w:ascii="Times New Roman" w:hAnsi="Times New Roman"/>
                <w:sz w:val="18"/>
                <w:szCs w:val="18"/>
                <w:lang w:val="zh-CN"/>
              </w:rPr>
              <w:t>780</w:t>
            </w:r>
          </w:p>
        </w:tc>
        <w:tc>
          <w:tcPr>
            <w:tcW w:w="894" w:type="dxa"/>
            <w:tcBorders>
              <w:top w:val="single" w:color="000000" w:sz="4" w:space="0"/>
              <w:left w:val="single" w:color="000000" w:sz="4" w:space="0"/>
              <w:bottom w:val="single" w:color="000000" w:sz="4" w:space="0"/>
              <w:right w:val="single" w:color="000000" w:sz="4" w:space="0"/>
            </w:tcBorders>
            <w:vAlign w:val="center"/>
          </w:tcPr>
          <w:p w14:paraId="281DDB71">
            <w:pPr>
              <w:spacing w:line="240" w:lineRule="auto"/>
              <w:jc w:val="center"/>
              <w:rPr>
                <w:rFonts w:ascii="Times New Roman" w:hAnsi="Times New Roman"/>
                <w:sz w:val="18"/>
                <w:szCs w:val="18"/>
                <w:lang w:val="zh-CN"/>
              </w:rPr>
            </w:pPr>
            <w:r>
              <w:rPr>
                <w:rFonts w:ascii="Times New Roman" w:hAnsi="Times New Roman"/>
                <w:sz w:val="18"/>
                <w:szCs w:val="18"/>
                <w:lang w:val="zh-CN"/>
              </w:rPr>
              <w:t>10.3</w:t>
            </w:r>
          </w:p>
        </w:tc>
      </w:tr>
      <w:tr w14:paraId="7F3070FF">
        <w:tblPrEx>
          <w:tblCellMar>
            <w:top w:w="0" w:type="dxa"/>
            <w:left w:w="108" w:type="dxa"/>
            <w:bottom w:w="0" w:type="dxa"/>
            <w:right w:w="108" w:type="dxa"/>
          </w:tblCellMar>
        </w:tblPrEx>
        <w:trPr>
          <w:trHeight w:val="454" w:hRule="atLeast"/>
        </w:trPr>
        <w:tc>
          <w:tcPr>
            <w:tcW w:w="954" w:type="dxa"/>
            <w:tcBorders>
              <w:top w:val="single" w:color="000000" w:sz="4" w:space="0"/>
              <w:left w:val="single" w:color="000000" w:sz="4" w:space="0"/>
              <w:bottom w:val="single" w:color="000000" w:sz="4" w:space="0"/>
              <w:right w:val="single" w:color="000000" w:sz="4" w:space="0"/>
            </w:tcBorders>
            <w:vAlign w:val="center"/>
          </w:tcPr>
          <w:p w14:paraId="07AD6733">
            <w:pPr>
              <w:spacing w:line="240" w:lineRule="auto"/>
              <w:jc w:val="center"/>
              <w:rPr>
                <w:rFonts w:ascii="Times New Roman" w:hAnsi="Times New Roman"/>
                <w:sz w:val="18"/>
                <w:szCs w:val="18"/>
                <w:lang w:val="zh-CN"/>
              </w:rPr>
            </w:pPr>
            <w:r>
              <w:rPr>
                <w:rFonts w:ascii="Times New Roman" w:hAnsi="Times New Roman"/>
                <w:sz w:val="18"/>
                <w:szCs w:val="18"/>
                <w:lang w:val="zh-CN"/>
              </w:rPr>
              <w:t>C55</w:t>
            </w:r>
          </w:p>
        </w:tc>
        <w:tc>
          <w:tcPr>
            <w:tcW w:w="1268" w:type="dxa"/>
            <w:tcBorders>
              <w:top w:val="single" w:color="000000" w:sz="4" w:space="0"/>
              <w:left w:val="single" w:color="000000" w:sz="4" w:space="0"/>
              <w:bottom w:val="single" w:color="000000" w:sz="4" w:space="0"/>
              <w:right w:val="single" w:color="000000" w:sz="4" w:space="0"/>
            </w:tcBorders>
            <w:vAlign w:val="center"/>
          </w:tcPr>
          <w:p w14:paraId="301C6018">
            <w:pPr>
              <w:spacing w:line="240" w:lineRule="auto"/>
              <w:jc w:val="center"/>
              <w:rPr>
                <w:rFonts w:ascii="Times New Roman" w:hAnsi="Times New Roman"/>
                <w:sz w:val="18"/>
                <w:szCs w:val="18"/>
                <w:lang w:val="zh-CN"/>
              </w:rPr>
            </w:pPr>
            <w:r>
              <w:rPr>
                <w:rFonts w:ascii="Times New Roman" w:hAnsi="Times New Roman"/>
                <w:sz w:val="18"/>
                <w:szCs w:val="18"/>
                <w:lang w:val="zh-CN"/>
              </w:rPr>
              <w:t>270</w:t>
            </w:r>
          </w:p>
        </w:tc>
        <w:tc>
          <w:tcPr>
            <w:tcW w:w="1407" w:type="dxa"/>
            <w:tcBorders>
              <w:top w:val="single" w:color="000000" w:sz="4" w:space="0"/>
              <w:left w:val="single" w:color="000000" w:sz="4" w:space="0"/>
              <w:bottom w:val="single" w:color="000000" w:sz="4" w:space="0"/>
              <w:right w:val="single" w:color="000000" w:sz="4" w:space="0"/>
            </w:tcBorders>
            <w:vAlign w:val="center"/>
          </w:tcPr>
          <w:p w14:paraId="5F47BD72">
            <w:pPr>
              <w:spacing w:line="240" w:lineRule="auto"/>
              <w:jc w:val="center"/>
              <w:rPr>
                <w:rFonts w:ascii="Times New Roman" w:hAnsi="Times New Roman"/>
                <w:sz w:val="18"/>
                <w:szCs w:val="18"/>
                <w:lang w:val="zh-CN"/>
              </w:rPr>
            </w:pPr>
            <w:r>
              <w:rPr>
                <w:rFonts w:ascii="Times New Roman" w:hAnsi="Times New Roman"/>
                <w:sz w:val="18"/>
                <w:szCs w:val="18"/>
                <w:lang w:val="zh-CN"/>
              </w:rPr>
              <w:t>110</w:t>
            </w:r>
          </w:p>
        </w:tc>
        <w:tc>
          <w:tcPr>
            <w:tcW w:w="986" w:type="dxa"/>
            <w:tcBorders>
              <w:top w:val="single" w:color="000000" w:sz="4" w:space="0"/>
              <w:left w:val="single" w:color="000000" w:sz="4" w:space="0"/>
              <w:bottom w:val="single" w:color="000000" w:sz="4" w:space="0"/>
              <w:right w:val="single" w:color="000000" w:sz="4" w:space="0"/>
            </w:tcBorders>
            <w:vAlign w:val="center"/>
          </w:tcPr>
          <w:p w14:paraId="54FC0BC0">
            <w:pPr>
              <w:spacing w:line="240" w:lineRule="auto"/>
              <w:jc w:val="center"/>
              <w:rPr>
                <w:rFonts w:ascii="Times New Roman" w:hAnsi="Times New Roman"/>
                <w:sz w:val="18"/>
                <w:szCs w:val="18"/>
                <w:lang w:val="zh-CN"/>
              </w:rPr>
            </w:pPr>
            <w:r>
              <w:rPr>
                <w:rFonts w:ascii="Times New Roman" w:hAnsi="Times New Roman"/>
                <w:sz w:val="18"/>
                <w:szCs w:val="18"/>
                <w:lang w:val="zh-CN"/>
              </w:rPr>
              <w:t>90</w:t>
            </w:r>
          </w:p>
        </w:tc>
        <w:tc>
          <w:tcPr>
            <w:tcW w:w="932" w:type="dxa"/>
            <w:tcBorders>
              <w:top w:val="single" w:color="000000" w:sz="4" w:space="0"/>
              <w:left w:val="single" w:color="000000" w:sz="4" w:space="0"/>
              <w:bottom w:val="single" w:color="000000" w:sz="4" w:space="0"/>
              <w:right w:val="single" w:color="000000" w:sz="4" w:space="0"/>
            </w:tcBorders>
            <w:vAlign w:val="center"/>
          </w:tcPr>
          <w:p w14:paraId="0AACF6B7">
            <w:pPr>
              <w:spacing w:line="240" w:lineRule="auto"/>
              <w:jc w:val="center"/>
              <w:rPr>
                <w:rFonts w:ascii="Times New Roman" w:hAnsi="Times New Roman"/>
                <w:sz w:val="18"/>
                <w:szCs w:val="18"/>
                <w:lang w:val="zh-CN"/>
              </w:rPr>
            </w:pPr>
            <w:r>
              <w:rPr>
                <w:rFonts w:ascii="Times New Roman" w:hAnsi="Times New Roman"/>
                <w:sz w:val="18"/>
                <w:szCs w:val="18"/>
                <w:lang w:val="zh-CN"/>
              </w:rPr>
              <w:t>60</w:t>
            </w:r>
          </w:p>
        </w:tc>
        <w:tc>
          <w:tcPr>
            <w:tcW w:w="1068" w:type="dxa"/>
            <w:tcBorders>
              <w:top w:val="single" w:color="000000" w:sz="4" w:space="0"/>
              <w:left w:val="single" w:color="000000" w:sz="4" w:space="0"/>
              <w:bottom w:val="single" w:color="000000" w:sz="4" w:space="0"/>
              <w:right w:val="single" w:color="000000" w:sz="4" w:space="0"/>
            </w:tcBorders>
            <w:vAlign w:val="center"/>
          </w:tcPr>
          <w:p w14:paraId="1229811B">
            <w:pPr>
              <w:spacing w:line="240" w:lineRule="auto"/>
              <w:jc w:val="center"/>
              <w:rPr>
                <w:rFonts w:ascii="Times New Roman" w:hAnsi="Times New Roman"/>
                <w:sz w:val="18"/>
                <w:szCs w:val="18"/>
                <w:lang w:val="zh-CN"/>
              </w:rPr>
            </w:pPr>
            <w:r>
              <w:rPr>
                <w:rFonts w:ascii="Times New Roman" w:hAnsi="Times New Roman"/>
                <w:sz w:val="18"/>
                <w:szCs w:val="18"/>
                <w:lang w:val="zh-CN"/>
              </w:rPr>
              <w:t>150</w:t>
            </w:r>
          </w:p>
        </w:tc>
        <w:tc>
          <w:tcPr>
            <w:tcW w:w="1096" w:type="dxa"/>
            <w:tcBorders>
              <w:top w:val="single" w:color="000000" w:sz="4" w:space="0"/>
              <w:left w:val="single" w:color="000000" w:sz="4" w:space="0"/>
              <w:bottom w:val="single" w:color="000000" w:sz="4" w:space="0"/>
              <w:right w:val="single" w:color="000000" w:sz="4" w:space="0"/>
            </w:tcBorders>
            <w:vAlign w:val="center"/>
          </w:tcPr>
          <w:p w14:paraId="39AF221C">
            <w:pPr>
              <w:spacing w:line="240" w:lineRule="auto"/>
              <w:jc w:val="center"/>
              <w:rPr>
                <w:rFonts w:ascii="Times New Roman" w:hAnsi="Times New Roman"/>
                <w:sz w:val="18"/>
                <w:szCs w:val="18"/>
                <w:lang w:val="zh-CN"/>
              </w:rPr>
            </w:pPr>
            <w:r>
              <w:rPr>
                <w:rFonts w:ascii="Times New Roman" w:hAnsi="Times New Roman"/>
                <w:sz w:val="18"/>
                <w:szCs w:val="18"/>
                <w:lang w:val="zh-CN"/>
              </w:rPr>
              <w:t>980</w:t>
            </w:r>
          </w:p>
        </w:tc>
        <w:tc>
          <w:tcPr>
            <w:tcW w:w="966" w:type="dxa"/>
            <w:tcBorders>
              <w:top w:val="single" w:color="000000" w:sz="4" w:space="0"/>
              <w:left w:val="single" w:color="000000" w:sz="4" w:space="0"/>
              <w:bottom w:val="single" w:color="000000" w:sz="4" w:space="0"/>
              <w:right w:val="single" w:color="000000" w:sz="4" w:space="0"/>
            </w:tcBorders>
            <w:vAlign w:val="center"/>
          </w:tcPr>
          <w:p w14:paraId="64941FFF">
            <w:pPr>
              <w:spacing w:line="240" w:lineRule="auto"/>
              <w:jc w:val="center"/>
              <w:rPr>
                <w:rFonts w:ascii="Times New Roman" w:hAnsi="Times New Roman"/>
                <w:sz w:val="18"/>
                <w:szCs w:val="18"/>
                <w:lang w:val="zh-CN"/>
              </w:rPr>
            </w:pPr>
            <w:r>
              <w:rPr>
                <w:rFonts w:ascii="Times New Roman" w:hAnsi="Times New Roman"/>
                <w:sz w:val="18"/>
                <w:szCs w:val="18"/>
                <w:lang w:val="zh-CN"/>
              </w:rPr>
              <w:t>770</w:t>
            </w:r>
          </w:p>
        </w:tc>
        <w:tc>
          <w:tcPr>
            <w:tcW w:w="894" w:type="dxa"/>
            <w:tcBorders>
              <w:top w:val="single" w:color="000000" w:sz="4" w:space="0"/>
              <w:left w:val="single" w:color="000000" w:sz="4" w:space="0"/>
              <w:bottom w:val="single" w:color="000000" w:sz="4" w:space="0"/>
              <w:right w:val="single" w:color="000000" w:sz="4" w:space="0"/>
            </w:tcBorders>
            <w:vAlign w:val="center"/>
          </w:tcPr>
          <w:p w14:paraId="011EF7A6">
            <w:pPr>
              <w:spacing w:line="240" w:lineRule="auto"/>
              <w:jc w:val="center"/>
              <w:rPr>
                <w:rFonts w:ascii="Times New Roman" w:hAnsi="Times New Roman"/>
                <w:sz w:val="18"/>
                <w:szCs w:val="18"/>
                <w:lang w:val="zh-CN"/>
              </w:rPr>
            </w:pPr>
            <w:r>
              <w:rPr>
                <w:rFonts w:ascii="Times New Roman" w:hAnsi="Times New Roman"/>
                <w:sz w:val="18"/>
                <w:szCs w:val="18"/>
                <w:lang w:val="zh-CN"/>
              </w:rPr>
              <w:t>11.6</w:t>
            </w:r>
          </w:p>
        </w:tc>
      </w:tr>
      <w:tr w14:paraId="3B1F15A7">
        <w:tblPrEx>
          <w:tblCellMar>
            <w:top w:w="0" w:type="dxa"/>
            <w:left w:w="108" w:type="dxa"/>
            <w:bottom w:w="0" w:type="dxa"/>
            <w:right w:w="108" w:type="dxa"/>
          </w:tblCellMar>
        </w:tblPrEx>
        <w:trPr>
          <w:trHeight w:val="454" w:hRule="atLeast"/>
        </w:trPr>
        <w:tc>
          <w:tcPr>
            <w:tcW w:w="954" w:type="dxa"/>
            <w:tcBorders>
              <w:top w:val="single" w:color="000000" w:sz="4" w:space="0"/>
              <w:left w:val="single" w:color="000000" w:sz="4" w:space="0"/>
              <w:bottom w:val="single" w:color="000000" w:sz="4" w:space="0"/>
              <w:right w:val="single" w:color="000000" w:sz="4" w:space="0"/>
            </w:tcBorders>
            <w:vAlign w:val="center"/>
          </w:tcPr>
          <w:p w14:paraId="32A20737">
            <w:pPr>
              <w:spacing w:line="240" w:lineRule="auto"/>
              <w:jc w:val="center"/>
              <w:rPr>
                <w:rFonts w:ascii="Times New Roman" w:hAnsi="Times New Roman"/>
                <w:sz w:val="18"/>
                <w:szCs w:val="18"/>
                <w:lang w:val="zh-CN"/>
              </w:rPr>
            </w:pPr>
            <w:r>
              <w:rPr>
                <w:rFonts w:ascii="Times New Roman" w:hAnsi="Times New Roman"/>
                <w:sz w:val="18"/>
                <w:szCs w:val="18"/>
                <w:lang w:val="zh-CN"/>
              </w:rPr>
              <w:t>C60</w:t>
            </w:r>
          </w:p>
        </w:tc>
        <w:tc>
          <w:tcPr>
            <w:tcW w:w="1268" w:type="dxa"/>
            <w:tcBorders>
              <w:top w:val="single" w:color="000000" w:sz="4" w:space="0"/>
              <w:left w:val="single" w:color="000000" w:sz="4" w:space="0"/>
              <w:bottom w:val="single" w:color="000000" w:sz="4" w:space="0"/>
              <w:right w:val="single" w:color="000000" w:sz="4" w:space="0"/>
            </w:tcBorders>
            <w:vAlign w:val="center"/>
          </w:tcPr>
          <w:p w14:paraId="39EF22F5">
            <w:pPr>
              <w:spacing w:line="240" w:lineRule="auto"/>
              <w:jc w:val="center"/>
              <w:rPr>
                <w:rFonts w:ascii="Times New Roman" w:hAnsi="Times New Roman"/>
                <w:sz w:val="18"/>
                <w:szCs w:val="18"/>
                <w:lang w:val="zh-CN"/>
              </w:rPr>
            </w:pPr>
            <w:r>
              <w:rPr>
                <w:rFonts w:ascii="Times New Roman" w:hAnsi="Times New Roman"/>
                <w:sz w:val="18"/>
                <w:szCs w:val="18"/>
                <w:lang w:val="zh-CN"/>
              </w:rPr>
              <w:t>290</w:t>
            </w:r>
          </w:p>
        </w:tc>
        <w:tc>
          <w:tcPr>
            <w:tcW w:w="1407" w:type="dxa"/>
            <w:tcBorders>
              <w:top w:val="single" w:color="000000" w:sz="4" w:space="0"/>
              <w:left w:val="single" w:color="000000" w:sz="4" w:space="0"/>
              <w:bottom w:val="single" w:color="000000" w:sz="4" w:space="0"/>
              <w:right w:val="single" w:color="000000" w:sz="4" w:space="0"/>
            </w:tcBorders>
            <w:vAlign w:val="center"/>
          </w:tcPr>
          <w:p w14:paraId="27EEDB1D">
            <w:pPr>
              <w:spacing w:line="240" w:lineRule="auto"/>
              <w:jc w:val="center"/>
              <w:rPr>
                <w:rFonts w:ascii="Times New Roman" w:hAnsi="Times New Roman"/>
                <w:sz w:val="18"/>
                <w:szCs w:val="18"/>
                <w:lang w:val="zh-CN"/>
              </w:rPr>
            </w:pPr>
            <w:r>
              <w:rPr>
                <w:rFonts w:ascii="Times New Roman" w:hAnsi="Times New Roman"/>
                <w:sz w:val="18"/>
                <w:szCs w:val="18"/>
                <w:lang w:val="zh-CN"/>
              </w:rPr>
              <w:t>110</w:t>
            </w:r>
          </w:p>
        </w:tc>
        <w:tc>
          <w:tcPr>
            <w:tcW w:w="986" w:type="dxa"/>
            <w:tcBorders>
              <w:top w:val="single" w:color="000000" w:sz="4" w:space="0"/>
              <w:left w:val="single" w:color="000000" w:sz="4" w:space="0"/>
              <w:bottom w:val="single" w:color="000000" w:sz="4" w:space="0"/>
              <w:right w:val="single" w:color="000000" w:sz="4" w:space="0"/>
            </w:tcBorders>
            <w:vAlign w:val="center"/>
          </w:tcPr>
          <w:p w14:paraId="042FFA73">
            <w:pPr>
              <w:spacing w:line="240" w:lineRule="auto"/>
              <w:jc w:val="center"/>
              <w:rPr>
                <w:rFonts w:ascii="Times New Roman" w:hAnsi="Times New Roman"/>
                <w:sz w:val="18"/>
                <w:szCs w:val="18"/>
                <w:lang w:val="zh-CN"/>
              </w:rPr>
            </w:pPr>
            <w:r>
              <w:rPr>
                <w:rFonts w:ascii="Times New Roman" w:hAnsi="Times New Roman"/>
                <w:sz w:val="18"/>
                <w:szCs w:val="18"/>
                <w:lang w:val="zh-CN"/>
              </w:rPr>
              <w:t>90</w:t>
            </w:r>
          </w:p>
        </w:tc>
        <w:tc>
          <w:tcPr>
            <w:tcW w:w="932" w:type="dxa"/>
            <w:tcBorders>
              <w:top w:val="single" w:color="000000" w:sz="4" w:space="0"/>
              <w:left w:val="single" w:color="000000" w:sz="4" w:space="0"/>
              <w:bottom w:val="single" w:color="000000" w:sz="4" w:space="0"/>
              <w:right w:val="single" w:color="000000" w:sz="4" w:space="0"/>
            </w:tcBorders>
            <w:vAlign w:val="center"/>
          </w:tcPr>
          <w:p w14:paraId="4F811D0E">
            <w:pPr>
              <w:spacing w:line="240" w:lineRule="auto"/>
              <w:jc w:val="center"/>
              <w:rPr>
                <w:rFonts w:ascii="Times New Roman" w:hAnsi="Times New Roman"/>
                <w:sz w:val="18"/>
                <w:szCs w:val="18"/>
                <w:lang w:val="zh-CN"/>
              </w:rPr>
            </w:pPr>
            <w:r>
              <w:rPr>
                <w:rFonts w:ascii="Times New Roman" w:hAnsi="Times New Roman"/>
                <w:sz w:val="18"/>
                <w:szCs w:val="18"/>
                <w:lang w:val="zh-CN"/>
              </w:rPr>
              <w:t>60</w:t>
            </w:r>
          </w:p>
        </w:tc>
        <w:tc>
          <w:tcPr>
            <w:tcW w:w="1068" w:type="dxa"/>
            <w:tcBorders>
              <w:top w:val="single" w:color="000000" w:sz="4" w:space="0"/>
              <w:left w:val="single" w:color="000000" w:sz="4" w:space="0"/>
              <w:bottom w:val="single" w:color="000000" w:sz="4" w:space="0"/>
              <w:right w:val="single" w:color="000000" w:sz="4" w:space="0"/>
            </w:tcBorders>
            <w:vAlign w:val="center"/>
          </w:tcPr>
          <w:p w14:paraId="5BE776CF">
            <w:pPr>
              <w:spacing w:line="240" w:lineRule="auto"/>
              <w:jc w:val="center"/>
              <w:rPr>
                <w:rFonts w:ascii="Times New Roman" w:hAnsi="Times New Roman"/>
                <w:sz w:val="18"/>
                <w:szCs w:val="18"/>
                <w:lang w:val="zh-CN"/>
              </w:rPr>
            </w:pPr>
            <w:r>
              <w:rPr>
                <w:rFonts w:ascii="Times New Roman" w:hAnsi="Times New Roman"/>
                <w:sz w:val="18"/>
                <w:szCs w:val="18"/>
                <w:lang w:val="zh-CN"/>
              </w:rPr>
              <w:t>150</w:t>
            </w:r>
          </w:p>
        </w:tc>
        <w:tc>
          <w:tcPr>
            <w:tcW w:w="1096" w:type="dxa"/>
            <w:tcBorders>
              <w:top w:val="single" w:color="000000" w:sz="4" w:space="0"/>
              <w:left w:val="single" w:color="000000" w:sz="4" w:space="0"/>
              <w:bottom w:val="single" w:color="000000" w:sz="4" w:space="0"/>
              <w:right w:val="single" w:color="000000" w:sz="4" w:space="0"/>
            </w:tcBorders>
            <w:vAlign w:val="center"/>
          </w:tcPr>
          <w:p w14:paraId="7723B397">
            <w:pPr>
              <w:spacing w:line="240" w:lineRule="auto"/>
              <w:jc w:val="center"/>
              <w:rPr>
                <w:rFonts w:ascii="Times New Roman" w:hAnsi="Times New Roman"/>
                <w:sz w:val="18"/>
                <w:szCs w:val="18"/>
                <w:lang w:val="zh-CN"/>
              </w:rPr>
            </w:pPr>
            <w:r>
              <w:rPr>
                <w:rFonts w:ascii="Times New Roman" w:hAnsi="Times New Roman"/>
                <w:sz w:val="18"/>
                <w:szCs w:val="18"/>
                <w:lang w:val="zh-CN"/>
              </w:rPr>
              <w:t>970</w:t>
            </w:r>
          </w:p>
        </w:tc>
        <w:tc>
          <w:tcPr>
            <w:tcW w:w="966" w:type="dxa"/>
            <w:tcBorders>
              <w:top w:val="single" w:color="000000" w:sz="4" w:space="0"/>
              <w:left w:val="single" w:color="000000" w:sz="4" w:space="0"/>
              <w:bottom w:val="single" w:color="000000" w:sz="4" w:space="0"/>
              <w:right w:val="single" w:color="000000" w:sz="4" w:space="0"/>
            </w:tcBorders>
            <w:vAlign w:val="center"/>
          </w:tcPr>
          <w:p w14:paraId="10700038">
            <w:pPr>
              <w:spacing w:line="240" w:lineRule="auto"/>
              <w:jc w:val="center"/>
              <w:rPr>
                <w:rFonts w:ascii="Times New Roman" w:hAnsi="Times New Roman"/>
                <w:sz w:val="18"/>
                <w:szCs w:val="18"/>
                <w:lang w:val="zh-CN"/>
              </w:rPr>
            </w:pPr>
            <w:r>
              <w:rPr>
                <w:rFonts w:ascii="Times New Roman" w:hAnsi="Times New Roman"/>
                <w:sz w:val="18"/>
                <w:szCs w:val="18"/>
                <w:lang w:val="zh-CN"/>
              </w:rPr>
              <w:t>780</w:t>
            </w:r>
          </w:p>
        </w:tc>
        <w:tc>
          <w:tcPr>
            <w:tcW w:w="894" w:type="dxa"/>
            <w:tcBorders>
              <w:top w:val="single" w:color="000000" w:sz="4" w:space="0"/>
              <w:left w:val="single" w:color="000000" w:sz="4" w:space="0"/>
              <w:bottom w:val="single" w:color="000000" w:sz="4" w:space="0"/>
              <w:right w:val="single" w:color="000000" w:sz="4" w:space="0"/>
            </w:tcBorders>
            <w:vAlign w:val="center"/>
          </w:tcPr>
          <w:p w14:paraId="6AA61F55">
            <w:pPr>
              <w:spacing w:line="240" w:lineRule="auto"/>
              <w:jc w:val="center"/>
              <w:rPr>
                <w:rFonts w:ascii="Times New Roman" w:hAnsi="Times New Roman"/>
                <w:sz w:val="18"/>
                <w:szCs w:val="18"/>
                <w:lang w:val="zh-CN"/>
              </w:rPr>
            </w:pPr>
            <w:r>
              <w:rPr>
                <w:rFonts w:ascii="Times New Roman" w:hAnsi="Times New Roman"/>
                <w:sz w:val="18"/>
                <w:szCs w:val="18"/>
                <w:lang w:val="zh-CN"/>
              </w:rPr>
              <w:t>12.3</w:t>
            </w:r>
          </w:p>
        </w:tc>
      </w:tr>
    </w:tbl>
    <w:p w14:paraId="56E80AB6">
      <w:pPr>
        <w:pStyle w:val="136"/>
        <w:numPr>
          <w:ilvl w:val="0"/>
          <w:numId w:val="0"/>
        </w:numPr>
        <w:rPr>
          <w:rFonts w:ascii="Times New Roman"/>
        </w:rPr>
      </w:pPr>
    </w:p>
    <w:p w14:paraId="1FBCF183">
      <w:pPr>
        <w:pStyle w:val="136"/>
        <w:rPr>
          <w:rFonts w:ascii="Times New Roman"/>
        </w:rPr>
      </w:pPr>
      <w:r>
        <w:rPr>
          <w:rFonts w:ascii="Times New Roman"/>
        </w:rPr>
        <w:t>不同标号复合混凝土抗压强度值（MPa）</w:t>
      </w:r>
    </w:p>
    <w:tbl>
      <w:tblPr>
        <w:tblStyle w:val="40"/>
        <w:tblW w:w="5004" w:type="pct"/>
        <w:tblInd w:w="0" w:type="dxa"/>
        <w:tblLayout w:type="autofit"/>
        <w:tblCellMar>
          <w:top w:w="0" w:type="dxa"/>
          <w:left w:w="108" w:type="dxa"/>
          <w:bottom w:w="0" w:type="dxa"/>
          <w:right w:w="108" w:type="dxa"/>
        </w:tblCellMar>
      </w:tblPr>
      <w:tblGrid>
        <w:gridCol w:w="2219"/>
        <w:gridCol w:w="2071"/>
        <w:gridCol w:w="1794"/>
        <w:gridCol w:w="1753"/>
        <w:gridCol w:w="1742"/>
      </w:tblGrid>
      <w:tr w14:paraId="65CBEEB9">
        <w:tblPrEx>
          <w:tblCellMar>
            <w:top w:w="0" w:type="dxa"/>
            <w:left w:w="108" w:type="dxa"/>
            <w:bottom w:w="0" w:type="dxa"/>
            <w:right w:w="108" w:type="dxa"/>
          </w:tblCellMar>
        </w:tblPrEx>
        <w:trPr>
          <w:trHeight w:val="454" w:hRule="atLeast"/>
        </w:trPr>
        <w:tc>
          <w:tcPr>
            <w:tcW w:w="2219" w:type="dxa"/>
            <w:tcBorders>
              <w:top w:val="single" w:color="000000" w:sz="4" w:space="0"/>
              <w:left w:val="single" w:color="000000" w:sz="4" w:space="0"/>
              <w:bottom w:val="single" w:color="000000" w:sz="4" w:space="0"/>
              <w:right w:val="single" w:color="000000" w:sz="4" w:space="0"/>
            </w:tcBorders>
            <w:vAlign w:val="center"/>
          </w:tcPr>
          <w:p w14:paraId="256D0463">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标号</w:t>
            </w:r>
          </w:p>
        </w:tc>
        <w:tc>
          <w:tcPr>
            <w:tcW w:w="2071" w:type="dxa"/>
            <w:tcBorders>
              <w:top w:val="single" w:color="000000" w:sz="4" w:space="0"/>
              <w:left w:val="single" w:color="000000" w:sz="4" w:space="0"/>
              <w:bottom w:val="single" w:color="000000" w:sz="4" w:space="0"/>
              <w:right w:val="single" w:color="000000" w:sz="4" w:space="0"/>
            </w:tcBorders>
            <w:vAlign w:val="center"/>
          </w:tcPr>
          <w:p w14:paraId="4A29B951">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3d</w:t>
            </w:r>
          </w:p>
        </w:tc>
        <w:tc>
          <w:tcPr>
            <w:tcW w:w="1794" w:type="dxa"/>
            <w:tcBorders>
              <w:top w:val="single" w:color="000000" w:sz="4" w:space="0"/>
              <w:left w:val="single" w:color="000000" w:sz="4" w:space="0"/>
              <w:bottom w:val="single" w:color="000000" w:sz="4" w:space="0"/>
              <w:right w:val="single" w:color="000000" w:sz="4" w:space="0"/>
            </w:tcBorders>
            <w:vAlign w:val="center"/>
          </w:tcPr>
          <w:p w14:paraId="6BEB9311">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7d</w:t>
            </w:r>
          </w:p>
        </w:tc>
        <w:tc>
          <w:tcPr>
            <w:tcW w:w="1753" w:type="dxa"/>
            <w:tcBorders>
              <w:top w:val="single" w:color="000000" w:sz="4" w:space="0"/>
              <w:left w:val="single" w:color="000000" w:sz="4" w:space="0"/>
              <w:bottom w:val="single" w:color="000000" w:sz="4" w:space="0"/>
              <w:right w:val="single" w:color="000000" w:sz="4" w:space="0"/>
            </w:tcBorders>
            <w:vAlign w:val="center"/>
          </w:tcPr>
          <w:p w14:paraId="0520B6D8">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14d</w:t>
            </w:r>
          </w:p>
        </w:tc>
        <w:tc>
          <w:tcPr>
            <w:tcW w:w="1742" w:type="dxa"/>
            <w:tcBorders>
              <w:top w:val="single" w:color="000000" w:sz="4" w:space="0"/>
              <w:left w:val="single" w:color="000000" w:sz="4" w:space="0"/>
              <w:bottom w:val="single" w:color="000000" w:sz="4" w:space="0"/>
              <w:right w:val="single" w:color="000000" w:sz="4" w:space="0"/>
            </w:tcBorders>
            <w:vAlign w:val="center"/>
          </w:tcPr>
          <w:p w14:paraId="143A9964">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28d</w:t>
            </w:r>
          </w:p>
        </w:tc>
      </w:tr>
      <w:tr w14:paraId="21A5C98F">
        <w:tblPrEx>
          <w:tblCellMar>
            <w:top w:w="0" w:type="dxa"/>
            <w:left w:w="108" w:type="dxa"/>
            <w:bottom w:w="0" w:type="dxa"/>
            <w:right w:w="108" w:type="dxa"/>
          </w:tblCellMar>
        </w:tblPrEx>
        <w:trPr>
          <w:trHeight w:val="454" w:hRule="atLeast"/>
        </w:trPr>
        <w:tc>
          <w:tcPr>
            <w:tcW w:w="2219" w:type="dxa"/>
            <w:tcBorders>
              <w:top w:val="single" w:color="000000" w:sz="4" w:space="0"/>
              <w:left w:val="single" w:color="000000" w:sz="4" w:space="0"/>
              <w:bottom w:val="single" w:color="000000" w:sz="4" w:space="0"/>
              <w:right w:val="single" w:color="000000" w:sz="4" w:space="0"/>
            </w:tcBorders>
            <w:vAlign w:val="center"/>
          </w:tcPr>
          <w:p w14:paraId="4DF59828">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C25</w:t>
            </w:r>
          </w:p>
        </w:tc>
        <w:tc>
          <w:tcPr>
            <w:tcW w:w="2071" w:type="dxa"/>
            <w:tcBorders>
              <w:top w:val="single" w:color="000000" w:sz="4" w:space="0"/>
              <w:left w:val="single" w:color="000000" w:sz="4" w:space="0"/>
              <w:bottom w:val="single" w:color="000000" w:sz="4" w:space="0"/>
              <w:right w:val="single" w:color="000000" w:sz="4" w:space="0"/>
            </w:tcBorders>
            <w:vAlign w:val="center"/>
          </w:tcPr>
          <w:p w14:paraId="5F028538">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 xml:space="preserve">14.2 </w:t>
            </w:r>
          </w:p>
        </w:tc>
        <w:tc>
          <w:tcPr>
            <w:tcW w:w="1794" w:type="dxa"/>
            <w:tcBorders>
              <w:top w:val="single" w:color="000000" w:sz="4" w:space="0"/>
              <w:left w:val="single" w:color="000000" w:sz="4" w:space="0"/>
              <w:bottom w:val="single" w:color="000000" w:sz="4" w:space="0"/>
              <w:right w:val="single" w:color="000000" w:sz="4" w:space="0"/>
            </w:tcBorders>
            <w:vAlign w:val="center"/>
          </w:tcPr>
          <w:p w14:paraId="6307D75E">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 xml:space="preserve">22.3 </w:t>
            </w:r>
          </w:p>
        </w:tc>
        <w:tc>
          <w:tcPr>
            <w:tcW w:w="1753" w:type="dxa"/>
            <w:tcBorders>
              <w:top w:val="single" w:color="000000" w:sz="4" w:space="0"/>
              <w:left w:val="single" w:color="000000" w:sz="4" w:space="0"/>
              <w:bottom w:val="single" w:color="000000" w:sz="4" w:space="0"/>
              <w:right w:val="single" w:color="000000" w:sz="4" w:space="0"/>
            </w:tcBorders>
            <w:vAlign w:val="center"/>
          </w:tcPr>
          <w:p w14:paraId="2CDFAA4D">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 xml:space="preserve">29.7 </w:t>
            </w:r>
          </w:p>
        </w:tc>
        <w:tc>
          <w:tcPr>
            <w:tcW w:w="1742" w:type="dxa"/>
            <w:tcBorders>
              <w:top w:val="single" w:color="000000" w:sz="4" w:space="0"/>
              <w:left w:val="single" w:color="000000" w:sz="4" w:space="0"/>
              <w:bottom w:val="single" w:color="000000" w:sz="4" w:space="0"/>
              <w:right w:val="single" w:color="000000" w:sz="4" w:space="0"/>
            </w:tcBorders>
            <w:vAlign w:val="center"/>
          </w:tcPr>
          <w:p w14:paraId="6EC59712">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 xml:space="preserve">34.6 </w:t>
            </w:r>
          </w:p>
        </w:tc>
      </w:tr>
      <w:tr w14:paraId="38DA56D7">
        <w:tblPrEx>
          <w:tblCellMar>
            <w:top w:w="0" w:type="dxa"/>
            <w:left w:w="108" w:type="dxa"/>
            <w:bottom w:w="0" w:type="dxa"/>
            <w:right w:w="108" w:type="dxa"/>
          </w:tblCellMar>
        </w:tblPrEx>
        <w:trPr>
          <w:trHeight w:val="454" w:hRule="atLeast"/>
        </w:trPr>
        <w:tc>
          <w:tcPr>
            <w:tcW w:w="2219" w:type="dxa"/>
            <w:tcBorders>
              <w:top w:val="single" w:color="000000" w:sz="4" w:space="0"/>
              <w:left w:val="single" w:color="000000" w:sz="4" w:space="0"/>
              <w:bottom w:val="single" w:color="000000" w:sz="4" w:space="0"/>
              <w:right w:val="single" w:color="000000" w:sz="4" w:space="0"/>
            </w:tcBorders>
            <w:vAlign w:val="center"/>
          </w:tcPr>
          <w:p w14:paraId="4A84BE16">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C30</w:t>
            </w:r>
          </w:p>
        </w:tc>
        <w:tc>
          <w:tcPr>
            <w:tcW w:w="2071" w:type="dxa"/>
            <w:tcBorders>
              <w:top w:val="single" w:color="000000" w:sz="4" w:space="0"/>
              <w:left w:val="single" w:color="000000" w:sz="4" w:space="0"/>
              <w:bottom w:val="single" w:color="000000" w:sz="4" w:space="0"/>
              <w:right w:val="single" w:color="000000" w:sz="4" w:space="0"/>
            </w:tcBorders>
            <w:vAlign w:val="center"/>
          </w:tcPr>
          <w:p w14:paraId="75459B03">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 xml:space="preserve">18.3 </w:t>
            </w:r>
          </w:p>
        </w:tc>
        <w:tc>
          <w:tcPr>
            <w:tcW w:w="1794" w:type="dxa"/>
            <w:tcBorders>
              <w:top w:val="single" w:color="000000" w:sz="4" w:space="0"/>
              <w:left w:val="single" w:color="000000" w:sz="4" w:space="0"/>
              <w:bottom w:val="single" w:color="000000" w:sz="4" w:space="0"/>
              <w:right w:val="single" w:color="000000" w:sz="4" w:space="0"/>
            </w:tcBorders>
            <w:vAlign w:val="center"/>
          </w:tcPr>
          <w:p w14:paraId="4DD3DF3F">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 xml:space="preserve">27.1 </w:t>
            </w:r>
          </w:p>
        </w:tc>
        <w:tc>
          <w:tcPr>
            <w:tcW w:w="1753" w:type="dxa"/>
            <w:tcBorders>
              <w:top w:val="single" w:color="000000" w:sz="4" w:space="0"/>
              <w:left w:val="single" w:color="000000" w:sz="4" w:space="0"/>
              <w:bottom w:val="single" w:color="000000" w:sz="4" w:space="0"/>
              <w:right w:val="single" w:color="000000" w:sz="4" w:space="0"/>
            </w:tcBorders>
            <w:vAlign w:val="center"/>
          </w:tcPr>
          <w:p w14:paraId="7AD1A2A4">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 xml:space="preserve">34.6 </w:t>
            </w:r>
          </w:p>
        </w:tc>
        <w:tc>
          <w:tcPr>
            <w:tcW w:w="1742" w:type="dxa"/>
            <w:tcBorders>
              <w:top w:val="single" w:color="000000" w:sz="4" w:space="0"/>
              <w:left w:val="single" w:color="000000" w:sz="4" w:space="0"/>
              <w:bottom w:val="single" w:color="000000" w:sz="4" w:space="0"/>
              <w:right w:val="single" w:color="000000" w:sz="4" w:space="0"/>
            </w:tcBorders>
            <w:vAlign w:val="center"/>
          </w:tcPr>
          <w:p w14:paraId="04A366D1">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 xml:space="preserve">40.4 </w:t>
            </w:r>
          </w:p>
        </w:tc>
      </w:tr>
      <w:tr w14:paraId="0BF00BE2">
        <w:tblPrEx>
          <w:tblCellMar>
            <w:top w:w="0" w:type="dxa"/>
            <w:left w:w="108" w:type="dxa"/>
            <w:bottom w:w="0" w:type="dxa"/>
            <w:right w:w="108" w:type="dxa"/>
          </w:tblCellMar>
        </w:tblPrEx>
        <w:trPr>
          <w:trHeight w:val="454" w:hRule="atLeast"/>
        </w:trPr>
        <w:tc>
          <w:tcPr>
            <w:tcW w:w="2219" w:type="dxa"/>
            <w:tcBorders>
              <w:top w:val="single" w:color="000000" w:sz="4" w:space="0"/>
              <w:left w:val="single" w:color="000000" w:sz="4" w:space="0"/>
              <w:bottom w:val="single" w:color="000000" w:sz="4" w:space="0"/>
              <w:right w:val="single" w:color="000000" w:sz="4" w:space="0"/>
            </w:tcBorders>
            <w:vAlign w:val="center"/>
          </w:tcPr>
          <w:p w14:paraId="51740470">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C35</w:t>
            </w:r>
          </w:p>
        </w:tc>
        <w:tc>
          <w:tcPr>
            <w:tcW w:w="2071" w:type="dxa"/>
            <w:tcBorders>
              <w:top w:val="single" w:color="000000" w:sz="4" w:space="0"/>
              <w:left w:val="single" w:color="000000" w:sz="4" w:space="0"/>
              <w:bottom w:val="single" w:color="000000" w:sz="4" w:space="0"/>
              <w:right w:val="single" w:color="000000" w:sz="4" w:space="0"/>
            </w:tcBorders>
            <w:vAlign w:val="center"/>
          </w:tcPr>
          <w:p w14:paraId="004CD3B3">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 xml:space="preserve">19.9 </w:t>
            </w:r>
          </w:p>
        </w:tc>
        <w:tc>
          <w:tcPr>
            <w:tcW w:w="1794" w:type="dxa"/>
            <w:tcBorders>
              <w:top w:val="single" w:color="000000" w:sz="4" w:space="0"/>
              <w:left w:val="single" w:color="000000" w:sz="4" w:space="0"/>
              <w:bottom w:val="single" w:color="000000" w:sz="4" w:space="0"/>
              <w:right w:val="single" w:color="000000" w:sz="4" w:space="0"/>
            </w:tcBorders>
            <w:vAlign w:val="center"/>
          </w:tcPr>
          <w:p w14:paraId="6F032FDB">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 xml:space="preserve">30.9 </w:t>
            </w:r>
          </w:p>
        </w:tc>
        <w:tc>
          <w:tcPr>
            <w:tcW w:w="1753" w:type="dxa"/>
            <w:tcBorders>
              <w:top w:val="single" w:color="000000" w:sz="4" w:space="0"/>
              <w:left w:val="single" w:color="000000" w:sz="4" w:space="0"/>
              <w:bottom w:val="single" w:color="000000" w:sz="4" w:space="0"/>
              <w:right w:val="single" w:color="000000" w:sz="4" w:space="0"/>
            </w:tcBorders>
            <w:vAlign w:val="center"/>
          </w:tcPr>
          <w:p w14:paraId="51DEC358">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 xml:space="preserve">36.2 </w:t>
            </w:r>
          </w:p>
        </w:tc>
        <w:tc>
          <w:tcPr>
            <w:tcW w:w="1742" w:type="dxa"/>
            <w:tcBorders>
              <w:top w:val="single" w:color="000000" w:sz="4" w:space="0"/>
              <w:left w:val="single" w:color="000000" w:sz="4" w:space="0"/>
              <w:bottom w:val="single" w:color="000000" w:sz="4" w:space="0"/>
              <w:right w:val="single" w:color="000000" w:sz="4" w:space="0"/>
            </w:tcBorders>
            <w:vAlign w:val="center"/>
          </w:tcPr>
          <w:p w14:paraId="2A8934E0">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 xml:space="preserve">44.2 </w:t>
            </w:r>
          </w:p>
        </w:tc>
      </w:tr>
      <w:tr w14:paraId="277D7734">
        <w:tblPrEx>
          <w:tblCellMar>
            <w:top w:w="0" w:type="dxa"/>
            <w:left w:w="108" w:type="dxa"/>
            <w:bottom w:w="0" w:type="dxa"/>
            <w:right w:w="108" w:type="dxa"/>
          </w:tblCellMar>
        </w:tblPrEx>
        <w:trPr>
          <w:trHeight w:val="454" w:hRule="atLeast"/>
        </w:trPr>
        <w:tc>
          <w:tcPr>
            <w:tcW w:w="2219" w:type="dxa"/>
            <w:tcBorders>
              <w:top w:val="single" w:color="000000" w:sz="4" w:space="0"/>
              <w:left w:val="single" w:color="000000" w:sz="4" w:space="0"/>
              <w:bottom w:val="single" w:color="000000" w:sz="4" w:space="0"/>
              <w:right w:val="single" w:color="000000" w:sz="4" w:space="0"/>
            </w:tcBorders>
            <w:vAlign w:val="center"/>
          </w:tcPr>
          <w:p w14:paraId="4A1A5697">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C40</w:t>
            </w:r>
          </w:p>
        </w:tc>
        <w:tc>
          <w:tcPr>
            <w:tcW w:w="2071" w:type="dxa"/>
            <w:tcBorders>
              <w:top w:val="single" w:color="000000" w:sz="4" w:space="0"/>
              <w:left w:val="single" w:color="000000" w:sz="4" w:space="0"/>
              <w:bottom w:val="single" w:color="000000" w:sz="4" w:space="0"/>
              <w:right w:val="single" w:color="000000" w:sz="4" w:space="0"/>
            </w:tcBorders>
            <w:vAlign w:val="center"/>
          </w:tcPr>
          <w:p w14:paraId="3A820CE1">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 xml:space="preserve">25.6 </w:t>
            </w:r>
          </w:p>
        </w:tc>
        <w:tc>
          <w:tcPr>
            <w:tcW w:w="1794" w:type="dxa"/>
            <w:tcBorders>
              <w:top w:val="single" w:color="000000" w:sz="4" w:space="0"/>
              <w:left w:val="single" w:color="000000" w:sz="4" w:space="0"/>
              <w:bottom w:val="single" w:color="000000" w:sz="4" w:space="0"/>
              <w:right w:val="single" w:color="000000" w:sz="4" w:space="0"/>
            </w:tcBorders>
            <w:vAlign w:val="center"/>
          </w:tcPr>
          <w:p w14:paraId="79DE1419">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 xml:space="preserve">34.2 </w:t>
            </w:r>
          </w:p>
        </w:tc>
        <w:tc>
          <w:tcPr>
            <w:tcW w:w="1753" w:type="dxa"/>
            <w:tcBorders>
              <w:top w:val="single" w:color="000000" w:sz="4" w:space="0"/>
              <w:left w:val="single" w:color="000000" w:sz="4" w:space="0"/>
              <w:bottom w:val="single" w:color="000000" w:sz="4" w:space="0"/>
              <w:right w:val="single" w:color="000000" w:sz="4" w:space="0"/>
            </w:tcBorders>
            <w:vAlign w:val="center"/>
          </w:tcPr>
          <w:p w14:paraId="42AB9CFD">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 xml:space="preserve">42.0 </w:t>
            </w:r>
          </w:p>
        </w:tc>
        <w:tc>
          <w:tcPr>
            <w:tcW w:w="1742" w:type="dxa"/>
            <w:tcBorders>
              <w:top w:val="single" w:color="000000" w:sz="4" w:space="0"/>
              <w:left w:val="single" w:color="000000" w:sz="4" w:space="0"/>
              <w:bottom w:val="single" w:color="000000" w:sz="4" w:space="0"/>
              <w:right w:val="single" w:color="000000" w:sz="4" w:space="0"/>
            </w:tcBorders>
            <w:vAlign w:val="center"/>
          </w:tcPr>
          <w:p w14:paraId="4413CF13">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 xml:space="preserve">50.2 </w:t>
            </w:r>
          </w:p>
        </w:tc>
      </w:tr>
      <w:tr w14:paraId="50D07E8D">
        <w:tblPrEx>
          <w:tblCellMar>
            <w:top w:w="0" w:type="dxa"/>
            <w:left w:w="108" w:type="dxa"/>
            <w:bottom w:w="0" w:type="dxa"/>
            <w:right w:w="108" w:type="dxa"/>
          </w:tblCellMar>
        </w:tblPrEx>
        <w:trPr>
          <w:trHeight w:val="454" w:hRule="atLeast"/>
        </w:trPr>
        <w:tc>
          <w:tcPr>
            <w:tcW w:w="2219" w:type="dxa"/>
            <w:tcBorders>
              <w:top w:val="single" w:color="000000" w:sz="4" w:space="0"/>
              <w:left w:val="single" w:color="000000" w:sz="4" w:space="0"/>
              <w:bottom w:val="single" w:color="000000" w:sz="4" w:space="0"/>
              <w:right w:val="single" w:color="000000" w:sz="4" w:space="0"/>
            </w:tcBorders>
            <w:vAlign w:val="center"/>
          </w:tcPr>
          <w:p w14:paraId="7A900D93">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C45</w:t>
            </w:r>
          </w:p>
        </w:tc>
        <w:tc>
          <w:tcPr>
            <w:tcW w:w="2071" w:type="dxa"/>
            <w:tcBorders>
              <w:top w:val="single" w:color="000000" w:sz="4" w:space="0"/>
              <w:left w:val="single" w:color="000000" w:sz="4" w:space="0"/>
              <w:bottom w:val="single" w:color="000000" w:sz="4" w:space="0"/>
              <w:right w:val="single" w:color="000000" w:sz="4" w:space="0"/>
            </w:tcBorders>
            <w:vAlign w:val="center"/>
          </w:tcPr>
          <w:p w14:paraId="710BDB1B">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 xml:space="preserve">39.4 </w:t>
            </w:r>
          </w:p>
        </w:tc>
        <w:tc>
          <w:tcPr>
            <w:tcW w:w="1794" w:type="dxa"/>
            <w:tcBorders>
              <w:top w:val="single" w:color="000000" w:sz="4" w:space="0"/>
              <w:left w:val="single" w:color="000000" w:sz="4" w:space="0"/>
              <w:bottom w:val="single" w:color="000000" w:sz="4" w:space="0"/>
              <w:right w:val="single" w:color="000000" w:sz="4" w:space="0"/>
            </w:tcBorders>
            <w:vAlign w:val="center"/>
          </w:tcPr>
          <w:p w14:paraId="145877DC">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 xml:space="preserve">42.2 </w:t>
            </w:r>
          </w:p>
        </w:tc>
        <w:tc>
          <w:tcPr>
            <w:tcW w:w="1753" w:type="dxa"/>
            <w:tcBorders>
              <w:top w:val="single" w:color="000000" w:sz="4" w:space="0"/>
              <w:left w:val="single" w:color="000000" w:sz="4" w:space="0"/>
              <w:bottom w:val="single" w:color="000000" w:sz="4" w:space="0"/>
              <w:right w:val="single" w:color="000000" w:sz="4" w:space="0"/>
            </w:tcBorders>
            <w:vAlign w:val="center"/>
          </w:tcPr>
          <w:p w14:paraId="6F6DB33F">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 xml:space="preserve">48.6 </w:t>
            </w:r>
          </w:p>
        </w:tc>
        <w:tc>
          <w:tcPr>
            <w:tcW w:w="1742" w:type="dxa"/>
            <w:tcBorders>
              <w:top w:val="single" w:color="000000" w:sz="4" w:space="0"/>
              <w:left w:val="single" w:color="000000" w:sz="4" w:space="0"/>
              <w:bottom w:val="single" w:color="000000" w:sz="4" w:space="0"/>
              <w:right w:val="single" w:color="000000" w:sz="4" w:space="0"/>
            </w:tcBorders>
            <w:vAlign w:val="center"/>
          </w:tcPr>
          <w:p w14:paraId="537C839A">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 xml:space="preserve">54.3 </w:t>
            </w:r>
          </w:p>
        </w:tc>
      </w:tr>
      <w:tr w14:paraId="43CFD4CA">
        <w:tblPrEx>
          <w:tblCellMar>
            <w:top w:w="0" w:type="dxa"/>
            <w:left w:w="108" w:type="dxa"/>
            <w:bottom w:w="0" w:type="dxa"/>
            <w:right w:w="108" w:type="dxa"/>
          </w:tblCellMar>
        </w:tblPrEx>
        <w:trPr>
          <w:trHeight w:val="454" w:hRule="atLeast"/>
        </w:trPr>
        <w:tc>
          <w:tcPr>
            <w:tcW w:w="2219" w:type="dxa"/>
            <w:tcBorders>
              <w:top w:val="single" w:color="000000" w:sz="4" w:space="0"/>
              <w:left w:val="single" w:color="000000" w:sz="4" w:space="0"/>
              <w:bottom w:val="single" w:color="000000" w:sz="4" w:space="0"/>
              <w:right w:val="single" w:color="000000" w:sz="4" w:space="0"/>
            </w:tcBorders>
            <w:vAlign w:val="center"/>
          </w:tcPr>
          <w:p w14:paraId="0E8A7831">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C50</w:t>
            </w:r>
          </w:p>
        </w:tc>
        <w:tc>
          <w:tcPr>
            <w:tcW w:w="2071" w:type="dxa"/>
            <w:tcBorders>
              <w:top w:val="single" w:color="000000" w:sz="4" w:space="0"/>
              <w:left w:val="single" w:color="000000" w:sz="4" w:space="0"/>
              <w:bottom w:val="single" w:color="000000" w:sz="4" w:space="0"/>
              <w:right w:val="single" w:color="000000" w:sz="4" w:space="0"/>
            </w:tcBorders>
            <w:vAlign w:val="center"/>
          </w:tcPr>
          <w:p w14:paraId="1A82354E">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 xml:space="preserve">29.0 </w:t>
            </w:r>
          </w:p>
        </w:tc>
        <w:tc>
          <w:tcPr>
            <w:tcW w:w="1794" w:type="dxa"/>
            <w:tcBorders>
              <w:top w:val="single" w:color="000000" w:sz="4" w:space="0"/>
              <w:left w:val="single" w:color="000000" w:sz="4" w:space="0"/>
              <w:bottom w:val="single" w:color="000000" w:sz="4" w:space="0"/>
              <w:right w:val="single" w:color="000000" w:sz="4" w:space="0"/>
            </w:tcBorders>
            <w:vAlign w:val="center"/>
          </w:tcPr>
          <w:p w14:paraId="3E389FE0">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413</w:t>
            </w:r>
          </w:p>
        </w:tc>
        <w:tc>
          <w:tcPr>
            <w:tcW w:w="1753" w:type="dxa"/>
            <w:tcBorders>
              <w:top w:val="single" w:color="000000" w:sz="4" w:space="0"/>
              <w:left w:val="single" w:color="000000" w:sz="4" w:space="0"/>
              <w:bottom w:val="single" w:color="000000" w:sz="4" w:space="0"/>
              <w:right w:val="single" w:color="000000" w:sz="4" w:space="0"/>
            </w:tcBorders>
            <w:vAlign w:val="center"/>
          </w:tcPr>
          <w:p w14:paraId="6FF99AAA">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 xml:space="preserve">54.5 </w:t>
            </w:r>
          </w:p>
        </w:tc>
        <w:tc>
          <w:tcPr>
            <w:tcW w:w="1742" w:type="dxa"/>
            <w:tcBorders>
              <w:top w:val="single" w:color="000000" w:sz="4" w:space="0"/>
              <w:left w:val="single" w:color="000000" w:sz="4" w:space="0"/>
              <w:bottom w:val="single" w:color="000000" w:sz="4" w:space="0"/>
              <w:right w:val="single" w:color="000000" w:sz="4" w:space="0"/>
            </w:tcBorders>
            <w:vAlign w:val="center"/>
          </w:tcPr>
          <w:p w14:paraId="326B5D94">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 xml:space="preserve">62.4 </w:t>
            </w:r>
          </w:p>
        </w:tc>
      </w:tr>
      <w:tr w14:paraId="6BAF5B27">
        <w:tblPrEx>
          <w:tblCellMar>
            <w:top w:w="0" w:type="dxa"/>
            <w:left w:w="108" w:type="dxa"/>
            <w:bottom w:w="0" w:type="dxa"/>
            <w:right w:w="108" w:type="dxa"/>
          </w:tblCellMar>
        </w:tblPrEx>
        <w:trPr>
          <w:trHeight w:val="454" w:hRule="atLeast"/>
        </w:trPr>
        <w:tc>
          <w:tcPr>
            <w:tcW w:w="2219" w:type="dxa"/>
            <w:tcBorders>
              <w:top w:val="single" w:color="000000" w:sz="4" w:space="0"/>
              <w:left w:val="single" w:color="000000" w:sz="4" w:space="0"/>
              <w:bottom w:val="single" w:color="000000" w:sz="4" w:space="0"/>
              <w:right w:val="single" w:color="000000" w:sz="4" w:space="0"/>
            </w:tcBorders>
            <w:vAlign w:val="center"/>
          </w:tcPr>
          <w:p w14:paraId="3F7ACD76">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C55</w:t>
            </w:r>
          </w:p>
        </w:tc>
        <w:tc>
          <w:tcPr>
            <w:tcW w:w="2071" w:type="dxa"/>
            <w:tcBorders>
              <w:top w:val="single" w:color="000000" w:sz="4" w:space="0"/>
              <w:left w:val="single" w:color="000000" w:sz="4" w:space="0"/>
              <w:bottom w:val="single" w:color="000000" w:sz="4" w:space="0"/>
              <w:right w:val="single" w:color="000000" w:sz="4" w:space="0"/>
            </w:tcBorders>
            <w:vAlign w:val="center"/>
          </w:tcPr>
          <w:p w14:paraId="7951D168">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 xml:space="preserve">35.7 </w:t>
            </w:r>
          </w:p>
        </w:tc>
        <w:tc>
          <w:tcPr>
            <w:tcW w:w="1794" w:type="dxa"/>
            <w:tcBorders>
              <w:top w:val="single" w:color="000000" w:sz="4" w:space="0"/>
              <w:left w:val="single" w:color="000000" w:sz="4" w:space="0"/>
              <w:bottom w:val="single" w:color="000000" w:sz="4" w:space="0"/>
              <w:right w:val="single" w:color="000000" w:sz="4" w:space="0"/>
            </w:tcBorders>
            <w:vAlign w:val="center"/>
          </w:tcPr>
          <w:p w14:paraId="2E91F7F9">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 xml:space="preserve">47.4 </w:t>
            </w:r>
          </w:p>
        </w:tc>
        <w:tc>
          <w:tcPr>
            <w:tcW w:w="1753" w:type="dxa"/>
            <w:tcBorders>
              <w:top w:val="single" w:color="000000" w:sz="4" w:space="0"/>
              <w:left w:val="single" w:color="000000" w:sz="4" w:space="0"/>
              <w:bottom w:val="single" w:color="000000" w:sz="4" w:space="0"/>
              <w:right w:val="single" w:color="000000" w:sz="4" w:space="0"/>
            </w:tcBorders>
            <w:vAlign w:val="center"/>
          </w:tcPr>
          <w:p w14:paraId="10F6FDD4">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 xml:space="preserve">57.7 </w:t>
            </w:r>
          </w:p>
        </w:tc>
        <w:tc>
          <w:tcPr>
            <w:tcW w:w="1742" w:type="dxa"/>
            <w:tcBorders>
              <w:top w:val="single" w:color="000000" w:sz="4" w:space="0"/>
              <w:left w:val="single" w:color="000000" w:sz="4" w:space="0"/>
              <w:bottom w:val="single" w:color="000000" w:sz="4" w:space="0"/>
              <w:right w:val="single" w:color="000000" w:sz="4" w:space="0"/>
            </w:tcBorders>
            <w:vAlign w:val="center"/>
          </w:tcPr>
          <w:p w14:paraId="3D942E6D">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 xml:space="preserve">67.1 </w:t>
            </w:r>
          </w:p>
        </w:tc>
      </w:tr>
      <w:tr w14:paraId="0D6BDB27">
        <w:tblPrEx>
          <w:tblCellMar>
            <w:top w:w="0" w:type="dxa"/>
            <w:left w:w="108" w:type="dxa"/>
            <w:bottom w:w="0" w:type="dxa"/>
            <w:right w:w="108" w:type="dxa"/>
          </w:tblCellMar>
        </w:tblPrEx>
        <w:trPr>
          <w:trHeight w:val="454" w:hRule="atLeast"/>
        </w:trPr>
        <w:tc>
          <w:tcPr>
            <w:tcW w:w="2219" w:type="dxa"/>
            <w:tcBorders>
              <w:top w:val="single" w:color="000000" w:sz="4" w:space="0"/>
              <w:left w:val="single" w:color="000000" w:sz="4" w:space="0"/>
              <w:bottom w:val="single" w:color="000000" w:sz="4" w:space="0"/>
              <w:right w:val="single" w:color="000000" w:sz="4" w:space="0"/>
            </w:tcBorders>
            <w:vAlign w:val="center"/>
          </w:tcPr>
          <w:p w14:paraId="4C847A78">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C60</w:t>
            </w:r>
          </w:p>
        </w:tc>
        <w:tc>
          <w:tcPr>
            <w:tcW w:w="2071" w:type="dxa"/>
            <w:tcBorders>
              <w:top w:val="single" w:color="000000" w:sz="4" w:space="0"/>
              <w:left w:val="single" w:color="000000" w:sz="4" w:space="0"/>
              <w:bottom w:val="single" w:color="000000" w:sz="4" w:space="0"/>
              <w:right w:val="single" w:color="000000" w:sz="4" w:space="0"/>
            </w:tcBorders>
            <w:vAlign w:val="center"/>
          </w:tcPr>
          <w:p w14:paraId="6B61CA9B">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451</w:t>
            </w:r>
          </w:p>
        </w:tc>
        <w:tc>
          <w:tcPr>
            <w:tcW w:w="1794" w:type="dxa"/>
            <w:tcBorders>
              <w:top w:val="single" w:color="000000" w:sz="4" w:space="0"/>
              <w:left w:val="single" w:color="000000" w:sz="4" w:space="0"/>
              <w:bottom w:val="single" w:color="000000" w:sz="4" w:space="0"/>
              <w:right w:val="single" w:color="000000" w:sz="4" w:space="0"/>
            </w:tcBorders>
            <w:vAlign w:val="center"/>
          </w:tcPr>
          <w:p w14:paraId="68403589">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 xml:space="preserve">54.3 </w:t>
            </w:r>
          </w:p>
        </w:tc>
        <w:tc>
          <w:tcPr>
            <w:tcW w:w="1753" w:type="dxa"/>
            <w:tcBorders>
              <w:top w:val="single" w:color="000000" w:sz="4" w:space="0"/>
              <w:left w:val="single" w:color="000000" w:sz="4" w:space="0"/>
              <w:bottom w:val="single" w:color="000000" w:sz="4" w:space="0"/>
              <w:right w:val="single" w:color="000000" w:sz="4" w:space="0"/>
            </w:tcBorders>
            <w:vAlign w:val="center"/>
          </w:tcPr>
          <w:p w14:paraId="623110DC">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 xml:space="preserve">59.5 </w:t>
            </w:r>
          </w:p>
        </w:tc>
        <w:tc>
          <w:tcPr>
            <w:tcW w:w="1742" w:type="dxa"/>
            <w:tcBorders>
              <w:top w:val="single" w:color="000000" w:sz="4" w:space="0"/>
              <w:left w:val="single" w:color="000000" w:sz="4" w:space="0"/>
              <w:bottom w:val="single" w:color="000000" w:sz="4" w:space="0"/>
              <w:right w:val="single" w:color="000000" w:sz="4" w:space="0"/>
            </w:tcBorders>
            <w:vAlign w:val="center"/>
          </w:tcPr>
          <w:p w14:paraId="2B3F4B5E">
            <w:pPr>
              <w:autoSpaceDE w:val="0"/>
              <w:autoSpaceDN w:val="0"/>
              <w:spacing w:line="240" w:lineRule="auto"/>
              <w:jc w:val="center"/>
              <w:rPr>
                <w:rFonts w:ascii="Times New Roman" w:hAnsi="Times New Roman"/>
                <w:sz w:val="18"/>
                <w:szCs w:val="18"/>
                <w:lang w:val="zh-CN"/>
              </w:rPr>
            </w:pPr>
            <w:r>
              <w:rPr>
                <w:rFonts w:ascii="Times New Roman" w:hAnsi="Times New Roman"/>
                <w:sz w:val="18"/>
                <w:szCs w:val="18"/>
                <w:lang w:val="zh-CN"/>
              </w:rPr>
              <w:t xml:space="preserve">70.4 </w:t>
            </w:r>
          </w:p>
        </w:tc>
      </w:tr>
    </w:tbl>
    <w:p w14:paraId="400C5B5D">
      <w:pPr>
        <w:pStyle w:val="50"/>
        <w:rPr>
          <w:rFonts w:ascii="Times New Roman"/>
        </w:rPr>
      </w:pPr>
    </w:p>
    <w:p w14:paraId="09D138EE">
      <w:pPr>
        <w:pStyle w:val="49"/>
        <w:numPr>
          <w:ilvl w:val="0"/>
          <w:numId w:val="0"/>
        </w:numPr>
        <w:ind w:left="420"/>
        <w:rPr>
          <w:rFonts w:ascii="Times New Roman" w:hAnsi="Times New Roman"/>
        </w:rPr>
      </w:pPr>
      <w:bookmarkStart w:id="1029" w:name="_Toc13391"/>
      <w:bookmarkStart w:id="1030" w:name="_Toc204018445"/>
      <w:bookmarkStart w:id="1031" w:name="_Toc205222589"/>
      <w:bookmarkStart w:id="1032" w:name="_Toc205482229"/>
      <w:r>
        <w:rPr>
          <w:rFonts w:ascii="Times New Roman" w:hAnsi="Times New Roman"/>
        </w:rPr>
        <w:t>7.2.2　</w:t>
      </w:r>
      <w:bookmarkEnd w:id="1029"/>
      <w:bookmarkEnd w:id="1030"/>
      <w:bookmarkEnd w:id="1031"/>
      <w:r>
        <w:rPr>
          <w:rFonts w:ascii="Times New Roman" w:hAnsi="Times New Roman"/>
        </w:rPr>
        <w:t>大量的试验证明，复合胶凝材料可以单独用于配制C25及以下等级混凝土，可以起到节约成本、降低碳排放的效果，并且可以与其他矿物掺合料同时使用，为保证强度和耐久性，复合胶凝材料的用量不宜低于340 kg/m</w:t>
      </w:r>
      <w:r>
        <w:rPr>
          <w:rFonts w:ascii="Times New Roman" w:hAnsi="Times New Roman"/>
          <w:vertAlign w:val="superscript"/>
        </w:rPr>
        <w:t>3</w:t>
      </w:r>
      <w:r>
        <w:rPr>
          <w:rFonts w:ascii="Times New Roman" w:hAnsi="Times New Roman"/>
        </w:rPr>
        <w:t>。</w:t>
      </w:r>
      <w:bookmarkEnd w:id="1032"/>
    </w:p>
    <w:p w14:paraId="0F37E264">
      <w:pPr>
        <w:pStyle w:val="49"/>
        <w:numPr>
          <w:ilvl w:val="0"/>
          <w:numId w:val="0"/>
        </w:numPr>
        <w:ind w:left="420"/>
        <w:rPr>
          <w:rFonts w:ascii="Times New Roman" w:hAnsi="Times New Roman"/>
        </w:rPr>
      </w:pPr>
      <w:bookmarkStart w:id="1033" w:name="_Toc205482230"/>
      <w:r>
        <w:rPr>
          <w:rFonts w:ascii="Times New Roman" w:hAnsi="Times New Roman"/>
        </w:rPr>
        <w:t>7.2.3　配制预制件混凝土时，通常会采取一定的养护措施，因此有效激发胶凝材料的活性，提高混凝土的强度等性能，因此可以适当调整总胶凝材料用量，以符合经济、合理的原则。</w:t>
      </w:r>
      <w:bookmarkEnd w:id="1033"/>
    </w:p>
    <w:p w14:paraId="4B30E5D2">
      <w:pPr>
        <w:pStyle w:val="49"/>
        <w:numPr>
          <w:ilvl w:val="0"/>
          <w:numId w:val="0"/>
        </w:numPr>
        <w:ind w:left="420"/>
        <w:rPr>
          <w:rFonts w:ascii="Times New Roman" w:hAnsi="Times New Roman"/>
        </w:rPr>
      </w:pPr>
      <w:bookmarkStart w:id="1034" w:name="_Toc204018446"/>
      <w:bookmarkStart w:id="1035" w:name="_Toc13676"/>
      <w:bookmarkStart w:id="1036" w:name="_Toc205222590"/>
      <w:bookmarkStart w:id="1037" w:name="_Toc205482231"/>
      <w:r>
        <w:rPr>
          <w:rFonts w:ascii="Times New Roman" w:hAnsi="Times New Roman"/>
        </w:rPr>
        <w:t>7.2.4　研究表明，提高复合混凝土的含气量能提高混凝土的抗冻性及其它耐久性能。对于有抗冻设计要求时，混凝土中可掺加引气剂，但含量不宜过大，含气量超过6%混凝土的强度会显著降低。</w:t>
      </w:r>
      <w:bookmarkEnd w:id="1034"/>
      <w:bookmarkEnd w:id="1035"/>
      <w:bookmarkEnd w:id="1036"/>
      <w:bookmarkEnd w:id="1037"/>
    </w:p>
    <w:p w14:paraId="3C086DAC">
      <w:pPr>
        <w:pStyle w:val="53"/>
        <w:numPr>
          <w:ilvl w:val="0"/>
          <w:numId w:val="0"/>
        </w:numPr>
        <w:rPr>
          <w:rFonts w:ascii="Times New Roman"/>
        </w:rPr>
      </w:pPr>
      <w:bookmarkStart w:id="1038" w:name="_Toc204017241"/>
      <w:bookmarkStart w:id="1039" w:name="_Toc1157"/>
      <w:bookmarkStart w:id="1040" w:name="_Toc9909"/>
      <w:bookmarkStart w:id="1041" w:name="_Toc195801940"/>
      <w:bookmarkStart w:id="1042" w:name="_Toc8890"/>
      <w:bookmarkStart w:id="1043" w:name="_Toc205237812"/>
      <w:bookmarkStart w:id="1044" w:name="_Toc195801218"/>
      <w:bookmarkStart w:id="1045" w:name="_Toc195801519"/>
      <w:bookmarkStart w:id="1046" w:name="_Toc205222400"/>
      <w:bookmarkStart w:id="1047" w:name="_Toc205482232"/>
      <w:r>
        <w:rPr>
          <w:rFonts w:ascii="Times New Roman"/>
        </w:rPr>
        <w:t>7.3　设计控制</w:t>
      </w:r>
      <w:bookmarkEnd w:id="1038"/>
      <w:bookmarkEnd w:id="1039"/>
      <w:bookmarkEnd w:id="1040"/>
      <w:bookmarkEnd w:id="1041"/>
      <w:bookmarkEnd w:id="1042"/>
      <w:bookmarkEnd w:id="1043"/>
      <w:bookmarkEnd w:id="1044"/>
      <w:bookmarkEnd w:id="1045"/>
      <w:bookmarkEnd w:id="1046"/>
      <w:bookmarkEnd w:id="1047"/>
    </w:p>
    <w:p w14:paraId="687C09E8">
      <w:pPr>
        <w:pStyle w:val="49"/>
        <w:numPr>
          <w:ilvl w:val="0"/>
          <w:numId w:val="0"/>
        </w:numPr>
        <w:ind w:left="420"/>
        <w:rPr>
          <w:rFonts w:ascii="Times New Roman" w:hAnsi="Times New Roman"/>
        </w:rPr>
      </w:pPr>
      <w:bookmarkStart w:id="1048" w:name="_Toc205222592"/>
      <w:bookmarkStart w:id="1049" w:name="_Toc205482233"/>
      <w:bookmarkStart w:id="1050" w:name="_Toc204018448"/>
      <w:bookmarkStart w:id="1051" w:name="_Toc18882"/>
      <w:r>
        <w:rPr>
          <w:rFonts w:ascii="Times New Roman" w:hAnsi="Times New Roman"/>
        </w:rPr>
        <w:t>7.3.1　复合混凝土应根据实际采用的原材料进行配合比设计并按普通混凝土拌合物性能试验方法等标准进行试验、试配，以满足混凝土强度、耐久性和工作性（坍落度等）的要求，不应采用经验配合比。混凝土配比应符合经济、合理的原则。</w:t>
      </w:r>
      <w:bookmarkEnd w:id="1048"/>
      <w:bookmarkEnd w:id="1049"/>
      <w:bookmarkEnd w:id="1050"/>
      <w:bookmarkEnd w:id="1051"/>
    </w:p>
    <w:p w14:paraId="34CBEFE3">
      <w:pPr>
        <w:pStyle w:val="49"/>
        <w:numPr>
          <w:ilvl w:val="0"/>
          <w:numId w:val="0"/>
        </w:numPr>
        <w:ind w:left="420"/>
        <w:rPr>
          <w:rFonts w:ascii="Times New Roman" w:hAnsi="Times New Roman"/>
        </w:rPr>
      </w:pPr>
      <w:bookmarkStart w:id="1052" w:name="_Toc2765"/>
      <w:bookmarkStart w:id="1053" w:name="_Toc205482234"/>
      <w:bookmarkStart w:id="1054" w:name="_Toc204018449"/>
      <w:bookmarkStart w:id="1055" w:name="_Toc205222593"/>
      <w:r>
        <w:rPr>
          <w:rFonts w:ascii="Times New Roman" w:hAnsi="Times New Roman"/>
        </w:rPr>
        <w:t>7.3.2　实际生产时，对首次使用的混凝土配合比应进行开盘鉴定，并至少留置一组56</w:t>
      </w:r>
      <w:r>
        <w:rPr>
          <w:rFonts w:hint="eastAsia" w:ascii="Times New Roman" w:hAnsi="Times New Roman"/>
        </w:rPr>
        <w:t xml:space="preserve"> </w:t>
      </w:r>
      <w:r>
        <w:rPr>
          <w:rFonts w:ascii="Times New Roman" w:hAnsi="Times New Roman"/>
        </w:rPr>
        <w:t>d标准养护试件，以验证混凝土的实际质量与设计要求的一致性。施工单位应注意积累相关资料，以利于提高配合比设计水平。</w:t>
      </w:r>
      <w:bookmarkEnd w:id="1052"/>
      <w:bookmarkEnd w:id="1053"/>
      <w:bookmarkEnd w:id="1054"/>
      <w:bookmarkEnd w:id="1055"/>
    </w:p>
    <w:p w14:paraId="38286658">
      <w:pPr>
        <w:pStyle w:val="49"/>
        <w:numPr>
          <w:ilvl w:val="0"/>
          <w:numId w:val="0"/>
        </w:numPr>
        <w:ind w:left="420"/>
        <w:rPr>
          <w:rFonts w:ascii="Times New Roman" w:hAnsi="Times New Roman"/>
        </w:rPr>
      </w:pPr>
      <w:bookmarkStart w:id="1056" w:name="_Toc23657"/>
      <w:bookmarkStart w:id="1057" w:name="_Toc204018450"/>
      <w:bookmarkStart w:id="1058" w:name="_Toc205222594"/>
      <w:bookmarkStart w:id="1059" w:name="_Toc205482235"/>
      <w:r>
        <w:rPr>
          <w:rFonts w:ascii="Times New Roman" w:hAnsi="Times New Roman"/>
        </w:rPr>
        <w:t>7.3.3　混凝土生产时，砂、石的实际含水率可能与配合比设计时存在差异，故规定应测定实际含水率并相应地调整材料用量。检验方法为检查开盘鉴定资料和试件强度试验报告。</w:t>
      </w:r>
      <w:bookmarkEnd w:id="1056"/>
      <w:bookmarkEnd w:id="1057"/>
      <w:bookmarkEnd w:id="1058"/>
      <w:bookmarkEnd w:id="1059"/>
    </w:p>
    <w:p w14:paraId="4C4150B1">
      <w:pPr>
        <w:pStyle w:val="52"/>
        <w:numPr>
          <w:ilvl w:val="1"/>
          <w:numId w:val="0"/>
        </w:numPr>
        <w:spacing w:before="312" w:after="312"/>
        <w:rPr>
          <w:rFonts w:ascii="Times New Roman"/>
        </w:rPr>
      </w:pPr>
      <w:bookmarkStart w:id="1060" w:name="_Toc204017242"/>
      <w:bookmarkStart w:id="1061" w:name="_Toc195801520"/>
      <w:bookmarkStart w:id="1062" w:name="_Toc169011111"/>
      <w:bookmarkStart w:id="1063" w:name="_Toc195801941"/>
      <w:bookmarkStart w:id="1064" w:name="_Toc15844"/>
      <w:bookmarkStart w:id="1065" w:name="_Toc162893141"/>
      <w:bookmarkStart w:id="1066" w:name="_Toc31978"/>
      <w:bookmarkStart w:id="1067" w:name="_Toc195801219"/>
      <w:bookmarkStart w:id="1068" w:name="_Toc205222401"/>
      <w:bookmarkStart w:id="1069" w:name="_Toc169011600"/>
      <w:bookmarkStart w:id="1070" w:name="_Toc205482236"/>
      <w:bookmarkStart w:id="1071" w:name="_Toc205237813"/>
      <w:bookmarkStart w:id="1072" w:name="_Toc2170"/>
      <w:r>
        <w:rPr>
          <w:rFonts w:ascii="Times New Roman"/>
        </w:rPr>
        <w:t>8</w:t>
      </w:r>
      <w:r>
        <w:rPr>
          <w:rFonts w:ascii="Times New Roman"/>
        </w:rPr>
        <w:sym w:font="Symbol" w:char="007F"/>
      </w:r>
      <w:r>
        <w:rPr>
          <w:rFonts w:ascii="Times New Roman"/>
        </w:rPr>
        <w:t>生产与施工</w:t>
      </w:r>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14:paraId="58F43DE9">
      <w:pPr>
        <w:pStyle w:val="53"/>
        <w:numPr>
          <w:ilvl w:val="0"/>
          <w:numId w:val="0"/>
        </w:numPr>
        <w:rPr>
          <w:rFonts w:ascii="Times New Roman"/>
        </w:rPr>
      </w:pPr>
      <w:bookmarkStart w:id="1073" w:name="_Toc5961"/>
      <w:bookmarkStart w:id="1074" w:name="_Toc204017244"/>
      <w:bookmarkStart w:id="1075" w:name="_Toc162893144"/>
      <w:bookmarkStart w:id="1076" w:name="_Toc28380"/>
      <w:bookmarkStart w:id="1077" w:name="_Toc195801222"/>
      <w:bookmarkStart w:id="1078" w:name="_Toc169011114"/>
      <w:bookmarkStart w:id="1079" w:name="_Toc195801523"/>
      <w:bookmarkStart w:id="1080" w:name="_Toc162893508"/>
      <w:bookmarkStart w:id="1081" w:name="_Toc195801944"/>
      <w:bookmarkStart w:id="1082" w:name="_Toc19158"/>
      <w:bookmarkStart w:id="1083" w:name="_Toc169011603"/>
      <w:bookmarkStart w:id="1084" w:name="_Toc205222403"/>
      <w:bookmarkStart w:id="1085" w:name="_Toc205237815"/>
      <w:bookmarkStart w:id="1086" w:name="_Toc205482241"/>
      <w:r>
        <w:rPr>
          <w:rFonts w:ascii="Times New Roman"/>
        </w:rPr>
        <w:t>8.2　原材料进场与贮存</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14:paraId="6716AAFE">
      <w:pPr>
        <w:pStyle w:val="49"/>
        <w:numPr>
          <w:ilvl w:val="0"/>
          <w:numId w:val="0"/>
        </w:numPr>
        <w:ind w:left="420"/>
        <w:rPr>
          <w:rFonts w:ascii="Times New Roman" w:hAnsi="Times New Roman"/>
        </w:rPr>
      </w:pPr>
      <w:bookmarkStart w:id="1087" w:name="_Toc204018456"/>
      <w:bookmarkStart w:id="1088" w:name="_Toc16105"/>
      <w:bookmarkStart w:id="1089" w:name="_Toc205222600"/>
      <w:bookmarkStart w:id="1090" w:name="_Toc205482242"/>
      <w:r>
        <w:rPr>
          <w:rFonts w:ascii="Times New Roman" w:hAnsi="Times New Roman"/>
        </w:rPr>
        <w:t>8.2.1　本条规定了复合胶材的贮存要求。复合胶材受潮后会结块，质量会受到影响。水泥的保质期是90d，沿用水泥的要求，复合胶材出厂超过三个月应进行复检。</w:t>
      </w:r>
      <w:bookmarkEnd w:id="1087"/>
      <w:bookmarkEnd w:id="1088"/>
      <w:bookmarkEnd w:id="1089"/>
      <w:bookmarkEnd w:id="1090"/>
    </w:p>
    <w:p w14:paraId="2A092697">
      <w:pPr>
        <w:pStyle w:val="49"/>
        <w:numPr>
          <w:ilvl w:val="0"/>
          <w:numId w:val="0"/>
        </w:numPr>
        <w:ind w:left="420"/>
        <w:rPr>
          <w:rFonts w:ascii="Times New Roman" w:hAnsi="Times New Roman"/>
        </w:rPr>
      </w:pPr>
      <w:bookmarkStart w:id="1091" w:name="_Toc16709"/>
      <w:bookmarkStart w:id="1092" w:name="_Toc204018457"/>
      <w:bookmarkStart w:id="1093" w:name="_Toc205482243"/>
      <w:bookmarkStart w:id="1094" w:name="_Toc205222601"/>
      <w:r>
        <w:rPr>
          <w:rFonts w:ascii="Times New Roman" w:hAnsi="Times New Roman"/>
        </w:rPr>
        <w:t>8.2.2　复合胶材进场时，应根据产品合格证检查其品种、级别等，并有序存放，以免造成混料错批。强度、安定性等是水泥的重要性能指标，进场时应作复验。</w:t>
      </w:r>
      <w:bookmarkEnd w:id="1091"/>
      <w:bookmarkEnd w:id="1092"/>
      <w:bookmarkEnd w:id="1093"/>
      <w:bookmarkEnd w:id="1094"/>
    </w:p>
    <w:p w14:paraId="6EDCF46B">
      <w:pPr>
        <w:pStyle w:val="49"/>
        <w:numPr>
          <w:ilvl w:val="0"/>
          <w:numId w:val="0"/>
        </w:numPr>
        <w:ind w:left="420"/>
        <w:rPr>
          <w:rFonts w:ascii="Times New Roman" w:hAnsi="Times New Roman"/>
        </w:rPr>
      </w:pPr>
      <w:bookmarkStart w:id="1095" w:name="_Toc204018458"/>
      <w:bookmarkStart w:id="1096" w:name="_Toc5385"/>
      <w:bookmarkStart w:id="1097" w:name="_Toc205222602"/>
      <w:bookmarkStart w:id="1098" w:name="_Toc205482244"/>
      <w:r>
        <w:rPr>
          <w:rFonts w:ascii="Times New Roman" w:hAnsi="Times New Roman"/>
        </w:rPr>
        <w:t>8.2.3　混凝土中水溶性氯离子含量和最大碱含量过高，可能引起钢筋锈蚀和碱骨料反应，严重影响结构构件力学性能和耐久性。现行国家标准GB/T 50010中对此有明确规定，应遵照执行。</w:t>
      </w:r>
      <w:bookmarkEnd w:id="1095"/>
      <w:bookmarkEnd w:id="1096"/>
      <w:bookmarkEnd w:id="1097"/>
      <w:bookmarkEnd w:id="1098"/>
    </w:p>
    <w:p w14:paraId="58C7996E">
      <w:pPr>
        <w:pStyle w:val="53"/>
        <w:numPr>
          <w:ilvl w:val="0"/>
          <w:numId w:val="0"/>
        </w:numPr>
        <w:rPr>
          <w:rFonts w:ascii="Times New Roman"/>
        </w:rPr>
      </w:pPr>
      <w:bookmarkStart w:id="1099" w:name="_Toc16108"/>
      <w:bookmarkStart w:id="1100" w:name="_Toc204017247"/>
      <w:bookmarkStart w:id="1101" w:name="_Toc169011117"/>
      <w:bookmarkStart w:id="1102" w:name="_Toc23664"/>
      <w:bookmarkStart w:id="1103" w:name="_Toc195801947"/>
      <w:bookmarkStart w:id="1104" w:name="_Toc162893511"/>
      <w:bookmarkStart w:id="1105" w:name="_Toc195801225"/>
      <w:bookmarkStart w:id="1106" w:name="_Toc32307"/>
      <w:bookmarkStart w:id="1107" w:name="_Toc205222406"/>
      <w:bookmarkStart w:id="1108" w:name="_Toc162893147"/>
      <w:bookmarkStart w:id="1109" w:name="_Toc205237818"/>
      <w:bookmarkStart w:id="1110" w:name="_Toc169011606"/>
      <w:bookmarkStart w:id="1111" w:name="_Toc205482251"/>
      <w:r>
        <w:rPr>
          <w:rFonts w:ascii="Times New Roman"/>
        </w:rPr>
        <w:t>8.5　浇筑</w:t>
      </w:r>
      <w:bookmarkEnd w:id="1099"/>
      <w:bookmarkEnd w:id="1100"/>
      <w:bookmarkEnd w:id="1101"/>
      <w:bookmarkEnd w:id="1102"/>
      <w:bookmarkEnd w:id="1103"/>
      <w:bookmarkEnd w:id="1104"/>
      <w:bookmarkEnd w:id="1105"/>
      <w:bookmarkEnd w:id="1106"/>
      <w:bookmarkEnd w:id="1107"/>
      <w:bookmarkEnd w:id="1108"/>
      <w:bookmarkEnd w:id="1109"/>
      <w:bookmarkEnd w:id="1110"/>
      <w:bookmarkEnd w:id="1111"/>
    </w:p>
    <w:p w14:paraId="1A73351E">
      <w:pPr>
        <w:pStyle w:val="49"/>
        <w:numPr>
          <w:ilvl w:val="0"/>
          <w:numId w:val="0"/>
        </w:numPr>
        <w:ind w:left="420"/>
        <w:rPr>
          <w:rFonts w:ascii="Times New Roman" w:hAnsi="Times New Roman"/>
        </w:rPr>
      </w:pPr>
      <w:bookmarkStart w:id="1112" w:name="_Toc205482252"/>
      <w:bookmarkStart w:id="1113" w:name="_Toc204018467"/>
      <w:bookmarkStart w:id="1114" w:name="_Toc205222610"/>
      <w:bookmarkStart w:id="1115" w:name="_Toc28946"/>
      <w:r>
        <w:rPr>
          <w:rFonts w:ascii="Times New Roman" w:hAnsi="Times New Roman"/>
        </w:rPr>
        <w:t>8.5.1　制定浇筑方案有利于做好充分准备，保证混凝土浇筑的顺利实施，进而保证混凝土工程质量。</w:t>
      </w:r>
      <w:bookmarkEnd w:id="1112"/>
      <w:bookmarkEnd w:id="1113"/>
      <w:bookmarkEnd w:id="1114"/>
      <w:bookmarkEnd w:id="1115"/>
    </w:p>
    <w:p w14:paraId="0D7452E6">
      <w:pPr>
        <w:pStyle w:val="49"/>
        <w:numPr>
          <w:ilvl w:val="0"/>
          <w:numId w:val="0"/>
        </w:numPr>
        <w:ind w:left="420"/>
        <w:rPr>
          <w:rFonts w:ascii="Times New Roman" w:hAnsi="Times New Roman"/>
        </w:rPr>
      </w:pPr>
      <w:bookmarkStart w:id="1116" w:name="_Toc205482253"/>
      <w:bookmarkStart w:id="1117" w:name="_Toc205222611"/>
      <w:bookmarkStart w:id="1118" w:name="_Toc17740"/>
      <w:bookmarkStart w:id="1119" w:name="_Toc204018468"/>
      <w:r>
        <w:rPr>
          <w:rFonts w:ascii="Times New Roman" w:hAnsi="Times New Roman"/>
        </w:rPr>
        <w:t>8.5.2　当在风速大于4 m/s，相对湿度小玉50%的环境中，较大暴露面积的构件表面水分蒸发速度很快，在浇筑阶段容易出现塑性裂纹，因此应尽量避免。</w:t>
      </w:r>
      <w:bookmarkEnd w:id="1116"/>
      <w:bookmarkEnd w:id="1117"/>
      <w:bookmarkEnd w:id="1118"/>
      <w:bookmarkEnd w:id="1119"/>
    </w:p>
    <w:p w14:paraId="37485ACA">
      <w:pPr>
        <w:pStyle w:val="49"/>
        <w:numPr>
          <w:ilvl w:val="0"/>
          <w:numId w:val="0"/>
        </w:numPr>
        <w:ind w:left="420"/>
        <w:rPr>
          <w:rFonts w:ascii="Times New Roman" w:hAnsi="Times New Roman"/>
        </w:rPr>
      </w:pPr>
      <w:bookmarkStart w:id="1120" w:name="_Toc205222612"/>
      <w:bookmarkStart w:id="1121" w:name="_Toc205482254"/>
      <w:bookmarkStart w:id="1122" w:name="_Toc204018469"/>
      <w:bookmarkStart w:id="1123" w:name="_Toc20095"/>
      <w:r>
        <w:rPr>
          <w:rFonts w:ascii="Times New Roman" w:hAnsi="Times New Roman"/>
        </w:rPr>
        <w:t>8.5.3　混凝土入模温度过高，对混凝土硬化过程有影响，不利于温度应力裂缝的控制，因此避免高温条件下浇筑混凝土是合理的。</w:t>
      </w:r>
      <w:bookmarkEnd w:id="1120"/>
      <w:bookmarkEnd w:id="1121"/>
      <w:bookmarkEnd w:id="1122"/>
      <w:bookmarkEnd w:id="1123"/>
    </w:p>
    <w:p w14:paraId="65E8F5A3">
      <w:pPr>
        <w:pStyle w:val="49"/>
        <w:numPr>
          <w:ilvl w:val="0"/>
          <w:numId w:val="0"/>
        </w:numPr>
        <w:ind w:left="420"/>
        <w:rPr>
          <w:rFonts w:ascii="Times New Roman" w:hAnsi="Times New Roman"/>
        </w:rPr>
      </w:pPr>
      <w:bookmarkStart w:id="1124" w:name="_Toc26609"/>
      <w:bookmarkStart w:id="1125" w:name="_Toc204018470"/>
      <w:bookmarkStart w:id="1126" w:name="_Toc205222613"/>
      <w:bookmarkStart w:id="1127" w:name="_Toc205482255"/>
      <w:r>
        <w:rPr>
          <w:rFonts w:ascii="Times New Roman" w:hAnsi="Times New Roman"/>
        </w:rPr>
        <w:t>8.5.4　冬季施工应按照JGJ/T 104的规定采取措施，保证混凝土入模温度，同时增加复合胶材中矿渣的用量，并降低混凝土水胶比，以提高混凝土早期强度，避免混凝土受冻。</w:t>
      </w:r>
      <w:bookmarkEnd w:id="1124"/>
      <w:bookmarkEnd w:id="1125"/>
      <w:bookmarkEnd w:id="1126"/>
      <w:bookmarkEnd w:id="1127"/>
    </w:p>
    <w:p w14:paraId="3EB1F860">
      <w:pPr>
        <w:pStyle w:val="49"/>
        <w:numPr>
          <w:ilvl w:val="0"/>
          <w:numId w:val="0"/>
        </w:numPr>
        <w:ind w:left="420"/>
        <w:rPr>
          <w:rFonts w:ascii="Times New Roman" w:hAnsi="Times New Roman"/>
        </w:rPr>
      </w:pPr>
      <w:bookmarkStart w:id="1128" w:name="_Toc204018471"/>
      <w:bookmarkStart w:id="1129" w:name="_Toc26733"/>
      <w:bookmarkStart w:id="1130" w:name="_Toc205222614"/>
      <w:bookmarkStart w:id="1131" w:name="_Toc205482256"/>
      <w:r>
        <w:rPr>
          <w:rFonts w:ascii="Times New Roman" w:hAnsi="Times New Roman"/>
        </w:rPr>
        <w:t>8.5.5　对分层浇筑的最大间隔时间作了规定，目的是为了保证混凝土浇筑的均匀性、密实性和整体性。</w:t>
      </w:r>
      <w:bookmarkEnd w:id="1128"/>
      <w:bookmarkEnd w:id="1129"/>
      <w:bookmarkEnd w:id="1130"/>
      <w:bookmarkEnd w:id="1131"/>
    </w:p>
    <w:p w14:paraId="5D1B6EDC">
      <w:pPr>
        <w:pStyle w:val="49"/>
        <w:numPr>
          <w:ilvl w:val="0"/>
          <w:numId w:val="0"/>
        </w:numPr>
        <w:ind w:left="420"/>
        <w:rPr>
          <w:rFonts w:ascii="Times New Roman" w:hAnsi="Times New Roman"/>
        </w:rPr>
      </w:pPr>
      <w:bookmarkStart w:id="1132" w:name="_Toc204018472"/>
      <w:bookmarkStart w:id="1133" w:name="_Toc31923"/>
      <w:bookmarkStart w:id="1134" w:name="_Toc205222615"/>
      <w:bookmarkStart w:id="1135" w:name="_Toc205482257"/>
      <w:r>
        <w:rPr>
          <w:rFonts w:ascii="Times New Roman" w:hAnsi="Times New Roman"/>
        </w:rPr>
        <w:t>8.5.6　混凝土浇筑和振捣的方法对于混凝土结构密实性和匀质性具有显著影响。欠振和过振对于混凝土结构质量都会造成不利影响。</w:t>
      </w:r>
      <w:bookmarkEnd w:id="1132"/>
      <w:bookmarkEnd w:id="1133"/>
      <w:bookmarkEnd w:id="1134"/>
      <w:bookmarkEnd w:id="1135"/>
    </w:p>
    <w:p w14:paraId="2D04EFE8">
      <w:pPr>
        <w:pStyle w:val="49"/>
        <w:numPr>
          <w:ilvl w:val="0"/>
          <w:numId w:val="0"/>
        </w:numPr>
        <w:ind w:left="420"/>
        <w:rPr>
          <w:rFonts w:ascii="Times New Roman" w:hAnsi="Times New Roman"/>
        </w:rPr>
      </w:pPr>
      <w:bookmarkStart w:id="1136" w:name="_Toc204018473"/>
      <w:bookmarkStart w:id="1137" w:name="_Toc18973"/>
      <w:bookmarkStart w:id="1138" w:name="_Toc205222616"/>
      <w:bookmarkStart w:id="1139" w:name="_Toc205482258"/>
      <w:r>
        <w:rPr>
          <w:rFonts w:ascii="Times New Roman" w:hAnsi="Times New Roman"/>
        </w:rPr>
        <w:t>8.5.7　在混凝土初凝之前，尽早浇筑有利于复杂形状结构构件成型。</w:t>
      </w:r>
      <w:bookmarkEnd w:id="1136"/>
      <w:bookmarkEnd w:id="1137"/>
      <w:bookmarkEnd w:id="1138"/>
      <w:bookmarkEnd w:id="1139"/>
    </w:p>
    <w:p w14:paraId="26CC0F14">
      <w:pPr>
        <w:pStyle w:val="53"/>
        <w:numPr>
          <w:ilvl w:val="0"/>
          <w:numId w:val="0"/>
        </w:numPr>
        <w:rPr>
          <w:rFonts w:ascii="Times New Roman"/>
        </w:rPr>
      </w:pPr>
      <w:bookmarkStart w:id="1140" w:name="_Toc162893148"/>
      <w:bookmarkStart w:id="1141" w:name="_Toc1806"/>
      <w:bookmarkStart w:id="1142" w:name="_Toc162893512"/>
      <w:bookmarkStart w:id="1143" w:name="_Toc195801226"/>
      <w:bookmarkStart w:id="1144" w:name="_Toc204017248"/>
      <w:bookmarkStart w:id="1145" w:name="_Toc26595"/>
      <w:bookmarkStart w:id="1146" w:name="_Toc27411"/>
      <w:bookmarkStart w:id="1147" w:name="_Toc195801948"/>
      <w:bookmarkStart w:id="1148" w:name="_Toc169011118"/>
      <w:bookmarkStart w:id="1149" w:name="_Toc169011607"/>
      <w:bookmarkStart w:id="1150" w:name="_Toc205222407"/>
      <w:bookmarkStart w:id="1151" w:name="_Toc205237819"/>
      <w:bookmarkStart w:id="1152" w:name="_Toc205482259"/>
      <w:r>
        <w:rPr>
          <w:rFonts w:ascii="Times New Roman"/>
        </w:rPr>
        <w:t>8.6　 养护与拆模</w:t>
      </w:r>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14:paraId="22E46527">
      <w:pPr>
        <w:pStyle w:val="49"/>
        <w:numPr>
          <w:ilvl w:val="0"/>
          <w:numId w:val="0"/>
        </w:numPr>
        <w:ind w:left="420"/>
        <w:rPr>
          <w:rFonts w:ascii="Times New Roman" w:hAnsi="Times New Roman"/>
        </w:rPr>
      </w:pPr>
      <w:bookmarkStart w:id="1153" w:name="_Toc205482260"/>
      <w:bookmarkStart w:id="1154" w:name="_Toc205222618"/>
      <w:bookmarkStart w:id="1155" w:name="_Toc1683"/>
      <w:bookmarkStart w:id="1156" w:name="_Toc204018475"/>
      <w:r>
        <w:rPr>
          <w:rFonts w:ascii="Times New Roman" w:hAnsi="Times New Roman"/>
        </w:rPr>
        <w:t>8.6.1　及时保湿养护是减少混凝土早期开裂和提高硬化混凝土渗透性及其他耐久性能的重要措施，原则上浇筑后即需要养护。复合混凝土早期水化速度较慢，必须要有充分的养护才能形成致密的混凝土表面，养护时间不宜少于14d且不应少于7d。</w:t>
      </w:r>
      <w:bookmarkEnd w:id="1153"/>
      <w:bookmarkEnd w:id="1154"/>
      <w:bookmarkEnd w:id="1155"/>
      <w:bookmarkEnd w:id="1156"/>
    </w:p>
    <w:p w14:paraId="65D5E59D">
      <w:pPr>
        <w:pStyle w:val="49"/>
        <w:numPr>
          <w:ilvl w:val="0"/>
          <w:numId w:val="0"/>
        </w:numPr>
        <w:ind w:left="420"/>
        <w:rPr>
          <w:rFonts w:ascii="Times New Roman" w:hAnsi="Times New Roman"/>
        </w:rPr>
      </w:pPr>
      <w:bookmarkStart w:id="1157" w:name="_Toc205222619"/>
      <w:bookmarkStart w:id="1158" w:name="_Toc25272"/>
      <w:bookmarkStart w:id="1159" w:name="_Toc204018476"/>
      <w:bookmarkStart w:id="1160" w:name="_Toc205482261"/>
      <w:r>
        <w:rPr>
          <w:rFonts w:ascii="Times New Roman" w:hAnsi="Times New Roman"/>
        </w:rPr>
        <w:t>8.6.2　控制混凝土表面与外部环境温差以防止由于温度应力产生混凝土开裂。</w:t>
      </w:r>
      <w:bookmarkEnd w:id="1157"/>
      <w:bookmarkEnd w:id="1158"/>
      <w:bookmarkEnd w:id="1159"/>
      <w:r>
        <w:rPr>
          <w:rFonts w:ascii="Times New Roman" w:hAnsi="Times New Roman"/>
        </w:rPr>
        <w:t>混凝土结构降温速率和内外温差的控制是防止结构开裂的重要技术措施，在拆模时间的把握上必须注意这一点，尤其是在天气变动比较大的时候更应该采取相应措施加以应对。</w:t>
      </w:r>
      <w:bookmarkEnd w:id="1160"/>
    </w:p>
    <w:p w14:paraId="5B0FF730">
      <w:pPr>
        <w:pStyle w:val="49"/>
        <w:numPr>
          <w:ilvl w:val="0"/>
          <w:numId w:val="0"/>
        </w:numPr>
        <w:ind w:left="420"/>
        <w:rPr>
          <w:rFonts w:ascii="Times New Roman" w:hAnsi="Times New Roman"/>
        </w:rPr>
      </w:pPr>
      <w:bookmarkStart w:id="1161" w:name="_Toc1260"/>
      <w:bookmarkStart w:id="1162" w:name="_Toc204018477"/>
      <w:bookmarkStart w:id="1163" w:name="_Toc205222620"/>
      <w:bookmarkStart w:id="1164" w:name="_Toc205482262"/>
      <w:r>
        <w:rPr>
          <w:rFonts w:ascii="Times New Roman" w:hAnsi="Times New Roman"/>
        </w:rPr>
        <w:t>8.6.3　</w:t>
      </w:r>
      <w:bookmarkEnd w:id="1161"/>
      <w:bookmarkEnd w:id="1162"/>
      <w:bookmarkEnd w:id="1163"/>
      <w:r>
        <w:rPr>
          <w:rFonts w:ascii="Times New Roman" w:hAnsi="Times New Roman"/>
        </w:rPr>
        <w:t>在预制混凝土构件或制品的生产过程中，养护是一个关键环节。合理的养护制度能够确保混凝土达到预期的性能要求，同时避免因养护不当而导致的缺陷混凝土。蒸汽养护通常温度较高，成型后的静停时间是必要的，以便混凝土初步凝结和硬化，可以防止在后续的升温过程中出现裂缝或其他缺陷。静停时间的长短应根据混凝土的特性来调整。</w:t>
      </w:r>
      <w:bookmarkEnd w:id="1164"/>
    </w:p>
    <w:p w14:paraId="578B17F9">
      <w:pPr>
        <w:pStyle w:val="52"/>
        <w:numPr>
          <w:ilvl w:val="1"/>
          <w:numId w:val="0"/>
        </w:numPr>
        <w:spacing w:before="312" w:after="312"/>
        <w:rPr>
          <w:rFonts w:ascii="Times New Roman"/>
        </w:rPr>
      </w:pPr>
      <w:bookmarkStart w:id="1165" w:name="_Toc204017249"/>
      <w:bookmarkStart w:id="1166" w:name="_Toc28371"/>
      <w:bookmarkStart w:id="1167" w:name="_Toc195801949"/>
      <w:bookmarkStart w:id="1168" w:name="_Toc16184"/>
      <w:bookmarkStart w:id="1169" w:name="_Toc169011608"/>
      <w:bookmarkStart w:id="1170" w:name="_Toc162893149"/>
      <w:bookmarkStart w:id="1171" w:name="_Toc12931"/>
      <w:bookmarkStart w:id="1172" w:name="_Toc169011119"/>
      <w:bookmarkStart w:id="1173" w:name="_Toc195801227"/>
      <w:bookmarkStart w:id="1174" w:name="_Toc205222408"/>
      <w:bookmarkStart w:id="1175" w:name="_Toc205237820"/>
      <w:bookmarkStart w:id="1176" w:name="_Toc205482263"/>
      <w:r>
        <w:rPr>
          <w:rFonts w:ascii="Times New Roman"/>
        </w:rPr>
        <w:t>9</w:t>
      </w:r>
      <w:r>
        <w:rPr>
          <w:rFonts w:ascii="Times New Roman"/>
        </w:rPr>
        <w:sym w:font="Symbol" w:char="007F"/>
      </w:r>
      <w:r>
        <w:rPr>
          <w:rFonts w:ascii="Times New Roman"/>
        </w:rPr>
        <w:t>质量检验与验收</w:t>
      </w:r>
      <w:bookmarkEnd w:id="1165"/>
      <w:bookmarkEnd w:id="1166"/>
      <w:bookmarkEnd w:id="1167"/>
      <w:bookmarkEnd w:id="1168"/>
      <w:bookmarkEnd w:id="1169"/>
      <w:bookmarkEnd w:id="1170"/>
      <w:bookmarkEnd w:id="1171"/>
      <w:bookmarkEnd w:id="1172"/>
      <w:bookmarkEnd w:id="1173"/>
      <w:bookmarkEnd w:id="1174"/>
      <w:bookmarkEnd w:id="1175"/>
      <w:bookmarkEnd w:id="1176"/>
    </w:p>
    <w:p w14:paraId="31274E83">
      <w:pPr>
        <w:pStyle w:val="53"/>
        <w:numPr>
          <w:ilvl w:val="0"/>
          <w:numId w:val="0"/>
        </w:numPr>
        <w:rPr>
          <w:rFonts w:ascii="Times New Roman"/>
        </w:rPr>
      </w:pPr>
      <w:bookmarkStart w:id="1177" w:name="_Toc15941"/>
      <w:bookmarkStart w:id="1178" w:name="_Toc169011120"/>
      <w:bookmarkStart w:id="1179" w:name="_Toc195801950"/>
      <w:bookmarkStart w:id="1180" w:name="_Toc195801228"/>
      <w:bookmarkStart w:id="1181" w:name="_Toc13831"/>
      <w:bookmarkStart w:id="1182" w:name="_Toc162893514"/>
      <w:bookmarkStart w:id="1183" w:name="_Toc10486"/>
      <w:bookmarkStart w:id="1184" w:name="_Toc169011609"/>
      <w:bookmarkStart w:id="1185" w:name="_Toc162893150"/>
      <w:bookmarkStart w:id="1186" w:name="_Toc204017250"/>
      <w:bookmarkStart w:id="1187" w:name="_Toc205222409"/>
      <w:bookmarkStart w:id="1188" w:name="_Toc205237821"/>
      <w:bookmarkStart w:id="1189" w:name="_Toc205482264"/>
      <w:r>
        <w:rPr>
          <w:rFonts w:ascii="Times New Roman"/>
        </w:rPr>
        <w:t>9.1　一般规定</w:t>
      </w:r>
      <w:bookmarkEnd w:id="1177"/>
      <w:bookmarkEnd w:id="1178"/>
      <w:bookmarkEnd w:id="1179"/>
      <w:bookmarkEnd w:id="1180"/>
      <w:bookmarkEnd w:id="1181"/>
      <w:bookmarkEnd w:id="1182"/>
      <w:bookmarkEnd w:id="1183"/>
      <w:bookmarkEnd w:id="1184"/>
      <w:bookmarkEnd w:id="1185"/>
      <w:bookmarkEnd w:id="1186"/>
      <w:bookmarkEnd w:id="1187"/>
      <w:bookmarkEnd w:id="1188"/>
      <w:bookmarkEnd w:id="1189"/>
    </w:p>
    <w:p w14:paraId="6433CF4D">
      <w:pPr>
        <w:pStyle w:val="49"/>
        <w:numPr>
          <w:ilvl w:val="0"/>
          <w:numId w:val="0"/>
        </w:numPr>
        <w:ind w:left="420"/>
        <w:rPr>
          <w:rFonts w:ascii="Times New Roman" w:hAnsi="Times New Roman"/>
        </w:rPr>
      </w:pPr>
      <w:bookmarkStart w:id="1190" w:name="_Toc205482266"/>
      <w:bookmarkStart w:id="1191" w:name="_Toc205222623"/>
      <w:bookmarkStart w:id="1192" w:name="_Toc30892"/>
      <w:bookmarkStart w:id="1193" w:name="_Toc204018480"/>
      <w:r>
        <w:rPr>
          <w:rFonts w:ascii="Times New Roman" w:hAnsi="Times New Roman"/>
        </w:rPr>
        <w:t>9.1.2混凝土试件的尺寸应根据骨料的最大粒径确定。当采用非标准尺寸的试件时，其抗压强度应乘以相应的尺寸换算系数。</w:t>
      </w:r>
      <w:bookmarkEnd w:id="1190"/>
    </w:p>
    <w:p w14:paraId="4A380A16">
      <w:pPr>
        <w:pStyle w:val="49"/>
        <w:numPr>
          <w:ilvl w:val="0"/>
          <w:numId w:val="0"/>
        </w:numPr>
        <w:ind w:left="420"/>
        <w:rPr>
          <w:rFonts w:ascii="Times New Roman" w:hAnsi="Times New Roman"/>
        </w:rPr>
      </w:pPr>
      <w:bookmarkStart w:id="1194" w:name="_Toc205482267"/>
      <w:r>
        <w:rPr>
          <w:rFonts w:ascii="Times New Roman" w:hAnsi="Times New Roman"/>
        </w:rPr>
        <w:t>9.1.3对于验收龄期的规定旨在鼓励和倡导不影响结构承载安全和不接触侵蚀性介质的前提下长龄期验收和评定强度，这样可以降低混凝土结构水化温升，提高混凝土结构早期抗裂性，是高性能混凝土技术的发展方向。复合混凝土的水化时间较长，采用长龄期检测长期性能和耐久性更符合工程实际、更合理。</w:t>
      </w:r>
      <w:bookmarkEnd w:id="1191"/>
      <w:bookmarkEnd w:id="1192"/>
      <w:bookmarkEnd w:id="1193"/>
      <w:bookmarkEnd w:id="1194"/>
    </w:p>
    <w:sectPr>
      <w:pgSz w:w="11906" w:h="16838"/>
      <w:pgMar w:top="1417" w:right="1134" w:bottom="1134" w:left="1417" w:header="1418" w:footer="1134"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汉仪中宋简">
    <w:altName w:val="宋体"/>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汉仪仿宋简">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ì.">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81204">
    <w:pPr>
      <w:pStyle w:val="26"/>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02FA9">
    <w:pPr>
      <w:pStyle w:val="26"/>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DB8B1">
    <w:pPr>
      <w:pStyle w:val="26"/>
      <w:framePr w:wrap="around" w:vAnchor="text" w:hAnchor="margin" w:xAlign="outside" w:y="1"/>
      <w:rPr>
        <w:rStyle w:val="44"/>
      </w:rPr>
    </w:pPr>
    <w:r>
      <w:fldChar w:fldCharType="begin"/>
    </w:r>
    <w:r>
      <w:rPr>
        <w:rStyle w:val="44"/>
      </w:rPr>
      <w:instrText xml:space="preserve">PAGE  </w:instrText>
    </w:r>
    <w:r>
      <w:fldChar w:fldCharType="separate"/>
    </w:r>
    <w:r>
      <w:rPr>
        <w:rStyle w:val="44"/>
      </w:rPr>
      <w:t>I</w:t>
    </w:r>
    <w:r>
      <w:fldChar w:fldCharType="end"/>
    </w:r>
  </w:p>
  <w:p w14:paraId="71EB1C4C">
    <w:pPr>
      <w:pStyle w:val="26"/>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3F83F">
    <w:pPr>
      <w:pStyle w:val="26"/>
      <w:framePr w:wrap="around" w:vAnchor="text" w:hAnchor="margin" w:xAlign="outside" w:y="1"/>
      <w:rPr>
        <w:rStyle w:val="44"/>
      </w:rPr>
    </w:pPr>
    <w:r>
      <w:fldChar w:fldCharType="begin"/>
    </w:r>
    <w:r>
      <w:rPr>
        <w:rStyle w:val="44"/>
      </w:rPr>
      <w:instrText xml:space="preserve">PAGE  </w:instrText>
    </w:r>
    <w:r>
      <w:fldChar w:fldCharType="separate"/>
    </w:r>
    <w:r>
      <w:rPr>
        <w:rStyle w:val="44"/>
      </w:rPr>
      <w:t>16</w:t>
    </w:r>
    <w:r>
      <w:fldChar w:fldCharType="end"/>
    </w:r>
  </w:p>
  <w:p w14:paraId="5EE04CDC">
    <w:pPr>
      <w:pStyle w:val="2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D9A99">
    <w:pPr>
      <w:pStyle w:val="26"/>
      <w:framePr w:wrap="around" w:vAnchor="text" w:hAnchor="margin" w:xAlign="outside" w:y="1"/>
      <w:rPr>
        <w:rStyle w:val="44"/>
      </w:rPr>
    </w:pPr>
    <w:r>
      <w:fldChar w:fldCharType="begin"/>
    </w:r>
    <w:r>
      <w:rPr>
        <w:rStyle w:val="44"/>
      </w:rPr>
      <w:instrText xml:space="preserve">PAGE  </w:instrText>
    </w:r>
    <w:r>
      <w:fldChar w:fldCharType="separate"/>
    </w:r>
    <w:r>
      <w:rPr>
        <w:rStyle w:val="44"/>
      </w:rPr>
      <w:t>23</w:t>
    </w:r>
    <w:r>
      <w:fldChar w:fldCharType="end"/>
    </w:r>
  </w:p>
  <w:p w14:paraId="26740370">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B2EA7">
    <w:pPr>
      <w:pStyle w:val="27"/>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7010A">
    <w:pPr>
      <w:pStyle w:val="27"/>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E1334">
    <w:pPr>
      <w:pStyle w:val="93"/>
    </w:pPr>
    <w:r>
      <w:t>DB</w:t>
    </w:r>
    <w:r>
      <w:rPr>
        <w:rFonts w:hint="eastAsia"/>
      </w:rPr>
      <w:t>42</w:t>
    </w:r>
    <w:r>
      <w:t xml:space="preserve">/T </w:t>
    </w:r>
    <w:r>
      <w:rPr>
        <w:rFonts w:hint="eastAsia"/>
      </w:rPr>
      <w:t>xxxx</w:t>
    </w:r>
    <w:r>
      <w:t>-20××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C5787">
    <w:pPr>
      <w:pStyle w:val="27"/>
      <w:spacing w:after="283"/>
      <w:jc w:val="both"/>
      <w:rPr>
        <w:sz w:val="21"/>
        <w:szCs w:val="21"/>
      </w:rPr>
    </w:pPr>
    <w:r>
      <w:rPr>
        <w:b/>
        <w:bCs/>
        <w:sz w:val="21"/>
        <w:szCs w:val="21"/>
      </w:rPr>
      <w:t>DB</w:t>
    </w:r>
    <w:r>
      <w:rPr>
        <w:rFonts w:hint="eastAsia"/>
        <w:sz w:val="21"/>
        <w:szCs w:val="21"/>
      </w:rPr>
      <w:t>42</w:t>
    </w:r>
    <w:r>
      <w:rPr>
        <w:b/>
        <w:bCs/>
        <w:sz w:val="21"/>
        <w:szCs w:val="21"/>
      </w:rPr>
      <w:t>/T</w:t>
    </w:r>
    <w:r>
      <w:rPr>
        <w:sz w:val="21"/>
        <w:szCs w:val="21"/>
      </w:rPr>
      <w:t xml:space="preserve"> </w:t>
    </w:r>
    <w:r>
      <w:rPr>
        <w:rFonts w:hint="eastAsia"/>
        <w:sz w:val="21"/>
        <w:szCs w:val="21"/>
      </w:rPr>
      <w:t>xxxx</w:t>
    </w:r>
    <w:r>
      <w:rPr>
        <w:sz w:val="21"/>
        <w:szCs w:val="21"/>
      </w:rPr>
      <w:t>-20××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9696D">
    <w:pPr>
      <w:pStyle w:val="93"/>
    </w:pPr>
    <w:r>
      <w:t>DB42/T xxxx-20××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9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82"/>
      <w:suff w:val="nothing"/>
      <w:lvlText w:val="%1%2.%3　"/>
      <w:lvlJc w:val="left"/>
      <w:pPr>
        <w:ind w:left="0" w:firstLine="0"/>
      </w:pPr>
    </w:lvl>
    <w:lvl w:ilvl="3" w:tentative="0">
      <w:start w:val="1"/>
      <w:numFmt w:val="decimal"/>
      <w:pStyle w:val="142"/>
      <w:suff w:val="nothing"/>
      <w:lvlText w:val="%1%2.%3.%4　"/>
      <w:lvlJc w:val="left"/>
      <w:pPr>
        <w:ind w:left="0" w:firstLine="0"/>
      </w:pPr>
    </w:lvl>
    <w:lvl w:ilvl="4" w:tentative="0">
      <w:start w:val="1"/>
      <w:numFmt w:val="decimal"/>
      <w:pStyle w:val="176"/>
      <w:suff w:val="nothing"/>
      <w:lvlText w:val="%1%2.%3.%4.%5　"/>
      <w:lvlJc w:val="left"/>
      <w:pPr>
        <w:ind w:left="0" w:firstLine="0"/>
      </w:pPr>
    </w:lvl>
    <w:lvl w:ilvl="5" w:tentative="0">
      <w:start w:val="1"/>
      <w:numFmt w:val="decimal"/>
      <w:pStyle w:val="178"/>
      <w:suff w:val="nothing"/>
      <w:lvlText w:val="%1%2.%3.%4.%5.%6　"/>
      <w:lvlJc w:val="left"/>
      <w:pPr>
        <w:ind w:left="0" w:firstLine="0"/>
      </w:pPr>
    </w:lvl>
    <w:lvl w:ilvl="6" w:tentative="0">
      <w:start w:val="1"/>
      <w:numFmt w:val="decimal"/>
      <w:pStyle w:val="18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4AF4F7D"/>
    <w:multiLevelType w:val="multilevel"/>
    <w:tmpl w:val="04AF4F7D"/>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079102AD"/>
    <w:multiLevelType w:val="multilevel"/>
    <w:tmpl w:val="079102AD"/>
    <w:lvl w:ilvl="0" w:tentative="0">
      <w:start w:val="1"/>
      <w:numFmt w:val="decimal"/>
      <w:pStyle w:val="20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119"/>
      <w:lvlText w:val="%1"/>
      <w:lvlJc w:val="left"/>
      <w:pPr>
        <w:ind w:left="425" w:hanging="425"/>
      </w:pPr>
      <w:rPr>
        <w:rFonts w:hint="eastAsia"/>
      </w:rPr>
    </w:lvl>
    <w:lvl w:ilvl="1" w:tentative="0">
      <w:start w:val="1"/>
      <w:numFmt w:val="decimal"/>
      <w:pStyle w:val="222"/>
      <w:suff w:val="nothing"/>
      <w:lvlText w:val="%10.%2 "/>
      <w:lvlJc w:val="left"/>
      <w:pPr>
        <w:ind w:left="0" w:firstLine="0"/>
      </w:pPr>
      <w:rPr>
        <w:rFonts w:hint="eastAsia" w:ascii="黑体" w:hAnsi="等线" w:eastAsia="黑体"/>
        <w:b w:val="0"/>
        <w:i w:val="0"/>
        <w:sz w:val="21"/>
      </w:rPr>
    </w:lvl>
    <w:lvl w:ilvl="2" w:tentative="0">
      <w:start w:val="1"/>
      <w:numFmt w:val="decimal"/>
      <w:pStyle w:val="223"/>
      <w:suff w:val="nothing"/>
      <w:lvlText w:val="%10.%2.%3 "/>
      <w:lvlJc w:val="left"/>
      <w:pPr>
        <w:ind w:left="0" w:firstLine="0"/>
      </w:pPr>
      <w:rPr>
        <w:rFonts w:hint="eastAsia" w:ascii="黑体" w:hAnsi="等线" w:eastAsia="黑体"/>
        <w:b w:val="0"/>
        <w:i w:val="0"/>
        <w:sz w:val="21"/>
      </w:rPr>
    </w:lvl>
    <w:lvl w:ilvl="3" w:tentative="0">
      <w:start w:val="1"/>
      <w:numFmt w:val="decimal"/>
      <w:pStyle w:val="224"/>
      <w:suff w:val="nothing"/>
      <w:lvlText w:val="%10.%2.%3.%4 "/>
      <w:lvlJc w:val="left"/>
      <w:pPr>
        <w:ind w:left="0" w:firstLine="0"/>
      </w:pPr>
      <w:rPr>
        <w:rFonts w:hint="eastAsia" w:ascii="黑体" w:hAnsi="等线" w:eastAsia="黑体"/>
        <w:b w:val="0"/>
        <w:i w:val="0"/>
        <w:sz w:val="21"/>
      </w:rPr>
    </w:lvl>
    <w:lvl w:ilvl="4" w:tentative="0">
      <w:start w:val="1"/>
      <w:numFmt w:val="decimal"/>
      <w:pStyle w:val="225"/>
      <w:suff w:val="nothing"/>
      <w:lvlText w:val="%10.%2.%3.%4.%5 "/>
      <w:lvlJc w:val="left"/>
      <w:pPr>
        <w:ind w:left="0" w:firstLine="0"/>
      </w:pPr>
      <w:rPr>
        <w:rFonts w:hint="eastAsia" w:ascii="黑体" w:hAnsi="等线" w:eastAsia="黑体"/>
        <w:b w:val="0"/>
        <w:i w:val="0"/>
        <w:sz w:val="21"/>
      </w:rPr>
    </w:lvl>
    <w:lvl w:ilvl="5" w:tentative="0">
      <w:start w:val="1"/>
      <w:numFmt w:val="decimal"/>
      <w:pStyle w:val="226"/>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8AF609C"/>
    <w:multiLevelType w:val="multilevel"/>
    <w:tmpl w:val="08AF609C"/>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099A0F4C"/>
    <w:multiLevelType w:val="multilevel"/>
    <w:tmpl w:val="099A0F4C"/>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0AE367E9"/>
    <w:multiLevelType w:val="multilevel"/>
    <w:tmpl w:val="0AE367E9"/>
    <w:lvl w:ilvl="0" w:tentative="0">
      <w:start w:val="1"/>
      <w:numFmt w:val="none"/>
      <w:pStyle w:val="20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BDC1670"/>
    <w:multiLevelType w:val="multilevel"/>
    <w:tmpl w:val="0BDC1670"/>
    <w:lvl w:ilvl="0" w:tentative="0">
      <w:start w:val="1"/>
      <w:numFmt w:val="decimal"/>
      <w:pStyle w:val="9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D051F45"/>
    <w:multiLevelType w:val="multilevel"/>
    <w:tmpl w:val="0D051F45"/>
    <w:lvl w:ilvl="0" w:tentative="0">
      <w:start w:val="1"/>
      <w:numFmt w:val="lowerRoman"/>
      <w:pStyle w:val="19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0">
    <w:nsid w:val="16503FF2"/>
    <w:multiLevelType w:val="multilevel"/>
    <w:tmpl w:val="16503FF2"/>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17862548"/>
    <w:multiLevelType w:val="multilevel"/>
    <w:tmpl w:val="17862548"/>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18A80D7B"/>
    <w:multiLevelType w:val="multilevel"/>
    <w:tmpl w:val="18A80D7B"/>
    <w:lvl w:ilvl="0" w:tentative="0">
      <w:start w:val="1"/>
      <w:numFmt w:val="lowerLetter"/>
      <w:pStyle w:val="197"/>
      <w:lvlText w:val="%1)"/>
      <w:lvlJc w:val="left"/>
      <w:pPr>
        <w:tabs>
          <w:tab w:val="left" w:pos="851"/>
        </w:tabs>
        <w:ind w:left="851" w:hanging="426"/>
      </w:pPr>
      <w:rPr>
        <w:rFonts w:hint="eastAsia" w:ascii="宋体" w:hAnsi="Times New Roman" w:eastAsia="宋体"/>
        <w:sz w:val="21"/>
      </w:rPr>
    </w:lvl>
    <w:lvl w:ilvl="1" w:tentative="0">
      <w:start w:val="1"/>
      <w:numFmt w:val="decimal"/>
      <w:pStyle w:val="133"/>
      <w:lvlText w:val="%2)"/>
      <w:lvlJc w:val="left"/>
      <w:pPr>
        <w:tabs>
          <w:tab w:val="left" w:pos="1276"/>
        </w:tabs>
        <w:ind w:left="1276" w:hanging="425"/>
      </w:pPr>
      <w:rPr>
        <w:rFonts w:hint="eastAsia" w:ascii="宋体" w:hAnsi="Times New Roman" w:eastAsia="宋体"/>
        <w:sz w:val="21"/>
      </w:rPr>
    </w:lvl>
    <w:lvl w:ilvl="2" w:tentative="0">
      <w:start w:val="1"/>
      <w:numFmt w:val="decimal"/>
      <w:pStyle w:val="14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1AD20F90"/>
    <w:multiLevelType w:val="multilevel"/>
    <w:tmpl w:val="1AD20F90"/>
    <w:lvl w:ilvl="0" w:tentative="0">
      <w:start w:val="1"/>
      <w:numFmt w:val="none"/>
      <w:pStyle w:val="13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AF15012"/>
    <w:multiLevelType w:val="multilevel"/>
    <w:tmpl w:val="1AF15012"/>
    <w:lvl w:ilvl="0" w:tentative="0">
      <w:start w:val="1"/>
      <w:numFmt w:val="upperLetter"/>
      <w:pStyle w:val="11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5">
    <w:nsid w:val="1EAA1992"/>
    <w:multiLevelType w:val="multilevel"/>
    <w:tmpl w:val="1EAA1992"/>
    <w:lvl w:ilvl="0" w:tentative="0">
      <w:start w:val="1"/>
      <w:numFmt w:val="none"/>
      <w:pStyle w:val="12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6">
    <w:nsid w:val="2B5A614A"/>
    <w:multiLevelType w:val="multilevel"/>
    <w:tmpl w:val="2B5A614A"/>
    <w:lvl w:ilvl="0" w:tentative="0">
      <w:start w:val="1"/>
      <w:numFmt w:val="lowerLetter"/>
      <w:lvlText w:val="%1)"/>
      <w:lvlJc w:val="left"/>
      <w:pPr>
        <w:ind w:left="1271" w:hanging="420"/>
      </w:p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7">
    <w:nsid w:val="2D932E55"/>
    <w:multiLevelType w:val="multilevel"/>
    <w:tmpl w:val="2D932E55"/>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2E46F021"/>
    <w:multiLevelType w:val="multilevel"/>
    <w:tmpl w:val="2E46F021"/>
    <w:lvl w:ilvl="0" w:tentative="0">
      <w:start w:val="5"/>
      <w:numFmt w:val="decimal"/>
      <w:lvlText w:val="%1"/>
      <w:lvlJc w:val="left"/>
      <w:pPr>
        <w:tabs>
          <w:tab w:val="left" w:pos="525"/>
        </w:tabs>
        <w:ind w:left="525" w:hanging="525"/>
      </w:pPr>
      <w:rPr>
        <w:rFonts w:hint="default" w:ascii="黑体" w:hAnsi="黑体" w:eastAsia="黑体"/>
      </w:rPr>
    </w:lvl>
    <w:lvl w:ilvl="1" w:tentative="0">
      <w:start w:val="2"/>
      <w:numFmt w:val="decimal"/>
      <w:lvlText w:val="%1.%2"/>
      <w:lvlJc w:val="left"/>
      <w:pPr>
        <w:tabs>
          <w:tab w:val="left" w:pos="525"/>
        </w:tabs>
        <w:ind w:left="525" w:hanging="525"/>
      </w:pPr>
      <w:rPr>
        <w:rFonts w:hint="default" w:ascii="黑体" w:hAnsi="黑体" w:eastAsia="黑体"/>
      </w:rPr>
    </w:lvl>
    <w:lvl w:ilvl="2" w:tentative="0">
      <w:start w:val="1"/>
      <w:numFmt w:val="decimal"/>
      <w:pStyle w:val="272"/>
      <w:lvlText w:val="%1.%2.%3"/>
      <w:lvlJc w:val="left"/>
      <w:pPr>
        <w:tabs>
          <w:tab w:val="left" w:pos="720"/>
        </w:tabs>
        <w:ind w:left="720" w:hanging="720"/>
      </w:pPr>
      <w:rPr>
        <w:rFonts w:hint="default" w:ascii="黑体" w:hAnsi="黑体" w:eastAsia="黑体"/>
      </w:rPr>
    </w:lvl>
    <w:lvl w:ilvl="3" w:tentative="0">
      <w:start w:val="1"/>
      <w:numFmt w:val="decimal"/>
      <w:lvlText w:val="%1.%2.%3.%4"/>
      <w:lvlJc w:val="left"/>
      <w:pPr>
        <w:tabs>
          <w:tab w:val="left" w:pos="1080"/>
        </w:tabs>
        <w:ind w:left="1080" w:hanging="1080"/>
      </w:pPr>
      <w:rPr>
        <w:rFonts w:hint="default" w:ascii="黑体" w:hAnsi="黑体" w:eastAsia="黑体"/>
      </w:rPr>
    </w:lvl>
    <w:lvl w:ilvl="4" w:tentative="0">
      <w:start w:val="1"/>
      <w:numFmt w:val="decimal"/>
      <w:lvlText w:val="%1.%2.%3.%4.%5"/>
      <w:lvlJc w:val="left"/>
      <w:pPr>
        <w:tabs>
          <w:tab w:val="left" w:pos="1080"/>
        </w:tabs>
        <w:ind w:left="1080" w:hanging="1080"/>
      </w:pPr>
      <w:rPr>
        <w:rFonts w:hint="default" w:ascii="黑体" w:hAnsi="黑体" w:eastAsia="黑体"/>
      </w:rPr>
    </w:lvl>
    <w:lvl w:ilvl="5" w:tentative="0">
      <w:start w:val="1"/>
      <w:numFmt w:val="decimal"/>
      <w:lvlText w:val="%1.%2.%3.%4.%5.%6"/>
      <w:lvlJc w:val="left"/>
      <w:pPr>
        <w:tabs>
          <w:tab w:val="left" w:pos="1440"/>
        </w:tabs>
        <w:ind w:left="1440" w:hanging="1440"/>
      </w:pPr>
      <w:rPr>
        <w:rFonts w:hint="default" w:ascii="黑体" w:hAnsi="黑体" w:eastAsia="黑体"/>
      </w:rPr>
    </w:lvl>
    <w:lvl w:ilvl="6" w:tentative="0">
      <w:start w:val="1"/>
      <w:numFmt w:val="decimal"/>
      <w:lvlText w:val="%1.%2.%3.%4.%5.%6.%7"/>
      <w:lvlJc w:val="left"/>
      <w:pPr>
        <w:tabs>
          <w:tab w:val="left" w:pos="1440"/>
        </w:tabs>
        <w:ind w:left="1440" w:hanging="1440"/>
      </w:pPr>
      <w:rPr>
        <w:rFonts w:hint="default" w:ascii="黑体" w:hAnsi="黑体" w:eastAsia="黑体"/>
      </w:rPr>
    </w:lvl>
    <w:lvl w:ilvl="7" w:tentative="0">
      <w:start w:val="1"/>
      <w:numFmt w:val="decimal"/>
      <w:lvlText w:val="%1.%2.%3.%4.%5.%6.%7.%8"/>
      <w:lvlJc w:val="left"/>
      <w:pPr>
        <w:tabs>
          <w:tab w:val="left" w:pos="1800"/>
        </w:tabs>
        <w:ind w:left="1800" w:hanging="1800"/>
      </w:pPr>
      <w:rPr>
        <w:rFonts w:hint="default" w:ascii="黑体" w:hAnsi="黑体" w:eastAsia="黑体"/>
      </w:rPr>
    </w:lvl>
    <w:lvl w:ilvl="8" w:tentative="0">
      <w:start w:val="1"/>
      <w:numFmt w:val="decimal"/>
      <w:lvlText w:val="%1.%2.%3.%4.%5.%6.%7.%8.%9"/>
      <w:lvlJc w:val="left"/>
      <w:pPr>
        <w:tabs>
          <w:tab w:val="left" w:pos="1800"/>
        </w:tabs>
        <w:ind w:left="1800" w:hanging="1800"/>
      </w:pPr>
      <w:rPr>
        <w:rFonts w:hint="default" w:ascii="黑体" w:hAnsi="黑体" w:eastAsia="黑体"/>
      </w:rPr>
    </w:lvl>
  </w:abstractNum>
  <w:abstractNum w:abstractNumId="19">
    <w:nsid w:val="320B1D00"/>
    <w:multiLevelType w:val="multilevel"/>
    <w:tmpl w:val="320B1D00"/>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32F04FB2"/>
    <w:multiLevelType w:val="multilevel"/>
    <w:tmpl w:val="32F04FB2"/>
    <w:lvl w:ilvl="0" w:tentative="0">
      <w:start w:val="1"/>
      <w:numFmt w:val="lowerLetter"/>
      <w:pStyle w:val="128"/>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1">
    <w:nsid w:val="34C51769"/>
    <w:multiLevelType w:val="multilevel"/>
    <w:tmpl w:val="34C51769"/>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
    <w:nsid w:val="46A67F28"/>
    <w:multiLevelType w:val="multilevel"/>
    <w:tmpl w:val="46A67F28"/>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3">
    <w:nsid w:val="48802D1C"/>
    <w:multiLevelType w:val="multilevel"/>
    <w:tmpl w:val="48802D1C"/>
    <w:lvl w:ilvl="0" w:tentative="0">
      <w:start w:val="1"/>
      <w:numFmt w:val="upperLetter"/>
      <w:pStyle w:val="220"/>
      <w:lvlText w:val="%1"/>
      <w:lvlJc w:val="left"/>
      <w:pPr>
        <w:ind w:left="420" w:hanging="420"/>
      </w:pPr>
      <w:rPr>
        <w:rFonts w:hint="eastAsia"/>
      </w:rPr>
    </w:lvl>
    <w:lvl w:ilvl="1" w:tentative="0">
      <w:start w:val="1"/>
      <w:numFmt w:val="decimal"/>
      <w:pStyle w:val="11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4">
    <w:nsid w:val="4A3475F8"/>
    <w:multiLevelType w:val="multilevel"/>
    <w:tmpl w:val="4A3475F8"/>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5">
    <w:nsid w:val="4B733A5F"/>
    <w:multiLevelType w:val="multilevel"/>
    <w:tmpl w:val="4B733A5F"/>
    <w:lvl w:ilvl="0" w:tentative="0">
      <w:start w:val="1"/>
      <w:numFmt w:val="decimal"/>
      <w:pStyle w:val="20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6">
    <w:nsid w:val="4E5D0534"/>
    <w:multiLevelType w:val="multilevel"/>
    <w:tmpl w:val="4E5D0534"/>
    <w:lvl w:ilvl="0" w:tentative="0">
      <w:start w:val="1"/>
      <w:numFmt w:val="decimal"/>
      <w:pStyle w:val="14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7">
    <w:nsid w:val="52D85CA0"/>
    <w:multiLevelType w:val="multilevel"/>
    <w:tmpl w:val="52D85CA0"/>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8">
    <w:nsid w:val="54632751"/>
    <w:multiLevelType w:val="multilevel"/>
    <w:tmpl w:val="54632751"/>
    <w:lvl w:ilvl="0" w:tentative="0">
      <w:start w:val="1"/>
      <w:numFmt w:val="none"/>
      <w:pStyle w:val="12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9">
    <w:nsid w:val="557C2AF5"/>
    <w:multiLevelType w:val="multilevel"/>
    <w:tmpl w:val="557C2AF5"/>
    <w:lvl w:ilvl="0" w:tentative="0">
      <w:start w:val="1"/>
      <w:numFmt w:val="decimal"/>
      <w:pStyle w:val="138"/>
      <w:suff w:val="nothing"/>
      <w:lvlText w:val="图%1　"/>
      <w:lvlJc w:val="left"/>
      <w:pPr>
        <w:ind w:left="0" w:firstLine="0"/>
      </w:pPr>
      <w:rPr>
        <w:rFonts w:hint="eastAsia"/>
      </w:rPr>
    </w:lvl>
    <w:lvl w:ilvl="1" w:tentative="0">
      <w:start w:val="1"/>
      <w:numFmt w:val="decimal"/>
      <w:suff w:val="nothing"/>
      <w:lvlText w:val="%1%2　"/>
      <w:lvlJc w:val="left"/>
      <w:pPr>
        <w:ind w:left="0" w:firstLine="0"/>
      </w:pPr>
      <w:rPr>
        <w:rFonts w:hint="eastAsia"/>
      </w:rPr>
    </w:lvl>
    <w:lvl w:ilvl="2" w:tentative="0">
      <w:start w:val="1"/>
      <w:numFmt w:val="decimal"/>
      <w:suff w:val="nothing"/>
      <w:lvlText w:val="%1%2.%3　"/>
      <w:lvlJc w:val="left"/>
      <w:pPr>
        <w:ind w:left="0" w:firstLine="0"/>
      </w:pPr>
      <w:rPr>
        <w:rFonts w:hint="eastAsia"/>
      </w:rPr>
    </w:lvl>
    <w:lvl w:ilvl="3" w:tentative="0">
      <w:start w:val="1"/>
      <w:numFmt w:val="decimal"/>
      <w:suff w:val="nothing"/>
      <w:lvlText w:val="%1%2.%3.%4　"/>
      <w:lvlJc w:val="left"/>
      <w:pPr>
        <w:ind w:left="0" w:firstLine="0"/>
      </w:pPr>
      <w:rPr>
        <w:rFonts w:hint="eastAsia"/>
      </w:rPr>
    </w:lvl>
    <w:lvl w:ilvl="4" w:tentative="0">
      <w:start w:val="1"/>
      <w:numFmt w:val="decimal"/>
      <w:suff w:val="nothing"/>
      <w:lvlText w:val="%1%2.%3.%4.%5　"/>
      <w:lvlJc w:val="left"/>
      <w:pPr>
        <w:ind w:left="0" w:firstLine="0"/>
      </w:pPr>
      <w:rPr>
        <w:rFonts w:hint="eastAsia"/>
      </w:rPr>
    </w:lvl>
    <w:lvl w:ilvl="5" w:tentative="0">
      <w:start w:val="1"/>
      <w:numFmt w:val="decimal"/>
      <w:suff w:val="nothing"/>
      <w:lvlText w:val="%1%2.%3.%4.%5.%6　"/>
      <w:lvlJc w:val="left"/>
      <w:pPr>
        <w:ind w:left="0" w:firstLine="0"/>
      </w:pPr>
      <w:rPr>
        <w:rFonts w:hint="eastAsia"/>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48"/>
        </w:tabs>
        <w:ind w:left="3969" w:hanging="1418"/>
      </w:pPr>
      <w:rPr>
        <w:rFonts w:hint="eastAsia"/>
      </w:rPr>
    </w:lvl>
    <w:lvl w:ilvl="8" w:tentative="0">
      <w:start w:val="1"/>
      <w:numFmt w:val="decimal"/>
      <w:lvlText w:val="%1.%2.%3.%4.%5.%6.%7.%8.%9"/>
      <w:lvlJc w:val="left"/>
      <w:pPr>
        <w:tabs>
          <w:tab w:val="left" w:pos="4774"/>
        </w:tabs>
        <w:ind w:left="4677" w:hanging="1701"/>
      </w:pPr>
      <w:rPr>
        <w:rFonts w:hint="eastAsia"/>
      </w:rPr>
    </w:lvl>
  </w:abstractNum>
  <w:abstractNum w:abstractNumId="30">
    <w:nsid w:val="5603797C"/>
    <w:multiLevelType w:val="multilevel"/>
    <w:tmpl w:val="5603797C"/>
    <w:lvl w:ilvl="0" w:tentative="0">
      <w:start w:val="1"/>
      <w:numFmt w:val="upperLetter"/>
      <w:pStyle w:val="221"/>
      <w:suff w:val="space"/>
      <w:lvlText w:val="%1"/>
      <w:lvlJc w:val="left"/>
      <w:pPr>
        <w:ind w:left="425" w:hanging="425"/>
      </w:pPr>
      <w:rPr>
        <w:rFonts w:hint="eastAsia"/>
      </w:rPr>
    </w:lvl>
    <w:lvl w:ilvl="1" w:tentative="0">
      <w:start w:val="1"/>
      <w:numFmt w:val="decimal"/>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1">
    <w:nsid w:val="564D2089"/>
    <w:multiLevelType w:val="multilevel"/>
    <w:tmpl w:val="564D2089"/>
    <w:lvl w:ilvl="0" w:tentative="0">
      <w:start w:val="1"/>
      <w:numFmt w:val="none"/>
      <w:pStyle w:val="13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5A8C7B40"/>
    <w:multiLevelType w:val="multilevel"/>
    <w:tmpl w:val="5A8C7B40"/>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3">
    <w:nsid w:val="5AFD62A6"/>
    <w:multiLevelType w:val="multilevel"/>
    <w:tmpl w:val="5AFD62A6"/>
    <w:lvl w:ilvl="0" w:tentative="0">
      <w:start w:val="1"/>
      <w:numFmt w:val="lowerLetter"/>
      <w:lvlText w:val="%1)"/>
      <w:lvlJc w:val="left"/>
      <w:pPr>
        <w:tabs>
          <w:tab w:val="left" w:pos="851"/>
        </w:tabs>
        <w:ind w:left="851" w:hanging="426"/>
      </w:pPr>
      <w:rPr>
        <w:rFonts w:hint="eastAsia"/>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4">
    <w:nsid w:val="644622F9"/>
    <w:multiLevelType w:val="multilevel"/>
    <w:tmpl w:val="644622F9"/>
    <w:lvl w:ilvl="0" w:tentative="0">
      <w:start w:val="1"/>
      <w:numFmt w:val="upperRoman"/>
      <w:pStyle w:val="19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5">
    <w:nsid w:val="646260FA"/>
    <w:multiLevelType w:val="multilevel"/>
    <w:tmpl w:val="646260FA"/>
    <w:lvl w:ilvl="0" w:tentative="0">
      <w:start w:val="1"/>
      <w:numFmt w:val="decimal"/>
      <w:pStyle w:val="13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6">
    <w:nsid w:val="654A26C9"/>
    <w:multiLevelType w:val="multilevel"/>
    <w:tmpl w:val="654A26C9"/>
    <w:lvl w:ilvl="0" w:tentative="0">
      <w:start w:val="1"/>
      <w:numFmt w:val="none"/>
      <w:pStyle w:val="211"/>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7">
    <w:nsid w:val="657D3FBC"/>
    <w:multiLevelType w:val="multilevel"/>
    <w:tmpl w:val="657D3FBC"/>
    <w:lvl w:ilvl="0" w:tentative="0">
      <w:start w:val="1"/>
      <w:numFmt w:val="upperLetter"/>
      <w:pStyle w:val="107"/>
      <w:suff w:val="nothing"/>
      <w:lvlText w:val="附录%1"/>
      <w:lvlJc w:val="left"/>
      <w:pPr>
        <w:ind w:left="0" w:firstLine="0"/>
      </w:pPr>
      <w:rPr>
        <w:rFonts w:hint="eastAsia"/>
        <w:spacing w:val="100"/>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eastAsia="黑体"/>
        <w:b w:val="0"/>
        <w:i w:val="0"/>
        <w:sz w:val="21"/>
      </w:rPr>
    </w:lvl>
    <w:lvl w:ilvl="3" w:tentative="0">
      <w:start w:val="1"/>
      <w:numFmt w:val="decimal"/>
      <w:pStyle w:val="112"/>
      <w:suff w:val="nothing"/>
      <w:lvlText w:val="%1.%2.%3.%4　"/>
      <w:lvlJc w:val="left"/>
      <w:pPr>
        <w:ind w:left="0" w:firstLine="0"/>
      </w:pPr>
      <w:rPr>
        <w:rFonts w:hint="eastAsia" w:ascii="黑体" w:eastAsia="黑体"/>
        <w:b w:val="0"/>
        <w:i w:val="0"/>
        <w:sz w:val="21"/>
      </w:rPr>
    </w:lvl>
    <w:lvl w:ilvl="4" w:tentative="0">
      <w:start w:val="1"/>
      <w:numFmt w:val="decimal"/>
      <w:pStyle w:val="113"/>
      <w:suff w:val="nothing"/>
      <w:lvlText w:val="%1.%2.%3.%4.%5　"/>
      <w:lvlJc w:val="left"/>
      <w:pPr>
        <w:ind w:left="0" w:firstLine="0"/>
      </w:pPr>
      <w:rPr>
        <w:rFonts w:hint="eastAsia" w:ascii="黑体" w:eastAsia="黑体"/>
        <w:b w:val="0"/>
        <w:i w:val="0"/>
        <w:sz w:val="21"/>
      </w:rPr>
    </w:lvl>
    <w:lvl w:ilvl="5" w:tentative="0">
      <w:start w:val="1"/>
      <w:numFmt w:val="decimal"/>
      <w:pStyle w:val="11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8">
    <w:nsid w:val="69506ABF"/>
    <w:multiLevelType w:val="multilevel"/>
    <w:tmpl w:val="69506ABF"/>
    <w:lvl w:ilvl="0" w:tentative="0">
      <w:start w:val="1"/>
      <w:numFmt w:val="bullet"/>
      <w:pStyle w:val="21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9">
    <w:nsid w:val="6CA41985"/>
    <w:multiLevelType w:val="multilevel"/>
    <w:tmpl w:val="6CA41985"/>
    <w:lvl w:ilvl="0" w:tentative="0">
      <w:start w:val="1"/>
      <w:numFmt w:val="decimal"/>
      <w:pStyle w:val="126"/>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6CE42AC1"/>
    <w:multiLevelType w:val="multilevel"/>
    <w:tmpl w:val="6CE42AC1"/>
    <w:lvl w:ilvl="0" w:tentative="0">
      <w:start w:val="1"/>
      <w:numFmt w:val="lowerLetter"/>
      <w:pStyle w:val="19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CEA2025"/>
    <w:multiLevelType w:val="multilevel"/>
    <w:tmpl w:val="6CEA2025"/>
    <w:lvl w:ilvl="0" w:tentative="0">
      <w:start w:val="1"/>
      <w:numFmt w:val="none"/>
      <w:pStyle w:val="51"/>
      <w:suff w:val="nothing"/>
      <w:lvlText w:val="%1"/>
      <w:lvlJc w:val="left"/>
      <w:pPr>
        <w:ind w:left="0" w:firstLine="0"/>
      </w:pPr>
      <w:rPr>
        <w:rFonts w:hint="eastAsia"/>
      </w:rPr>
    </w:lvl>
    <w:lvl w:ilvl="1" w:tentative="0">
      <w:start w:val="1"/>
      <w:numFmt w:val="decimal"/>
      <w:pStyle w:val="52"/>
      <w:suff w:val="nothing"/>
      <w:lvlText w:val="%1%2　"/>
      <w:lvlJc w:val="left"/>
      <w:pPr>
        <w:ind w:left="0" w:firstLine="0"/>
      </w:pPr>
      <w:rPr>
        <w:rFonts w:hint="eastAsia" w:ascii="黑体" w:eastAsia="黑体"/>
        <w:b w:val="0"/>
        <w:i w:val="0"/>
        <w:sz w:val="21"/>
      </w:rPr>
    </w:lvl>
    <w:lvl w:ilvl="2" w:tentative="0">
      <w:start w:val="1"/>
      <w:numFmt w:val="decimal"/>
      <w:pStyle w:val="53"/>
      <w:suff w:val="nothing"/>
      <w:lvlText w:val="%1%2.%3　"/>
      <w:lvlJc w:val="left"/>
      <w:pPr>
        <w:ind w:left="568"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49"/>
      <w:suff w:val="nothing"/>
      <w:lvlText w:val="%1%2.%3.%4　"/>
      <w:lvlJc w:val="left"/>
      <w:pPr>
        <w:ind w:left="992" w:firstLine="0"/>
      </w:pPr>
      <w:rPr>
        <w:rFonts w:hint="eastAsia" w:ascii="黑体" w:eastAsia="黑体"/>
        <w:b w:val="0"/>
        <w:i w:val="0"/>
        <w:sz w:val="21"/>
      </w:rPr>
    </w:lvl>
    <w:lvl w:ilvl="4" w:tentative="0">
      <w:start w:val="1"/>
      <w:numFmt w:val="decimal"/>
      <w:pStyle w:val="54"/>
      <w:suff w:val="nothing"/>
      <w:lvlText w:val="%1%2.%3.%4.%5　"/>
      <w:lvlJc w:val="left"/>
      <w:pPr>
        <w:ind w:left="0" w:firstLine="0"/>
      </w:pPr>
      <w:rPr>
        <w:rFonts w:hint="eastAsia" w:ascii="黑体" w:eastAsia="黑体"/>
        <w:b w:val="0"/>
        <w:i w:val="0"/>
        <w:sz w:val="21"/>
      </w:rPr>
    </w:lvl>
    <w:lvl w:ilvl="5" w:tentative="0">
      <w:start w:val="1"/>
      <w:numFmt w:val="decimal"/>
      <w:pStyle w:val="55"/>
      <w:suff w:val="nothing"/>
      <w:lvlText w:val="%1%2.%3.%4.%5.%6　"/>
      <w:lvlJc w:val="left"/>
      <w:pPr>
        <w:ind w:left="0" w:firstLine="0"/>
      </w:pPr>
      <w:rPr>
        <w:rFonts w:hint="eastAsia" w:ascii="黑体" w:eastAsia="黑体"/>
        <w:b w:val="0"/>
        <w:i w:val="0"/>
        <w:sz w:val="21"/>
      </w:rPr>
    </w:lvl>
    <w:lvl w:ilvl="6" w:tentative="0">
      <w:start w:val="1"/>
      <w:numFmt w:val="decimal"/>
      <w:pStyle w:val="5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2">
    <w:nsid w:val="6DBF04F4"/>
    <w:multiLevelType w:val="multilevel"/>
    <w:tmpl w:val="6DBF04F4"/>
    <w:lvl w:ilvl="0" w:tentative="0">
      <w:start w:val="1"/>
      <w:numFmt w:val="none"/>
      <w:pStyle w:val="20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3">
    <w:nsid w:val="6DF35F19"/>
    <w:multiLevelType w:val="multilevel"/>
    <w:tmpl w:val="6DF35F19"/>
    <w:lvl w:ilvl="0" w:tentative="0">
      <w:start w:val="1"/>
      <w:numFmt w:val="decimal"/>
      <w:pStyle w:val="13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4">
    <w:nsid w:val="76933334"/>
    <w:multiLevelType w:val="multilevel"/>
    <w:tmpl w:val="76933334"/>
    <w:lvl w:ilvl="0" w:tentative="0">
      <w:start w:val="1"/>
      <w:numFmt w:val="none"/>
      <w:pStyle w:val="16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7E0D89E9"/>
    <w:multiLevelType w:val="multilevel"/>
    <w:tmpl w:val="7E0D89E9"/>
    <w:lvl w:ilvl="0" w:tentative="0">
      <w:start w:val="1"/>
      <w:numFmt w:val="none"/>
      <w:pStyle w:val="156"/>
      <w:suff w:val="space"/>
      <w:lvlText w:val="%1——"/>
      <w:lvlJc w:val="left"/>
      <w:pPr>
        <w:ind w:left="851" w:hanging="426"/>
      </w:pPr>
      <w:rPr>
        <w:rFonts w:hint="eastAsia" w:ascii="宋体" w:hAnsi="Times New Roman" w:eastAsia="宋体"/>
        <w:b w:val="0"/>
        <w:i w:val="0"/>
        <w:sz w:val="21"/>
      </w:rPr>
    </w:lvl>
    <w:lvl w:ilvl="1" w:tentative="0">
      <w:start w:val="1"/>
      <w:numFmt w:val="none"/>
      <w:pStyle w:val="209"/>
      <w:lvlText w:val=""/>
      <w:lvlJc w:val="left"/>
      <w:pPr>
        <w:ind w:left="851" w:hanging="431"/>
      </w:pPr>
      <w:rPr>
        <w:rFonts w:hint="default" w:ascii="Symbol" w:hAnsi="Symbol"/>
        <w:sz w:val="21"/>
      </w:rPr>
    </w:lvl>
    <w:lvl w:ilvl="2" w:tentative="0">
      <w:start w:val="1"/>
      <w:numFmt w:val="bullet"/>
      <w:pStyle w:val="19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num w:numId="1">
    <w:abstractNumId w:val="41"/>
  </w:num>
  <w:num w:numId="2">
    <w:abstractNumId w:val="0"/>
  </w:num>
  <w:num w:numId="3">
    <w:abstractNumId w:val="8"/>
  </w:num>
  <w:num w:numId="4">
    <w:abstractNumId w:val="37"/>
  </w:num>
  <w:num w:numId="5">
    <w:abstractNumId w:val="23"/>
  </w:num>
  <w:num w:numId="6">
    <w:abstractNumId w:val="14"/>
  </w:num>
  <w:num w:numId="7">
    <w:abstractNumId w:val="4"/>
  </w:num>
  <w:num w:numId="8">
    <w:abstractNumId w:val="15"/>
  </w:num>
  <w:num w:numId="9">
    <w:abstractNumId w:val="28"/>
  </w:num>
  <w:num w:numId="10">
    <w:abstractNumId w:val="39"/>
  </w:num>
  <w:num w:numId="11">
    <w:abstractNumId w:val="20"/>
  </w:num>
  <w:num w:numId="12">
    <w:abstractNumId w:val="12"/>
  </w:num>
  <w:num w:numId="13">
    <w:abstractNumId w:val="13"/>
  </w:num>
  <w:num w:numId="14">
    <w:abstractNumId w:val="31"/>
  </w:num>
  <w:num w:numId="15">
    <w:abstractNumId w:val="35"/>
  </w:num>
  <w:num w:numId="16">
    <w:abstractNumId w:val="29"/>
  </w:num>
  <w:num w:numId="17">
    <w:abstractNumId w:val="43"/>
  </w:num>
  <w:num w:numId="18">
    <w:abstractNumId w:val="26"/>
  </w:num>
  <w:num w:numId="19">
    <w:abstractNumId w:val="1"/>
  </w:num>
  <w:num w:numId="20">
    <w:abstractNumId w:val="45"/>
  </w:num>
  <w:num w:numId="21">
    <w:abstractNumId w:val="44"/>
  </w:num>
  <w:num w:numId="22">
    <w:abstractNumId w:val="34"/>
  </w:num>
  <w:num w:numId="23">
    <w:abstractNumId w:val="9"/>
  </w:num>
  <w:num w:numId="24">
    <w:abstractNumId w:val="40"/>
  </w:num>
  <w:num w:numId="25">
    <w:abstractNumId w:val="42"/>
  </w:num>
  <w:num w:numId="26">
    <w:abstractNumId w:val="3"/>
  </w:num>
  <w:num w:numId="27">
    <w:abstractNumId w:val="7"/>
  </w:num>
  <w:num w:numId="28">
    <w:abstractNumId w:val="25"/>
  </w:num>
  <w:num w:numId="29">
    <w:abstractNumId w:val="38"/>
  </w:num>
  <w:num w:numId="30">
    <w:abstractNumId w:val="36"/>
  </w:num>
  <w:num w:numId="31">
    <w:abstractNumId w:val="30"/>
  </w:num>
  <w:num w:numId="32">
    <w:abstractNumId w:val="18"/>
  </w:num>
  <w:num w:numId="33">
    <w:abstractNumId w:val="2"/>
  </w:num>
  <w:num w:numId="34">
    <w:abstractNumId w:val="6"/>
  </w:num>
  <w:num w:numId="35">
    <w:abstractNumId w:val="10"/>
  </w:num>
  <w:num w:numId="36">
    <w:abstractNumId w:val="24"/>
  </w:num>
  <w:num w:numId="37">
    <w:abstractNumId w:val="21"/>
  </w:num>
  <w:num w:numId="38">
    <w:abstractNumId w:val="33"/>
  </w:num>
  <w:num w:numId="39">
    <w:abstractNumId w:val="32"/>
  </w:num>
  <w:num w:numId="40">
    <w:abstractNumId w:val="11"/>
  </w:num>
  <w:num w:numId="41">
    <w:abstractNumId w:val="5"/>
  </w:num>
  <w:num w:numId="42">
    <w:abstractNumId w:val="17"/>
  </w:num>
  <w:num w:numId="43">
    <w:abstractNumId w:val="22"/>
  </w:num>
  <w:num w:numId="44">
    <w:abstractNumId w:val="19"/>
  </w:num>
  <w:num w:numId="45">
    <w:abstractNumId w:val="27"/>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NWZlMTQzNjJmODg2ZDNiMzVlNWVjYmE4YzJiMDgifQ=="/>
    <w:docVar w:name="KSO_WPS_MARK_KEY" w:val="b0c806ae-f1b0-48f9-b674-252d81076cbd"/>
  </w:docVars>
  <w:rsids>
    <w:rsidRoot w:val="00127B40"/>
    <w:rsid w:val="0000040A"/>
    <w:rsid w:val="00000A94"/>
    <w:rsid w:val="00001972"/>
    <w:rsid w:val="00001D9A"/>
    <w:rsid w:val="00003586"/>
    <w:rsid w:val="00007B3A"/>
    <w:rsid w:val="00007FA5"/>
    <w:rsid w:val="000107E0"/>
    <w:rsid w:val="000108BD"/>
    <w:rsid w:val="00011FDE"/>
    <w:rsid w:val="00012E14"/>
    <w:rsid w:val="00012FFD"/>
    <w:rsid w:val="00014162"/>
    <w:rsid w:val="00014340"/>
    <w:rsid w:val="00016A9C"/>
    <w:rsid w:val="00016E44"/>
    <w:rsid w:val="000204A9"/>
    <w:rsid w:val="00020F36"/>
    <w:rsid w:val="00022184"/>
    <w:rsid w:val="000221C5"/>
    <w:rsid w:val="00022570"/>
    <w:rsid w:val="00022762"/>
    <w:rsid w:val="000238E0"/>
    <w:rsid w:val="00023B63"/>
    <w:rsid w:val="000249DB"/>
    <w:rsid w:val="0002567B"/>
    <w:rsid w:val="0002595E"/>
    <w:rsid w:val="000303C3"/>
    <w:rsid w:val="00032520"/>
    <w:rsid w:val="000331D3"/>
    <w:rsid w:val="000346A5"/>
    <w:rsid w:val="000359C3"/>
    <w:rsid w:val="00035A7D"/>
    <w:rsid w:val="000365ED"/>
    <w:rsid w:val="00036805"/>
    <w:rsid w:val="000408CD"/>
    <w:rsid w:val="00041AE1"/>
    <w:rsid w:val="000421E3"/>
    <w:rsid w:val="000422B3"/>
    <w:rsid w:val="0004249A"/>
    <w:rsid w:val="00042C83"/>
    <w:rsid w:val="00043282"/>
    <w:rsid w:val="00044286"/>
    <w:rsid w:val="00044C50"/>
    <w:rsid w:val="0004585D"/>
    <w:rsid w:val="00045EEA"/>
    <w:rsid w:val="00047F28"/>
    <w:rsid w:val="000503AA"/>
    <w:rsid w:val="000506A1"/>
    <w:rsid w:val="000515DD"/>
    <w:rsid w:val="00051A41"/>
    <w:rsid w:val="000524D9"/>
    <w:rsid w:val="0005265A"/>
    <w:rsid w:val="000539DD"/>
    <w:rsid w:val="00053BD3"/>
    <w:rsid w:val="000556ED"/>
    <w:rsid w:val="00055FE2"/>
    <w:rsid w:val="0005616F"/>
    <w:rsid w:val="00060C2E"/>
    <w:rsid w:val="00061033"/>
    <w:rsid w:val="000619E9"/>
    <w:rsid w:val="000622D4"/>
    <w:rsid w:val="0006305F"/>
    <w:rsid w:val="0006357D"/>
    <w:rsid w:val="00066119"/>
    <w:rsid w:val="00067F1E"/>
    <w:rsid w:val="00071CC0"/>
    <w:rsid w:val="000728A8"/>
    <w:rsid w:val="00073C8C"/>
    <w:rsid w:val="00077B64"/>
    <w:rsid w:val="000806DB"/>
    <w:rsid w:val="00080A1C"/>
    <w:rsid w:val="00081B78"/>
    <w:rsid w:val="00082317"/>
    <w:rsid w:val="00082BEF"/>
    <w:rsid w:val="00083D2C"/>
    <w:rsid w:val="00083E82"/>
    <w:rsid w:val="000845A6"/>
    <w:rsid w:val="00086AA1"/>
    <w:rsid w:val="00087A77"/>
    <w:rsid w:val="00090CA6"/>
    <w:rsid w:val="00090CAF"/>
    <w:rsid w:val="000912A7"/>
    <w:rsid w:val="00092B8A"/>
    <w:rsid w:val="00092FB0"/>
    <w:rsid w:val="000934C5"/>
    <w:rsid w:val="00093D25"/>
    <w:rsid w:val="00093DAB"/>
    <w:rsid w:val="00094D73"/>
    <w:rsid w:val="000968B8"/>
    <w:rsid w:val="00096D63"/>
    <w:rsid w:val="000A059A"/>
    <w:rsid w:val="000A0B60"/>
    <w:rsid w:val="000A0EB8"/>
    <w:rsid w:val="000A19FC"/>
    <w:rsid w:val="000A296B"/>
    <w:rsid w:val="000A72E6"/>
    <w:rsid w:val="000A7311"/>
    <w:rsid w:val="000A768D"/>
    <w:rsid w:val="000B060F"/>
    <w:rsid w:val="000B1592"/>
    <w:rsid w:val="000B1747"/>
    <w:rsid w:val="000B1FF2"/>
    <w:rsid w:val="000B3CDA"/>
    <w:rsid w:val="000B4F5D"/>
    <w:rsid w:val="000B6A0B"/>
    <w:rsid w:val="000C0F6C"/>
    <w:rsid w:val="000C11DB"/>
    <w:rsid w:val="000C1492"/>
    <w:rsid w:val="000C17DC"/>
    <w:rsid w:val="000C2FBD"/>
    <w:rsid w:val="000C4B41"/>
    <w:rsid w:val="000C4FAE"/>
    <w:rsid w:val="000C57D6"/>
    <w:rsid w:val="000C6362"/>
    <w:rsid w:val="000C6F8A"/>
    <w:rsid w:val="000C7097"/>
    <w:rsid w:val="000C7666"/>
    <w:rsid w:val="000C7ECA"/>
    <w:rsid w:val="000D0A9C"/>
    <w:rsid w:val="000D1795"/>
    <w:rsid w:val="000D241E"/>
    <w:rsid w:val="000D31DA"/>
    <w:rsid w:val="000D329A"/>
    <w:rsid w:val="000D4B9C"/>
    <w:rsid w:val="000D4EB6"/>
    <w:rsid w:val="000D753B"/>
    <w:rsid w:val="000E00BB"/>
    <w:rsid w:val="000E4C9E"/>
    <w:rsid w:val="000E6FD7"/>
    <w:rsid w:val="000F06E1"/>
    <w:rsid w:val="000F0E3C"/>
    <w:rsid w:val="000F175D"/>
    <w:rsid w:val="000F19D5"/>
    <w:rsid w:val="000F2DAF"/>
    <w:rsid w:val="000F4073"/>
    <w:rsid w:val="000F4AEA"/>
    <w:rsid w:val="000F633F"/>
    <w:rsid w:val="000F67E9"/>
    <w:rsid w:val="000F69C3"/>
    <w:rsid w:val="0010034B"/>
    <w:rsid w:val="00101AEE"/>
    <w:rsid w:val="00104926"/>
    <w:rsid w:val="001054AE"/>
    <w:rsid w:val="00113B1E"/>
    <w:rsid w:val="00116359"/>
    <w:rsid w:val="0011711C"/>
    <w:rsid w:val="0012059C"/>
    <w:rsid w:val="001234E3"/>
    <w:rsid w:val="00124E4F"/>
    <w:rsid w:val="001260B7"/>
    <w:rsid w:val="001265CB"/>
    <w:rsid w:val="00127B40"/>
    <w:rsid w:val="0013103D"/>
    <w:rsid w:val="00131274"/>
    <w:rsid w:val="001321C6"/>
    <w:rsid w:val="001325C4"/>
    <w:rsid w:val="00133010"/>
    <w:rsid w:val="001338EE"/>
    <w:rsid w:val="00133AAE"/>
    <w:rsid w:val="00134CC9"/>
    <w:rsid w:val="00134F8B"/>
    <w:rsid w:val="00135323"/>
    <w:rsid w:val="001355E8"/>
    <w:rsid w:val="001356C4"/>
    <w:rsid w:val="00136A39"/>
    <w:rsid w:val="00141114"/>
    <w:rsid w:val="00142969"/>
    <w:rsid w:val="001446C2"/>
    <w:rsid w:val="001457E7"/>
    <w:rsid w:val="00145D9D"/>
    <w:rsid w:val="00146388"/>
    <w:rsid w:val="00146A36"/>
    <w:rsid w:val="0015191D"/>
    <w:rsid w:val="001529E5"/>
    <w:rsid w:val="00153C7E"/>
    <w:rsid w:val="00155D9F"/>
    <w:rsid w:val="00156B25"/>
    <w:rsid w:val="00156E1A"/>
    <w:rsid w:val="00157894"/>
    <w:rsid w:val="00157B55"/>
    <w:rsid w:val="001642FA"/>
    <w:rsid w:val="001649EB"/>
    <w:rsid w:val="00164BAF"/>
    <w:rsid w:val="00164FA8"/>
    <w:rsid w:val="00165065"/>
    <w:rsid w:val="00165434"/>
    <w:rsid w:val="0016580B"/>
    <w:rsid w:val="00165A6E"/>
    <w:rsid w:val="00165F49"/>
    <w:rsid w:val="00166AC4"/>
    <w:rsid w:val="00166B88"/>
    <w:rsid w:val="00167247"/>
    <w:rsid w:val="0016770A"/>
    <w:rsid w:val="00170804"/>
    <w:rsid w:val="001708E9"/>
    <w:rsid w:val="00170A06"/>
    <w:rsid w:val="00172A4D"/>
    <w:rsid w:val="0017340B"/>
    <w:rsid w:val="00173FB1"/>
    <w:rsid w:val="001767D6"/>
    <w:rsid w:val="00176DFD"/>
    <w:rsid w:val="00176FFD"/>
    <w:rsid w:val="001815B7"/>
    <w:rsid w:val="00181A3D"/>
    <w:rsid w:val="00183763"/>
    <w:rsid w:val="001847B0"/>
    <w:rsid w:val="001852C9"/>
    <w:rsid w:val="00186EA0"/>
    <w:rsid w:val="001873C8"/>
    <w:rsid w:val="00190087"/>
    <w:rsid w:val="00190DE3"/>
    <w:rsid w:val="001913C4"/>
    <w:rsid w:val="0019348F"/>
    <w:rsid w:val="00193A07"/>
    <w:rsid w:val="00194C95"/>
    <w:rsid w:val="00195C34"/>
    <w:rsid w:val="00196EF5"/>
    <w:rsid w:val="001A04F8"/>
    <w:rsid w:val="001A1A53"/>
    <w:rsid w:val="001A234A"/>
    <w:rsid w:val="001A4CF3"/>
    <w:rsid w:val="001A52DF"/>
    <w:rsid w:val="001A6E4F"/>
    <w:rsid w:val="001B06E8"/>
    <w:rsid w:val="001B3B62"/>
    <w:rsid w:val="001B6D7E"/>
    <w:rsid w:val="001B71AD"/>
    <w:rsid w:val="001B71D0"/>
    <w:rsid w:val="001B71EE"/>
    <w:rsid w:val="001B7E24"/>
    <w:rsid w:val="001C04A8"/>
    <w:rsid w:val="001C2C03"/>
    <w:rsid w:val="001C3B2F"/>
    <w:rsid w:val="001C42F7"/>
    <w:rsid w:val="001C49E5"/>
    <w:rsid w:val="001C4D13"/>
    <w:rsid w:val="001C595E"/>
    <w:rsid w:val="001C5E7C"/>
    <w:rsid w:val="001C680C"/>
    <w:rsid w:val="001C69C1"/>
    <w:rsid w:val="001C7664"/>
    <w:rsid w:val="001C7FEA"/>
    <w:rsid w:val="001D0499"/>
    <w:rsid w:val="001D0BBE"/>
    <w:rsid w:val="001D0ED4"/>
    <w:rsid w:val="001D1CA2"/>
    <w:rsid w:val="001D212F"/>
    <w:rsid w:val="001D29D7"/>
    <w:rsid w:val="001D2DE7"/>
    <w:rsid w:val="001D3891"/>
    <w:rsid w:val="001D411C"/>
    <w:rsid w:val="001D6592"/>
    <w:rsid w:val="001D6BB2"/>
    <w:rsid w:val="001E1B6A"/>
    <w:rsid w:val="001E1BCF"/>
    <w:rsid w:val="001E2484"/>
    <w:rsid w:val="001E271B"/>
    <w:rsid w:val="001E304C"/>
    <w:rsid w:val="001E3CC4"/>
    <w:rsid w:val="001E3FF3"/>
    <w:rsid w:val="001E4882"/>
    <w:rsid w:val="001E73AB"/>
    <w:rsid w:val="001F092D"/>
    <w:rsid w:val="001F143A"/>
    <w:rsid w:val="001F1605"/>
    <w:rsid w:val="001F2508"/>
    <w:rsid w:val="001F2BC6"/>
    <w:rsid w:val="001F4816"/>
    <w:rsid w:val="001F4EE9"/>
    <w:rsid w:val="001F69B4"/>
    <w:rsid w:val="001F722C"/>
    <w:rsid w:val="001F76DE"/>
    <w:rsid w:val="001F77C7"/>
    <w:rsid w:val="002000F8"/>
    <w:rsid w:val="00200183"/>
    <w:rsid w:val="00200333"/>
    <w:rsid w:val="0020107D"/>
    <w:rsid w:val="00201FCE"/>
    <w:rsid w:val="00202AA4"/>
    <w:rsid w:val="002031F7"/>
    <w:rsid w:val="002035AF"/>
    <w:rsid w:val="00203CE0"/>
    <w:rsid w:val="002040E6"/>
    <w:rsid w:val="0020527B"/>
    <w:rsid w:val="00205F2C"/>
    <w:rsid w:val="002065EA"/>
    <w:rsid w:val="00210B15"/>
    <w:rsid w:val="002142EA"/>
    <w:rsid w:val="00214FC7"/>
    <w:rsid w:val="00215F7B"/>
    <w:rsid w:val="002204BB"/>
    <w:rsid w:val="00221B79"/>
    <w:rsid w:val="00221C6B"/>
    <w:rsid w:val="00222999"/>
    <w:rsid w:val="00222BF3"/>
    <w:rsid w:val="00223242"/>
    <w:rsid w:val="002253A1"/>
    <w:rsid w:val="00225CF8"/>
    <w:rsid w:val="002273D6"/>
    <w:rsid w:val="0022794E"/>
    <w:rsid w:val="00233D64"/>
    <w:rsid w:val="0023482A"/>
    <w:rsid w:val="002358BD"/>
    <w:rsid w:val="002359CB"/>
    <w:rsid w:val="00235EA3"/>
    <w:rsid w:val="00236B9A"/>
    <w:rsid w:val="00236EB3"/>
    <w:rsid w:val="00243540"/>
    <w:rsid w:val="0024497B"/>
    <w:rsid w:val="0024515B"/>
    <w:rsid w:val="00246021"/>
    <w:rsid w:val="0024666E"/>
    <w:rsid w:val="00247F52"/>
    <w:rsid w:val="00250B25"/>
    <w:rsid w:val="00250BBE"/>
    <w:rsid w:val="002515C2"/>
    <w:rsid w:val="0025194F"/>
    <w:rsid w:val="00251E5E"/>
    <w:rsid w:val="0025336B"/>
    <w:rsid w:val="00255102"/>
    <w:rsid w:val="002565F9"/>
    <w:rsid w:val="00261326"/>
    <w:rsid w:val="0026148A"/>
    <w:rsid w:val="00262696"/>
    <w:rsid w:val="00263AFC"/>
    <w:rsid w:val="00263D25"/>
    <w:rsid w:val="00263E01"/>
    <w:rsid w:val="002643C3"/>
    <w:rsid w:val="00264A0C"/>
    <w:rsid w:val="00266EEB"/>
    <w:rsid w:val="0026708A"/>
    <w:rsid w:val="00267103"/>
    <w:rsid w:val="0026764F"/>
    <w:rsid w:val="00267EF4"/>
    <w:rsid w:val="00270CB8"/>
    <w:rsid w:val="00271D42"/>
    <w:rsid w:val="00272555"/>
    <w:rsid w:val="00272B08"/>
    <w:rsid w:val="00272E59"/>
    <w:rsid w:val="002771AC"/>
    <w:rsid w:val="00281BB8"/>
    <w:rsid w:val="00281E9E"/>
    <w:rsid w:val="00282405"/>
    <w:rsid w:val="00284088"/>
    <w:rsid w:val="00285170"/>
    <w:rsid w:val="00285361"/>
    <w:rsid w:val="002906CF"/>
    <w:rsid w:val="00290DF7"/>
    <w:rsid w:val="00292D60"/>
    <w:rsid w:val="00293B30"/>
    <w:rsid w:val="0029424D"/>
    <w:rsid w:val="00294D34"/>
    <w:rsid w:val="00294E3B"/>
    <w:rsid w:val="00295343"/>
    <w:rsid w:val="00296193"/>
    <w:rsid w:val="00296C66"/>
    <w:rsid w:val="00296EBE"/>
    <w:rsid w:val="002974E3"/>
    <w:rsid w:val="002A084B"/>
    <w:rsid w:val="002A0C50"/>
    <w:rsid w:val="002A1260"/>
    <w:rsid w:val="002A1589"/>
    <w:rsid w:val="002A1608"/>
    <w:rsid w:val="002A1A35"/>
    <w:rsid w:val="002A25DC"/>
    <w:rsid w:val="002A3AAB"/>
    <w:rsid w:val="002A4CEA"/>
    <w:rsid w:val="002A5977"/>
    <w:rsid w:val="002A5A13"/>
    <w:rsid w:val="002A6AFD"/>
    <w:rsid w:val="002A757F"/>
    <w:rsid w:val="002A7F44"/>
    <w:rsid w:val="002B0B79"/>
    <w:rsid w:val="002B0C40"/>
    <w:rsid w:val="002B1966"/>
    <w:rsid w:val="002B2945"/>
    <w:rsid w:val="002B3DAC"/>
    <w:rsid w:val="002B44D2"/>
    <w:rsid w:val="002B4508"/>
    <w:rsid w:val="002B5779"/>
    <w:rsid w:val="002B688A"/>
    <w:rsid w:val="002B7332"/>
    <w:rsid w:val="002B7F51"/>
    <w:rsid w:val="002C07BC"/>
    <w:rsid w:val="002C09E7"/>
    <w:rsid w:val="002C1E06"/>
    <w:rsid w:val="002C1E1C"/>
    <w:rsid w:val="002C28B3"/>
    <w:rsid w:val="002C3F07"/>
    <w:rsid w:val="002C5278"/>
    <w:rsid w:val="002C7EBB"/>
    <w:rsid w:val="002D06C1"/>
    <w:rsid w:val="002D42B5"/>
    <w:rsid w:val="002D45FF"/>
    <w:rsid w:val="002D4F1A"/>
    <w:rsid w:val="002D6EC6"/>
    <w:rsid w:val="002D79AC"/>
    <w:rsid w:val="002E039D"/>
    <w:rsid w:val="002E1F01"/>
    <w:rsid w:val="002E2833"/>
    <w:rsid w:val="002E4D5A"/>
    <w:rsid w:val="002E6326"/>
    <w:rsid w:val="002F30E0"/>
    <w:rsid w:val="002F35E4"/>
    <w:rsid w:val="002F3730"/>
    <w:rsid w:val="002F38E1"/>
    <w:rsid w:val="002F3CCD"/>
    <w:rsid w:val="002F5E74"/>
    <w:rsid w:val="002F73E8"/>
    <w:rsid w:val="002F7AF6"/>
    <w:rsid w:val="00300E63"/>
    <w:rsid w:val="00302F5F"/>
    <w:rsid w:val="0030441D"/>
    <w:rsid w:val="00306063"/>
    <w:rsid w:val="00311F81"/>
    <w:rsid w:val="00313B85"/>
    <w:rsid w:val="00313F91"/>
    <w:rsid w:val="00314582"/>
    <w:rsid w:val="00314E59"/>
    <w:rsid w:val="00315949"/>
    <w:rsid w:val="0031743D"/>
    <w:rsid w:val="00317988"/>
    <w:rsid w:val="00320AD2"/>
    <w:rsid w:val="00321A09"/>
    <w:rsid w:val="003221B4"/>
    <w:rsid w:val="0032258D"/>
    <w:rsid w:val="00322E62"/>
    <w:rsid w:val="00324D13"/>
    <w:rsid w:val="00324D2A"/>
    <w:rsid w:val="00324EDD"/>
    <w:rsid w:val="00327D04"/>
    <w:rsid w:val="003331E4"/>
    <w:rsid w:val="00333BF7"/>
    <w:rsid w:val="003353A2"/>
    <w:rsid w:val="00336C64"/>
    <w:rsid w:val="00337162"/>
    <w:rsid w:val="00337E3A"/>
    <w:rsid w:val="00340E51"/>
    <w:rsid w:val="0034194F"/>
    <w:rsid w:val="00344605"/>
    <w:rsid w:val="003447EE"/>
    <w:rsid w:val="0034576A"/>
    <w:rsid w:val="003474AA"/>
    <w:rsid w:val="00350D1D"/>
    <w:rsid w:val="00351819"/>
    <w:rsid w:val="003523FE"/>
    <w:rsid w:val="00352A98"/>
    <w:rsid w:val="00352C83"/>
    <w:rsid w:val="00352FCB"/>
    <w:rsid w:val="0035633D"/>
    <w:rsid w:val="00357237"/>
    <w:rsid w:val="003615D2"/>
    <w:rsid w:val="0036429C"/>
    <w:rsid w:val="00364A53"/>
    <w:rsid w:val="003654CB"/>
    <w:rsid w:val="00365AA9"/>
    <w:rsid w:val="00365F86"/>
    <w:rsid w:val="00365F87"/>
    <w:rsid w:val="00366E89"/>
    <w:rsid w:val="003705F4"/>
    <w:rsid w:val="00370D58"/>
    <w:rsid w:val="00371316"/>
    <w:rsid w:val="00374DAD"/>
    <w:rsid w:val="00376713"/>
    <w:rsid w:val="003814FF"/>
    <w:rsid w:val="00381815"/>
    <w:rsid w:val="003819AF"/>
    <w:rsid w:val="003820E9"/>
    <w:rsid w:val="00382DE7"/>
    <w:rsid w:val="00384768"/>
    <w:rsid w:val="00384FFC"/>
    <w:rsid w:val="003868ED"/>
    <w:rsid w:val="0038704D"/>
    <w:rsid w:val="003872FC"/>
    <w:rsid w:val="00387ADC"/>
    <w:rsid w:val="00390020"/>
    <w:rsid w:val="003903D6"/>
    <w:rsid w:val="00390EE6"/>
    <w:rsid w:val="0039118F"/>
    <w:rsid w:val="003928D9"/>
    <w:rsid w:val="00392AD7"/>
    <w:rsid w:val="00392B7C"/>
    <w:rsid w:val="003938D9"/>
    <w:rsid w:val="00394376"/>
    <w:rsid w:val="003943FF"/>
    <w:rsid w:val="0039483A"/>
    <w:rsid w:val="00395700"/>
    <w:rsid w:val="00395E1D"/>
    <w:rsid w:val="003974EB"/>
    <w:rsid w:val="00397CC5"/>
    <w:rsid w:val="003A1359"/>
    <w:rsid w:val="003A1582"/>
    <w:rsid w:val="003A374C"/>
    <w:rsid w:val="003A4077"/>
    <w:rsid w:val="003A4EA9"/>
    <w:rsid w:val="003A5E15"/>
    <w:rsid w:val="003A77F1"/>
    <w:rsid w:val="003A7B01"/>
    <w:rsid w:val="003B09AD"/>
    <w:rsid w:val="003B17F1"/>
    <w:rsid w:val="003B1F18"/>
    <w:rsid w:val="003B5BF0"/>
    <w:rsid w:val="003B60BF"/>
    <w:rsid w:val="003B6BE3"/>
    <w:rsid w:val="003C010C"/>
    <w:rsid w:val="003C0687"/>
    <w:rsid w:val="003C0A6C"/>
    <w:rsid w:val="003C14F8"/>
    <w:rsid w:val="003C5A43"/>
    <w:rsid w:val="003C6304"/>
    <w:rsid w:val="003C7497"/>
    <w:rsid w:val="003D0519"/>
    <w:rsid w:val="003D0FF6"/>
    <w:rsid w:val="003D262C"/>
    <w:rsid w:val="003D2ABF"/>
    <w:rsid w:val="003D6D61"/>
    <w:rsid w:val="003D79C6"/>
    <w:rsid w:val="003E091D"/>
    <w:rsid w:val="003E1C53"/>
    <w:rsid w:val="003E290B"/>
    <w:rsid w:val="003E2942"/>
    <w:rsid w:val="003E2A69"/>
    <w:rsid w:val="003E2D49"/>
    <w:rsid w:val="003E2FD4"/>
    <w:rsid w:val="003E49F6"/>
    <w:rsid w:val="003E660F"/>
    <w:rsid w:val="003E7218"/>
    <w:rsid w:val="003F0841"/>
    <w:rsid w:val="003F23D3"/>
    <w:rsid w:val="003F26E9"/>
    <w:rsid w:val="003F3AD5"/>
    <w:rsid w:val="003F3B58"/>
    <w:rsid w:val="003F3E7A"/>
    <w:rsid w:val="003F3F08"/>
    <w:rsid w:val="003F49F1"/>
    <w:rsid w:val="003F6272"/>
    <w:rsid w:val="003F6D42"/>
    <w:rsid w:val="00400E72"/>
    <w:rsid w:val="00401400"/>
    <w:rsid w:val="00402F8E"/>
    <w:rsid w:val="00404869"/>
    <w:rsid w:val="00405884"/>
    <w:rsid w:val="00407D39"/>
    <w:rsid w:val="00412846"/>
    <w:rsid w:val="0041477A"/>
    <w:rsid w:val="004167A3"/>
    <w:rsid w:val="00417995"/>
    <w:rsid w:val="00423AC2"/>
    <w:rsid w:val="004310F2"/>
    <w:rsid w:val="00431AB1"/>
    <w:rsid w:val="00432DAA"/>
    <w:rsid w:val="00434305"/>
    <w:rsid w:val="004357E3"/>
    <w:rsid w:val="00435DF7"/>
    <w:rsid w:val="00440779"/>
    <w:rsid w:val="0044083F"/>
    <w:rsid w:val="00441AE7"/>
    <w:rsid w:val="0044260B"/>
    <w:rsid w:val="00445574"/>
    <w:rsid w:val="004467FB"/>
    <w:rsid w:val="00452ADC"/>
    <w:rsid w:val="00452D6B"/>
    <w:rsid w:val="00454484"/>
    <w:rsid w:val="0045517B"/>
    <w:rsid w:val="004553FE"/>
    <w:rsid w:val="0045793B"/>
    <w:rsid w:val="00463B77"/>
    <w:rsid w:val="00463C7B"/>
    <w:rsid w:val="004644A6"/>
    <w:rsid w:val="00465330"/>
    <w:rsid w:val="004659BD"/>
    <w:rsid w:val="0046743E"/>
    <w:rsid w:val="00470775"/>
    <w:rsid w:val="004715B9"/>
    <w:rsid w:val="004719E7"/>
    <w:rsid w:val="004746B1"/>
    <w:rsid w:val="0047487A"/>
    <w:rsid w:val="004753EB"/>
    <w:rsid w:val="00475454"/>
    <w:rsid w:val="0047583F"/>
    <w:rsid w:val="00475DE8"/>
    <w:rsid w:val="00477499"/>
    <w:rsid w:val="00481C44"/>
    <w:rsid w:val="00484284"/>
    <w:rsid w:val="00484936"/>
    <w:rsid w:val="00485C89"/>
    <w:rsid w:val="00486BE3"/>
    <w:rsid w:val="00487765"/>
    <w:rsid w:val="004905E4"/>
    <w:rsid w:val="00490A89"/>
    <w:rsid w:val="00490AB4"/>
    <w:rsid w:val="00492F02"/>
    <w:rsid w:val="00493332"/>
    <w:rsid w:val="004939AE"/>
    <w:rsid w:val="004A0ED4"/>
    <w:rsid w:val="004A12DF"/>
    <w:rsid w:val="004A17E6"/>
    <w:rsid w:val="004A1AD2"/>
    <w:rsid w:val="004A1BA8"/>
    <w:rsid w:val="004A26F7"/>
    <w:rsid w:val="004A4B57"/>
    <w:rsid w:val="004A554A"/>
    <w:rsid w:val="004A63FA"/>
    <w:rsid w:val="004B0272"/>
    <w:rsid w:val="004B0E0F"/>
    <w:rsid w:val="004B2701"/>
    <w:rsid w:val="004B2A58"/>
    <w:rsid w:val="004B2E1B"/>
    <w:rsid w:val="004B3AA8"/>
    <w:rsid w:val="004B3E93"/>
    <w:rsid w:val="004C0D20"/>
    <w:rsid w:val="004C1FBC"/>
    <w:rsid w:val="004C2780"/>
    <w:rsid w:val="004C2CC7"/>
    <w:rsid w:val="004C3F1D"/>
    <w:rsid w:val="004C458D"/>
    <w:rsid w:val="004C5A34"/>
    <w:rsid w:val="004C6D8C"/>
    <w:rsid w:val="004C7556"/>
    <w:rsid w:val="004C7E8B"/>
    <w:rsid w:val="004C7E9D"/>
    <w:rsid w:val="004C7F67"/>
    <w:rsid w:val="004D076D"/>
    <w:rsid w:val="004D0EF1"/>
    <w:rsid w:val="004D2253"/>
    <w:rsid w:val="004D4406"/>
    <w:rsid w:val="004D7C42"/>
    <w:rsid w:val="004E0465"/>
    <w:rsid w:val="004E0F59"/>
    <w:rsid w:val="004E127B"/>
    <w:rsid w:val="004E1C0A"/>
    <w:rsid w:val="004E2875"/>
    <w:rsid w:val="004E2B06"/>
    <w:rsid w:val="004E30C5"/>
    <w:rsid w:val="004E40D5"/>
    <w:rsid w:val="004E46E5"/>
    <w:rsid w:val="004E4AA5"/>
    <w:rsid w:val="004E4AEE"/>
    <w:rsid w:val="004E546D"/>
    <w:rsid w:val="004E59E3"/>
    <w:rsid w:val="004E67C0"/>
    <w:rsid w:val="004F391A"/>
    <w:rsid w:val="004F3CFB"/>
    <w:rsid w:val="004F6456"/>
    <w:rsid w:val="004F696E"/>
    <w:rsid w:val="004F6C71"/>
    <w:rsid w:val="005002EB"/>
    <w:rsid w:val="00501139"/>
    <w:rsid w:val="0050206A"/>
    <w:rsid w:val="005023B6"/>
    <w:rsid w:val="0050363E"/>
    <w:rsid w:val="005039BC"/>
    <w:rsid w:val="00504201"/>
    <w:rsid w:val="005042D5"/>
    <w:rsid w:val="005043BB"/>
    <w:rsid w:val="00504A3D"/>
    <w:rsid w:val="00505767"/>
    <w:rsid w:val="005073F0"/>
    <w:rsid w:val="0050783E"/>
    <w:rsid w:val="005106C7"/>
    <w:rsid w:val="00510A7B"/>
    <w:rsid w:val="00512F6E"/>
    <w:rsid w:val="00513038"/>
    <w:rsid w:val="00514174"/>
    <w:rsid w:val="00515847"/>
    <w:rsid w:val="00516088"/>
    <w:rsid w:val="00516B0B"/>
    <w:rsid w:val="00521E88"/>
    <w:rsid w:val="005220EC"/>
    <w:rsid w:val="00523F95"/>
    <w:rsid w:val="00524444"/>
    <w:rsid w:val="00524D65"/>
    <w:rsid w:val="00525B16"/>
    <w:rsid w:val="0053122C"/>
    <w:rsid w:val="00533D04"/>
    <w:rsid w:val="00534804"/>
    <w:rsid w:val="00534BDF"/>
    <w:rsid w:val="00534EF2"/>
    <w:rsid w:val="005354EA"/>
    <w:rsid w:val="0053585F"/>
    <w:rsid w:val="00535EC4"/>
    <w:rsid w:val="00535ED9"/>
    <w:rsid w:val="0053692B"/>
    <w:rsid w:val="00537DAB"/>
    <w:rsid w:val="00541853"/>
    <w:rsid w:val="00543BDA"/>
    <w:rsid w:val="00543DAD"/>
    <w:rsid w:val="005441CC"/>
    <w:rsid w:val="00546D2E"/>
    <w:rsid w:val="005479DA"/>
    <w:rsid w:val="00547BCC"/>
    <w:rsid w:val="0055013B"/>
    <w:rsid w:val="00551F6F"/>
    <w:rsid w:val="005538BC"/>
    <w:rsid w:val="00553928"/>
    <w:rsid w:val="00553CCC"/>
    <w:rsid w:val="00555044"/>
    <w:rsid w:val="005567D8"/>
    <w:rsid w:val="0055742F"/>
    <w:rsid w:val="005574B7"/>
    <w:rsid w:val="00557712"/>
    <w:rsid w:val="00557E0A"/>
    <w:rsid w:val="00561475"/>
    <w:rsid w:val="0056487B"/>
    <w:rsid w:val="00564D06"/>
    <w:rsid w:val="00564FB9"/>
    <w:rsid w:val="00566FF9"/>
    <w:rsid w:val="005715CD"/>
    <w:rsid w:val="00573D9E"/>
    <w:rsid w:val="00574AE1"/>
    <w:rsid w:val="00577900"/>
    <w:rsid w:val="005801E3"/>
    <w:rsid w:val="005803BA"/>
    <w:rsid w:val="00581802"/>
    <w:rsid w:val="005836A8"/>
    <w:rsid w:val="0058409C"/>
    <w:rsid w:val="00584262"/>
    <w:rsid w:val="005845C2"/>
    <w:rsid w:val="00586630"/>
    <w:rsid w:val="00587ADD"/>
    <w:rsid w:val="00591E27"/>
    <w:rsid w:val="00592E43"/>
    <w:rsid w:val="0059346C"/>
    <w:rsid w:val="00596160"/>
    <w:rsid w:val="005966E2"/>
    <w:rsid w:val="00596A3B"/>
    <w:rsid w:val="00597007"/>
    <w:rsid w:val="005A0966"/>
    <w:rsid w:val="005A11B7"/>
    <w:rsid w:val="005A1E1D"/>
    <w:rsid w:val="005A260B"/>
    <w:rsid w:val="005A38D2"/>
    <w:rsid w:val="005A3B90"/>
    <w:rsid w:val="005A4A1B"/>
    <w:rsid w:val="005A4CF3"/>
    <w:rsid w:val="005A7830"/>
    <w:rsid w:val="005A7FCE"/>
    <w:rsid w:val="005B0F3F"/>
    <w:rsid w:val="005B1240"/>
    <w:rsid w:val="005B4903"/>
    <w:rsid w:val="005B51CE"/>
    <w:rsid w:val="005B5885"/>
    <w:rsid w:val="005B5CD7"/>
    <w:rsid w:val="005B5F66"/>
    <w:rsid w:val="005B6839"/>
    <w:rsid w:val="005B6CF6"/>
    <w:rsid w:val="005B7422"/>
    <w:rsid w:val="005C1D59"/>
    <w:rsid w:val="005C29B8"/>
    <w:rsid w:val="005C5F21"/>
    <w:rsid w:val="005C7156"/>
    <w:rsid w:val="005D0B42"/>
    <w:rsid w:val="005D0C75"/>
    <w:rsid w:val="005D2527"/>
    <w:rsid w:val="005D4171"/>
    <w:rsid w:val="005D6A95"/>
    <w:rsid w:val="005D6B2C"/>
    <w:rsid w:val="005D6D9C"/>
    <w:rsid w:val="005E2335"/>
    <w:rsid w:val="005E2399"/>
    <w:rsid w:val="005E34CA"/>
    <w:rsid w:val="005E3C18"/>
    <w:rsid w:val="005E472D"/>
    <w:rsid w:val="005E5E3C"/>
    <w:rsid w:val="005E6812"/>
    <w:rsid w:val="005E7210"/>
    <w:rsid w:val="005E7881"/>
    <w:rsid w:val="005E78E0"/>
    <w:rsid w:val="005F0D9C"/>
    <w:rsid w:val="005F284E"/>
    <w:rsid w:val="005F4712"/>
    <w:rsid w:val="005F59A4"/>
    <w:rsid w:val="005F7AA1"/>
    <w:rsid w:val="005F7B97"/>
    <w:rsid w:val="006015CE"/>
    <w:rsid w:val="00603BC6"/>
    <w:rsid w:val="00604784"/>
    <w:rsid w:val="00606419"/>
    <w:rsid w:val="0060711E"/>
    <w:rsid w:val="00607D29"/>
    <w:rsid w:val="0061211E"/>
    <w:rsid w:val="006123DE"/>
    <w:rsid w:val="00612952"/>
    <w:rsid w:val="00614CC1"/>
    <w:rsid w:val="00615A9D"/>
    <w:rsid w:val="00616174"/>
    <w:rsid w:val="00617387"/>
    <w:rsid w:val="00617B53"/>
    <w:rsid w:val="006205D6"/>
    <w:rsid w:val="006252D8"/>
    <w:rsid w:val="00625655"/>
    <w:rsid w:val="006259BC"/>
    <w:rsid w:val="0062636B"/>
    <w:rsid w:val="00627DD6"/>
    <w:rsid w:val="006320BA"/>
    <w:rsid w:val="00632182"/>
    <w:rsid w:val="006322B7"/>
    <w:rsid w:val="00632AE0"/>
    <w:rsid w:val="00633C17"/>
    <w:rsid w:val="00634D9E"/>
    <w:rsid w:val="00636E3E"/>
    <w:rsid w:val="006379F7"/>
    <w:rsid w:val="00637E4D"/>
    <w:rsid w:val="00640620"/>
    <w:rsid w:val="00641A1F"/>
    <w:rsid w:val="00642620"/>
    <w:rsid w:val="006440EE"/>
    <w:rsid w:val="00645904"/>
    <w:rsid w:val="00651932"/>
    <w:rsid w:val="00651ACB"/>
    <w:rsid w:val="00651C47"/>
    <w:rsid w:val="00652AB2"/>
    <w:rsid w:val="00653FED"/>
    <w:rsid w:val="00654EC0"/>
    <w:rsid w:val="0065525B"/>
    <w:rsid w:val="006559AE"/>
    <w:rsid w:val="00655D4F"/>
    <w:rsid w:val="00656D29"/>
    <w:rsid w:val="00661A5D"/>
    <w:rsid w:val="006623ED"/>
    <w:rsid w:val="006640E5"/>
    <w:rsid w:val="006646F1"/>
    <w:rsid w:val="00664929"/>
    <w:rsid w:val="00664F62"/>
    <w:rsid w:val="006655E1"/>
    <w:rsid w:val="0066748D"/>
    <w:rsid w:val="00672060"/>
    <w:rsid w:val="00672BFD"/>
    <w:rsid w:val="00673927"/>
    <w:rsid w:val="006770F4"/>
    <w:rsid w:val="00677A84"/>
    <w:rsid w:val="0068026D"/>
    <w:rsid w:val="00680A27"/>
    <w:rsid w:val="006810D3"/>
    <w:rsid w:val="006816A4"/>
    <w:rsid w:val="006819B8"/>
    <w:rsid w:val="006840A6"/>
    <w:rsid w:val="00684991"/>
    <w:rsid w:val="006850CD"/>
    <w:rsid w:val="0068591C"/>
    <w:rsid w:val="00685AAB"/>
    <w:rsid w:val="00690346"/>
    <w:rsid w:val="00693D9A"/>
    <w:rsid w:val="00695996"/>
    <w:rsid w:val="00695D22"/>
    <w:rsid w:val="00696400"/>
    <w:rsid w:val="0069678D"/>
    <w:rsid w:val="006A07AA"/>
    <w:rsid w:val="006A0F11"/>
    <w:rsid w:val="006A25E5"/>
    <w:rsid w:val="006A27FB"/>
    <w:rsid w:val="006A2B46"/>
    <w:rsid w:val="006A336D"/>
    <w:rsid w:val="006A37B9"/>
    <w:rsid w:val="006A51F9"/>
    <w:rsid w:val="006A535B"/>
    <w:rsid w:val="006A6FC1"/>
    <w:rsid w:val="006B0A4B"/>
    <w:rsid w:val="006B0B59"/>
    <w:rsid w:val="006B2672"/>
    <w:rsid w:val="006B26D7"/>
    <w:rsid w:val="006B54BF"/>
    <w:rsid w:val="006B5F44"/>
    <w:rsid w:val="006B5F90"/>
    <w:rsid w:val="006B62E4"/>
    <w:rsid w:val="006C16BC"/>
    <w:rsid w:val="006C1BBA"/>
    <w:rsid w:val="006C2079"/>
    <w:rsid w:val="006C25C9"/>
    <w:rsid w:val="006C5A62"/>
    <w:rsid w:val="006C5D68"/>
    <w:rsid w:val="006C6976"/>
    <w:rsid w:val="006C6DD0"/>
    <w:rsid w:val="006D04EA"/>
    <w:rsid w:val="006D0AB7"/>
    <w:rsid w:val="006D16C4"/>
    <w:rsid w:val="006D3E96"/>
    <w:rsid w:val="006D4515"/>
    <w:rsid w:val="006D4BB1"/>
    <w:rsid w:val="006D6177"/>
    <w:rsid w:val="006D6593"/>
    <w:rsid w:val="006E23EA"/>
    <w:rsid w:val="006E2C28"/>
    <w:rsid w:val="006F03A8"/>
    <w:rsid w:val="006F251B"/>
    <w:rsid w:val="006F2ACA"/>
    <w:rsid w:val="006F2ADC"/>
    <w:rsid w:val="006F2BFE"/>
    <w:rsid w:val="006F31E9"/>
    <w:rsid w:val="006F4995"/>
    <w:rsid w:val="006F6284"/>
    <w:rsid w:val="006F6CD5"/>
    <w:rsid w:val="007002C5"/>
    <w:rsid w:val="00700395"/>
    <w:rsid w:val="00700525"/>
    <w:rsid w:val="00704387"/>
    <w:rsid w:val="00706520"/>
    <w:rsid w:val="00707669"/>
    <w:rsid w:val="00711CBA"/>
    <w:rsid w:val="00711FB5"/>
    <w:rsid w:val="00712A01"/>
    <w:rsid w:val="00713E18"/>
    <w:rsid w:val="00714A1F"/>
    <w:rsid w:val="00714F58"/>
    <w:rsid w:val="00716F8D"/>
    <w:rsid w:val="00721EB9"/>
    <w:rsid w:val="00721F0D"/>
    <w:rsid w:val="00722FBF"/>
    <w:rsid w:val="00722FC2"/>
    <w:rsid w:val="0072437A"/>
    <w:rsid w:val="00724879"/>
    <w:rsid w:val="00724E1B"/>
    <w:rsid w:val="00725949"/>
    <w:rsid w:val="00725B6C"/>
    <w:rsid w:val="0072645C"/>
    <w:rsid w:val="00727FA2"/>
    <w:rsid w:val="007318C8"/>
    <w:rsid w:val="007322D9"/>
    <w:rsid w:val="00732BC0"/>
    <w:rsid w:val="007342D8"/>
    <w:rsid w:val="00737030"/>
    <w:rsid w:val="0073720F"/>
    <w:rsid w:val="00737796"/>
    <w:rsid w:val="0074165C"/>
    <w:rsid w:val="00742C35"/>
    <w:rsid w:val="007432CA"/>
    <w:rsid w:val="007439EB"/>
    <w:rsid w:val="00743CB4"/>
    <w:rsid w:val="00743F0A"/>
    <w:rsid w:val="007444E8"/>
    <w:rsid w:val="0074548E"/>
    <w:rsid w:val="00745773"/>
    <w:rsid w:val="00745A4E"/>
    <w:rsid w:val="00746800"/>
    <w:rsid w:val="007501A8"/>
    <w:rsid w:val="00750D61"/>
    <w:rsid w:val="00750EE1"/>
    <w:rsid w:val="0075254B"/>
    <w:rsid w:val="00752B4D"/>
    <w:rsid w:val="00752DFE"/>
    <w:rsid w:val="0075467B"/>
    <w:rsid w:val="00755402"/>
    <w:rsid w:val="00756819"/>
    <w:rsid w:val="00756B26"/>
    <w:rsid w:val="00756D6C"/>
    <w:rsid w:val="00756EDF"/>
    <w:rsid w:val="007600E3"/>
    <w:rsid w:val="0076578F"/>
    <w:rsid w:val="00765C43"/>
    <w:rsid w:val="00765EFB"/>
    <w:rsid w:val="00766C9E"/>
    <w:rsid w:val="007671CA"/>
    <w:rsid w:val="00767C61"/>
    <w:rsid w:val="0077008A"/>
    <w:rsid w:val="00771DBA"/>
    <w:rsid w:val="00772750"/>
    <w:rsid w:val="00772826"/>
    <w:rsid w:val="00773C1F"/>
    <w:rsid w:val="00774DA4"/>
    <w:rsid w:val="00776599"/>
    <w:rsid w:val="0078114B"/>
    <w:rsid w:val="00781DD2"/>
    <w:rsid w:val="00783ECF"/>
    <w:rsid w:val="0078413A"/>
    <w:rsid w:val="007869B1"/>
    <w:rsid w:val="00790BBF"/>
    <w:rsid w:val="007959E8"/>
    <w:rsid w:val="00795E9C"/>
    <w:rsid w:val="007A0521"/>
    <w:rsid w:val="007A0EDD"/>
    <w:rsid w:val="007A2604"/>
    <w:rsid w:val="007A2E12"/>
    <w:rsid w:val="007A3475"/>
    <w:rsid w:val="007A41C8"/>
    <w:rsid w:val="007A460E"/>
    <w:rsid w:val="007A54CE"/>
    <w:rsid w:val="007A6F20"/>
    <w:rsid w:val="007A6FD9"/>
    <w:rsid w:val="007A7FFA"/>
    <w:rsid w:val="007B04EB"/>
    <w:rsid w:val="007B0D4F"/>
    <w:rsid w:val="007B2402"/>
    <w:rsid w:val="007B380E"/>
    <w:rsid w:val="007B5A3D"/>
    <w:rsid w:val="007B5B95"/>
    <w:rsid w:val="007B68EA"/>
    <w:rsid w:val="007B7453"/>
    <w:rsid w:val="007C1E8B"/>
    <w:rsid w:val="007C2CD3"/>
    <w:rsid w:val="007C2D89"/>
    <w:rsid w:val="007C4593"/>
    <w:rsid w:val="007C5309"/>
    <w:rsid w:val="007C6069"/>
    <w:rsid w:val="007D06C4"/>
    <w:rsid w:val="007D1352"/>
    <w:rsid w:val="007D2508"/>
    <w:rsid w:val="007D314E"/>
    <w:rsid w:val="007D346A"/>
    <w:rsid w:val="007D427C"/>
    <w:rsid w:val="007D6518"/>
    <w:rsid w:val="007D76BD"/>
    <w:rsid w:val="007E0BF1"/>
    <w:rsid w:val="007E6D1F"/>
    <w:rsid w:val="007F0ED8"/>
    <w:rsid w:val="007F0F63"/>
    <w:rsid w:val="007F69C7"/>
    <w:rsid w:val="007F75CE"/>
    <w:rsid w:val="007F7DE6"/>
    <w:rsid w:val="008013A4"/>
    <w:rsid w:val="008027CE"/>
    <w:rsid w:val="00802823"/>
    <w:rsid w:val="00802F42"/>
    <w:rsid w:val="00804383"/>
    <w:rsid w:val="00804BB7"/>
    <w:rsid w:val="00804D41"/>
    <w:rsid w:val="008072FB"/>
    <w:rsid w:val="00810257"/>
    <w:rsid w:val="008104F5"/>
    <w:rsid w:val="008105EA"/>
    <w:rsid w:val="0081106A"/>
    <w:rsid w:val="00811072"/>
    <w:rsid w:val="00811369"/>
    <w:rsid w:val="008128D3"/>
    <w:rsid w:val="00812BEB"/>
    <w:rsid w:val="00815419"/>
    <w:rsid w:val="008163C8"/>
    <w:rsid w:val="008164A1"/>
    <w:rsid w:val="00817325"/>
    <w:rsid w:val="0081746F"/>
    <w:rsid w:val="00817EB9"/>
    <w:rsid w:val="008209E6"/>
    <w:rsid w:val="00823303"/>
    <w:rsid w:val="008233B2"/>
    <w:rsid w:val="00823A9F"/>
    <w:rsid w:val="00823C85"/>
    <w:rsid w:val="008246E8"/>
    <w:rsid w:val="00825138"/>
    <w:rsid w:val="00825F39"/>
    <w:rsid w:val="008269DD"/>
    <w:rsid w:val="00827723"/>
    <w:rsid w:val="00830621"/>
    <w:rsid w:val="00830B3B"/>
    <w:rsid w:val="0083348C"/>
    <w:rsid w:val="008373D3"/>
    <w:rsid w:val="00840617"/>
    <w:rsid w:val="00840F84"/>
    <w:rsid w:val="00842A47"/>
    <w:rsid w:val="00843C13"/>
    <w:rsid w:val="008454F8"/>
    <w:rsid w:val="008463EA"/>
    <w:rsid w:val="008470D8"/>
    <w:rsid w:val="008471B8"/>
    <w:rsid w:val="0085173A"/>
    <w:rsid w:val="00854FD5"/>
    <w:rsid w:val="008550F9"/>
    <w:rsid w:val="00856316"/>
    <w:rsid w:val="008603CE"/>
    <w:rsid w:val="00860FE1"/>
    <w:rsid w:val="00861AB2"/>
    <w:rsid w:val="008620FC"/>
    <w:rsid w:val="0086253D"/>
    <w:rsid w:val="008627A5"/>
    <w:rsid w:val="00863E05"/>
    <w:rsid w:val="00865ACA"/>
    <w:rsid w:val="00865D28"/>
    <w:rsid w:val="00865F85"/>
    <w:rsid w:val="00867C10"/>
    <w:rsid w:val="00867C84"/>
    <w:rsid w:val="00870439"/>
    <w:rsid w:val="00870DA1"/>
    <w:rsid w:val="00871CE4"/>
    <w:rsid w:val="0087231C"/>
    <w:rsid w:val="00872F58"/>
    <w:rsid w:val="00873933"/>
    <w:rsid w:val="008739D2"/>
    <w:rsid w:val="008760E5"/>
    <w:rsid w:val="008773F7"/>
    <w:rsid w:val="00881832"/>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238D"/>
    <w:rsid w:val="008A3215"/>
    <w:rsid w:val="008A4699"/>
    <w:rsid w:val="008A4CEE"/>
    <w:rsid w:val="008A57E6"/>
    <w:rsid w:val="008A6F81"/>
    <w:rsid w:val="008A769A"/>
    <w:rsid w:val="008B0C9C"/>
    <w:rsid w:val="008B126B"/>
    <w:rsid w:val="008B166D"/>
    <w:rsid w:val="008B17F4"/>
    <w:rsid w:val="008B3615"/>
    <w:rsid w:val="008B385A"/>
    <w:rsid w:val="008B4AC4"/>
    <w:rsid w:val="008B50C8"/>
    <w:rsid w:val="008B5281"/>
    <w:rsid w:val="008B7E05"/>
    <w:rsid w:val="008C0F40"/>
    <w:rsid w:val="008C1797"/>
    <w:rsid w:val="008C219C"/>
    <w:rsid w:val="008C475E"/>
    <w:rsid w:val="008C619A"/>
    <w:rsid w:val="008D0CE8"/>
    <w:rsid w:val="008D2D1D"/>
    <w:rsid w:val="008D453D"/>
    <w:rsid w:val="008D53AD"/>
    <w:rsid w:val="008D562B"/>
    <w:rsid w:val="008D5733"/>
    <w:rsid w:val="008D622B"/>
    <w:rsid w:val="008D666C"/>
    <w:rsid w:val="008D74D5"/>
    <w:rsid w:val="008D7B54"/>
    <w:rsid w:val="008E0110"/>
    <w:rsid w:val="008E02A6"/>
    <w:rsid w:val="008E0C9D"/>
    <w:rsid w:val="008E1648"/>
    <w:rsid w:val="008E1B3E"/>
    <w:rsid w:val="008E2200"/>
    <w:rsid w:val="008E2319"/>
    <w:rsid w:val="008E2995"/>
    <w:rsid w:val="008E4BB6"/>
    <w:rsid w:val="008E5518"/>
    <w:rsid w:val="008E6A84"/>
    <w:rsid w:val="008E7C18"/>
    <w:rsid w:val="008F0920"/>
    <w:rsid w:val="008F0CDC"/>
    <w:rsid w:val="008F0D19"/>
    <w:rsid w:val="008F17A3"/>
    <w:rsid w:val="008F1E6B"/>
    <w:rsid w:val="008F1ED3"/>
    <w:rsid w:val="008F23A5"/>
    <w:rsid w:val="008F4C29"/>
    <w:rsid w:val="008F5DDC"/>
    <w:rsid w:val="008F6464"/>
    <w:rsid w:val="008F70BD"/>
    <w:rsid w:val="008F788F"/>
    <w:rsid w:val="008F7EA2"/>
    <w:rsid w:val="00902722"/>
    <w:rsid w:val="009027BC"/>
    <w:rsid w:val="00904AA4"/>
    <w:rsid w:val="009062E6"/>
    <w:rsid w:val="009101CA"/>
    <w:rsid w:val="009110E4"/>
    <w:rsid w:val="00911BE5"/>
    <w:rsid w:val="009121C0"/>
    <w:rsid w:val="00913BDC"/>
    <w:rsid w:val="00913CA9"/>
    <w:rsid w:val="00913E33"/>
    <w:rsid w:val="009145AE"/>
    <w:rsid w:val="009146CE"/>
    <w:rsid w:val="00914CA7"/>
    <w:rsid w:val="00915C3E"/>
    <w:rsid w:val="009161A8"/>
    <w:rsid w:val="00922430"/>
    <w:rsid w:val="009245F5"/>
    <w:rsid w:val="009249EC"/>
    <w:rsid w:val="009273B3"/>
    <w:rsid w:val="00930598"/>
    <w:rsid w:val="009305B5"/>
    <w:rsid w:val="0093095E"/>
    <w:rsid w:val="00931D88"/>
    <w:rsid w:val="00931EA8"/>
    <w:rsid w:val="009348C0"/>
    <w:rsid w:val="009375F4"/>
    <w:rsid w:val="00940DB0"/>
    <w:rsid w:val="00941B3A"/>
    <w:rsid w:val="009429D5"/>
    <w:rsid w:val="00942BF1"/>
    <w:rsid w:val="00945180"/>
    <w:rsid w:val="00945428"/>
    <w:rsid w:val="00945ACF"/>
    <w:rsid w:val="0094607B"/>
    <w:rsid w:val="00953604"/>
    <w:rsid w:val="0095496B"/>
    <w:rsid w:val="009610DC"/>
    <w:rsid w:val="00961490"/>
    <w:rsid w:val="0096381A"/>
    <w:rsid w:val="00965301"/>
    <w:rsid w:val="00965E04"/>
    <w:rsid w:val="00966803"/>
    <w:rsid w:val="0096684B"/>
    <w:rsid w:val="009674AD"/>
    <w:rsid w:val="00970CDC"/>
    <w:rsid w:val="009732B4"/>
    <w:rsid w:val="00974A41"/>
    <w:rsid w:val="00977010"/>
    <w:rsid w:val="00977D02"/>
    <w:rsid w:val="009809BB"/>
    <w:rsid w:val="00981B24"/>
    <w:rsid w:val="009821F1"/>
    <w:rsid w:val="009834E0"/>
    <w:rsid w:val="0098364B"/>
    <w:rsid w:val="00984E82"/>
    <w:rsid w:val="00984E9B"/>
    <w:rsid w:val="009911AF"/>
    <w:rsid w:val="00991875"/>
    <w:rsid w:val="00991F92"/>
    <w:rsid w:val="00992985"/>
    <w:rsid w:val="00993889"/>
    <w:rsid w:val="009951ED"/>
    <w:rsid w:val="00995412"/>
    <w:rsid w:val="0099551B"/>
    <w:rsid w:val="00997BF1"/>
    <w:rsid w:val="009A089C"/>
    <w:rsid w:val="009A118E"/>
    <w:rsid w:val="009A21CD"/>
    <w:rsid w:val="009A278C"/>
    <w:rsid w:val="009A2BC2"/>
    <w:rsid w:val="009A42C1"/>
    <w:rsid w:val="009A5429"/>
    <w:rsid w:val="009A72AD"/>
    <w:rsid w:val="009B0154"/>
    <w:rsid w:val="009B09E0"/>
    <w:rsid w:val="009B0BC5"/>
    <w:rsid w:val="009B1247"/>
    <w:rsid w:val="009B1708"/>
    <w:rsid w:val="009B46F9"/>
    <w:rsid w:val="009B6029"/>
    <w:rsid w:val="009B6971"/>
    <w:rsid w:val="009B6E03"/>
    <w:rsid w:val="009B755D"/>
    <w:rsid w:val="009C27F1"/>
    <w:rsid w:val="009C3152"/>
    <w:rsid w:val="009C4CFA"/>
    <w:rsid w:val="009C5070"/>
    <w:rsid w:val="009C6A6A"/>
    <w:rsid w:val="009D0065"/>
    <w:rsid w:val="009D0324"/>
    <w:rsid w:val="009D112C"/>
    <w:rsid w:val="009D1C81"/>
    <w:rsid w:val="009D1FA3"/>
    <w:rsid w:val="009D47FA"/>
    <w:rsid w:val="009D4C5B"/>
    <w:rsid w:val="009D4F2A"/>
    <w:rsid w:val="009D50D2"/>
    <w:rsid w:val="009D596B"/>
    <w:rsid w:val="009D6BCA"/>
    <w:rsid w:val="009D6E2D"/>
    <w:rsid w:val="009D6E30"/>
    <w:rsid w:val="009D75D6"/>
    <w:rsid w:val="009D7BA7"/>
    <w:rsid w:val="009E0F62"/>
    <w:rsid w:val="009E312F"/>
    <w:rsid w:val="009E331F"/>
    <w:rsid w:val="009E33B2"/>
    <w:rsid w:val="009E3863"/>
    <w:rsid w:val="009E4886"/>
    <w:rsid w:val="009E4A58"/>
    <w:rsid w:val="009E5A2D"/>
    <w:rsid w:val="009E5AB2"/>
    <w:rsid w:val="009E5D98"/>
    <w:rsid w:val="009E6219"/>
    <w:rsid w:val="009E6C69"/>
    <w:rsid w:val="009F03B3"/>
    <w:rsid w:val="009F2D02"/>
    <w:rsid w:val="009F3F48"/>
    <w:rsid w:val="009F6AE3"/>
    <w:rsid w:val="009F6B8B"/>
    <w:rsid w:val="009F70F1"/>
    <w:rsid w:val="00A0052B"/>
    <w:rsid w:val="00A0096C"/>
    <w:rsid w:val="00A01757"/>
    <w:rsid w:val="00A028C0"/>
    <w:rsid w:val="00A02BAE"/>
    <w:rsid w:val="00A0337D"/>
    <w:rsid w:val="00A05FF5"/>
    <w:rsid w:val="00A06818"/>
    <w:rsid w:val="00A06A6B"/>
    <w:rsid w:val="00A06D94"/>
    <w:rsid w:val="00A06FF4"/>
    <w:rsid w:val="00A07E47"/>
    <w:rsid w:val="00A07EE6"/>
    <w:rsid w:val="00A129D0"/>
    <w:rsid w:val="00A12C33"/>
    <w:rsid w:val="00A138BA"/>
    <w:rsid w:val="00A14C8E"/>
    <w:rsid w:val="00A153D9"/>
    <w:rsid w:val="00A15F09"/>
    <w:rsid w:val="00A169B6"/>
    <w:rsid w:val="00A2271D"/>
    <w:rsid w:val="00A237D5"/>
    <w:rsid w:val="00A26768"/>
    <w:rsid w:val="00A3036B"/>
    <w:rsid w:val="00A30EFC"/>
    <w:rsid w:val="00A31984"/>
    <w:rsid w:val="00A32D73"/>
    <w:rsid w:val="00A3367B"/>
    <w:rsid w:val="00A3597D"/>
    <w:rsid w:val="00A36DAC"/>
    <w:rsid w:val="00A36DD1"/>
    <w:rsid w:val="00A4006C"/>
    <w:rsid w:val="00A40091"/>
    <w:rsid w:val="00A4030F"/>
    <w:rsid w:val="00A41C79"/>
    <w:rsid w:val="00A41CB5"/>
    <w:rsid w:val="00A42CDF"/>
    <w:rsid w:val="00A4319F"/>
    <w:rsid w:val="00A4452E"/>
    <w:rsid w:val="00A4472C"/>
    <w:rsid w:val="00A44B2B"/>
    <w:rsid w:val="00A44E69"/>
    <w:rsid w:val="00A4661E"/>
    <w:rsid w:val="00A466FE"/>
    <w:rsid w:val="00A517C2"/>
    <w:rsid w:val="00A52D0C"/>
    <w:rsid w:val="00A54788"/>
    <w:rsid w:val="00A5550A"/>
    <w:rsid w:val="00A55BD6"/>
    <w:rsid w:val="00A55CF2"/>
    <w:rsid w:val="00A55D50"/>
    <w:rsid w:val="00A57142"/>
    <w:rsid w:val="00A57632"/>
    <w:rsid w:val="00A57B07"/>
    <w:rsid w:val="00A57E67"/>
    <w:rsid w:val="00A620DC"/>
    <w:rsid w:val="00A62933"/>
    <w:rsid w:val="00A648CD"/>
    <w:rsid w:val="00A6537A"/>
    <w:rsid w:val="00A67866"/>
    <w:rsid w:val="00A70B07"/>
    <w:rsid w:val="00A723F8"/>
    <w:rsid w:val="00A729D1"/>
    <w:rsid w:val="00A77494"/>
    <w:rsid w:val="00A77CCB"/>
    <w:rsid w:val="00A838FB"/>
    <w:rsid w:val="00A83D8D"/>
    <w:rsid w:val="00A8446B"/>
    <w:rsid w:val="00A84613"/>
    <w:rsid w:val="00A8473F"/>
    <w:rsid w:val="00A862D6"/>
    <w:rsid w:val="00A86E17"/>
    <w:rsid w:val="00A8715E"/>
    <w:rsid w:val="00A9295B"/>
    <w:rsid w:val="00A93B09"/>
    <w:rsid w:val="00A94247"/>
    <w:rsid w:val="00A952D7"/>
    <w:rsid w:val="00A963F7"/>
    <w:rsid w:val="00A96AD8"/>
    <w:rsid w:val="00AA052C"/>
    <w:rsid w:val="00AA1DE2"/>
    <w:rsid w:val="00AA1E45"/>
    <w:rsid w:val="00AA4286"/>
    <w:rsid w:val="00AA456B"/>
    <w:rsid w:val="00AA57F5"/>
    <w:rsid w:val="00AA672E"/>
    <w:rsid w:val="00AA6EB2"/>
    <w:rsid w:val="00AA6EC9"/>
    <w:rsid w:val="00AB31D9"/>
    <w:rsid w:val="00AB41D5"/>
    <w:rsid w:val="00AB486E"/>
    <w:rsid w:val="00AB573A"/>
    <w:rsid w:val="00AB5B16"/>
    <w:rsid w:val="00AB6309"/>
    <w:rsid w:val="00AB6C5F"/>
    <w:rsid w:val="00AB7129"/>
    <w:rsid w:val="00AC27A6"/>
    <w:rsid w:val="00AC2E74"/>
    <w:rsid w:val="00AC30F7"/>
    <w:rsid w:val="00AC3A5A"/>
    <w:rsid w:val="00AC4D95"/>
    <w:rsid w:val="00AC52EF"/>
    <w:rsid w:val="00AC56EA"/>
    <w:rsid w:val="00AC5DF4"/>
    <w:rsid w:val="00AD004C"/>
    <w:rsid w:val="00AD08C1"/>
    <w:rsid w:val="00AD0AEF"/>
    <w:rsid w:val="00AD11B7"/>
    <w:rsid w:val="00AD1A94"/>
    <w:rsid w:val="00AD1C05"/>
    <w:rsid w:val="00AD4126"/>
    <w:rsid w:val="00AD421C"/>
    <w:rsid w:val="00AD44FA"/>
    <w:rsid w:val="00AD5002"/>
    <w:rsid w:val="00AD540B"/>
    <w:rsid w:val="00AD63FA"/>
    <w:rsid w:val="00AD6575"/>
    <w:rsid w:val="00AD7627"/>
    <w:rsid w:val="00AE070A"/>
    <w:rsid w:val="00AE101C"/>
    <w:rsid w:val="00AE37E5"/>
    <w:rsid w:val="00AE5EB4"/>
    <w:rsid w:val="00AF0C18"/>
    <w:rsid w:val="00AF198E"/>
    <w:rsid w:val="00AF1D79"/>
    <w:rsid w:val="00AF3EE7"/>
    <w:rsid w:val="00AF468B"/>
    <w:rsid w:val="00AF47C5"/>
    <w:rsid w:val="00AF52E2"/>
    <w:rsid w:val="00AF5398"/>
    <w:rsid w:val="00AF61F8"/>
    <w:rsid w:val="00AF687A"/>
    <w:rsid w:val="00B0440F"/>
    <w:rsid w:val="00B049AF"/>
    <w:rsid w:val="00B07242"/>
    <w:rsid w:val="00B10534"/>
    <w:rsid w:val="00B108BB"/>
    <w:rsid w:val="00B113DB"/>
    <w:rsid w:val="00B11D8A"/>
    <w:rsid w:val="00B12981"/>
    <w:rsid w:val="00B147DD"/>
    <w:rsid w:val="00B14BF8"/>
    <w:rsid w:val="00B156FD"/>
    <w:rsid w:val="00B2125F"/>
    <w:rsid w:val="00B21BB3"/>
    <w:rsid w:val="00B21F61"/>
    <w:rsid w:val="00B24793"/>
    <w:rsid w:val="00B24B5B"/>
    <w:rsid w:val="00B25CAF"/>
    <w:rsid w:val="00B261F1"/>
    <w:rsid w:val="00B265BC"/>
    <w:rsid w:val="00B31FB1"/>
    <w:rsid w:val="00B33667"/>
    <w:rsid w:val="00B33952"/>
    <w:rsid w:val="00B33C5E"/>
    <w:rsid w:val="00B342F4"/>
    <w:rsid w:val="00B34369"/>
    <w:rsid w:val="00B34DC2"/>
    <w:rsid w:val="00B36EF1"/>
    <w:rsid w:val="00B378E5"/>
    <w:rsid w:val="00B4346D"/>
    <w:rsid w:val="00B440F4"/>
    <w:rsid w:val="00B447A5"/>
    <w:rsid w:val="00B4654C"/>
    <w:rsid w:val="00B46AF0"/>
    <w:rsid w:val="00B47293"/>
    <w:rsid w:val="00B50E50"/>
    <w:rsid w:val="00B514AB"/>
    <w:rsid w:val="00B52120"/>
    <w:rsid w:val="00B523DB"/>
    <w:rsid w:val="00B54ABC"/>
    <w:rsid w:val="00B54DDE"/>
    <w:rsid w:val="00B56FBE"/>
    <w:rsid w:val="00B60ACF"/>
    <w:rsid w:val="00B62666"/>
    <w:rsid w:val="00B62B58"/>
    <w:rsid w:val="00B63FC0"/>
    <w:rsid w:val="00B65149"/>
    <w:rsid w:val="00B66567"/>
    <w:rsid w:val="00B665EB"/>
    <w:rsid w:val="00B66F52"/>
    <w:rsid w:val="00B66FE5"/>
    <w:rsid w:val="00B72545"/>
    <w:rsid w:val="00B72880"/>
    <w:rsid w:val="00B746F1"/>
    <w:rsid w:val="00B758BF"/>
    <w:rsid w:val="00B77EC8"/>
    <w:rsid w:val="00B827A6"/>
    <w:rsid w:val="00B82E2C"/>
    <w:rsid w:val="00B831CE"/>
    <w:rsid w:val="00B83ADA"/>
    <w:rsid w:val="00B84A94"/>
    <w:rsid w:val="00B86677"/>
    <w:rsid w:val="00B87131"/>
    <w:rsid w:val="00B87A72"/>
    <w:rsid w:val="00B92AF0"/>
    <w:rsid w:val="00B939B1"/>
    <w:rsid w:val="00B966C3"/>
    <w:rsid w:val="00B96D40"/>
    <w:rsid w:val="00B97386"/>
    <w:rsid w:val="00BA0406"/>
    <w:rsid w:val="00BA263B"/>
    <w:rsid w:val="00BA42B2"/>
    <w:rsid w:val="00BA4BED"/>
    <w:rsid w:val="00BA53A0"/>
    <w:rsid w:val="00BA58D4"/>
    <w:rsid w:val="00BA5B9E"/>
    <w:rsid w:val="00BA7C9A"/>
    <w:rsid w:val="00BB203B"/>
    <w:rsid w:val="00BB4594"/>
    <w:rsid w:val="00BB5F8F"/>
    <w:rsid w:val="00BB657A"/>
    <w:rsid w:val="00BB6FDE"/>
    <w:rsid w:val="00BC16BD"/>
    <w:rsid w:val="00BC1A4E"/>
    <w:rsid w:val="00BC4790"/>
    <w:rsid w:val="00BC5DC7"/>
    <w:rsid w:val="00BC6B8B"/>
    <w:rsid w:val="00BC73D8"/>
    <w:rsid w:val="00BC745B"/>
    <w:rsid w:val="00BD2992"/>
    <w:rsid w:val="00BD52D7"/>
    <w:rsid w:val="00BD578E"/>
    <w:rsid w:val="00BD5AD2"/>
    <w:rsid w:val="00BE22F3"/>
    <w:rsid w:val="00BE2D42"/>
    <w:rsid w:val="00BE5B52"/>
    <w:rsid w:val="00BE7B8D"/>
    <w:rsid w:val="00BF0993"/>
    <w:rsid w:val="00BF10A9"/>
    <w:rsid w:val="00BF1703"/>
    <w:rsid w:val="00BF231C"/>
    <w:rsid w:val="00BF2424"/>
    <w:rsid w:val="00BF3A0F"/>
    <w:rsid w:val="00BF51E5"/>
    <w:rsid w:val="00BF55BE"/>
    <w:rsid w:val="00BF74A6"/>
    <w:rsid w:val="00C013AD"/>
    <w:rsid w:val="00C039CA"/>
    <w:rsid w:val="00C045E7"/>
    <w:rsid w:val="00C04904"/>
    <w:rsid w:val="00C056B3"/>
    <w:rsid w:val="00C103E5"/>
    <w:rsid w:val="00C13319"/>
    <w:rsid w:val="00C13830"/>
    <w:rsid w:val="00C13BFB"/>
    <w:rsid w:val="00C13EE9"/>
    <w:rsid w:val="00C17205"/>
    <w:rsid w:val="00C203C5"/>
    <w:rsid w:val="00C21540"/>
    <w:rsid w:val="00C21906"/>
    <w:rsid w:val="00C21BFA"/>
    <w:rsid w:val="00C22148"/>
    <w:rsid w:val="00C239FA"/>
    <w:rsid w:val="00C24C8D"/>
    <w:rsid w:val="00C25FE2"/>
    <w:rsid w:val="00C26B53"/>
    <w:rsid w:val="00C279B2"/>
    <w:rsid w:val="00C33557"/>
    <w:rsid w:val="00C33E50"/>
    <w:rsid w:val="00C34C20"/>
    <w:rsid w:val="00C35510"/>
    <w:rsid w:val="00C3593B"/>
    <w:rsid w:val="00C35A3E"/>
    <w:rsid w:val="00C37C28"/>
    <w:rsid w:val="00C41754"/>
    <w:rsid w:val="00C42130"/>
    <w:rsid w:val="00C423A4"/>
    <w:rsid w:val="00C43E9C"/>
    <w:rsid w:val="00C44BF5"/>
    <w:rsid w:val="00C46AF2"/>
    <w:rsid w:val="00C47178"/>
    <w:rsid w:val="00C50E98"/>
    <w:rsid w:val="00C521D6"/>
    <w:rsid w:val="00C53BA5"/>
    <w:rsid w:val="00C55232"/>
    <w:rsid w:val="00C553A4"/>
    <w:rsid w:val="00C55A06"/>
    <w:rsid w:val="00C55D03"/>
    <w:rsid w:val="00C572CC"/>
    <w:rsid w:val="00C601BC"/>
    <w:rsid w:val="00C60CC3"/>
    <w:rsid w:val="00C60CE5"/>
    <w:rsid w:val="00C6163B"/>
    <w:rsid w:val="00C6329F"/>
    <w:rsid w:val="00C63340"/>
    <w:rsid w:val="00C643F9"/>
    <w:rsid w:val="00C64E95"/>
    <w:rsid w:val="00C71372"/>
    <w:rsid w:val="00C72410"/>
    <w:rsid w:val="00C7287F"/>
    <w:rsid w:val="00C73DAC"/>
    <w:rsid w:val="00C80982"/>
    <w:rsid w:val="00C80CB8"/>
    <w:rsid w:val="00C819F8"/>
    <w:rsid w:val="00C8248C"/>
    <w:rsid w:val="00C846CC"/>
    <w:rsid w:val="00C84E33"/>
    <w:rsid w:val="00C86AF8"/>
    <w:rsid w:val="00C86D6F"/>
    <w:rsid w:val="00C87F1C"/>
    <w:rsid w:val="00C905FC"/>
    <w:rsid w:val="00C90860"/>
    <w:rsid w:val="00C914E9"/>
    <w:rsid w:val="00C92D03"/>
    <w:rsid w:val="00C9319C"/>
    <w:rsid w:val="00C9435D"/>
    <w:rsid w:val="00C94DF2"/>
    <w:rsid w:val="00C96741"/>
    <w:rsid w:val="00C9769A"/>
    <w:rsid w:val="00C97965"/>
    <w:rsid w:val="00C97992"/>
    <w:rsid w:val="00CA2D1B"/>
    <w:rsid w:val="00CA31C2"/>
    <w:rsid w:val="00CA375D"/>
    <w:rsid w:val="00CA4DA9"/>
    <w:rsid w:val="00CA662A"/>
    <w:rsid w:val="00CA7AFD"/>
    <w:rsid w:val="00CA7C3C"/>
    <w:rsid w:val="00CB0189"/>
    <w:rsid w:val="00CB0BA2"/>
    <w:rsid w:val="00CB1A42"/>
    <w:rsid w:val="00CB1B0C"/>
    <w:rsid w:val="00CB2C0B"/>
    <w:rsid w:val="00CB38DA"/>
    <w:rsid w:val="00CB4277"/>
    <w:rsid w:val="00CB517D"/>
    <w:rsid w:val="00CC038D"/>
    <w:rsid w:val="00CC08DB"/>
    <w:rsid w:val="00CC17A2"/>
    <w:rsid w:val="00CC39FF"/>
    <w:rsid w:val="00CC3C2F"/>
    <w:rsid w:val="00CC4AC8"/>
    <w:rsid w:val="00CC4B2F"/>
    <w:rsid w:val="00CC5233"/>
    <w:rsid w:val="00CC5DD9"/>
    <w:rsid w:val="00CC5DE6"/>
    <w:rsid w:val="00CC6E4E"/>
    <w:rsid w:val="00CC6FE8"/>
    <w:rsid w:val="00CC7202"/>
    <w:rsid w:val="00CC74DB"/>
    <w:rsid w:val="00CD2808"/>
    <w:rsid w:val="00CD28BF"/>
    <w:rsid w:val="00CD4092"/>
    <w:rsid w:val="00CD4A20"/>
    <w:rsid w:val="00CD50A1"/>
    <w:rsid w:val="00CD519E"/>
    <w:rsid w:val="00CD561D"/>
    <w:rsid w:val="00CD5828"/>
    <w:rsid w:val="00CE0C4F"/>
    <w:rsid w:val="00CE30EA"/>
    <w:rsid w:val="00CE74DC"/>
    <w:rsid w:val="00CF048A"/>
    <w:rsid w:val="00CF155A"/>
    <w:rsid w:val="00CF2947"/>
    <w:rsid w:val="00CF3FDF"/>
    <w:rsid w:val="00CF6044"/>
    <w:rsid w:val="00CF686F"/>
    <w:rsid w:val="00CF6E60"/>
    <w:rsid w:val="00CF752A"/>
    <w:rsid w:val="00CF7BCA"/>
    <w:rsid w:val="00D008FD"/>
    <w:rsid w:val="00D0321C"/>
    <w:rsid w:val="00D035EC"/>
    <w:rsid w:val="00D06AB1"/>
    <w:rsid w:val="00D072ED"/>
    <w:rsid w:val="00D07A16"/>
    <w:rsid w:val="00D1067E"/>
    <w:rsid w:val="00D10F50"/>
    <w:rsid w:val="00D11272"/>
    <w:rsid w:val="00D12253"/>
    <w:rsid w:val="00D126F5"/>
    <w:rsid w:val="00D1489E"/>
    <w:rsid w:val="00D15F2A"/>
    <w:rsid w:val="00D170E1"/>
    <w:rsid w:val="00D20737"/>
    <w:rsid w:val="00D21E81"/>
    <w:rsid w:val="00D223DE"/>
    <w:rsid w:val="00D22443"/>
    <w:rsid w:val="00D25E37"/>
    <w:rsid w:val="00D26199"/>
    <w:rsid w:val="00D2661A"/>
    <w:rsid w:val="00D27582"/>
    <w:rsid w:val="00D27EC4"/>
    <w:rsid w:val="00D32389"/>
    <w:rsid w:val="00D32719"/>
    <w:rsid w:val="00D33333"/>
    <w:rsid w:val="00D33457"/>
    <w:rsid w:val="00D352A2"/>
    <w:rsid w:val="00D353AD"/>
    <w:rsid w:val="00D36321"/>
    <w:rsid w:val="00D3660F"/>
    <w:rsid w:val="00D412C7"/>
    <w:rsid w:val="00D4162B"/>
    <w:rsid w:val="00D4514F"/>
    <w:rsid w:val="00D451E2"/>
    <w:rsid w:val="00D45E89"/>
    <w:rsid w:val="00D45E8D"/>
    <w:rsid w:val="00D466AE"/>
    <w:rsid w:val="00D4718B"/>
    <w:rsid w:val="00D4734F"/>
    <w:rsid w:val="00D51713"/>
    <w:rsid w:val="00D51BF3"/>
    <w:rsid w:val="00D52A7A"/>
    <w:rsid w:val="00D56676"/>
    <w:rsid w:val="00D60408"/>
    <w:rsid w:val="00D62E37"/>
    <w:rsid w:val="00D66846"/>
    <w:rsid w:val="00D675FB"/>
    <w:rsid w:val="00D70EF7"/>
    <w:rsid w:val="00D713F0"/>
    <w:rsid w:val="00D71F25"/>
    <w:rsid w:val="00D72A9C"/>
    <w:rsid w:val="00D751F3"/>
    <w:rsid w:val="00D77031"/>
    <w:rsid w:val="00D816D1"/>
    <w:rsid w:val="00D8295B"/>
    <w:rsid w:val="00D83546"/>
    <w:rsid w:val="00D84048"/>
    <w:rsid w:val="00D84941"/>
    <w:rsid w:val="00D84E53"/>
    <w:rsid w:val="00D84FA1"/>
    <w:rsid w:val="00D851F0"/>
    <w:rsid w:val="00D86452"/>
    <w:rsid w:val="00D86DB7"/>
    <w:rsid w:val="00D926D0"/>
    <w:rsid w:val="00D93030"/>
    <w:rsid w:val="00D941D5"/>
    <w:rsid w:val="00D94C72"/>
    <w:rsid w:val="00D950E1"/>
    <w:rsid w:val="00D952A6"/>
    <w:rsid w:val="00D97F99"/>
    <w:rsid w:val="00DA1E08"/>
    <w:rsid w:val="00DA24F8"/>
    <w:rsid w:val="00DA28E8"/>
    <w:rsid w:val="00DA38D3"/>
    <w:rsid w:val="00DA3932"/>
    <w:rsid w:val="00DA3AFC"/>
    <w:rsid w:val="00DA4534"/>
    <w:rsid w:val="00DA5134"/>
    <w:rsid w:val="00DA5191"/>
    <w:rsid w:val="00DA64F8"/>
    <w:rsid w:val="00DA6C15"/>
    <w:rsid w:val="00DB0258"/>
    <w:rsid w:val="00DB0BAE"/>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28E"/>
    <w:rsid w:val="00DE0A4B"/>
    <w:rsid w:val="00DE2410"/>
    <w:rsid w:val="00DE2939"/>
    <w:rsid w:val="00DE4708"/>
    <w:rsid w:val="00DE503B"/>
    <w:rsid w:val="00DE5828"/>
    <w:rsid w:val="00DE5EC9"/>
    <w:rsid w:val="00DE6823"/>
    <w:rsid w:val="00DE68AA"/>
    <w:rsid w:val="00DE6E81"/>
    <w:rsid w:val="00DE703F"/>
    <w:rsid w:val="00DE7595"/>
    <w:rsid w:val="00DF0BE6"/>
    <w:rsid w:val="00DF1961"/>
    <w:rsid w:val="00DF2C68"/>
    <w:rsid w:val="00DF44DE"/>
    <w:rsid w:val="00DF5006"/>
    <w:rsid w:val="00DF5BC8"/>
    <w:rsid w:val="00DF5F11"/>
    <w:rsid w:val="00DF74B9"/>
    <w:rsid w:val="00E01138"/>
    <w:rsid w:val="00E02DFB"/>
    <w:rsid w:val="00E030F9"/>
    <w:rsid w:val="00E0311A"/>
    <w:rsid w:val="00E03138"/>
    <w:rsid w:val="00E06404"/>
    <w:rsid w:val="00E065D2"/>
    <w:rsid w:val="00E06A29"/>
    <w:rsid w:val="00E10331"/>
    <w:rsid w:val="00E11A57"/>
    <w:rsid w:val="00E11A85"/>
    <w:rsid w:val="00E11F1D"/>
    <w:rsid w:val="00E12495"/>
    <w:rsid w:val="00E15CCD"/>
    <w:rsid w:val="00E16F9B"/>
    <w:rsid w:val="00E17C1E"/>
    <w:rsid w:val="00E202EF"/>
    <w:rsid w:val="00E210B5"/>
    <w:rsid w:val="00E2188C"/>
    <w:rsid w:val="00E23D99"/>
    <w:rsid w:val="00E2552F"/>
    <w:rsid w:val="00E3137A"/>
    <w:rsid w:val="00E323A7"/>
    <w:rsid w:val="00E32CCF"/>
    <w:rsid w:val="00E32D3B"/>
    <w:rsid w:val="00E34A98"/>
    <w:rsid w:val="00E34F61"/>
    <w:rsid w:val="00E35D1E"/>
    <w:rsid w:val="00E364F9"/>
    <w:rsid w:val="00E365FA"/>
    <w:rsid w:val="00E36789"/>
    <w:rsid w:val="00E43DAA"/>
    <w:rsid w:val="00E44A83"/>
    <w:rsid w:val="00E46B2A"/>
    <w:rsid w:val="00E47088"/>
    <w:rsid w:val="00E502C1"/>
    <w:rsid w:val="00E502DD"/>
    <w:rsid w:val="00E50D3A"/>
    <w:rsid w:val="00E51387"/>
    <w:rsid w:val="00E514C7"/>
    <w:rsid w:val="00E51E68"/>
    <w:rsid w:val="00E52EFD"/>
    <w:rsid w:val="00E5408A"/>
    <w:rsid w:val="00E55255"/>
    <w:rsid w:val="00E56800"/>
    <w:rsid w:val="00E60C63"/>
    <w:rsid w:val="00E62FF9"/>
    <w:rsid w:val="00E635D6"/>
    <w:rsid w:val="00E639BC"/>
    <w:rsid w:val="00E664CC"/>
    <w:rsid w:val="00E67F51"/>
    <w:rsid w:val="00E70195"/>
    <w:rsid w:val="00E70388"/>
    <w:rsid w:val="00E70F92"/>
    <w:rsid w:val="00E73481"/>
    <w:rsid w:val="00E73824"/>
    <w:rsid w:val="00E74C54"/>
    <w:rsid w:val="00E77A03"/>
    <w:rsid w:val="00E822E8"/>
    <w:rsid w:val="00E82554"/>
    <w:rsid w:val="00E82606"/>
    <w:rsid w:val="00E844B5"/>
    <w:rsid w:val="00E846C8"/>
    <w:rsid w:val="00E84957"/>
    <w:rsid w:val="00E84A55"/>
    <w:rsid w:val="00E85BFF"/>
    <w:rsid w:val="00E90391"/>
    <w:rsid w:val="00E906C2"/>
    <w:rsid w:val="00E9311F"/>
    <w:rsid w:val="00E934D1"/>
    <w:rsid w:val="00E94AF0"/>
    <w:rsid w:val="00E95094"/>
    <w:rsid w:val="00E956AA"/>
    <w:rsid w:val="00E95D13"/>
    <w:rsid w:val="00E95DD3"/>
    <w:rsid w:val="00E961B0"/>
    <w:rsid w:val="00E969D5"/>
    <w:rsid w:val="00EA58D1"/>
    <w:rsid w:val="00EA61BC"/>
    <w:rsid w:val="00EA681A"/>
    <w:rsid w:val="00EA735B"/>
    <w:rsid w:val="00EB17DE"/>
    <w:rsid w:val="00EB1E69"/>
    <w:rsid w:val="00EB2086"/>
    <w:rsid w:val="00EB4242"/>
    <w:rsid w:val="00EB44AC"/>
    <w:rsid w:val="00EB5EDF"/>
    <w:rsid w:val="00EB60FE"/>
    <w:rsid w:val="00EB625B"/>
    <w:rsid w:val="00EB6B50"/>
    <w:rsid w:val="00EB74DB"/>
    <w:rsid w:val="00EB7FD1"/>
    <w:rsid w:val="00EC1A35"/>
    <w:rsid w:val="00EC491A"/>
    <w:rsid w:val="00EC5359"/>
    <w:rsid w:val="00EC562A"/>
    <w:rsid w:val="00EC7891"/>
    <w:rsid w:val="00ED067A"/>
    <w:rsid w:val="00ED2B50"/>
    <w:rsid w:val="00ED3C32"/>
    <w:rsid w:val="00EE0350"/>
    <w:rsid w:val="00EE0719"/>
    <w:rsid w:val="00EE0E80"/>
    <w:rsid w:val="00EE2697"/>
    <w:rsid w:val="00EE54A6"/>
    <w:rsid w:val="00EE56FA"/>
    <w:rsid w:val="00EE613F"/>
    <w:rsid w:val="00EE7295"/>
    <w:rsid w:val="00EE7869"/>
    <w:rsid w:val="00EF0209"/>
    <w:rsid w:val="00EF054A"/>
    <w:rsid w:val="00EF12D9"/>
    <w:rsid w:val="00EF21F7"/>
    <w:rsid w:val="00EF3235"/>
    <w:rsid w:val="00EF5A97"/>
    <w:rsid w:val="00EF7E72"/>
    <w:rsid w:val="00F02146"/>
    <w:rsid w:val="00F05594"/>
    <w:rsid w:val="00F06B2E"/>
    <w:rsid w:val="00F06D37"/>
    <w:rsid w:val="00F06D58"/>
    <w:rsid w:val="00F07337"/>
    <w:rsid w:val="00F07B9D"/>
    <w:rsid w:val="00F07E37"/>
    <w:rsid w:val="00F1136C"/>
    <w:rsid w:val="00F11586"/>
    <w:rsid w:val="00F1183B"/>
    <w:rsid w:val="00F11C9F"/>
    <w:rsid w:val="00F12263"/>
    <w:rsid w:val="00F12CA6"/>
    <w:rsid w:val="00F1409D"/>
    <w:rsid w:val="00F14214"/>
    <w:rsid w:val="00F144C1"/>
    <w:rsid w:val="00F151CA"/>
    <w:rsid w:val="00F157A9"/>
    <w:rsid w:val="00F21AC5"/>
    <w:rsid w:val="00F226C9"/>
    <w:rsid w:val="00F227FB"/>
    <w:rsid w:val="00F25BB6"/>
    <w:rsid w:val="00F26B7E"/>
    <w:rsid w:val="00F27A3B"/>
    <w:rsid w:val="00F32AEA"/>
    <w:rsid w:val="00F33817"/>
    <w:rsid w:val="00F353B3"/>
    <w:rsid w:val="00F36840"/>
    <w:rsid w:val="00F37CAD"/>
    <w:rsid w:val="00F420D5"/>
    <w:rsid w:val="00F432E2"/>
    <w:rsid w:val="00F43BF8"/>
    <w:rsid w:val="00F447F7"/>
    <w:rsid w:val="00F451EA"/>
    <w:rsid w:val="00F45447"/>
    <w:rsid w:val="00F456C6"/>
    <w:rsid w:val="00F4577B"/>
    <w:rsid w:val="00F45EB1"/>
    <w:rsid w:val="00F46496"/>
    <w:rsid w:val="00F474D0"/>
    <w:rsid w:val="00F50179"/>
    <w:rsid w:val="00F50DCF"/>
    <w:rsid w:val="00F515EE"/>
    <w:rsid w:val="00F52001"/>
    <w:rsid w:val="00F52B46"/>
    <w:rsid w:val="00F56511"/>
    <w:rsid w:val="00F60F21"/>
    <w:rsid w:val="00F6194E"/>
    <w:rsid w:val="00F623AC"/>
    <w:rsid w:val="00F6412A"/>
    <w:rsid w:val="00F65893"/>
    <w:rsid w:val="00F66A4A"/>
    <w:rsid w:val="00F66D2E"/>
    <w:rsid w:val="00F70327"/>
    <w:rsid w:val="00F71E22"/>
    <w:rsid w:val="00F72142"/>
    <w:rsid w:val="00F72AE7"/>
    <w:rsid w:val="00F73D8C"/>
    <w:rsid w:val="00F74194"/>
    <w:rsid w:val="00F76AB6"/>
    <w:rsid w:val="00F81141"/>
    <w:rsid w:val="00F833BA"/>
    <w:rsid w:val="00F83F61"/>
    <w:rsid w:val="00F84FD0"/>
    <w:rsid w:val="00F859A8"/>
    <w:rsid w:val="00F86D87"/>
    <w:rsid w:val="00F90C1C"/>
    <w:rsid w:val="00F9108B"/>
    <w:rsid w:val="00F91182"/>
    <w:rsid w:val="00F91349"/>
    <w:rsid w:val="00F914DD"/>
    <w:rsid w:val="00F93A8A"/>
    <w:rsid w:val="00F95248"/>
    <w:rsid w:val="00F95363"/>
    <w:rsid w:val="00F956A9"/>
    <w:rsid w:val="00F963ED"/>
    <w:rsid w:val="00F966CF"/>
    <w:rsid w:val="00F96CAE"/>
    <w:rsid w:val="00F9799A"/>
    <w:rsid w:val="00F97C99"/>
    <w:rsid w:val="00FA1A03"/>
    <w:rsid w:val="00FA3A89"/>
    <w:rsid w:val="00FA4DAC"/>
    <w:rsid w:val="00FA5306"/>
    <w:rsid w:val="00FA662D"/>
    <w:rsid w:val="00FA6705"/>
    <w:rsid w:val="00FA6C45"/>
    <w:rsid w:val="00FA73B1"/>
    <w:rsid w:val="00FA7C9D"/>
    <w:rsid w:val="00FB0CB9"/>
    <w:rsid w:val="00FB1520"/>
    <w:rsid w:val="00FB231D"/>
    <w:rsid w:val="00FB3A28"/>
    <w:rsid w:val="00FB45F1"/>
    <w:rsid w:val="00FB49AB"/>
    <w:rsid w:val="00FB4A72"/>
    <w:rsid w:val="00FB54E8"/>
    <w:rsid w:val="00FB7054"/>
    <w:rsid w:val="00FC17B7"/>
    <w:rsid w:val="00FC2CB7"/>
    <w:rsid w:val="00FC4090"/>
    <w:rsid w:val="00FC51C5"/>
    <w:rsid w:val="00FC55B4"/>
    <w:rsid w:val="00FD00E6"/>
    <w:rsid w:val="00FD09A1"/>
    <w:rsid w:val="00FD2A7C"/>
    <w:rsid w:val="00FD3E5E"/>
    <w:rsid w:val="00FD4884"/>
    <w:rsid w:val="00FD59EB"/>
    <w:rsid w:val="00FD6483"/>
    <w:rsid w:val="00FD7299"/>
    <w:rsid w:val="00FE1FBE"/>
    <w:rsid w:val="00FE3901"/>
    <w:rsid w:val="00FE39D3"/>
    <w:rsid w:val="00FE4BCE"/>
    <w:rsid w:val="00FE54AE"/>
    <w:rsid w:val="00FE576A"/>
    <w:rsid w:val="00FE7E79"/>
    <w:rsid w:val="00FF1364"/>
    <w:rsid w:val="00FF2F01"/>
    <w:rsid w:val="00FF3E7D"/>
    <w:rsid w:val="00FF5B99"/>
    <w:rsid w:val="00FF62EB"/>
    <w:rsid w:val="00FF730C"/>
    <w:rsid w:val="00FF73F4"/>
    <w:rsid w:val="00FF7CE4"/>
    <w:rsid w:val="00FF7E39"/>
    <w:rsid w:val="010359B7"/>
    <w:rsid w:val="01967DCC"/>
    <w:rsid w:val="022F1E50"/>
    <w:rsid w:val="043D01CF"/>
    <w:rsid w:val="044C3898"/>
    <w:rsid w:val="053A3F95"/>
    <w:rsid w:val="062872C1"/>
    <w:rsid w:val="06776153"/>
    <w:rsid w:val="086E3851"/>
    <w:rsid w:val="09DC5825"/>
    <w:rsid w:val="0D2B25BE"/>
    <w:rsid w:val="120239F1"/>
    <w:rsid w:val="13D32F78"/>
    <w:rsid w:val="1CDC32B4"/>
    <w:rsid w:val="24901591"/>
    <w:rsid w:val="26E548E6"/>
    <w:rsid w:val="29450EA8"/>
    <w:rsid w:val="318D4D74"/>
    <w:rsid w:val="31E57E30"/>
    <w:rsid w:val="34430EA2"/>
    <w:rsid w:val="36D363C5"/>
    <w:rsid w:val="38AD39F4"/>
    <w:rsid w:val="3BE87882"/>
    <w:rsid w:val="3BF77D36"/>
    <w:rsid w:val="3C0B0DDB"/>
    <w:rsid w:val="3E164136"/>
    <w:rsid w:val="411D2575"/>
    <w:rsid w:val="42482C99"/>
    <w:rsid w:val="43E8026E"/>
    <w:rsid w:val="445635B5"/>
    <w:rsid w:val="46DA6C23"/>
    <w:rsid w:val="4B3709AE"/>
    <w:rsid w:val="4F9F437A"/>
    <w:rsid w:val="50CD1D5B"/>
    <w:rsid w:val="52123538"/>
    <w:rsid w:val="548857D1"/>
    <w:rsid w:val="54AC528B"/>
    <w:rsid w:val="564040BD"/>
    <w:rsid w:val="57F03933"/>
    <w:rsid w:val="5E1F4194"/>
    <w:rsid w:val="5FE37483"/>
    <w:rsid w:val="61FA0441"/>
    <w:rsid w:val="66555E80"/>
    <w:rsid w:val="6974326C"/>
    <w:rsid w:val="6F7335D1"/>
    <w:rsid w:val="73E1341E"/>
    <w:rsid w:val="782472AA"/>
    <w:rsid w:val="79042663"/>
    <w:rsid w:val="79A41F94"/>
    <w:rsid w:val="7A7D42C0"/>
    <w:rsid w:val="7D112ACE"/>
    <w:rsid w:val="EEDBF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9"/>
    <w:qFormat/>
    <w:uiPriority w:val="0"/>
    <w:pPr>
      <w:keepNext/>
      <w:keepLines/>
      <w:spacing w:before="260" w:after="260" w:line="416" w:lineRule="auto"/>
      <w:outlineLvl w:val="2"/>
    </w:pPr>
    <w:rPr>
      <w:b/>
      <w:bCs/>
      <w:sz w:val="32"/>
      <w:szCs w:val="32"/>
    </w:rPr>
  </w:style>
  <w:style w:type="paragraph" w:styleId="5">
    <w:name w:val="heading 4"/>
    <w:basedOn w:val="1"/>
    <w:next w:val="1"/>
    <w:link w:val="6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6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6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6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65"/>
    <w:qFormat/>
    <w:uiPriority w:val="0"/>
    <w:pPr>
      <w:keepNext/>
      <w:keepLines/>
      <w:adjustRightInd/>
      <w:spacing w:before="240" w:after="64" w:line="320" w:lineRule="auto"/>
      <w:outlineLvl w:val="8"/>
    </w:pPr>
    <w:rPr>
      <w:rFonts w:ascii="Arial" w:hAnsi="Arial" w:eastAsia="黑体"/>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spacing w:line="240" w:lineRule="auto"/>
      <w:ind w:left="1260" w:hanging="420"/>
    </w:pPr>
    <w:rPr>
      <w:rFonts w:ascii="Times New Roman" w:hAnsi="Times New Roman"/>
      <w:szCs w:val="20"/>
    </w:r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Document Map"/>
    <w:basedOn w:val="1"/>
    <w:link w:val="66"/>
    <w:qFormat/>
    <w:uiPriority w:val="0"/>
    <w:pPr>
      <w:adjustRightInd/>
      <w:spacing w:line="240" w:lineRule="auto"/>
    </w:pPr>
    <w:rPr>
      <w:rFonts w:ascii="宋体" w:hAnsi="Times New Roman"/>
      <w:sz w:val="18"/>
      <w:szCs w:val="18"/>
    </w:rPr>
  </w:style>
  <w:style w:type="paragraph" w:styleId="15">
    <w:name w:val="annotation text"/>
    <w:basedOn w:val="1"/>
    <w:link w:val="67"/>
    <w:unhideWhenUsed/>
    <w:qFormat/>
    <w:uiPriority w:val="0"/>
    <w:pPr>
      <w:jc w:val="left"/>
    </w:pPr>
  </w:style>
  <w:style w:type="paragraph" w:styleId="16">
    <w:name w:val="Body Text"/>
    <w:basedOn w:val="1"/>
    <w:link w:val="68"/>
    <w:qFormat/>
    <w:uiPriority w:val="0"/>
    <w:pPr>
      <w:spacing w:after="120"/>
    </w:pPr>
  </w:style>
  <w:style w:type="paragraph" w:styleId="17">
    <w:name w:val="Body Text Indent"/>
    <w:basedOn w:val="1"/>
    <w:link w:val="69"/>
    <w:qFormat/>
    <w:uiPriority w:val="0"/>
    <w:pPr>
      <w:adjustRightInd/>
      <w:spacing w:after="120" w:line="240" w:lineRule="auto"/>
      <w:ind w:left="200" w:leftChars="200"/>
    </w:pPr>
    <w:rPr>
      <w:rFonts w:ascii="Times New Roman" w:hAnsi="Times New Roman"/>
      <w:szCs w:val="24"/>
    </w:rPr>
  </w:style>
  <w:style w:type="paragraph" w:styleId="18">
    <w:name w:val="List 2"/>
    <w:basedOn w:val="1"/>
    <w:qFormat/>
    <w:uiPriority w:val="0"/>
    <w:pPr>
      <w:adjustRightInd/>
      <w:spacing w:line="240" w:lineRule="auto"/>
      <w:ind w:left="400" w:leftChars="200" w:hanging="200" w:hangingChars="200"/>
    </w:pPr>
    <w:rPr>
      <w:rFonts w:ascii="Times New Roman" w:hAnsi="Times New Roman"/>
      <w:szCs w:val="24"/>
    </w:rPr>
  </w:style>
  <w:style w:type="paragraph" w:styleId="19">
    <w:name w:val="toc 5"/>
    <w:basedOn w:val="1"/>
    <w:next w:val="1"/>
    <w:unhideWhenUsed/>
    <w:qFormat/>
    <w:uiPriority w:val="39"/>
    <w:pPr>
      <w:ind w:left="839"/>
    </w:pPr>
    <w:rPr>
      <w:rFonts w:ascii="宋体"/>
    </w:rPr>
  </w:style>
  <w:style w:type="paragraph" w:styleId="20">
    <w:name w:val="toc 3"/>
    <w:basedOn w:val="1"/>
    <w:next w:val="1"/>
    <w:unhideWhenUsed/>
    <w:qFormat/>
    <w:uiPriority w:val="39"/>
    <w:pPr>
      <w:spacing w:line="300" w:lineRule="exact"/>
      <w:ind w:left="420"/>
    </w:pPr>
    <w:rPr>
      <w:rFonts w:ascii="宋体"/>
    </w:rPr>
  </w:style>
  <w:style w:type="paragraph" w:styleId="21">
    <w:name w:val="Plain Text"/>
    <w:basedOn w:val="1"/>
    <w:link w:val="70"/>
    <w:qFormat/>
    <w:uiPriority w:val="0"/>
    <w:pPr>
      <w:adjustRightInd/>
      <w:spacing w:line="240" w:lineRule="auto"/>
    </w:pPr>
    <w:rPr>
      <w:rFonts w:ascii="宋体" w:hAnsi="Courier New"/>
      <w:szCs w:val="20"/>
    </w:rPr>
  </w:style>
  <w:style w:type="paragraph" w:styleId="22">
    <w:name w:val="toc 8"/>
    <w:basedOn w:val="1"/>
    <w:next w:val="1"/>
    <w:unhideWhenUsed/>
    <w:qFormat/>
    <w:uiPriority w:val="39"/>
    <w:pPr>
      <w:adjustRightInd/>
      <w:spacing w:after="160" w:line="278" w:lineRule="auto"/>
      <w:ind w:left="2940" w:leftChars="1400"/>
      <w:jc w:val="left"/>
    </w:pPr>
    <w:rPr>
      <w:rFonts w:asciiTheme="minorHAnsi" w:hAnsiTheme="minorHAnsi" w:eastAsiaTheme="minorEastAsia" w:cstheme="minorBidi"/>
      <w:sz w:val="22"/>
      <w:szCs w:val="24"/>
      <w14:ligatures w14:val="standardContextual"/>
    </w:rPr>
  </w:style>
  <w:style w:type="paragraph" w:styleId="23">
    <w:name w:val="Date"/>
    <w:basedOn w:val="1"/>
    <w:next w:val="1"/>
    <w:link w:val="71"/>
    <w:qFormat/>
    <w:uiPriority w:val="0"/>
    <w:pPr>
      <w:adjustRightInd/>
      <w:spacing w:line="240" w:lineRule="auto"/>
      <w:ind w:left="2500" w:leftChars="2500"/>
    </w:pPr>
    <w:rPr>
      <w:rFonts w:ascii="Times New Roman" w:hAnsi="Times New Roman"/>
      <w:szCs w:val="24"/>
    </w:rPr>
  </w:style>
  <w:style w:type="paragraph" w:styleId="24">
    <w:name w:val="Body Text Indent 2"/>
    <w:basedOn w:val="1"/>
    <w:link w:val="72"/>
    <w:qFormat/>
    <w:uiPriority w:val="0"/>
    <w:pPr>
      <w:adjustRightInd/>
      <w:spacing w:line="360" w:lineRule="auto"/>
      <w:ind w:firstLine="560"/>
    </w:pPr>
    <w:rPr>
      <w:rFonts w:ascii="仿宋_GB2312" w:hAnsi="Times New Roman" w:eastAsia="仿宋_GB2312"/>
      <w:sz w:val="28"/>
      <w:szCs w:val="20"/>
    </w:rPr>
  </w:style>
  <w:style w:type="paragraph" w:styleId="25">
    <w:name w:val="Balloon Text"/>
    <w:basedOn w:val="1"/>
    <w:link w:val="73"/>
    <w:unhideWhenUsed/>
    <w:qFormat/>
    <w:uiPriority w:val="0"/>
    <w:rPr>
      <w:sz w:val="18"/>
      <w:szCs w:val="18"/>
    </w:rPr>
  </w:style>
  <w:style w:type="paragraph" w:styleId="26">
    <w:name w:val="footer"/>
    <w:basedOn w:val="1"/>
    <w:link w:val="74"/>
    <w:qFormat/>
    <w:uiPriority w:val="0"/>
    <w:pPr>
      <w:tabs>
        <w:tab w:val="center" w:pos="4153"/>
        <w:tab w:val="right" w:pos="8306"/>
      </w:tabs>
      <w:adjustRightInd/>
      <w:snapToGrid w:val="0"/>
      <w:spacing w:line="240" w:lineRule="auto"/>
      <w:jc w:val="right"/>
    </w:pPr>
    <w:rPr>
      <w:rFonts w:ascii="宋体"/>
      <w:sz w:val="18"/>
      <w:szCs w:val="18"/>
    </w:rPr>
  </w:style>
  <w:style w:type="paragraph" w:styleId="27">
    <w:name w:val="header"/>
    <w:basedOn w:val="1"/>
    <w:link w:val="75"/>
    <w:qFormat/>
    <w:uiPriority w:val="99"/>
    <w:pPr>
      <w:tabs>
        <w:tab w:val="center" w:pos="4153"/>
        <w:tab w:val="right" w:pos="8306"/>
      </w:tabs>
      <w:adjustRightInd/>
      <w:snapToGrid w:val="0"/>
      <w:jc w:val="center"/>
    </w:pPr>
    <w:rPr>
      <w:sz w:val="18"/>
      <w:szCs w:val="18"/>
    </w:rPr>
  </w:style>
  <w:style w:type="paragraph" w:styleId="28">
    <w:name w:val="toc 1"/>
    <w:basedOn w:val="1"/>
    <w:next w:val="1"/>
    <w:unhideWhenUsed/>
    <w:qFormat/>
    <w:uiPriority w:val="39"/>
    <w:rPr>
      <w:rFonts w:ascii="宋体"/>
    </w:rPr>
  </w:style>
  <w:style w:type="paragraph" w:styleId="29">
    <w:name w:val="toc 4"/>
    <w:basedOn w:val="1"/>
    <w:next w:val="1"/>
    <w:unhideWhenUsed/>
    <w:qFormat/>
    <w:uiPriority w:val="39"/>
    <w:pPr>
      <w:tabs>
        <w:tab w:val="right" w:leader="dot" w:pos="9344"/>
      </w:tabs>
      <w:spacing w:line="300" w:lineRule="exact"/>
      <w:ind w:left="629"/>
    </w:pPr>
    <w:rPr>
      <w:rFonts w:ascii="宋体"/>
    </w:rPr>
  </w:style>
  <w:style w:type="paragraph" w:styleId="30">
    <w:name w:val="List"/>
    <w:basedOn w:val="1"/>
    <w:qFormat/>
    <w:uiPriority w:val="0"/>
    <w:pPr>
      <w:adjustRightInd/>
      <w:spacing w:line="240" w:lineRule="auto"/>
      <w:ind w:left="200" w:hanging="200" w:hangingChars="200"/>
    </w:pPr>
    <w:rPr>
      <w:rFonts w:ascii="Times New Roman" w:hAnsi="Times New Roman"/>
      <w:szCs w:val="24"/>
    </w:rPr>
  </w:style>
  <w:style w:type="paragraph" w:styleId="31">
    <w:name w:val="footnote text"/>
    <w:basedOn w:val="1"/>
    <w:next w:val="1"/>
    <w:link w:val="76"/>
    <w:semiHidden/>
    <w:qFormat/>
    <w:uiPriority w:val="0"/>
    <w:pPr>
      <w:adjustRightInd/>
      <w:snapToGrid w:val="0"/>
      <w:spacing w:line="300" w:lineRule="exact"/>
      <w:ind w:left="400" w:leftChars="200" w:hanging="200" w:hangingChars="200"/>
      <w:jc w:val="left"/>
    </w:pPr>
    <w:rPr>
      <w:rFonts w:ascii="宋体"/>
      <w:sz w:val="18"/>
      <w:szCs w:val="18"/>
    </w:rPr>
  </w:style>
  <w:style w:type="paragraph" w:styleId="32">
    <w:name w:val="toc 6"/>
    <w:basedOn w:val="1"/>
    <w:next w:val="1"/>
    <w:unhideWhenUsed/>
    <w:qFormat/>
    <w:uiPriority w:val="39"/>
    <w:pPr>
      <w:spacing w:line="300" w:lineRule="exact"/>
      <w:ind w:left="1049"/>
    </w:pPr>
    <w:rPr>
      <w:rFonts w:ascii="宋体"/>
    </w:rPr>
  </w:style>
  <w:style w:type="paragraph" w:styleId="33">
    <w:name w:val="table of figures"/>
    <w:basedOn w:val="1"/>
    <w:next w:val="1"/>
    <w:semiHidden/>
    <w:qFormat/>
    <w:uiPriority w:val="0"/>
    <w:pPr>
      <w:adjustRightInd/>
      <w:spacing w:line="240" w:lineRule="auto"/>
      <w:jc w:val="left"/>
    </w:pPr>
    <w:rPr>
      <w:szCs w:val="24"/>
    </w:rPr>
  </w:style>
  <w:style w:type="paragraph" w:styleId="34">
    <w:name w:val="toc 2"/>
    <w:basedOn w:val="1"/>
    <w:next w:val="1"/>
    <w:unhideWhenUsed/>
    <w:qFormat/>
    <w:uiPriority w:val="39"/>
    <w:pPr>
      <w:tabs>
        <w:tab w:val="right" w:leader="dot" w:pos="9344"/>
      </w:tabs>
      <w:spacing w:line="300" w:lineRule="exact"/>
      <w:ind w:left="210"/>
    </w:pPr>
    <w:rPr>
      <w:rFonts w:ascii="宋体"/>
    </w:rPr>
  </w:style>
  <w:style w:type="paragraph" w:styleId="35">
    <w:name w:val="toc 9"/>
    <w:basedOn w:val="1"/>
    <w:next w:val="1"/>
    <w:unhideWhenUsed/>
    <w:qFormat/>
    <w:uiPriority w:val="39"/>
    <w:pPr>
      <w:adjustRightInd/>
      <w:spacing w:after="160" w:line="278" w:lineRule="auto"/>
      <w:ind w:left="3360" w:leftChars="1600"/>
      <w:jc w:val="left"/>
    </w:pPr>
    <w:rPr>
      <w:rFonts w:asciiTheme="minorHAnsi" w:hAnsiTheme="minorHAnsi" w:eastAsiaTheme="minorEastAsia" w:cstheme="minorBidi"/>
      <w:sz w:val="22"/>
      <w:szCs w:val="24"/>
      <w14:ligatures w14:val="standardContextual"/>
    </w:rPr>
  </w:style>
  <w:style w:type="paragraph" w:styleId="36">
    <w:name w:val="List 4"/>
    <w:basedOn w:val="1"/>
    <w:qFormat/>
    <w:uiPriority w:val="0"/>
    <w:pPr>
      <w:adjustRightInd/>
      <w:spacing w:line="240" w:lineRule="auto"/>
      <w:ind w:left="800" w:leftChars="600" w:hanging="200" w:hangingChars="200"/>
    </w:pPr>
    <w:rPr>
      <w:rFonts w:ascii="Times New Roman" w:hAnsi="Times New Roman"/>
      <w:szCs w:val="24"/>
    </w:rPr>
  </w:style>
  <w:style w:type="paragraph" w:styleId="37">
    <w:name w:val="Normal (Web)"/>
    <w:basedOn w:val="1"/>
    <w:qFormat/>
    <w:uiPriority w:val="0"/>
    <w:pPr>
      <w:widowControl/>
      <w:adjustRightInd/>
      <w:spacing w:before="100" w:beforeAutospacing="1" w:after="100" w:afterAutospacing="1" w:line="240" w:lineRule="auto"/>
      <w:jc w:val="left"/>
    </w:pPr>
    <w:rPr>
      <w:rFonts w:ascii="宋体" w:hAnsi="Times New Roman" w:cs="宋体"/>
      <w:kern w:val="0"/>
      <w:sz w:val="24"/>
      <w:szCs w:val="24"/>
    </w:rPr>
  </w:style>
  <w:style w:type="paragraph" w:styleId="38">
    <w:name w:val="Title"/>
    <w:basedOn w:val="1"/>
    <w:link w:val="77"/>
    <w:qFormat/>
    <w:uiPriority w:val="0"/>
    <w:pPr>
      <w:spacing w:before="240" w:after="60"/>
      <w:jc w:val="center"/>
      <w:outlineLvl w:val="0"/>
    </w:pPr>
    <w:rPr>
      <w:rFonts w:ascii="Arial" w:hAnsi="Arial" w:cs="Arial"/>
      <w:b/>
      <w:bCs/>
      <w:sz w:val="32"/>
      <w:szCs w:val="32"/>
    </w:rPr>
  </w:style>
  <w:style w:type="paragraph" w:styleId="39">
    <w:name w:val="annotation subject"/>
    <w:basedOn w:val="15"/>
    <w:next w:val="15"/>
    <w:link w:val="78"/>
    <w:unhideWhenUsed/>
    <w:qFormat/>
    <w:uiPriority w:val="0"/>
    <w:rPr>
      <w:b/>
      <w:bCs/>
    </w:rPr>
  </w:style>
  <w:style w:type="table" w:styleId="41">
    <w:name w:val="Table Grid"/>
    <w:basedOn w:val="4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22"/>
    <w:rPr>
      <w:b/>
      <w:bCs/>
    </w:rPr>
  </w:style>
  <w:style w:type="character" w:styleId="44">
    <w:name w:val="page number"/>
    <w:qFormat/>
    <w:uiPriority w:val="0"/>
    <w:rPr>
      <w:rFonts w:ascii="宋体" w:hAnsi="Times New Roman" w:eastAsia="宋体"/>
      <w:sz w:val="18"/>
    </w:rPr>
  </w:style>
  <w:style w:type="character" w:styleId="45">
    <w:name w:val="Emphasis"/>
    <w:qFormat/>
    <w:uiPriority w:val="0"/>
    <w:rPr>
      <w:i/>
      <w:iCs/>
    </w:rPr>
  </w:style>
  <w:style w:type="character" w:styleId="46">
    <w:name w:val="Hyperlink"/>
    <w:qFormat/>
    <w:uiPriority w:val="99"/>
    <w:rPr>
      <w:rFonts w:ascii="宋体" w:hAnsi="Times New Roman" w:eastAsia="宋体"/>
      <w:color w:val="auto"/>
      <w:spacing w:val="0"/>
      <w:w w:val="100"/>
      <w:position w:val="0"/>
      <w:sz w:val="21"/>
      <w:u w:val="none"/>
      <w:vertAlign w:val="baseline"/>
    </w:rPr>
  </w:style>
  <w:style w:type="character" w:styleId="47">
    <w:name w:val="annotation reference"/>
    <w:basedOn w:val="42"/>
    <w:unhideWhenUsed/>
    <w:qFormat/>
    <w:uiPriority w:val="0"/>
    <w:rPr>
      <w:sz w:val="21"/>
      <w:szCs w:val="21"/>
    </w:rPr>
  </w:style>
  <w:style w:type="character" w:styleId="48">
    <w:name w:val="footnote reference"/>
    <w:semiHidden/>
    <w:qFormat/>
    <w:uiPriority w:val="0"/>
    <w:rPr>
      <w:rFonts w:ascii="宋体" w:hAnsi="宋体" w:eastAsia="宋体" w:cs="Times New Roman"/>
      <w:spacing w:val="0"/>
      <w:sz w:val="18"/>
      <w:vertAlign w:val="superscript"/>
    </w:rPr>
  </w:style>
  <w:style w:type="paragraph" w:customStyle="1" w:styleId="49">
    <w:name w:val="标准文件_二级条标题"/>
    <w:next w:val="50"/>
    <w:qFormat/>
    <w:uiPriority w:val="0"/>
    <w:pPr>
      <w:widowControl w:val="0"/>
      <w:numPr>
        <w:ilvl w:val="3"/>
        <w:numId w:val="1"/>
      </w:numPr>
      <w:spacing w:before="156" w:beforeLines="50" w:after="156" w:afterLines="50"/>
      <w:ind w:left="422" w:leftChars="201" w:firstLine="2"/>
      <w:jc w:val="both"/>
      <w:outlineLvl w:val="2"/>
    </w:pPr>
    <w:rPr>
      <w:rFonts w:ascii="宋体" w:hAnsi="宋体" w:eastAsia="宋体" w:cs="Times New Roman"/>
      <w:sz w:val="21"/>
      <w:lang w:val="en-US" w:eastAsia="zh-CN" w:bidi="ar-SA"/>
    </w:rPr>
  </w:style>
  <w:style w:type="paragraph" w:customStyle="1" w:styleId="50">
    <w:name w:val="标准文件_段"/>
    <w:link w:val="88"/>
    <w:qFormat/>
    <w:uiPriority w:val="0"/>
    <w:pPr>
      <w:ind w:firstLine="420" w:firstLineChars="200"/>
      <w:jc w:val="both"/>
    </w:pPr>
    <w:rPr>
      <w:rFonts w:ascii="宋体" w:hAnsi="Times New Roman" w:eastAsia="宋体" w:cs="Times New Roman"/>
      <w:sz w:val="21"/>
      <w:lang w:val="en-US" w:eastAsia="zh-CN" w:bidi="ar-SA"/>
    </w:rPr>
  </w:style>
  <w:style w:type="paragraph" w:customStyle="1" w:styleId="51">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
    <w:name w:val="标准文件_章标题"/>
    <w:next w:val="50"/>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53">
    <w:name w:val="标准文件_一级条标题"/>
    <w:basedOn w:val="52"/>
    <w:next w:val="50"/>
    <w:qFormat/>
    <w:uiPriority w:val="0"/>
    <w:pPr>
      <w:numPr>
        <w:ilvl w:val="2"/>
      </w:numPr>
      <w:spacing w:before="156" w:beforeLines="50" w:after="156" w:afterLines="50"/>
      <w:outlineLvl w:val="1"/>
    </w:pPr>
  </w:style>
  <w:style w:type="paragraph" w:customStyle="1" w:styleId="54">
    <w:name w:val="标准文件_三级条标题"/>
    <w:basedOn w:val="49"/>
    <w:next w:val="50"/>
    <w:qFormat/>
    <w:uiPriority w:val="0"/>
    <w:pPr>
      <w:widowControl/>
      <w:numPr>
        <w:ilvl w:val="4"/>
      </w:numPr>
      <w:outlineLvl w:val="3"/>
    </w:pPr>
  </w:style>
  <w:style w:type="paragraph" w:customStyle="1" w:styleId="55">
    <w:name w:val="标准文件_四级条标题"/>
    <w:next w:val="50"/>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56">
    <w:name w:val="标准文件_五级条标题"/>
    <w:next w:val="50"/>
    <w:qFormat/>
    <w:uiPriority w:val="0"/>
    <w:pPr>
      <w:widowControl w:val="0"/>
      <w:numPr>
        <w:ilvl w:val="6"/>
        <w:numId w:val="1"/>
      </w:numPr>
      <w:spacing w:before="50" w:beforeLines="50" w:after="50" w:afterLines="50"/>
      <w:jc w:val="both"/>
      <w:outlineLvl w:val="5"/>
    </w:pPr>
    <w:rPr>
      <w:rFonts w:ascii="黑体" w:hAnsi="Times New Roman" w:eastAsia="黑体" w:cs="Times New Roman"/>
      <w:sz w:val="21"/>
      <w:lang w:val="en-US" w:eastAsia="zh-CN" w:bidi="ar-SA"/>
    </w:rPr>
  </w:style>
  <w:style w:type="character" w:customStyle="1" w:styleId="57">
    <w:name w:val="标题 1 Char"/>
    <w:link w:val="2"/>
    <w:qFormat/>
    <w:uiPriority w:val="0"/>
    <w:rPr>
      <w:b/>
      <w:bCs/>
      <w:kern w:val="44"/>
      <w:sz w:val="44"/>
      <w:szCs w:val="44"/>
    </w:rPr>
  </w:style>
  <w:style w:type="character" w:customStyle="1" w:styleId="58">
    <w:name w:val="标题 2 Char"/>
    <w:link w:val="3"/>
    <w:qFormat/>
    <w:uiPriority w:val="0"/>
    <w:rPr>
      <w:rFonts w:ascii="Arial" w:hAnsi="Arial" w:eastAsia="黑体"/>
      <w:b/>
      <w:bCs/>
      <w:kern w:val="2"/>
      <w:sz w:val="32"/>
      <w:szCs w:val="32"/>
    </w:rPr>
  </w:style>
  <w:style w:type="character" w:customStyle="1" w:styleId="59">
    <w:name w:val="标题 3 Char"/>
    <w:link w:val="4"/>
    <w:qFormat/>
    <w:uiPriority w:val="0"/>
    <w:rPr>
      <w:b/>
      <w:bCs/>
      <w:kern w:val="2"/>
      <w:sz w:val="32"/>
      <w:szCs w:val="32"/>
    </w:rPr>
  </w:style>
  <w:style w:type="character" w:customStyle="1" w:styleId="60">
    <w:name w:val="标题 4 Char"/>
    <w:link w:val="5"/>
    <w:qFormat/>
    <w:uiPriority w:val="0"/>
    <w:rPr>
      <w:rFonts w:ascii="Arial" w:hAnsi="Arial" w:eastAsia="黑体"/>
      <w:b/>
      <w:bCs/>
      <w:kern w:val="2"/>
      <w:sz w:val="28"/>
      <w:szCs w:val="28"/>
    </w:rPr>
  </w:style>
  <w:style w:type="character" w:customStyle="1" w:styleId="61">
    <w:name w:val="标题 5 Char"/>
    <w:link w:val="6"/>
    <w:qFormat/>
    <w:uiPriority w:val="0"/>
    <w:rPr>
      <w:b/>
      <w:bCs/>
      <w:kern w:val="2"/>
      <w:sz w:val="28"/>
      <w:szCs w:val="28"/>
    </w:rPr>
  </w:style>
  <w:style w:type="character" w:customStyle="1" w:styleId="62">
    <w:name w:val="标题 6 Char"/>
    <w:link w:val="7"/>
    <w:qFormat/>
    <w:uiPriority w:val="0"/>
    <w:rPr>
      <w:rFonts w:ascii="Arial" w:hAnsi="Arial" w:eastAsia="黑体"/>
      <w:b/>
      <w:bCs/>
      <w:kern w:val="2"/>
      <w:sz w:val="24"/>
      <w:szCs w:val="24"/>
    </w:rPr>
  </w:style>
  <w:style w:type="character" w:customStyle="1" w:styleId="63">
    <w:name w:val="标题 7 Char"/>
    <w:link w:val="8"/>
    <w:qFormat/>
    <w:uiPriority w:val="0"/>
    <w:rPr>
      <w:b/>
      <w:bCs/>
      <w:kern w:val="2"/>
      <w:sz w:val="24"/>
      <w:szCs w:val="24"/>
    </w:rPr>
  </w:style>
  <w:style w:type="character" w:customStyle="1" w:styleId="64">
    <w:name w:val="标题 8 Char"/>
    <w:link w:val="9"/>
    <w:qFormat/>
    <w:uiPriority w:val="0"/>
    <w:rPr>
      <w:rFonts w:ascii="Arial" w:hAnsi="Arial" w:eastAsia="黑体"/>
      <w:kern w:val="2"/>
      <w:sz w:val="24"/>
      <w:szCs w:val="24"/>
    </w:rPr>
  </w:style>
  <w:style w:type="character" w:customStyle="1" w:styleId="65">
    <w:name w:val="标题 9 Char"/>
    <w:link w:val="10"/>
    <w:qFormat/>
    <w:uiPriority w:val="0"/>
    <w:rPr>
      <w:rFonts w:ascii="Arial" w:hAnsi="Arial" w:eastAsia="黑体"/>
      <w:kern w:val="2"/>
      <w:sz w:val="21"/>
      <w:szCs w:val="21"/>
    </w:rPr>
  </w:style>
  <w:style w:type="character" w:customStyle="1" w:styleId="66">
    <w:name w:val="文档结构图 Char"/>
    <w:basedOn w:val="42"/>
    <w:link w:val="14"/>
    <w:qFormat/>
    <w:uiPriority w:val="0"/>
    <w:rPr>
      <w:rFonts w:ascii="宋体"/>
      <w:kern w:val="2"/>
      <w:sz w:val="18"/>
      <w:szCs w:val="18"/>
    </w:rPr>
  </w:style>
  <w:style w:type="character" w:customStyle="1" w:styleId="67">
    <w:name w:val="批注文字 Char"/>
    <w:basedOn w:val="42"/>
    <w:link w:val="15"/>
    <w:semiHidden/>
    <w:qFormat/>
    <w:uiPriority w:val="99"/>
    <w:rPr>
      <w:kern w:val="2"/>
      <w:sz w:val="21"/>
      <w:szCs w:val="21"/>
    </w:rPr>
  </w:style>
  <w:style w:type="character" w:customStyle="1" w:styleId="68">
    <w:name w:val="正文文本 Char"/>
    <w:link w:val="16"/>
    <w:qFormat/>
    <w:uiPriority w:val="0"/>
    <w:rPr>
      <w:kern w:val="2"/>
      <w:sz w:val="21"/>
      <w:szCs w:val="21"/>
    </w:rPr>
  </w:style>
  <w:style w:type="character" w:customStyle="1" w:styleId="69">
    <w:name w:val="正文文本缩进 Char"/>
    <w:basedOn w:val="42"/>
    <w:link w:val="17"/>
    <w:qFormat/>
    <w:uiPriority w:val="0"/>
    <w:rPr>
      <w:kern w:val="2"/>
      <w:sz w:val="21"/>
      <w:szCs w:val="24"/>
    </w:rPr>
  </w:style>
  <w:style w:type="character" w:customStyle="1" w:styleId="70">
    <w:name w:val="纯文本 Char1"/>
    <w:link w:val="21"/>
    <w:qFormat/>
    <w:uiPriority w:val="0"/>
    <w:rPr>
      <w:rFonts w:ascii="宋体" w:hAnsi="Courier New"/>
      <w:kern w:val="2"/>
      <w:sz w:val="21"/>
    </w:rPr>
  </w:style>
  <w:style w:type="character" w:customStyle="1" w:styleId="71">
    <w:name w:val="日期 Char"/>
    <w:basedOn w:val="42"/>
    <w:link w:val="23"/>
    <w:qFormat/>
    <w:uiPriority w:val="0"/>
    <w:rPr>
      <w:kern w:val="2"/>
      <w:sz w:val="21"/>
      <w:szCs w:val="24"/>
    </w:rPr>
  </w:style>
  <w:style w:type="character" w:customStyle="1" w:styleId="72">
    <w:name w:val="正文文本缩进 2 Char"/>
    <w:basedOn w:val="42"/>
    <w:link w:val="24"/>
    <w:qFormat/>
    <w:uiPriority w:val="0"/>
    <w:rPr>
      <w:rFonts w:ascii="仿宋_GB2312" w:eastAsia="仿宋_GB2312"/>
      <w:kern w:val="2"/>
      <w:sz w:val="28"/>
    </w:rPr>
  </w:style>
  <w:style w:type="character" w:customStyle="1" w:styleId="73">
    <w:name w:val="批注框文本 Char"/>
    <w:link w:val="25"/>
    <w:semiHidden/>
    <w:qFormat/>
    <w:uiPriority w:val="99"/>
    <w:rPr>
      <w:kern w:val="2"/>
      <w:sz w:val="18"/>
      <w:szCs w:val="18"/>
    </w:rPr>
  </w:style>
  <w:style w:type="character" w:customStyle="1" w:styleId="74">
    <w:name w:val="页脚 Char"/>
    <w:link w:val="26"/>
    <w:qFormat/>
    <w:uiPriority w:val="99"/>
    <w:rPr>
      <w:rFonts w:ascii="宋体"/>
      <w:kern w:val="2"/>
      <w:sz w:val="18"/>
      <w:szCs w:val="18"/>
    </w:rPr>
  </w:style>
  <w:style w:type="character" w:customStyle="1" w:styleId="75">
    <w:name w:val="页眉 Char"/>
    <w:link w:val="27"/>
    <w:qFormat/>
    <w:uiPriority w:val="99"/>
    <w:rPr>
      <w:kern w:val="2"/>
      <w:sz w:val="18"/>
      <w:szCs w:val="18"/>
    </w:rPr>
  </w:style>
  <w:style w:type="character" w:customStyle="1" w:styleId="76">
    <w:name w:val="脚注文本 Char"/>
    <w:link w:val="31"/>
    <w:semiHidden/>
    <w:qFormat/>
    <w:uiPriority w:val="0"/>
    <w:rPr>
      <w:rFonts w:ascii="宋体"/>
      <w:kern w:val="2"/>
      <w:sz w:val="18"/>
      <w:szCs w:val="18"/>
    </w:rPr>
  </w:style>
  <w:style w:type="character" w:customStyle="1" w:styleId="77">
    <w:name w:val="标题 Char"/>
    <w:link w:val="38"/>
    <w:qFormat/>
    <w:uiPriority w:val="0"/>
    <w:rPr>
      <w:rFonts w:ascii="Arial" w:hAnsi="Arial" w:cs="Arial"/>
      <w:b/>
      <w:bCs/>
      <w:kern w:val="2"/>
      <w:sz w:val="32"/>
      <w:szCs w:val="32"/>
    </w:rPr>
  </w:style>
  <w:style w:type="character" w:customStyle="1" w:styleId="78">
    <w:name w:val="批注主题 Char"/>
    <w:basedOn w:val="67"/>
    <w:link w:val="39"/>
    <w:semiHidden/>
    <w:qFormat/>
    <w:uiPriority w:val="99"/>
    <w:rPr>
      <w:b/>
      <w:bCs/>
      <w:kern w:val="2"/>
      <w:sz w:val="21"/>
      <w:szCs w:val="21"/>
    </w:rPr>
  </w:style>
  <w:style w:type="paragraph" w:styleId="79">
    <w:name w:val="Quote"/>
    <w:basedOn w:val="1"/>
    <w:next w:val="1"/>
    <w:link w:val="80"/>
    <w:qFormat/>
    <w:uiPriority w:val="29"/>
    <w:rPr>
      <w:i/>
      <w:iCs/>
      <w:color w:val="000000"/>
    </w:rPr>
  </w:style>
  <w:style w:type="character" w:customStyle="1" w:styleId="80">
    <w:name w:val="引用 Char"/>
    <w:link w:val="79"/>
    <w:qFormat/>
    <w:uiPriority w:val="29"/>
    <w:rPr>
      <w:i/>
      <w:iCs/>
      <w:color w:val="000000"/>
      <w:kern w:val="2"/>
      <w:sz w:val="21"/>
      <w:szCs w:val="21"/>
    </w:rPr>
  </w:style>
  <w:style w:type="paragraph" w:customStyle="1" w:styleId="8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8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8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85">
    <w:name w:val="标准书眉一"/>
    <w:qFormat/>
    <w:uiPriority w:val="0"/>
    <w:pPr>
      <w:jc w:val="both"/>
    </w:pPr>
    <w:rPr>
      <w:rFonts w:ascii="Times New Roman" w:hAnsi="Times New Roman" w:eastAsia="宋体" w:cs="Times New Roman"/>
      <w:lang w:val="en-US" w:eastAsia="zh-CN" w:bidi="ar-SA"/>
    </w:rPr>
  </w:style>
  <w:style w:type="paragraph" w:customStyle="1" w:styleId="86">
    <w:name w:val="标准文件_ICS"/>
    <w:basedOn w:val="1"/>
    <w:qFormat/>
    <w:uiPriority w:val="0"/>
    <w:pPr>
      <w:spacing w:line="0" w:lineRule="atLeast"/>
    </w:pPr>
    <w:rPr>
      <w:rFonts w:ascii="黑体" w:hAnsi="宋体" w:eastAsia="黑体"/>
    </w:rPr>
  </w:style>
  <w:style w:type="paragraph" w:customStyle="1" w:styleId="87">
    <w:name w:val="标准文件_标准正文"/>
    <w:basedOn w:val="1"/>
    <w:next w:val="50"/>
    <w:qFormat/>
    <w:uiPriority w:val="0"/>
    <w:pPr>
      <w:snapToGrid w:val="0"/>
      <w:ind w:firstLine="200" w:firstLineChars="200"/>
    </w:pPr>
    <w:rPr>
      <w:kern w:val="0"/>
    </w:rPr>
  </w:style>
  <w:style w:type="character" w:customStyle="1" w:styleId="88">
    <w:name w:val="标准文件_段 Char"/>
    <w:link w:val="50"/>
    <w:qFormat/>
    <w:uiPriority w:val="0"/>
    <w:rPr>
      <w:rFonts w:ascii="宋体"/>
      <w:sz w:val="21"/>
    </w:rPr>
  </w:style>
  <w:style w:type="paragraph" w:customStyle="1" w:styleId="89">
    <w:name w:val="标准文件_版本"/>
    <w:basedOn w:val="87"/>
    <w:qFormat/>
    <w:uiPriority w:val="0"/>
    <w:pPr>
      <w:adjustRightInd/>
      <w:snapToGrid/>
      <w:ind w:firstLine="0" w:firstLineChars="0"/>
    </w:pPr>
    <w:rPr>
      <w:rFonts w:ascii="宋体" w:hAnsi="宋体"/>
      <w:kern w:val="2"/>
    </w:rPr>
  </w:style>
  <w:style w:type="paragraph" w:customStyle="1" w:styleId="90">
    <w:name w:val="标准文件_标准部门"/>
    <w:basedOn w:val="1"/>
    <w:qFormat/>
    <w:uiPriority w:val="0"/>
    <w:pPr>
      <w:jc w:val="center"/>
    </w:pPr>
    <w:rPr>
      <w:rFonts w:ascii="黑体" w:eastAsia="黑体"/>
      <w:kern w:val="0"/>
      <w:sz w:val="44"/>
    </w:rPr>
  </w:style>
  <w:style w:type="paragraph" w:customStyle="1" w:styleId="91">
    <w:name w:val="标准文件_标准代替"/>
    <w:basedOn w:val="1"/>
    <w:next w:val="1"/>
    <w:qFormat/>
    <w:uiPriority w:val="0"/>
    <w:pPr>
      <w:spacing w:line="310" w:lineRule="exact"/>
      <w:jc w:val="right"/>
    </w:pPr>
    <w:rPr>
      <w:rFonts w:ascii="宋体" w:hAnsi="宋体"/>
      <w:kern w:val="0"/>
    </w:rPr>
  </w:style>
  <w:style w:type="paragraph" w:customStyle="1" w:styleId="9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9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94">
    <w:name w:val="标准文件_页眉偶数页"/>
    <w:basedOn w:val="93"/>
    <w:next w:val="1"/>
    <w:qFormat/>
    <w:uiPriority w:val="0"/>
    <w:pPr>
      <w:jc w:val="left"/>
    </w:pPr>
  </w:style>
  <w:style w:type="paragraph" w:customStyle="1" w:styleId="95">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96">
    <w:name w:val="标准文件_参考文献条目"/>
    <w:qFormat/>
    <w:uiPriority w:val="0"/>
    <w:pPr>
      <w:numPr>
        <w:ilvl w:val="0"/>
        <w:numId w:val="2"/>
      </w:numPr>
    </w:pPr>
    <w:rPr>
      <w:rFonts w:ascii="宋体" w:hAnsi="Times New Roman" w:eastAsia="宋体" w:cs="Times New Roman"/>
      <w:lang w:val="en-US" w:eastAsia="zh-CN" w:bidi="ar-SA"/>
    </w:rPr>
  </w:style>
  <w:style w:type="character" w:customStyle="1" w:styleId="97">
    <w:name w:val="标准文件_发布"/>
    <w:qFormat/>
    <w:uiPriority w:val="0"/>
    <w:rPr>
      <w:rFonts w:ascii="黑体" w:eastAsia="黑体"/>
      <w:spacing w:val="0"/>
      <w:w w:val="100"/>
      <w:position w:val="3"/>
      <w:sz w:val="28"/>
    </w:rPr>
  </w:style>
  <w:style w:type="paragraph" w:customStyle="1" w:styleId="98">
    <w:name w:val="标准文件_方框数字列项"/>
    <w:basedOn w:val="50"/>
    <w:qFormat/>
    <w:uiPriority w:val="0"/>
    <w:pPr>
      <w:numPr>
        <w:ilvl w:val="0"/>
        <w:numId w:val="3"/>
      </w:numPr>
      <w:ind w:firstLine="0" w:firstLineChars="0"/>
    </w:pPr>
  </w:style>
  <w:style w:type="paragraph" w:customStyle="1" w:styleId="99">
    <w:name w:val="标准文件_封面标准编号"/>
    <w:basedOn w:val="1"/>
    <w:next w:val="91"/>
    <w:qFormat/>
    <w:uiPriority w:val="0"/>
    <w:pPr>
      <w:spacing w:line="310" w:lineRule="exact"/>
      <w:jc w:val="right"/>
    </w:pPr>
    <w:rPr>
      <w:rFonts w:ascii="黑体" w:eastAsia="黑体"/>
      <w:kern w:val="0"/>
      <w:sz w:val="28"/>
    </w:rPr>
  </w:style>
  <w:style w:type="paragraph" w:customStyle="1" w:styleId="100">
    <w:name w:val="标准文件_封面标准分类号"/>
    <w:basedOn w:val="1"/>
    <w:qFormat/>
    <w:uiPriority w:val="0"/>
    <w:rPr>
      <w:rFonts w:ascii="黑体" w:eastAsia="黑体"/>
      <w:b/>
      <w:kern w:val="0"/>
      <w:sz w:val="28"/>
    </w:rPr>
  </w:style>
  <w:style w:type="paragraph" w:customStyle="1" w:styleId="101">
    <w:name w:val="标准文件_封面标准名称"/>
    <w:basedOn w:val="1"/>
    <w:qFormat/>
    <w:uiPriority w:val="0"/>
    <w:pPr>
      <w:spacing w:line="240" w:lineRule="auto"/>
      <w:jc w:val="center"/>
    </w:pPr>
    <w:rPr>
      <w:rFonts w:ascii="黑体" w:eastAsia="黑体"/>
      <w:kern w:val="0"/>
      <w:sz w:val="52"/>
    </w:rPr>
  </w:style>
  <w:style w:type="paragraph" w:customStyle="1" w:styleId="102">
    <w:name w:val="标准文件_封面标准英文名称"/>
    <w:basedOn w:val="1"/>
    <w:qFormat/>
    <w:uiPriority w:val="0"/>
    <w:pPr>
      <w:spacing w:line="240" w:lineRule="auto"/>
      <w:jc w:val="center"/>
    </w:pPr>
    <w:rPr>
      <w:rFonts w:ascii="黑体" w:eastAsia="黑体"/>
      <w:b/>
      <w:sz w:val="28"/>
    </w:rPr>
  </w:style>
  <w:style w:type="paragraph" w:customStyle="1" w:styleId="103">
    <w:name w:val="标准文件_封面发布日期"/>
    <w:basedOn w:val="1"/>
    <w:qFormat/>
    <w:uiPriority w:val="0"/>
    <w:pPr>
      <w:spacing w:line="310" w:lineRule="exact"/>
    </w:pPr>
    <w:rPr>
      <w:rFonts w:ascii="黑体" w:eastAsia="黑体"/>
      <w:kern w:val="0"/>
      <w:sz w:val="28"/>
    </w:rPr>
  </w:style>
  <w:style w:type="paragraph" w:customStyle="1" w:styleId="104">
    <w:name w:val="标准文件_封面密级"/>
    <w:basedOn w:val="1"/>
    <w:qFormat/>
    <w:uiPriority w:val="0"/>
    <w:rPr>
      <w:rFonts w:eastAsia="黑体"/>
      <w:sz w:val="32"/>
    </w:rPr>
  </w:style>
  <w:style w:type="paragraph" w:customStyle="1" w:styleId="105">
    <w:name w:val="标准文件_封面实施日期"/>
    <w:basedOn w:val="1"/>
    <w:qFormat/>
    <w:uiPriority w:val="0"/>
    <w:pPr>
      <w:spacing w:line="310" w:lineRule="exact"/>
      <w:jc w:val="right"/>
    </w:pPr>
    <w:rPr>
      <w:rFonts w:ascii="黑体" w:eastAsia="黑体"/>
      <w:sz w:val="28"/>
    </w:rPr>
  </w:style>
  <w:style w:type="paragraph" w:customStyle="1" w:styleId="106">
    <w:name w:val="标准文件_封面抬头"/>
    <w:basedOn w:val="50"/>
    <w:qFormat/>
    <w:uiPriority w:val="0"/>
    <w:pPr>
      <w:adjustRightInd w:val="0"/>
      <w:spacing w:line="800" w:lineRule="exact"/>
      <w:ind w:firstLine="0" w:firstLineChars="0"/>
      <w:jc w:val="distribute"/>
    </w:pPr>
    <w:rPr>
      <w:rFonts w:ascii="黑体" w:eastAsia="黑体"/>
      <w:b/>
      <w:sz w:val="64"/>
    </w:rPr>
  </w:style>
  <w:style w:type="paragraph" w:customStyle="1" w:styleId="107">
    <w:name w:val="标准文件_附录标识"/>
    <w:next w:val="5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108">
    <w:name w:val="标准文件_附录表标题"/>
    <w:next w:val="50"/>
    <w:qFormat/>
    <w:uiPriority w:val="0"/>
    <w:pPr>
      <w:adjustRightInd w:val="0"/>
      <w:snapToGrid w:val="0"/>
      <w:spacing w:before="156" w:beforeLines="50" w:after="156" w:afterLines="50"/>
      <w:ind w:firstLine="210" w:firstLineChars="100"/>
      <w:jc w:val="center"/>
      <w:textAlignment w:val="baseline"/>
    </w:pPr>
    <w:rPr>
      <w:rFonts w:ascii="黑体" w:hAnsi="Times New Roman" w:eastAsia="黑体" w:cs="Times New Roman"/>
      <w:kern w:val="21"/>
      <w:sz w:val="21"/>
      <w:lang w:val="en-US" w:eastAsia="zh-CN" w:bidi="ar-SA"/>
    </w:rPr>
  </w:style>
  <w:style w:type="paragraph" w:customStyle="1" w:styleId="109">
    <w:name w:val="标准文件_附录一级条标题"/>
    <w:next w:val="5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110">
    <w:name w:val="标准文件_附录二级条标题"/>
    <w:basedOn w:val="109"/>
    <w:next w:val="50"/>
    <w:qFormat/>
    <w:uiPriority w:val="0"/>
    <w:pPr>
      <w:widowControl/>
      <w:numPr>
        <w:ilvl w:val="2"/>
      </w:numPr>
      <w:wordWrap w:val="0"/>
      <w:overflowPunct w:val="0"/>
      <w:autoSpaceDE w:val="0"/>
      <w:autoSpaceDN w:val="0"/>
      <w:textAlignment w:val="baseline"/>
      <w:outlineLvl w:val="3"/>
    </w:pPr>
  </w:style>
  <w:style w:type="paragraph" w:customStyle="1" w:styleId="111">
    <w:name w:val="标准文件_附录公式"/>
    <w:basedOn w:val="87"/>
    <w:next w:val="8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112">
    <w:name w:val="标准文件_附录三级条标题"/>
    <w:next w:val="5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113">
    <w:name w:val="标准文件_附录四级条标题"/>
    <w:next w:val="5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114">
    <w:name w:val="标准文件_附录图标题"/>
    <w:next w:val="50"/>
    <w:qFormat/>
    <w:uiPriority w:val="0"/>
    <w:pPr>
      <w:numPr>
        <w:ilvl w:val="1"/>
        <w:numId w:val="5"/>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附录五级条标题"/>
    <w:next w:val="5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116">
    <w:name w:val="标准文件_附录英文标识"/>
    <w:next w:val="16"/>
    <w:qFormat/>
    <w:uiPriority w:val="0"/>
    <w:pPr>
      <w:numPr>
        <w:ilvl w:val="0"/>
        <w:numId w:val="6"/>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117">
    <w:name w:val="标准文件_附录章标题"/>
    <w:next w:val="5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18">
    <w:name w:val="标准文件_公式后的破折号"/>
    <w:basedOn w:val="50"/>
    <w:next w:val="50"/>
    <w:qFormat/>
    <w:uiPriority w:val="0"/>
    <w:pPr>
      <w:ind w:left="488" w:leftChars="200" w:hanging="289" w:hangingChars="290"/>
    </w:pPr>
  </w:style>
  <w:style w:type="paragraph" w:customStyle="1" w:styleId="119">
    <w:name w:val="标准文件_前言、引言标题"/>
    <w:next w:val="1"/>
    <w:qFormat/>
    <w:uiPriority w:val="0"/>
    <w:pPr>
      <w:numPr>
        <w:ilvl w:val="0"/>
        <w:numId w:val="7"/>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120">
    <w:name w:val="标准文件_目次、标准名称标题"/>
    <w:basedOn w:val="119"/>
    <w:next w:val="50"/>
    <w:qFormat/>
    <w:uiPriority w:val="0"/>
    <w:pPr>
      <w:spacing w:line="460" w:lineRule="exact"/>
      <w:ind w:left="0" w:firstLine="0"/>
    </w:pPr>
  </w:style>
  <w:style w:type="paragraph" w:customStyle="1" w:styleId="12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122">
    <w:name w:val="标准文件_破折号列项"/>
    <w:qFormat/>
    <w:uiPriority w:val="0"/>
    <w:pPr>
      <w:numPr>
        <w:ilvl w:val="0"/>
        <w:numId w:val="8"/>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23">
    <w:name w:val="标准文件_破折号列项（二级）"/>
    <w:basedOn w:val="122"/>
    <w:qFormat/>
    <w:uiPriority w:val="0"/>
    <w:pPr>
      <w:numPr>
        <w:numId w:val="9"/>
      </w:numPr>
    </w:pPr>
  </w:style>
  <w:style w:type="character" w:customStyle="1" w:styleId="124">
    <w:name w:val="不明显参考1"/>
    <w:qFormat/>
    <w:uiPriority w:val="31"/>
    <w:rPr>
      <w:smallCaps/>
      <w:color w:val="C0504D"/>
      <w:u w:val="single"/>
    </w:rPr>
  </w:style>
  <w:style w:type="paragraph" w:customStyle="1" w:styleId="125">
    <w:name w:val="标准文件_示例后续"/>
    <w:basedOn w:val="1"/>
    <w:qFormat/>
    <w:uiPriority w:val="0"/>
    <w:pPr>
      <w:adjustRightInd/>
      <w:spacing w:line="240" w:lineRule="auto"/>
      <w:ind w:firstLine="200" w:firstLineChars="200"/>
    </w:pPr>
    <w:rPr>
      <w:sz w:val="18"/>
      <w:szCs w:val="24"/>
    </w:rPr>
  </w:style>
  <w:style w:type="paragraph" w:customStyle="1" w:styleId="126">
    <w:name w:val="标准文件_数字编号列项"/>
    <w:qFormat/>
    <w:uiPriority w:val="0"/>
    <w:pPr>
      <w:numPr>
        <w:ilvl w:val="0"/>
        <w:numId w:val="10"/>
      </w:numPr>
      <w:jc w:val="both"/>
    </w:pPr>
    <w:rPr>
      <w:rFonts w:ascii="宋体" w:hAnsi="宋体" w:eastAsia="宋体" w:cs="Times New Roman"/>
      <w:sz w:val="21"/>
      <w:lang w:val="en-US" w:eastAsia="zh-CN" w:bidi="ar-SA"/>
    </w:rPr>
  </w:style>
  <w:style w:type="paragraph" w:customStyle="1" w:styleId="127">
    <w:name w:val="标准文件_条文脚注"/>
    <w:basedOn w:val="31"/>
    <w:qFormat/>
    <w:uiPriority w:val="0"/>
    <w:pPr>
      <w:adjustRightInd w:val="0"/>
      <w:spacing w:line="240" w:lineRule="auto"/>
      <w:ind w:left="0" w:leftChars="0" w:firstLine="200" w:firstLineChars="200"/>
      <w:jc w:val="both"/>
    </w:pPr>
    <w:rPr>
      <w:rFonts w:hAnsi="宋体"/>
    </w:rPr>
  </w:style>
  <w:style w:type="paragraph" w:customStyle="1" w:styleId="128">
    <w:name w:val="标准文件_图表脚注"/>
    <w:basedOn w:val="1"/>
    <w:next w:val="50"/>
    <w:qFormat/>
    <w:uiPriority w:val="0"/>
    <w:pPr>
      <w:numPr>
        <w:ilvl w:val="0"/>
        <w:numId w:val="11"/>
      </w:numPr>
      <w:spacing w:line="240" w:lineRule="auto"/>
      <w:jc w:val="left"/>
    </w:pPr>
    <w:rPr>
      <w:rFonts w:ascii="宋体" w:hAnsi="宋体"/>
      <w:sz w:val="18"/>
    </w:rPr>
  </w:style>
  <w:style w:type="character" w:customStyle="1" w:styleId="129">
    <w:name w:val="标准文件_图表脚注内容"/>
    <w:qFormat/>
    <w:uiPriority w:val="0"/>
    <w:rPr>
      <w:rFonts w:ascii="宋体" w:hAnsi="宋体" w:eastAsia="宋体" w:cs="Times New Roman"/>
      <w:spacing w:val="0"/>
      <w:sz w:val="18"/>
      <w:vertAlign w:val="superscript"/>
    </w:rPr>
  </w:style>
  <w:style w:type="paragraph" w:customStyle="1" w:styleId="130">
    <w:name w:val="标准文件_一致程度"/>
    <w:basedOn w:val="1"/>
    <w:qFormat/>
    <w:uiPriority w:val="0"/>
    <w:pPr>
      <w:spacing w:line="440" w:lineRule="exact"/>
      <w:jc w:val="center"/>
    </w:pPr>
    <w:rPr>
      <w:sz w:val="28"/>
    </w:rPr>
  </w:style>
  <w:style w:type="paragraph" w:customStyle="1" w:styleId="13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32">
    <w:name w:val="标准文件_英文图表脚注"/>
    <w:basedOn w:val="87"/>
    <w:qFormat/>
    <w:uiPriority w:val="0"/>
    <w:pPr>
      <w:widowControl/>
      <w:adjustRightInd/>
      <w:snapToGrid/>
      <w:spacing w:line="240" w:lineRule="auto"/>
      <w:ind w:left="79" w:hanging="79" w:hangingChars="80"/>
    </w:pPr>
    <w:rPr>
      <w:rFonts w:ascii="宋体" w:hAnsi="宋体"/>
    </w:rPr>
  </w:style>
  <w:style w:type="paragraph" w:customStyle="1" w:styleId="133">
    <w:name w:val="标准文件_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34">
    <w:name w:val="标准文件_英文注："/>
    <w:basedOn w:val="1"/>
    <w:next w:val="50"/>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35">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36">
    <w:name w:val="标准文件_正文表标题"/>
    <w:next w:val="50"/>
    <w:qFormat/>
    <w:uiPriority w:val="0"/>
    <w:pPr>
      <w:numPr>
        <w:ilvl w:val="0"/>
        <w:numId w:val="15"/>
      </w:numPr>
      <w:tabs>
        <w:tab w:val="left" w:pos="0"/>
      </w:tabs>
      <w:spacing w:before="156" w:beforeLines="50" w:after="156" w:afterLines="50"/>
      <w:jc w:val="center"/>
    </w:pPr>
    <w:rPr>
      <w:rFonts w:ascii="黑体" w:hAnsi="Times New Roman" w:eastAsia="黑体" w:cs="Times New Roman"/>
      <w:sz w:val="21"/>
      <w:lang w:val="en-US" w:eastAsia="zh-CN" w:bidi="ar-SA"/>
    </w:rPr>
  </w:style>
  <w:style w:type="paragraph" w:customStyle="1" w:styleId="137">
    <w:name w:val="标准文件_正文公式"/>
    <w:basedOn w:val="1"/>
    <w:next w:val="87"/>
    <w:qFormat/>
    <w:uiPriority w:val="0"/>
    <w:pPr>
      <w:tabs>
        <w:tab w:val="center" w:pos="4678"/>
        <w:tab w:val="right" w:leader="middleDot" w:pos="9356"/>
      </w:tabs>
      <w:spacing w:line="240" w:lineRule="auto"/>
    </w:pPr>
    <w:rPr>
      <w:rFonts w:ascii="宋体" w:hAnsi="宋体"/>
    </w:rPr>
  </w:style>
  <w:style w:type="paragraph" w:customStyle="1" w:styleId="138">
    <w:name w:val="标准文件_正文图标题"/>
    <w:next w:val="50"/>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39">
    <w:name w:val="标准文件_正文英文表标题"/>
    <w:next w:val="50"/>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40">
    <w:name w:val="标准文件_正文英文图标题"/>
    <w:next w:val="5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41">
    <w:name w:val="标准文件_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42">
    <w:name w:val="二级无标题条"/>
    <w:basedOn w:val="1"/>
    <w:qFormat/>
    <w:uiPriority w:val="0"/>
    <w:pPr>
      <w:numPr>
        <w:ilvl w:val="3"/>
        <w:numId w:val="19"/>
      </w:numPr>
      <w:adjustRightInd/>
      <w:spacing w:line="240" w:lineRule="auto"/>
    </w:pPr>
    <w:rPr>
      <w:rFonts w:ascii="宋体" w:hAnsi="宋体"/>
      <w:szCs w:val="24"/>
    </w:rPr>
  </w:style>
  <w:style w:type="paragraph" w:customStyle="1" w:styleId="143">
    <w:name w:val="发布部门"/>
    <w:next w:val="5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4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4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4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4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4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5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51">
    <w:name w:val="封面正文"/>
    <w:qFormat/>
    <w:uiPriority w:val="0"/>
    <w:pPr>
      <w:jc w:val="both"/>
    </w:pPr>
    <w:rPr>
      <w:rFonts w:ascii="Times New Roman" w:hAnsi="Times New Roman" w:eastAsia="宋体" w:cs="Times New Roman"/>
      <w:lang w:val="en-US" w:eastAsia="zh-CN" w:bidi="ar-SA"/>
    </w:rPr>
  </w:style>
  <w:style w:type="paragraph" w:customStyle="1" w:styleId="152">
    <w:name w:val="附录二级无标题条"/>
    <w:basedOn w:val="1"/>
    <w:next w:val="5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53">
    <w:name w:val="附录三级无标题条"/>
    <w:basedOn w:val="152"/>
    <w:next w:val="50"/>
    <w:qFormat/>
    <w:uiPriority w:val="0"/>
    <w:pPr>
      <w:outlineLvl w:val="4"/>
    </w:pPr>
  </w:style>
  <w:style w:type="paragraph" w:customStyle="1" w:styleId="154">
    <w:name w:val="附录四级无标题条"/>
    <w:basedOn w:val="153"/>
    <w:next w:val="50"/>
    <w:qFormat/>
    <w:uiPriority w:val="0"/>
    <w:pPr>
      <w:outlineLvl w:val="5"/>
    </w:pPr>
  </w:style>
  <w:style w:type="paragraph" w:customStyle="1" w:styleId="155">
    <w:name w:val="附录图"/>
    <w:next w:val="5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56">
    <w:name w:val="标准文件_一级项"/>
    <w:qFormat/>
    <w:uiPriority w:val="0"/>
    <w:pPr>
      <w:numPr>
        <w:ilvl w:val="0"/>
        <w:numId w:val="20"/>
      </w:numPr>
      <w:tabs>
        <w:tab w:val="left" w:pos="851"/>
      </w:tabs>
    </w:pPr>
    <w:rPr>
      <w:rFonts w:ascii="宋体" w:hAnsi="Times New Roman" w:eastAsia="宋体" w:cs="Times New Roman"/>
      <w:sz w:val="21"/>
      <w:lang w:val="en-US" w:eastAsia="zh-CN" w:bidi="ar-SA"/>
    </w:rPr>
  </w:style>
  <w:style w:type="paragraph" w:customStyle="1" w:styleId="157">
    <w:name w:val="附录五级无标题条"/>
    <w:basedOn w:val="154"/>
    <w:next w:val="50"/>
    <w:qFormat/>
    <w:uiPriority w:val="0"/>
    <w:pPr>
      <w:outlineLvl w:val="6"/>
    </w:pPr>
  </w:style>
  <w:style w:type="paragraph" w:customStyle="1" w:styleId="158">
    <w:name w:val="附录性质"/>
    <w:basedOn w:val="1"/>
    <w:qFormat/>
    <w:uiPriority w:val="0"/>
    <w:pPr>
      <w:widowControl/>
      <w:adjustRightInd/>
      <w:jc w:val="center"/>
    </w:pPr>
    <w:rPr>
      <w:rFonts w:ascii="黑体" w:eastAsia="黑体"/>
    </w:rPr>
  </w:style>
  <w:style w:type="paragraph" w:customStyle="1" w:styleId="159">
    <w:name w:val="附录一级无标题条"/>
    <w:basedOn w:val="117"/>
    <w:next w:val="50"/>
    <w:qFormat/>
    <w:uiPriority w:val="0"/>
    <w:pPr>
      <w:autoSpaceDN w:val="0"/>
      <w:outlineLvl w:val="2"/>
    </w:pPr>
    <w:rPr>
      <w:rFonts w:ascii="宋体" w:hAnsi="宋体" w:eastAsia="宋体"/>
    </w:rPr>
  </w:style>
  <w:style w:type="character" w:customStyle="1" w:styleId="160">
    <w:name w:val="个人答复风格"/>
    <w:qFormat/>
    <w:uiPriority w:val="0"/>
    <w:rPr>
      <w:rFonts w:ascii="Arial" w:hAnsi="Arial" w:eastAsia="宋体" w:cs="Arial"/>
      <w:color w:val="auto"/>
      <w:spacing w:val="0"/>
      <w:sz w:val="20"/>
    </w:rPr>
  </w:style>
  <w:style w:type="character" w:customStyle="1" w:styleId="161">
    <w:name w:val="个人撰写风格"/>
    <w:qFormat/>
    <w:uiPriority w:val="0"/>
    <w:rPr>
      <w:rFonts w:ascii="Arial" w:hAnsi="Arial" w:eastAsia="宋体" w:cs="Arial"/>
      <w:color w:val="auto"/>
      <w:spacing w:val="0"/>
      <w:sz w:val="20"/>
    </w:rPr>
  </w:style>
  <w:style w:type="paragraph" w:customStyle="1" w:styleId="16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63">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64">
    <w:name w:val="列项·"/>
    <w:basedOn w:val="50"/>
    <w:qFormat/>
    <w:uiPriority w:val="0"/>
    <w:pPr>
      <w:tabs>
        <w:tab w:val="left" w:pos="840"/>
      </w:tabs>
    </w:pPr>
  </w:style>
  <w:style w:type="paragraph" w:customStyle="1" w:styleId="16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66">
    <w:name w:val="目录 21"/>
    <w:basedOn w:val="1"/>
    <w:next w:val="1"/>
    <w:semiHidden/>
    <w:qFormat/>
    <w:uiPriority w:val="0"/>
    <w:pPr>
      <w:adjustRightInd/>
      <w:spacing w:line="240" w:lineRule="auto"/>
      <w:jc w:val="left"/>
    </w:pPr>
    <w:rPr>
      <w:bCs/>
      <w:iCs/>
    </w:rPr>
  </w:style>
  <w:style w:type="paragraph" w:customStyle="1" w:styleId="167">
    <w:name w:val="目录 31"/>
    <w:basedOn w:val="1"/>
    <w:next w:val="1"/>
    <w:semiHidden/>
    <w:qFormat/>
    <w:uiPriority w:val="0"/>
    <w:pPr>
      <w:spacing w:line="240" w:lineRule="auto"/>
    </w:pPr>
    <w:rPr>
      <w:rFonts w:ascii="宋体" w:hAnsi="宋体"/>
      <w:iCs/>
    </w:rPr>
  </w:style>
  <w:style w:type="paragraph" w:customStyle="1" w:styleId="168">
    <w:name w:val="目录 41"/>
    <w:basedOn w:val="1"/>
    <w:next w:val="1"/>
    <w:semiHidden/>
    <w:qFormat/>
    <w:uiPriority w:val="0"/>
    <w:pPr>
      <w:adjustRightInd/>
      <w:spacing w:line="240" w:lineRule="auto"/>
      <w:jc w:val="left"/>
    </w:pPr>
  </w:style>
  <w:style w:type="paragraph" w:customStyle="1" w:styleId="169">
    <w:name w:val="目录 51"/>
    <w:basedOn w:val="1"/>
    <w:next w:val="1"/>
    <w:semiHidden/>
    <w:qFormat/>
    <w:uiPriority w:val="0"/>
    <w:pPr>
      <w:spacing w:line="240" w:lineRule="auto"/>
    </w:pPr>
    <w:rPr>
      <w:rFonts w:ascii="宋体" w:hAnsi="宋体"/>
    </w:rPr>
  </w:style>
  <w:style w:type="paragraph" w:customStyle="1" w:styleId="170">
    <w:name w:val="目录 61"/>
    <w:basedOn w:val="1"/>
    <w:next w:val="1"/>
    <w:semiHidden/>
    <w:qFormat/>
    <w:uiPriority w:val="0"/>
    <w:pPr>
      <w:adjustRightInd/>
      <w:spacing w:line="240" w:lineRule="auto"/>
      <w:jc w:val="left"/>
    </w:pPr>
  </w:style>
  <w:style w:type="paragraph" w:customStyle="1" w:styleId="171">
    <w:name w:val="目录 71"/>
    <w:basedOn w:val="170"/>
    <w:semiHidden/>
    <w:qFormat/>
    <w:uiPriority w:val="0"/>
    <w:pPr>
      <w:ind w:left="1260"/>
    </w:pPr>
  </w:style>
  <w:style w:type="paragraph" w:customStyle="1" w:styleId="172">
    <w:name w:val="目录 81"/>
    <w:basedOn w:val="171"/>
    <w:semiHidden/>
    <w:qFormat/>
    <w:uiPriority w:val="0"/>
    <w:pPr>
      <w:ind w:left="1470"/>
    </w:pPr>
  </w:style>
  <w:style w:type="paragraph" w:customStyle="1" w:styleId="173">
    <w:name w:val="目录 91"/>
    <w:basedOn w:val="172"/>
    <w:semiHidden/>
    <w:qFormat/>
    <w:uiPriority w:val="0"/>
    <w:pPr>
      <w:ind w:left="1680"/>
    </w:pPr>
  </w:style>
  <w:style w:type="paragraph" w:customStyle="1" w:styleId="17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75">
    <w:name w:val="其他发布部门"/>
    <w:basedOn w:val="143"/>
    <w:qFormat/>
    <w:uiPriority w:val="0"/>
    <w:pPr>
      <w:spacing w:line="0" w:lineRule="atLeast"/>
    </w:pPr>
    <w:rPr>
      <w:rFonts w:ascii="黑体" w:eastAsia="黑体"/>
      <w:b w:val="0"/>
    </w:rPr>
  </w:style>
  <w:style w:type="paragraph" w:customStyle="1" w:styleId="176">
    <w:name w:val="三级无标题条"/>
    <w:basedOn w:val="1"/>
    <w:qFormat/>
    <w:uiPriority w:val="0"/>
    <w:pPr>
      <w:numPr>
        <w:ilvl w:val="4"/>
        <w:numId w:val="19"/>
      </w:numPr>
      <w:adjustRightInd/>
      <w:spacing w:line="240" w:lineRule="auto"/>
    </w:pPr>
    <w:rPr>
      <w:rFonts w:ascii="宋体" w:hAnsi="宋体"/>
      <w:szCs w:val="24"/>
    </w:rPr>
  </w:style>
  <w:style w:type="paragraph" w:customStyle="1" w:styleId="177">
    <w:name w:val="实施日期"/>
    <w:basedOn w:val="144"/>
    <w:qFormat/>
    <w:uiPriority w:val="0"/>
    <w:pPr>
      <w:framePr w:hSpace="0" w:xAlign="right"/>
      <w:jc w:val="right"/>
    </w:pPr>
  </w:style>
  <w:style w:type="paragraph" w:customStyle="1" w:styleId="178">
    <w:name w:val="四级无标题条"/>
    <w:basedOn w:val="1"/>
    <w:qFormat/>
    <w:uiPriority w:val="0"/>
    <w:pPr>
      <w:numPr>
        <w:ilvl w:val="5"/>
        <w:numId w:val="19"/>
      </w:numPr>
      <w:adjustRightInd/>
      <w:spacing w:line="240" w:lineRule="auto"/>
    </w:pPr>
    <w:rPr>
      <w:rFonts w:ascii="宋体" w:hAnsi="宋体"/>
      <w:szCs w:val="24"/>
    </w:rPr>
  </w:style>
  <w:style w:type="paragraph" w:customStyle="1" w:styleId="17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80">
    <w:name w:val="无标题条"/>
    <w:next w:val="50"/>
    <w:qFormat/>
    <w:uiPriority w:val="0"/>
    <w:pPr>
      <w:jc w:val="both"/>
    </w:pPr>
    <w:rPr>
      <w:rFonts w:ascii="宋体" w:hAnsi="宋体" w:eastAsia="宋体" w:cs="Times New Roman"/>
      <w:sz w:val="21"/>
      <w:lang w:val="en-US" w:eastAsia="zh-CN" w:bidi="ar-SA"/>
    </w:rPr>
  </w:style>
  <w:style w:type="paragraph" w:customStyle="1" w:styleId="181">
    <w:name w:val="五级无标题条"/>
    <w:basedOn w:val="1"/>
    <w:qFormat/>
    <w:uiPriority w:val="0"/>
    <w:pPr>
      <w:numPr>
        <w:ilvl w:val="6"/>
        <w:numId w:val="19"/>
      </w:numPr>
      <w:adjustRightInd/>
    </w:pPr>
    <w:rPr>
      <w:szCs w:val="24"/>
    </w:rPr>
  </w:style>
  <w:style w:type="paragraph" w:customStyle="1" w:styleId="182">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8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84">
    <w:name w:val="注×:后续"/>
    <w:basedOn w:val="183"/>
    <w:qFormat/>
    <w:uiPriority w:val="0"/>
    <w:pPr>
      <w:ind w:left="1406" w:leftChars="0" w:hanging="499" w:firstLineChars="0"/>
    </w:pPr>
  </w:style>
  <w:style w:type="paragraph" w:customStyle="1" w:styleId="185">
    <w:name w:val="标准文件_一级无标题"/>
    <w:basedOn w:val="53"/>
    <w:qFormat/>
    <w:uiPriority w:val="0"/>
    <w:pPr>
      <w:spacing w:before="0" w:beforeLines="0" w:after="0" w:afterLines="0"/>
      <w:outlineLvl w:val="9"/>
    </w:pPr>
    <w:rPr>
      <w:rFonts w:ascii="宋体" w:eastAsia="宋体"/>
    </w:rPr>
  </w:style>
  <w:style w:type="paragraph" w:customStyle="1" w:styleId="186">
    <w:name w:val="标准文件_五级无标题"/>
    <w:basedOn w:val="56"/>
    <w:qFormat/>
    <w:uiPriority w:val="0"/>
    <w:pPr>
      <w:spacing w:before="0" w:beforeLines="0" w:after="0" w:afterLines="0"/>
      <w:outlineLvl w:val="9"/>
    </w:pPr>
    <w:rPr>
      <w:rFonts w:ascii="宋体" w:eastAsia="宋体"/>
    </w:rPr>
  </w:style>
  <w:style w:type="paragraph" w:customStyle="1" w:styleId="187">
    <w:name w:val="标准文件_三级无标题"/>
    <w:basedOn w:val="54"/>
    <w:qFormat/>
    <w:uiPriority w:val="0"/>
    <w:pPr>
      <w:spacing w:before="0" w:beforeLines="0" w:after="0" w:afterLines="0"/>
      <w:outlineLvl w:val="9"/>
    </w:pPr>
  </w:style>
  <w:style w:type="paragraph" w:customStyle="1" w:styleId="188">
    <w:name w:val="标准文件_二级无标题"/>
    <w:basedOn w:val="49"/>
    <w:qFormat/>
    <w:uiPriority w:val="0"/>
    <w:pPr>
      <w:spacing w:before="0" w:beforeLines="0" w:after="0" w:afterLines="0"/>
      <w:outlineLvl w:val="9"/>
    </w:pPr>
  </w:style>
  <w:style w:type="paragraph" w:customStyle="1" w:styleId="189">
    <w:name w:val="标准_四级无标题"/>
    <w:basedOn w:val="55"/>
    <w:next w:val="50"/>
    <w:qFormat/>
    <w:uiPriority w:val="0"/>
    <w:rPr>
      <w:rFonts w:eastAsia="宋体"/>
    </w:rPr>
  </w:style>
  <w:style w:type="paragraph" w:customStyle="1" w:styleId="190">
    <w:name w:val="标准文件_四级无标题"/>
    <w:basedOn w:val="55"/>
    <w:qFormat/>
    <w:uiPriority w:val="0"/>
    <w:pPr>
      <w:spacing w:before="0" w:beforeLines="0" w:after="0" w:afterLines="0"/>
      <w:outlineLvl w:val="9"/>
    </w:pPr>
    <w:rPr>
      <w:rFonts w:ascii="宋体" w:hAnsi="黑体" w:eastAsia="宋体"/>
      <w:szCs w:val="52"/>
    </w:rPr>
  </w:style>
  <w:style w:type="paragraph" w:customStyle="1" w:styleId="191">
    <w:name w:val="标准文件_大写罗马数字编号列项"/>
    <w:basedOn w:val="50"/>
    <w:qFormat/>
    <w:uiPriority w:val="0"/>
    <w:pPr>
      <w:numPr>
        <w:ilvl w:val="0"/>
        <w:numId w:val="22"/>
      </w:numPr>
      <w:ind w:firstLine="0" w:firstLineChars="0"/>
    </w:pPr>
    <w:rPr>
      <w:rFonts w:ascii="Times New Roman" w:cs="Arial"/>
      <w:szCs w:val="28"/>
    </w:rPr>
  </w:style>
  <w:style w:type="paragraph" w:customStyle="1" w:styleId="192">
    <w:name w:val="标准文件_小写罗马数字编号列项"/>
    <w:basedOn w:val="50"/>
    <w:qFormat/>
    <w:uiPriority w:val="0"/>
    <w:pPr>
      <w:numPr>
        <w:ilvl w:val="0"/>
        <w:numId w:val="23"/>
      </w:numPr>
      <w:ind w:firstLine="0" w:firstLineChars="0"/>
    </w:pPr>
    <w:rPr>
      <w:rFonts w:cs="Arial"/>
      <w:szCs w:val="28"/>
    </w:rPr>
  </w:style>
  <w:style w:type="paragraph" w:customStyle="1" w:styleId="193">
    <w:name w:val="标准文件_附录标题"/>
    <w:basedOn w:val="107"/>
    <w:qFormat/>
    <w:uiPriority w:val="0"/>
    <w:pPr>
      <w:numPr>
        <w:numId w:val="0"/>
      </w:numPr>
      <w:spacing w:after="280"/>
      <w:outlineLvl w:val="9"/>
    </w:pPr>
  </w:style>
  <w:style w:type="paragraph" w:customStyle="1" w:styleId="194">
    <w:name w:val="标准文件_二级项"/>
    <w:qFormat/>
    <w:uiPriority w:val="0"/>
    <w:rPr>
      <w:rFonts w:ascii="宋体" w:hAnsi="Times New Roman" w:eastAsia="宋体" w:cs="Times New Roman"/>
      <w:sz w:val="21"/>
      <w:lang w:val="en-US" w:eastAsia="zh-CN" w:bidi="ar-SA"/>
    </w:rPr>
  </w:style>
  <w:style w:type="paragraph" w:customStyle="1" w:styleId="195">
    <w:name w:val="标准文件_三级项"/>
    <w:basedOn w:val="1"/>
    <w:qFormat/>
    <w:uiPriority w:val="0"/>
    <w:pPr>
      <w:numPr>
        <w:ilvl w:val="2"/>
        <w:numId w:val="20"/>
      </w:numPr>
      <w:spacing w:line="300" w:lineRule="exact"/>
    </w:pPr>
    <w:rPr>
      <w:rFonts w:ascii="Times New Roman" w:hAnsi="Times New Roman"/>
    </w:rPr>
  </w:style>
  <w:style w:type="paragraph" w:customStyle="1" w:styleId="196">
    <w:name w:val="图表脚注说明"/>
    <w:basedOn w:val="1"/>
    <w:next w:val="50"/>
    <w:qFormat/>
    <w:uiPriority w:val="0"/>
    <w:pPr>
      <w:numPr>
        <w:ilvl w:val="0"/>
        <w:numId w:val="24"/>
      </w:numPr>
      <w:adjustRightInd/>
      <w:spacing w:line="240" w:lineRule="auto"/>
    </w:pPr>
    <w:rPr>
      <w:rFonts w:ascii="宋体" w:hAnsi="Times New Roman"/>
      <w:sz w:val="18"/>
      <w:szCs w:val="18"/>
    </w:rPr>
  </w:style>
  <w:style w:type="paragraph" w:customStyle="1" w:styleId="197">
    <w:name w:val="标准文件_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98">
    <w:name w:val="标准文件_索引字母"/>
    <w:next w:val="50"/>
    <w:qFormat/>
    <w:uiPriority w:val="0"/>
    <w:pPr>
      <w:jc w:val="center"/>
    </w:pPr>
    <w:rPr>
      <w:rFonts w:ascii="宋体" w:hAnsi="宋体" w:eastAsia="Times New Roman" w:cs="Times New Roman"/>
      <w:b/>
      <w:kern w:val="2"/>
      <w:sz w:val="21"/>
      <w:lang w:val="en-US" w:eastAsia="zh-CN" w:bidi="ar-SA"/>
    </w:rPr>
  </w:style>
  <w:style w:type="paragraph" w:customStyle="1" w:styleId="199">
    <w:name w:val="标准文件_附录前"/>
    <w:next w:val="5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20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201">
    <w:name w:val="标准文件_表格"/>
    <w:basedOn w:val="50"/>
    <w:qFormat/>
    <w:uiPriority w:val="0"/>
    <w:pPr>
      <w:ind w:firstLine="0" w:firstLineChars="0"/>
      <w:jc w:val="center"/>
    </w:pPr>
    <w:rPr>
      <w:sz w:val="18"/>
    </w:rPr>
  </w:style>
  <w:style w:type="paragraph" w:customStyle="1" w:styleId="202">
    <w:name w:val="标准文件_注："/>
    <w:next w:val="50"/>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203">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204">
    <w:name w:val="标准文件_示例："/>
    <w:next w:val="205"/>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205">
    <w:name w:val="标准文件_示例内容"/>
    <w:basedOn w:val="50"/>
    <w:qFormat/>
    <w:uiPriority w:val="0"/>
    <w:rPr>
      <w:sz w:val="18"/>
    </w:rPr>
  </w:style>
  <w:style w:type="paragraph" w:customStyle="1" w:styleId="206">
    <w:name w:val="标准文件_示例×："/>
    <w:basedOn w:val="1"/>
    <w:next w:val="205"/>
    <w:qFormat/>
    <w:uiPriority w:val="0"/>
    <w:pPr>
      <w:widowControl/>
      <w:numPr>
        <w:ilvl w:val="0"/>
        <w:numId w:val="28"/>
      </w:numPr>
      <w:adjustRightInd/>
      <w:spacing w:line="240" w:lineRule="auto"/>
    </w:pPr>
    <w:rPr>
      <w:rFonts w:ascii="宋体" w:hAnsi="Times New Roman"/>
      <w:kern w:val="0"/>
      <w:sz w:val="18"/>
      <w:szCs w:val="18"/>
    </w:rPr>
  </w:style>
  <w:style w:type="paragraph" w:customStyle="1" w:styleId="207">
    <w:name w:val="标准文件_表格续"/>
    <w:basedOn w:val="50"/>
    <w:next w:val="50"/>
    <w:qFormat/>
    <w:uiPriority w:val="0"/>
    <w:pPr>
      <w:jc w:val="center"/>
    </w:pPr>
    <w:rPr>
      <w:rFonts w:ascii="黑体" w:hAnsi="黑体" w:eastAsia="黑体"/>
    </w:rPr>
  </w:style>
  <w:style w:type="character" w:styleId="208">
    <w:name w:val="Placeholder Text"/>
    <w:basedOn w:val="42"/>
    <w:semiHidden/>
    <w:qFormat/>
    <w:uiPriority w:val="99"/>
    <w:rPr>
      <w:color w:val="808080"/>
    </w:rPr>
  </w:style>
  <w:style w:type="paragraph" w:customStyle="1" w:styleId="209">
    <w:name w:val="标准文件_二级项2"/>
    <w:basedOn w:val="50"/>
    <w:qFormat/>
    <w:uiPriority w:val="0"/>
    <w:pPr>
      <w:numPr>
        <w:ilvl w:val="1"/>
        <w:numId w:val="20"/>
      </w:numPr>
      <w:ind w:firstLine="0" w:firstLineChars="0"/>
    </w:pPr>
  </w:style>
  <w:style w:type="paragraph" w:customStyle="1" w:styleId="210">
    <w:name w:val="标准文件_三级项2"/>
    <w:basedOn w:val="50"/>
    <w:qFormat/>
    <w:uiPriority w:val="0"/>
    <w:pPr>
      <w:numPr>
        <w:ilvl w:val="0"/>
        <w:numId w:val="29"/>
      </w:numPr>
      <w:spacing w:line="300" w:lineRule="exact"/>
      <w:ind w:firstLineChars="0"/>
    </w:pPr>
    <w:rPr>
      <w:rFonts w:ascii="Times New Roman"/>
    </w:rPr>
  </w:style>
  <w:style w:type="paragraph" w:customStyle="1" w:styleId="211">
    <w:name w:val="标准文件_一级项2"/>
    <w:basedOn w:val="50"/>
    <w:qFormat/>
    <w:uiPriority w:val="0"/>
    <w:pPr>
      <w:numPr>
        <w:ilvl w:val="0"/>
        <w:numId w:val="30"/>
      </w:numPr>
      <w:spacing w:line="300" w:lineRule="exact"/>
      <w:ind w:firstLineChars="0"/>
    </w:pPr>
    <w:rPr>
      <w:rFonts w:ascii="Times New Roman"/>
    </w:rPr>
  </w:style>
  <w:style w:type="paragraph" w:customStyle="1" w:styleId="212">
    <w:name w:val="标准文件_提示"/>
    <w:basedOn w:val="50"/>
    <w:next w:val="50"/>
    <w:qFormat/>
    <w:uiPriority w:val="0"/>
    <w:rPr>
      <w:rFonts w:ascii="黑体" w:eastAsia="黑体"/>
    </w:rPr>
  </w:style>
  <w:style w:type="character" w:customStyle="1" w:styleId="213">
    <w:name w:val="标准文件_来源"/>
    <w:basedOn w:val="42"/>
    <w:qFormat/>
    <w:uiPriority w:val="1"/>
    <w:rPr>
      <w:rFonts w:eastAsia="宋体"/>
      <w:sz w:val="21"/>
    </w:rPr>
  </w:style>
  <w:style w:type="paragraph" w:customStyle="1" w:styleId="21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15">
    <w:name w:val="其他发布日期"/>
    <w:basedOn w:val="144"/>
    <w:qFormat/>
    <w:uiPriority w:val="0"/>
    <w:pPr>
      <w:framePr w:w="3997" w:h="471" w:hRule="exact" w:hSpace="0" w:vSpace="181" w:vAnchor="page" w:hAnchor="page" w:x="1419" w:y="14097"/>
    </w:pPr>
  </w:style>
  <w:style w:type="paragraph" w:customStyle="1" w:styleId="216">
    <w:name w:val="其他实施日期"/>
    <w:basedOn w:val="177"/>
    <w:qFormat/>
    <w:uiPriority w:val="0"/>
    <w:pPr>
      <w:framePr w:w="3997" w:h="471" w:hRule="exact" w:vSpace="181" w:vAnchor="page" w:hAnchor="page" w:x="7089" w:y="14097"/>
    </w:pPr>
  </w:style>
  <w:style w:type="paragraph" w:customStyle="1" w:styleId="217">
    <w:name w:val="标准文件_文件编号"/>
    <w:basedOn w:val="5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18">
    <w:name w:val="标准文件_替换文件编号"/>
    <w:basedOn w:val="217"/>
    <w:qFormat/>
    <w:uiPriority w:val="0"/>
    <w:pPr>
      <w:spacing w:before="57"/>
    </w:pPr>
    <w:rPr>
      <w:sz w:val="21"/>
    </w:rPr>
  </w:style>
  <w:style w:type="paragraph" w:customStyle="1" w:styleId="219">
    <w:name w:val="标准文件_文件名称"/>
    <w:basedOn w:val="50"/>
    <w:next w:val="50"/>
    <w:qFormat/>
    <w:uiPriority w:val="0"/>
    <w:pPr>
      <w:framePr w:w="9639" w:h="6976" w:hRule="exact" w:wrap="auto" w:vAnchor="page" w:hAnchor="page" w:y="6408"/>
      <w:spacing w:line="700" w:lineRule="exact"/>
      <w:ind w:firstLine="0" w:firstLineChars="0"/>
      <w:jc w:val="center"/>
    </w:pPr>
    <w:rPr>
      <w:rFonts w:ascii="黑体" w:hAnsi="黑体" w:eastAsia="黑体"/>
      <w:bCs/>
      <w:sz w:val="52"/>
    </w:rPr>
  </w:style>
  <w:style w:type="paragraph" w:customStyle="1" w:styleId="220">
    <w:name w:val="标准文件_附录图标号"/>
    <w:basedOn w:val="50"/>
    <w:next w:val="50"/>
    <w:qFormat/>
    <w:uiPriority w:val="0"/>
    <w:pPr>
      <w:numPr>
        <w:ilvl w:val="0"/>
        <w:numId w:val="5"/>
      </w:numPr>
      <w:spacing w:line="14" w:lineRule="exact"/>
      <w:ind w:firstLine="0" w:firstLineChars="0"/>
      <w:jc w:val="center"/>
    </w:pPr>
    <w:rPr>
      <w:rFonts w:ascii="黑体" w:hAnsi="黑体" w:eastAsia="黑体"/>
      <w:vanish/>
      <w:sz w:val="2"/>
      <w:szCs w:val="21"/>
    </w:rPr>
  </w:style>
  <w:style w:type="paragraph" w:customStyle="1" w:styleId="221">
    <w:name w:val="标准文件_附录表标号"/>
    <w:basedOn w:val="50"/>
    <w:next w:val="50"/>
    <w:qFormat/>
    <w:uiPriority w:val="0"/>
    <w:pPr>
      <w:numPr>
        <w:ilvl w:val="0"/>
        <w:numId w:val="31"/>
      </w:numPr>
      <w:spacing w:line="14" w:lineRule="exact"/>
      <w:ind w:firstLine="0" w:firstLineChars="0"/>
      <w:jc w:val="center"/>
    </w:pPr>
    <w:rPr>
      <w:rFonts w:eastAsia="黑体"/>
      <w:vanish/>
      <w:sz w:val="2"/>
    </w:rPr>
  </w:style>
  <w:style w:type="paragraph" w:customStyle="1" w:styleId="222">
    <w:name w:val="标准文件_引言一级条标题"/>
    <w:basedOn w:val="50"/>
    <w:next w:val="50"/>
    <w:qFormat/>
    <w:uiPriority w:val="0"/>
    <w:pPr>
      <w:numPr>
        <w:ilvl w:val="1"/>
        <w:numId w:val="7"/>
      </w:numPr>
      <w:spacing w:before="50" w:beforeLines="50" w:after="50" w:afterLines="50"/>
      <w:ind w:firstLineChars="0"/>
    </w:pPr>
    <w:rPr>
      <w:rFonts w:ascii="黑体" w:eastAsia="黑体"/>
    </w:rPr>
  </w:style>
  <w:style w:type="paragraph" w:customStyle="1" w:styleId="223">
    <w:name w:val="标准文件_引言二级条标题"/>
    <w:basedOn w:val="50"/>
    <w:next w:val="50"/>
    <w:qFormat/>
    <w:uiPriority w:val="0"/>
    <w:pPr>
      <w:numPr>
        <w:ilvl w:val="2"/>
        <w:numId w:val="7"/>
      </w:numPr>
      <w:spacing w:before="50" w:beforeLines="50" w:after="50" w:afterLines="50"/>
      <w:ind w:firstLineChars="0"/>
    </w:pPr>
    <w:rPr>
      <w:rFonts w:ascii="黑体" w:eastAsia="黑体"/>
    </w:rPr>
  </w:style>
  <w:style w:type="paragraph" w:customStyle="1" w:styleId="224">
    <w:name w:val="标准文件_引言三级条标题"/>
    <w:basedOn w:val="50"/>
    <w:next w:val="50"/>
    <w:qFormat/>
    <w:uiPriority w:val="0"/>
    <w:pPr>
      <w:numPr>
        <w:ilvl w:val="3"/>
        <w:numId w:val="7"/>
      </w:numPr>
      <w:spacing w:before="50" w:beforeLines="50" w:after="50" w:afterLines="50"/>
      <w:ind w:firstLineChars="0"/>
    </w:pPr>
    <w:rPr>
      <w:rFonts w:ascii="黑体" w:eastAsia="黑体"/>
    </w:rPr>
  </w:style>
  <w:style w:type="paragraph" w:customStyle="1" w:styleId="225">
    <w:name w:val="标准文件_引言四级条标题"/>
    <w:basedOn w:val="50"/>
    <w:next w:val="50"/>
    <w:qFormat/>
    <w:uiPriority w:val="0"/>
    <w:pPr>
      <w:numPr>
        <w:ilvl w:val="4"/>
        <w:numId w:val="7"/>
      </w:numPr>
      <w:spacing w:before="50" w:beforeLines="50" w:after="50" w:afterLines="50"/>
      <w:ind w:firstLineChars="0"/>
    </w:pPr>
    <w:rPr>
      <w:rFonts w:ascii="黑体" w:eastAsia="黑体"/>
    </w:rPr>
  </w:style>
  <w:style w:type="paragraph" w:customStyle="1" w:styleId="226">
    <w:name w:val="标准文件_引言五级条标题"/>
    <w:basedOn w:val="50"/>
    <w:next w:val="50"/>
    <w:qFormat/>
    <w:uiPriority w:val="0"/>
    <w:pPr>
      <w:numPr>
        <w:ilvl w:val="5"/>
        <w:numId w:val="7"/>
      </w:numPr>
      <w:spacing w:before="50" w:beforeLines="50" w:after="50" w:afterLines="50"/>
      <w:ind w:firstLineChars="0"/>
    </w:pPr>
    <w:rPr>
      <w:rFonts w:ascii="黑体" w:eastAsia="黑体"/>
    </w:rPr>
  </w:style>
  <w:style w:type="paragraph" w:customStyle="1" w:styleId="227">
    <w:name w:val="标准文件_注后"/>
    <w:basedOn w:val="50"/>
    <w:qFormat/>
    <w:uiPriority w:val="0"/>
    <w:pPr>
      <w:ind w:left="811" w:firstLine="0" w:firstLineChars="0"/>
    </w:pPr>
    <w:rPr>
      <w:sz w:val="18"/>
    </w:rPr>
  </w:style>
  <w:style w:type="paragraph" w:customStyle="1" w:styleId="228">
    <w:name w:val="标准文件_注X后"/>
    <w:basedOn w:val="50"/>
    <w:qFormat/>
    <w:uiPriority w:val="0"/>
    <w:pPr>
      <w:ind w:left="811" w:firstLine="0" w:firstLineChars="0"/>
    </w:pPr>
    <w:rPr>
      <w:sz w:val="18"/>
    </w:rPr>
  </w:style>
  <w:style w:type="paragraph" w:customStyle="1" w:styleId="229">
    <w:name w:val="标准文件_示例后"/>
    <w:basedOn w:val="50"/>
    <w:qFormat/>
    <w:uiPriority w:val="0"/>
    <w:pPr>
      <w:ind w:left="964" w:firstLine="0" w:firstLineChars="0"/>
    </w:pPr>
    <w:rPr>
      <w:sz w:val="18"/>
    </w:rPr>
  </w:style>
  <w:style w:type="paragraph" w:customStyle="1" w:styleId="230">
    <w:name w:val="标准文件_示例X后"/>
    <w:basedOn w:val="50"/>
    <w:link w:val="231"/>
    <w:qFormat/>
    <w:uiPriority w:val="0"/>
    <w:pPr>
      <w:ind w:left="1049" w:firstLine="0" w:firstLineChars="0"/>
    </w:pPr>
    <w:rPr>
      <w:sz w:val="18"/>
    </w:rPr>
  </w:style>
  <w:style w:type="character" w:customStyle="1" w:styleId="231">
    <w:name w:val="标准文件_示例X后 字符"/>
    <w:basedOn w:val="88"/>
    <w:link w:val="230"/>
    <w:qFormat/>
    <w:uiPriority w:val="0"/>
    <w:rPr>
      <w:rFonts w:ascii="宋体" w:hAnsi="Times New Roman"/>
      <w:sz w:val="18"/>
    </w:rPr>
  </w:style>
  <w:style w:type="paragraph" w:customStyle="1" w:styleId="232">
    <w:name w:val="标准文件_索引项"/>
    <w:basedOn w:val="50"/>
    <w:next w:val="50"/>
    <w:qFormat/>
    <w:uiPriority w:val="0"/>
    <w:pPr>
      <w:tabs>
        <w:tab w:val="right" w:leader="dot" w:pos="9356"/>
      </w:tabs>
      <w:ind w:left="210" w:hanging="210" w:firstLineChars="0"/>
      <w:jc w:val="left"/>
    </w:pPr>
  </w:style>
  <w:style w:type="paragraph" w:customStyle="1" w:styleId="233">
    <w:name w:val="标准文件_附录一级无标题"/>
    <w:basedOn w:val="109"/>
    <w:qFormat/>
    <w:uiPriority w:val="0"/>
    <w:pPr>
      <w:spacing w:before="0" w:beforeLines="0" w:after="0" w:afterLines="0" w:line="276" w:lineRule="auto"/>
      <w:outlineLvl w:val="9"/>
    </w:pPr>
    <w:rPr>
      <w:rFonts w:ascii="宋体" w:eastAsia="宋体"/>
    </w:rPr>
  </w:style>
  <w:style w:type="paragraph" w:customStyle="1" w:styleId="234">
    <w:name w:val="标准文件_附录二级无标题"/>
    <w:basedOn w:val="110"/>
    <w:qFormat/>
    <w:uiPriority w:val="0"/>
    <w:pPr>
      <w:spacing w:before="0" w:beforeLines="0" w:after="0" w:afterLines="0" w:line="276" w:lineRule="auto"/>
      <w:outlineLvl w:val="9"/>
    </w:pPr>
    <w:rPr>
      <w:rFonts w:ascii="宋体" w:eastAsia="宋体"/>
    </w:rPr>
  </w:style>
  <w:style w:type="paragraph" w:customStyle="1" w:styleId="235">
    <w:name w:val="标准文件_附录三级无标题"/>
    <w:basedOn w:val="112"/>
    <w:qFormat/>
    <w:uiPriority w:val="0"/>
    <w:pPr>
      <w:spacing w:before="0" w:beforeLines="0" w:after="0" w:afterLines="0" w:line="276" w:lineRule="auto"/>
      <w:outlineLvl w:val="9"/>
    </w:pPr>
    <w:rPr>
      <w:rFonts w:ascii="宋体" w:eastAsia="宋体"/>
    </w:rPr>
  </w:style>
  <w:style w:type="paragraph" w:customStyle="1" w:styleId="236">
    <w:name w:val="标准文件_附录四级无标题"/>
    <w:basedOn w:val="113"/>
    <w:qFormat/>
    <w:uiPriority w:val="0"/>
    <w:pPr>
      <w:spacing w:before="0" w:beforeLines="0" w:after="0" w:afterLines="0" w:line="276" w:lineRule="auto"/>
      <w:outlineLvl w:val="9"/>
    </w:pPr>
    <w:rPr>
      <w:rFonts w:ascii="宋体" w:eastAsia="宋体"/>
    </w:rPr>
  </w:style>
  <w:style w:type="paragraph" w:customStyle="1" w:styleId="237">
    <w:name w:val="标准文件_附录五级无标题"/>
    <w:basedOn w:val="115"/>
    <w:qFormat/>
    <w:uiPriority w:val="0"/>
    <w:pPr>
      <w:spacing w:before="0" w:beforeLines="0" w:after="0" w:afterLines="0" w:line="276" w:lineRule="auto"/>
      <w:outlineLvl w:val="9"/>
    </w:pPr>
    <w:rPr>
      <w:rFonts w:ascii="宋体" w:eastAsia="宋体"/>
    </w:rPr>
  </w:style>
  <w:style w:type="paragraph" w:customStyle="1" w:styleId="238">
    <w:name w:val="标准文件_引言一级无标题"/>
    <w:basedOn w:val="222"/>
    <w:next w:val="50"/>
    <w:qFormat/>
    <w:uiPriority w:val="0"/>
    <w:pPr>
      <w:spacing w:before="0" w:beforeLines="0" w:after="0" w:afterLines="0" w:line="276" w:lineRule="auto"/>
    </w:pPr>
    <w:rPr>
      <w:rFonts w:ascii="宋体" w:eastAsia="宋体"/>
    </w:rPr>
  </w:style>
  <w:style w:type="paragraph" w:customStyle="1" w:styleId="239">
    <w:name w:val="标准文件_引言二级无标题"/>
    <w:basedOn w:val="223"/>
    <w:next w:val="50"/>
    <w:qFormat/>
    <w:uiPriority w:val="0"/>
    <w:pPr>
      <w:spacing w:before="0" w:beforeLines="0" w:after="0" w:afterLines="0" w:line="276" w:lineRule="auto"/>
    </w:pPr>
    <w:rPr>
      <w:rFonts w:ascii="宋体" w:eastAsia="宋体"/>
    </w:rPr>
  </w:style>
  <w:style w:type="paragraph" w:customStyle="1" w:styleId="240">
    <w:name w:val="标准文件_引言三级无标题"/>
    <w:basedOn w:val="224"/>
    <w:qFormat/>
    <w:uiPriority w:val="0"/>
    <w:pPr>
      <w:spacing w:before="0" w:beforeLines="0" w:after="0" w:afterLines="0" w:line="276" w:lineRule="auto"/>
    </w:pPr>
    <w:rPr>
      <w:rFonts w:ascii="宋体" w:eastAsia="宋体"/>
    </w:rPr>
  </w:style>
  <w:style w:type="paragraph" w:customStyle="1" w:styleId="241">
    <w:name w:val="标准文件_引言四级无标题"/>
    <w:basedOn w:val="225"/>
    <w:next w:val="50"/>
    <w:qFormat/>
    <w:uiPriority w:val="0"/>
    <w:pPr>
      <w:spacing w:before="0" w:beforeLines="0" w:after="0" w:afterLines="0" w:line="276" w:lineRule="auto"/>
    </w:pPr>
    <w:rPr>
      <w:rFonts w:ascii="宋体" w:eastAsia="宋体"/>
    </w:rPr>
  </w:style>
  <w:style w:type="paragraph" w:customStyle="1" w:styleId="242">
    <w:name w:val="标准文件_引言五级无标题"/>
    <w:basedOn w:val="226"/>
    <w:next w:val="50"/>
    <w:qFormat/>
    <w:uiPriority w:val="0"/>
    <w:pPr>
      <w:spacing w:before="0" w:beforeLines="0" w:after="0" w:afterLines="0" w:line="276" w:lineRule="auto"/>
    </w:pPr>
    <w:rPr>
      <w:rFonts w:ascii="宋体" w:eastAsia="宋体"/>
    </w:rPr>
  </w:style>
  <w:style w:type="paragraph" w:customStyle="1" w:styleId="243">
    <w:name w:val="标准文件_索引标题"/>
    <w:basedOn w:val="95"/>
    <w:next w:val="50"/>
    <w:qFormat/>
    <w:uiPriority w:val="0"/>
    <w:rPr>
      <w:rFonts w:hAnsi="黑体"/>
    </w:rPr>
  </w:style>
  <w:style w:type="paragraph" w:customStyle="1" w:styleId="244">
    <w:name w:val="标准文件_脚注内容"/>
    <w:basedOn w:val="50"/>
    <w:qFormat/>
    <w:uiPriority w:val="0"/>
    <w:pPr>
      <w:ind w:left="400" w:leftChars="200" w:hanging="200" w:hangingChars="200"/>
    </w:pPr>
    <w:rPr>
      <w:sz w:val="15"/>
    </w:rPr>
  </w:style>
  <w:style w:type="paragraph" w:customStyle="1" w:styleId="245">
    <w:name w:val="标准文件_术语条一"/>
    <w:basedOn w:val="185"/>
    <w:next w:val="50"/>
    <w:qFormat/>
    <w:uiPriority w:val="0"/>
  </w:style>
  <w:style w:type="paragraph" w:customStyle="1" w:styleId="246">
    <w:name w:val="标准文件_术语条二"/>
    <w:basedOn w:val="188"/>
    <w:next w:val="50"/>
    <w:qFormat/>
    <w:uiPriority w:val="0"/>
  </w:style>
  <w:style w:type="paragraph" w:customStyle="1" w:styleId="247">
    <w:name w:val="标准文件_术语条三"/>
    <w:basedOn w:val="187"/>
    <w:next w:val="50"/>
    <w:qFormat/>
    <w:uiPriority w:val="0"/>
  </w:style>
  <w:style w:type="paragraph" w:customStyle="1" w:styleId="248">
    <w:name w:val="标准文件_术语条四"/>
    <w:basedOn w:val="190"/>
    <w:next w:val="50"/>
    <w:qFormat/>
    <w:uiPriority w:val="0"/>
  </w:style>
  <w:style w:type="paragraph" w:customStyle="1" w:styleId="249">
    <w:name w:val="标准文件_术语条五"/>
    <w:basedOn w:val="186"/>
    <w:next w:val="50"/>
    <w:qFormat/>
    <w:uiPriority w:val="0"/>
  </w:style>
  <w:style w:type="paragraph" w:customStyle="1" w:styleId="25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1">
    <w:name w:val="发布"/>
    <w:basedOn w:val="42"/>
    <w:qFormat/>
    <w:uiPriority w:val="0"/>
    <w:rPr>
      <w:rFonts w:ascii="黑体" w:eastAsia="黑体"/>
      <w:spacing w:val="85"/>
      <w:w w:val="100"/>
      <w:position w:val="3"/>
      <w:sz w:val="28"/>
      <w:szCs w:val="28"/>
    </w:rPr>
  </w:style>
  <w:style w:type="paragraph" w:customStyle="1" w:styleId="252">
    <w:name w:val="列表段落1"/>
    <w:basedOn w:val="1"/>
    <w:qFormat/>
    <w:uiPriority w:val="34"/>
    <w:pPr>
      <w:adjustRightInd/>
      <w:spacing w:before="100" w:beforeAutospacing="1" w:after="100" w:afterAutospacing="1" w:line="240" w:lineRule="auto"/>
      <w:ind w:left="720"/>
      <w:contextualSpacing/>
    </w:pPr>
    <w:rPr>
      <w:rFonts w:ascii="Times New Roman" w:hAnsi="Times New Roman"/>
      <w:szCs w:val="22"/>
    </w:rPr>
  </w:style>
  <w:style w:type="paragraph" w:customStyle="1" w:styleId="253">
    <w:name w:val="正文1"/>
    <w:basedOn w:val="1"/>
    <w:qFormat/>
    <w:uiPriority w:val="0"/>
    <w:pPr>
      <w:adjustRightInd/>
      <w:spacing w:line="240" w:lineRule="auto"/>
      <w:ind w:firstLine="420" w:firstLineChars="200"/>
    </w:pPr>
    <w:rPr>
      <w:rFonts w:hint="eastAsia" w:ascii="Times New Roman" w:hAnsi="Times New Roman"/>
      <w:szCs w:val="22"/>
    </w:rPr>
  </w:style>
  <w:style w:type="paragraph" w:customStyle="1" w:styleId="254">
    <w:name w:val="段"/>
    <w:link w:val="255"/>
    <w:qFormat/>
    <w:uiPriority w:val="0"/>
    <w:pPr>
      <w:tabs>
        <w:tab w:val="center" w:pos="4201"/>
        <w:tab w:val="right" w:leader="dot" w:pos="9298"/>
      </w:tabs>
      <w:autoSpaceDE w:val="0"/>
      <w:autoSpaceDN w:val="0"/>
      <w:spacing w:line="300" w:lineRule="auto"/>
      <w:ind w:firstLine="301" w:firstLineChars="167"/>
    </w:pPr>
    <w:rPr>
      <w:rFonts w:ascii="宋体" w:hAnsi="Times New Roman" w:eastAsia="宋体" w:cs="Times New Roman"/>
      <w:sz w:val="18"/>
      <w:szCs w:val="18"/>
      <w:lang w:val="en-US" w:eastAsia="zh-CN" w:bidi="ar-SA"/>
    </w:rPr>
  </w:style>
  <w:style w:type="character" w:customStyle="1" w:styleId="255">
    <w:name w:val="段 Char"/>
    <w:link w:val="254"/>
    <w:qFormat/>
    <w:uiPriority w:val="0"/>
    <w:rPr>
      <w:rFonts w:ascii="宋体"/>
      <w:sz w:val="18"/>
      <w:szCs w:val="18"/>
    </w:rPr>
  </w:style>
  <w:style w:type="paragraph" w:styleId="256">
    <w:name w:val="List Paragraph"/>
    <w:basedOn w:val="1"/>
    <w:qFormat/>
    <w:uiPriority w:val="0"/>
    <w:pPr>
      <w:ind w:firstLine="420" w:firstLineChars="200"/>
    </w:pPr>
  </w:style>
  <w:style w:type="table" w:customStyle="1" w:styleId="257">
    <w:name w:val="网格型1"/>
    <w:basedOn w:val="4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8">
    <w:name w:val="图"/>
    <w:basedOn w:val="1"/>
    <w:qFormat/>
    <w:uiPriority w:val="0"/>
    <w:pPr>
      <w:tabs>
        <w:tab w:val="left" w:pos="432"/>
      </w:tabs>
      <w:snapToGrid w:val="0"/>
      <w:spacing w:line="240" w:lineRule="auto"/>
      <w:jc w:val="center"/>
    </w:pPr>
    <w:rPr>
      <w:rFonts w:eastAsia="华文仿宋"/>
      <w:color w:val="000000"/>
      <w:sz w:val="24"/>
      <w:szCs w:val="24"/>
    </w:rPr>
  </w:style>
  <w:style w:type="paragraph" w:customStyle="1" w:styleId="259">
    <w:name w:val="修订1"/>
    <w:qFormat/>
    <w:uiPriority w:val="99"/>
    <w:rPr>
      <w:rFonts w:ascii="Calibri" w:hAnsi="Calibri" w:eastAsia="宋体" w:cs="Times New Roman"/>
      <w:kern w:val="2"/>
      <w:sz w:val="21"/>
      <w:szCs w:val="21"/>
      <w:lang w:val="en-US" w:eastAsia="zh-CN" w:bidi="ar-SA"/>
    </w:rPr>
  </w:style>
  <w:style w:type="paragraph" w:customStyle="1" w:styleId="260">
    <w:name w:val="修订2"/>
    <w:unhideWhenUsed/>
    <w:qFormat/>
    <w:uiPriority w:val="99"/>
    <w:rPr>
      <w:rFonts w:ascii="Calibri" w:hAnsi="Calibri" w:eastAsia="宋体" w:cs="Times New Roman"/>
      <w:kern w:val="2"/>
      <w:sz w:val="21"/>
      <w:szCs w:val="21"/>
      <w:lang w:val="en-US" w:eastAsia="zh-CN" w:bidi="ar-SA"/>
    </w:rPr>
  </w:style>
  <w:style w:type="paragraph" w:customStyle="1" w:styleId="261">
    <w:name w:val="修订3"/>
    <w:unhideWhenUsed/>
    <w:qFormat/>
    <w:uiPriority w:val="99"/>
    <w:rPr>
      <w:rFonts w:ascii="Calibri" w:hAnsi="Calibri" w:eastAsia="宋体" w:cs="Times New Roman"/>
      <w:kern w:val="2"/>
      <w:sz w:val="21"/>
      <w:szCs w:val="21"/>
      <w:lang w:val="en-US" w:eastAsia="zh-CN" w:bidi="ar-SA"/>
    </w:rPr>
  </w:style>
  <w:style w:type="character" w:customStyle="1" w:styleId="262">
    <w:name w:val="纯文本 Char"/>
    <w:basedOn w:val="42"/>
    <w:semiHidden/>
    <w:qFormat/>
    <w:uiPriority w:val="99"/>
    <w:rPr>
      <w:rFonts w:ascii="宋体" w:hAnsi="Courier New" w:cs="Courier New"/>
      <w:kern w:val="2"/>
      <w:sz w:val="21"/>
      <w:szCs w:val="21"/>
    </w:rPr>
  </w:style>
  <w:style w:type="paragraph" w:customStyle="1" w:styleId="263">
    <w:name w:val="reader-word-layer"/>
    <w:basedOn w:val="1"/>
    <w:qFormat/>
    <w:uiPriority w:val="0"/>
    <w:pPr>
      <w:widowControl/>
      <w:adjustRightInd/>
      <w:spacing w:before="100" w:beforeAutospacing="1" w:after="100" w:afterAutospacing="1" w:line="240" w:lineRule="auto"/>
      <w:jc w:val="left"/>
    </w:pPr>
    <w:rPr>
      <w:rFonts w:ascii="宋体" w:hAnsi="宋体" w:cs="宋体"/>
      <w:color w:val="161616"/>
      <w:kern w:val="0"/>
      <w:sz w:val="24"/>
      <w:szCs w:val="24"/>
    </w:rPr>
  </w:style>
  <w:style w:type="paragraph" w:customStyle="1" w:styleId="264">
    <w:name w:val="TOC 标题1"/>
    <w:basedOn w:val="2"/>
    <w:next w:val="1"/>
    <w:unhideWhenUsed/>
    <w:qFormat/>
    <w:uiPriority w:val="0"/>
    <w:pPr>
      <w:widowControl/>
      <w:adjustRightInd/>
      <w:spacing w:before="480" w:after="0" w:line="276" w:lineRule="auto"/>
      <w:jc w:val="left"/>
      <w:outlineLvl w:val="9"/>
    </w:pPr>
    <w:rPr>
      <w:rFonts w:ascii="等线 Light" w:hAnsi="等线 Light" w:eastAsia="等线 Light"/>
      <w:color w:val="2F5496"/>
      <w:kern w:val="0"/>
      <w:sz w:val="28"/>
      <w:szCs w:val="28"/>
    </w:rPr>
  </w:style>
  <w:style w:type="character" w:customStyle="1" w:styleId="265">
    <w:name w:val="fw2"/>
    <w:basedOn w:val="42"/>
    <w:qFormat/>
    <w:uiPriority w:val="0"/>
  </w:style>
  <w:style w:type="character" w:customStyle="1" w:styleId="266">
    <w:name w:val="ss3"/>
    <w:basedOn w:val="42"/>
    <w:qFormat/>
    <w:uiPriority w:val="0"/>
  </w:style>
  <w:style w:type="character" w:customStyle="1" w:styleId="267">
    <w:name w:val="javascript"/>
    <w:basedOn w:val="42"/>
    <w:qFormat/>
    <w:uiPriority w:val="0"/>
  </w:style>
  <w:style w:type="character" w:customStyle="1" w:styleId="268">
    <w:name w:val="style71"/>
    <w:qFormat/>
    <w:uiPriority w:val="0"/>
    <w:rPr>
      <w:sz w:val="30"/>
      <w:szCs w:val="30"/>
    </w:rPr>
  </w:style>
  <w:style w:type="character" w:customStyle="1" w:styleId="269">
    <w:name w:val="ss2"/>
    <w:basedOn w:val="42"/>
    <w:qFormat/>
    <w:uiPriority w:val="0"/>
  </w:style>
  <w:style w:type="paragraph" w:customStyle="1" w:styleId="270">
    <w:name w:val="三级条标题"/>
    <w:basedOn w:val="271"/>
    <w:next w:val="254"/>
    <w:qFormat/>
    <w:uiPriority w:val="0"/>
    <w:pPr>
      <w:tabs>
        <w:tab w:val="left" w:pos="720"/>
        <w:tab w:val="left" w:pos="1080"/>
      </w:tabs>
      <w:ind w:left="0" w:firstLine="0"/>
      <w:outlineLvl w:val="4"/>
    </w:pPr>
  </w:style>
  <w:style w:type="paragraph" w:customStyle="1" w:styleId="271">
    <w:name w:val="二级条标题"/>
    <w:basedOn w:val="272"/>
    <w:next w:val="254"/>
    <w:qFormat/>
    <w:uiPriority w:val="0"/>
    <w:pPr>
      <w:numPr>
        <w:ilvl w:val="0"/>
        <w:numId w:val="0"/>
      </w:numPr>
      <w:tabs>
        <w:tab w:val="left" w:pos="720"/>
        <w:tab w:val="left" w:pos="1080"/>
      </w:tabs>
      <w:ind w:left="1080" w:hanging="1080"/>
      <w:outlineLvl w:val="3"/>
    </w:pPr>
  </w:style>
  <w:style w:type="paragraph" w:customStyle="1" w:styleId="272">
    <w:name w:val="一级条标题"/>
    <w:next w:val="254"/>
    <w:qFormat/>
    <w:uiPriority w:val="0"/>
    <w:pPr>
      <w:numPr>
        <w:ilvl w:val="2"/>
        <w:numId w:val="32"/>
      </w:numPr>
      <w:outlineLvl w:val="2"/>
    </w:pPr>
    <w:rPr>
      <w:rFonts w:ascii="Times New Roman" w:hAnsi="Times New Roman" w:eastAsia="黑体" w:cs="Times New Roman"/>
      <w:sz w:val="21"/>
      <w:lang w:val="en-US" w:eastAsia="zh-CN" w:bidi="ar-SA"/>
    </w:rPr>
  </w:style>
  <w:style w:type="paragraph" w:customStyle="1" w:styleId="273">
    <w:name w:val="p0"/>
    <w:basedOn w:val="1"/>
    <w:qFormat/>
    <w:uiPriority w:val="0"/>
    <w:pPr>
      <w:widowControl/>
      <w:adjustRightInd/>
      <w:spacing w:line="240" w:lineRule="auto"/>
    </w:pPr>
    <w:rPr>
      <w:rFonts w:ascii="Times New Roman" w:hAnsi="Times New Roman"/>
      <w:kern w:val="0"/>
      <w:szCs w:val="20"/>
    </w:rPr>
  </w:style>
  <w:style w:type="paragraph" w:customStyle="1" w:styleId="274">
    <w:name w:val="五级条标题"/>
    <w:basedOn w:val="275"/>
    <w:next w:val="254"/>
    <w:qFormat/>
    <w:uiPriority w:val="0"/>
    <w:pPr>
      <w:tabs>
        <w:tab w:val="left" w:pos="720"/>
        <w:tab w:val="left" w:pos="1080"/>
      </w:tabs>
      <w:outlineLvl w:val="6"/>
    </w:pPr>
  </w:style>
  <w:style w:type="paragraph" w:customStyle="1" w:styleId="275">
    <w:name w:val="四级条标题"/>
    <w:basedOn w:val="270"/>
    <w:next w:val="254"/>
    <w:qFormat/>
    <w:uiPriority w:val="0"/>
    <w:pPr>
      <w:outlineLvl w:val="5"/>
    </w:pPr>
  </w:style>
  <w:style w:type="paragraph" w:customStyle="1" w:styleId="276">
    <w:name w:val="ha3 fw2"/>
    <w:basedOn w:val="1"/>
    <w:qFormat/>
    <w:uiPriority w:val="0"/>
    <w:pPr>
      <w:widowControl/>
      <w:adjustRightInd/>
      <w:spacing w:before="100" w:beforeAutospacing="1" w:after="100" w:afterAutospacing="1" w:line="240" w:lineRule="auto"/>
      <w:jc w:val="left"/>
    </w:pPr>
    <w:rPr>
      <w:rFonts w:ascii="Times New Roman" w:hAnsi="Times New Roman"/>
      <w:kern w:val="0"/>
      <w:sz w:val="24"/>
      <w:szCs w:val="24"/>
    </w:rPr>
  </w:style>
  <w:style w:type="paragraph" w:customStyle="1" w:styleId="277">
    <w:name w:val="正文表标题"/>
    <w:next w:val="254"/>
    <w:qFormat/>
    <w:uiPriority w:val="0"/>
    <w:pPr>
      <w:tabs>
        <w:tab w:val="left" w:pos="780"/>
      </w:tabs>
      <w:ind w:left="780" w:hanging="360"/>
      <w:jc w:val="center"/>
    </w:pPr>
    <w:rPr>
      <w:rFonts w:ascii="黑体" w:hAnsi="Times New Roman" w:eastAsia="黑体" w:cs="Times New Roman"/>
      <w:sz w:val="21"/>
      <w:lang w:val="en-US" w:eastAsia="zh-CN" w:bidi="ar-SA"/>
    </w:rPr>
  </w:style>
  <w:style w:type="paragraph" w:customStyle="1" w:styleId="278">
    <w:name w:val="列项——（一级）"/>
    <w:qFormat/>
    <w:uiPriority w:val="0"/>
    <w:pPr>
      <w:widowControl w:val="0"/>
      <w:tabs>
        <w:tab w:val="left" w:pos="360"/>
        <w:tab w:val="left" w:pos="854"/>
      </w:tabs>
      <w:ind w:left="400" w:leftChars="200" w:hanging="200" w:hangingChars="200"/>
      <w:jc w:val="both"/>
    </w:pPr>
    <w:rPr>
      <w:rFonts w:ascii="宋体" w:hAnsi="Times New Roman" w:eastAsia="宋体" w:cs="Times New Roman"/>
      <w:sz w:val="21"/>
      <w:lang w:val="en-US" w:eastAsia="zh-CN" w:bidi="ar-SA"/>
    </w:rPr>
  </w:style>
  <w:style w:type="paragraph" w:customStyle="1" w:styleId="279">
    <w:name w:val="二级无"/>
    <w:basedOn w:val="271"/>
    <w:qFormat/>
    <w:uiPriority w:val="0"/>
    <w:pPr>
      <w:numPr>
        <w:ilvl w:val="2"/>
      </w:numPr>
      <w:spacing w:before="50" w:after="50"/>
      <w:ind w:left="1080" w:hanging="1080"/>
    </w:pPr>
    <w:rPr>
      <w:rFonts w:ascii="宋体" w:eastAsia="宋体"/>
      <w:szCs w:val="21"/>
    </w:rPr>
  </w:style>
  <w:style w:type="paragraph" w:customStyle="1" w:styleId="280">
    <w:name w:val="前言、引言标题"/>
    <w:next w:val="1"/>
    <w:qFormat/>
    <w:uiPriority w:val="0"/>
    <w:pPr>
      <w:shd w:val="clear" w:color="FFFFFF" w:fill="FFFFFF"/>
      <w:tabs>
        <w:tab w:val="left" w:pos="0"/>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281">
    <w:name w:val="Char"/>
    <w:basedOn w:val="1"/>
    <w:qFormat/>
    <w:uiPriority w:val="0"/>
    <w:pPr>
      <w:tabs>
        <w:tab w:val="left" w:pos="4665"/>
        <w:tab w:val="left" w:pos="8970"/>
      </w:tabs>
      <w:adjustRightInd/>
      <w:spacing w:line="240" w:lineRule="auto"/>
      <w:ind w:firstLine="400"/>
    </w:pPr>
    <w:rPr>
      <w:rFonts w:ascii="Tahoma" w:hAnsi="Tahoma" w:cs="Tahoma"/>
      <w:sz w:val="24"/>
      <w:szCs w:val="24"/>
    </w:rPr>
  </w:style>
  <w:style w:type="paragraph" w:customStyle="1" w:styleId="282">
    <w:name w:val="示例"/>
    <w:next w:val="254"/>
    <w:qFormat/>
    <w:uiPriority w:val="0"/>
    <w:pPr>
      <w:tabs>
        <w:tab w:val="left" w:pos="435"/>
        <w:tab w:val="left" w:pos="816"/>
      </w:tabs>
      <w:ind w:left="435" w:hanging="435"/>
      <w:jc w:val="both"/>
    </w:pPr>
    <w:rPr>
      <w:rFonts w:ascii="宋体" w:hAnsi="Times New Roman" w:eastAsia="宋体" w:cs="Times New Roman"/>
      <w:sz w:val="18"/>
      <w:lang w:val="en-US" w:eastAsia="zh-CN" w:bidi="ar-SA"/>
    </w:rPr>
  </w:style>
  <w:style w:type="paragraph" w:customStyle="1" w:styleId="283">
    <w:name w:val="普通 (Web)"/>
    <w:basedOn w:val="1"/>
    <w:next w:val="1"/>
    <w:qFormat/>
    <w:uiPriority w:val="0"/>
    <w:pPr>
      <w:autoSpaceDE w:val="0"/>
      <w:autoSpaceDN w:val="0"/>
      <w:spacing w:before="100" w:after="100" w:line="240" w:lineRule="auto"/>
      <w:jc w:val="left"/>
    </w:pPr>
    <w:rPr>
      <w:rFonts w:ascii="..ì." w:hAnsi="..ì." w:eastAsia="..ì."/>
      <w:kern w:val="0"/>
      <w:sz w:val="24"/>
      <w:szCs w:val="24"/>
    </w:rPr>
  </w:style>
  <w:style w:type="paragraph" w:customStyle="1" w:styleId="284">
    <w:name w:val="Char1"/>
    <w:basedOn w:val="1"/>
    <w:qFormat/>
    <w:uiPriority w:val="0"/>
    <w:pPr>
      <w:adjustRightInd/>
      <w:spacing w:line="360" w:lineRule="auto"/>
    </w:pPr>
    <w:rPr>
      <w:rFonts w:ascii="Tahoma" w:hAnsi="Tahoma"/>
      <w:sz w:val="24"/>
      <w:szCs w:val="20"/>
    </w:rPr>
  </w:style>
  <w:style w:type="paragraph" w:customStyle="1" w:styleId="285">
    <w:name w:val="章标题"/>
    <w:next w:val="254"/>
    <w:qFormat/>
    <w:uiPriority w:val="0"/>
    <w:pPr>
      <w:tabs>
        <w:tab w:val="left" w:pos="525"/>
      </w:tabs>
      <w:spacing w:beforeLines="50" w:afterLines="50"/>
      <w:ind w:left="525" w:hanging="525"/>
      <w:jc w:val="both"/>
      <w:outlineLvl w:val="1"/>
    </w:pPr>
    <w:rPr>
      <w:rFonts w:ascii="黑体" w:hAnsi="Times New Roman" w:eastAsia="黑体" w:cs="Times New Roman"/>
      <w:sz w:val="21"/>
      <w:lang w:val="en-US" w:eastAsia="zh-CN" w:bidi="ar-SA"/>
    </w:rPr>
  </w:style>
  <w:style w:type="paragraph" w:customStyle="1" w:styleId="286">
    <w:name w:val="ha3"/>
    <w:basedOn w:val="1"/>
    <w:qFormat/>
    <w:uiPriority w:val="0"/>
    <w:pPr>
      <w:widowControl/>
      <w:adjustRightInd/>
      <w:spacing w:before="100" w:beforeAutospacing="1" w:after="100" w:afterAutospacing="1" w:line="240" w:lineRule="auto"/>
      <w:jc w:val="left"/>
    </w:pPr>
    <w:rPr>
      <w:rFonts w:ascii="Times New Roman" w:hAnsi="Times New Roman"/>
      <w:kern w:val="0"/>
      <w:sz w:val="24"/>
      <w:szCs w:val="24"/>
    </w:rPr>
  </w:style>
  <w:style w:type="paragraph" w:customStyle="1" w:styleId="287">
    <w:name w:val="HZ正文1"/>
    <w:basedOn w:val="1"/>
    <w:qFormat/>
    <w:uiPriority w:val="0"/>
    <w:pPr>
      <w:snapToGrid w:val="0"/>
      <w:spacing w:line="440" w:lineRule="atLeast"/>
      <w:ind w:firstLine="480"/>
    </w:pPr>
    <w:rPr>
      <w:rFonts w:ascii="Times New Roman" w:hAnsi="Times New Roman"/>
      <w:spacing w:val="4"/>
      <w:w w:val="80"/>
      <w:sz w:val="28"/>
      <w:szCs w:val="20"/>
    </w:rPr>
  </w:style>
  <w:style w:type="character" w:customStyle="1" w:styleId="288">
    <w:name w:val="NormalCharacter"/>
    <w:semiHidden/>
    <w:qFormat/>
    <w:uiPriority w:val="0"/>
  </w:style>
  <w:style w:type="paragraph" w:customStyle="1" w:styleId="289">
    <w:name w:val="TOC 标题2"/>
    <w:basedOn w:val="2"/>
    <w:next w:val="1"/>
    <w:unhideWhenUsed/>
    <w:qFormat/>
    <w:uiPriority w:val="39"/>
    <w:pPr>
      <w:widowControl/>
      <w:adjustRightInd/>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290">
    <w:name w:val="表"/>
    <w:basedOn w:val="1"/>
    <w:qFormat/>
    <w:uiPriority w:val="0"/>
    <w:pPr>
      <w:adjustRightInd/>
      <w:spacing w:line="300" w:lineRule="auto"/>
      <w:jc w:val="center"/>
    </w:pPr>
    <w:rPr>
      <w:rFonts w:ascii="Times New Roman" w:hAnsi="Times New Roman"/>
      <w:bCs/>
    </w:rPr>
  </w:style>
  <w:style w:type="character" w:customStyle="1" w:styleId="291">
    <w:name w:val="font41"/>
    <w:basedOn w:val="42"/>
    <w:qFormat/>
    <w:uiPriority w:val="0"/>
    <w:rPr>
      <w:rFonts w:hint="eastAsia" w:ascii="宋体" w:hAnsi="宋体" w:eastAsia="宋体"/>
      <w:color w:val="000000"/>
      <w:sz w:val="32"/>
      <w:szCs w:val="32"/>
      <w:u w:val="none"/>
    </w:rPr>
  </w:style>
  <w:style w:type="character" w:customStyle="1" w:styleId="292">
    <w:name w:val="font51"/>
    <w:basedOn w:val="42"/>
    <w:qFormat/>
    <w:uiPriority w:val="0"/>
    <w:rPr>
      <w:rFonts w:hint="eastAsia" w:ascii="宋体" w:hAnsi="宋体" w:eastAsia="宋体"/>
      <w:color w:val="000000"/>
      <w:sz w:val="28"/>
      <w:szCs w:val="28"/>
      <w:u w:val="none"/>
    </w:rPr>
  </w:style>
  <w:style w:type="character" w:customStyle="1" w:styleId="293">
    <w:name w:val="font61"/>
    <w:basedOn w:val="42"/>
    <w:qFormat/>
    <w:uiPriority w:val="0"/>
    <w:rPr>
      <w:rFonts w:hint="eastAsia" w:ascii="宋体" w:hAnsi="宋体" w:eastAsia="宋体"/>
      <w:color w:val="000000"/>
      <w:sz w:val="26"/>
      <w:szCs w:val="26"/>
      <w:u w:val="none"/>
    </w:rPr>
  </w:style>
  <w:style w:type="character" w:customStyle="1" w:styleId="294">
    <w:name w:val="font21"/>
    <w:basedOn w:val="42"/>
    <w:qFormat/>
    <w:uiPriority w:val="0"/>
    <w:rPr>
      <w:rFonts w:hint="eastAsia" w:ascii="宋体" w:hAnsi="宋体" w:eastAsia="宋体"/>
      <w:color w:val="000000"/>
      <w:sz w:val="28"/>
      <w:szCs w:val="28"/>
      <w:u w:val="none"/>
    </w:rPr>
  </w:style>
  <w:style w:type="paragraph" w:customStyle="1" w:styleId="295">
    <w:name w:val="修订4"/>
    <w:hidden/>
    <w:unhideWhenUsed/>
    <w:qFormat/>
    <w:uiPriority w:val="99"/>
    <w:rPr>
      <w:rFonts w:ascii="Calibri" w:hAnsi="Calibri" w:eastAsia="宋体" w:cs="Times New Roman"/>
      <w:kern w:val="2"/>
      <w:sz w:val="21"/>
      <w:szCs w:val="21"/>
      <w:lang w:val="en-US" w:eastAsia="zh-CN" w:bidi="ar-SA"/>
    </w:rPr>
  </w:style>
  <w:style w:type="character" w:customStyle="1" w:styleId="296">
    <w:name w:val="未处理的提及1"/>
    <w:basedOn w:val="42"/>
    <w:semiHidden/>
    <w:unhideWhenUsed/>
    <w:qFormat/>
    <w:uiPriority w:val="99"/>
    <w:rPr>
      <w:color w:val="605E5C"/>
      <w:shd w:val="clear" w:color="auto" w:fill="E1DFDD"/>
    </w:rPr>
  </w:style>
  <w:style w:type="paragraph" w:customStyle="1" w:styleId="297">
    <w:name w:val="Revision"/>
    <w:hidden/>
    <w:unhideWhenUsed/>
    <w:qFormat/>
    <w:uiPriority w:val="99"/>
    <w:rPr>
      <w:rFonts w:ascii="Calibri" w:hAnsi="Calibri" w:eastAsia="宋体" w:cs="Times New Roman"/>
      <w:kern w:val="2"/>
      <w:sz w:val="21"/>
      <w:szCs w:val="21"/>
      <w:lang w:val="en-US" w:eastAsia="zh-CN" w:bidi="ar-SA"/>
    </w:rPr>
  </w:style>
  <w:style w:type="table" w:customStyle="1" w:styleId="298">
    <w:name w:val="Table Normal11"/>
    <w:basedOn w:val="40"/>
    <w:qFormat/>
    <w:uiPriority w:val="0"/>
    <w:rPr>
      <w:rFonts w:eastAsia="Times New Roman"/>
    </w:rPr>
    <w:tblPr>
      <w:tblCellMar>
        <w:top w:w="0" w:type="dxa"/>
        <w:left w:w="0" w:type="dxa"/>
        <w:bottom w:w="0" w:type="dxa"/>
        <w:right w:w="0" w:type="dxa"/>
      </w:tblCellMar>
    </w:tblPr>
  </w:style>
  <w:style w:type="character" w:customStyle="1" w:styleId="299">
    <w:name w:val="Unresolved Mention"/>
    <w:basedOn w:val="4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C:\Program%20Files%20(x86)\StandardEditor\template\&#22320;&#26041;&#26631;&#20934;.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30</Pages>
  <Words>3288</Words>
  <Characters>4328</Characters>
  <Lines>161</Lines>
  <Paragraphs>45</Paragraphs>
  <TotalTime>12</TotalTime>
  <ScaleCrop>false</ScaleCrop>
  <LinksUpToDate>false</LinksUpToDate>
  <CharactersWithSpaces>4653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2025-08-08T08:14:00Z</dcterms:created>
  <dc:creator>Dc</dc:creator>
  <dc:description>&lt;config cover="true" show_menu="true" version="1.0.0" doctype="SDKXY"&gt;_x000d_
&lt;/config&gt;</dc:description>
  <cp:lastModifiedBy>Administrator</cp:lastModifiedBy>
  <cp:lastPrinted>2025-08-07T17:04:00Z</cp:lastPrinted>
  <dcterms:modified xsi:type="dcterms:W3CDTF">2025-08-20T08:26:53Z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2052-12.1.0.21915</vt:lpwstr>
  </property>
  <property fmtid="{D5CDD505-2E9C-101B-9397-08002B2CF9AE}" pid="16" name="ICV">
    <vt:lpwstr>EC11D8F91E4641BD855D4F213E12291F</vt:lpwstr>
  </property>
  <property fmtid="{D5CDD505-2E9C-101B-9397-08002B2CF9AE}" pid="17" name="MTWinEqns">
    <vt:bool>true</vt:bool>
  </property>
  <property fmtid="{D5CDD505-2E9C-101B-9397-08002B2CF9AE}" pid="18" name="KSOTemplateDocerSaveRecord">
    <vt:lpwstr>eyJoZGlkIjoiMjk2ZGZmMzI3ZDEyZTNmYTRlYzFlYmMwODMzNWEyNjcifQ==</vt:lpwstr>
  </property>
</Properties>
</file>