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DC5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黑体" w:hAnsi="黑体" w:eastAsia="黑体" w:cs="黑体"/>
          <w:b w:val="0"/>
          <w:bCs w:val="0"/>
          <w:color w:val="000000"/>
          <w:kern w:val="21"/>
          <w:sz w:val="32"/>
          <w:szCs w:val="32"/>
          <w:lang w:val="en-US" w:eastAsia="zh-CN" w:bidi="ar"/>
        </w:rPr>
      </w:pPr>
      <w:r>
        <w:rPr>
          <w:rFonts w:hint="eastAsia" w:ascii="黑体" w:hAnsi="黑体" w:eastAsia="黑体" w:cs="黑体"/>
          <w:b w:val="0"/>
          <w:bCs w:val="0"/>
          <w:color w:val="000000"/>
          <w:kern w:val="21"/>
          <w:sz w:val="32"/>
          <w:szCs w:val="32"/>
          <w:lang w:val="en-US" w:eastAsia="zh-CN" w:bidi="ar"/>
        </w:rPr>
        <w:t>附件1</w:t>
      </w:r>
    </w:p>
    <w:p w14:paraId="6EF7C86B">
      <w:pPr>
        <w:keepNext w:val="0"/>
        <w:keepLines w:val="0"/>
        <w:pageBreakBefore w:val="0"/>
        <w:widowControl w:val="0"/>
        <w:kinsoku/>
        <w:wordWrap/>
        <w:overflowPunct/>
        <w:topLinePunct w:val="0"/>
        <w:autoSpaceDE/>
        <w:autoSpaceDN/>
        <w:bidi w:val="0"/>
        <w:adjustRightInd w:val="0"/>
        <w:snapToGrid w:val="0"/>
        <w:spacing w:line="720" w:lineRule="exact"/>
        <w:ind w:leftChars="0"/>
        <w:jc w:val="center"/>
        <w:textAlignment w:val="auto"/>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lang w:eastAsia="zh-CN"/>
          <w14:textFill>
            <w14:solidFill>
              <w14:schemeClr w14:val="tx1"/>
            </w14:solidFill>
          </w14:textFill>
        </w:rPr>
        <w:t>湖北省</w:t>
      </w: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预拌混凝土</w:t>
      </w:r>
      <w:r>
        <w:rPr>
          <w:rFonts w:hint="eastAsia" w:ascii="方正小标宋_GBK" w:hAnsi="方正小标宋_GBK" w:eastAsia="方正小标宋_GBK" w:cs="方正小标宋_GBK"/>
          <w:color w:val="000000" w:themeColor="text1"/>
          <w:sz w:val="44"/>
          <w:szCs w:val="44"/>
          <w:highlight w:val="none"/>
          <w:lang w:val="en-US" w:eastAsia="zh-CN"/>
          <w14:textFill>
            <w14:solidFill>
              <w14:schemeClr w14:val="tx1"/>
            </w14:solidFill>
          </w14:textFill>
        </w:rPr>
        <w:t>企业</w:t>
      </w: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信用评价管理办法</w:t>
      </w:r>
    </w:p>
    <w:p w14:paraId="4AD727C4">
      <w:pPr>
        <w:keepNext w:val="0"/>
        <w:keepLines w:val="0"/>
        <w:pageBreakBefore w:val="0"/>
        <w:widowControl w:val="0"/>
        <w:shd w:val="clear" w:color="auto" w:fill="FFFFFF"/>
        <w:kinsoku/>
        <w:wordWrap/>
        <w:overflowPunct w:val="0"/>
        <w:topLinePunct w:val="0"/>
        <w:autoSpaceDE/>
        <w:autoSpaceDN/>
        <w:bidi w:val="0"/>
        <w:adjustRightInd/>
        <w:snapToGrid/>
        <w:spacing w:line="600" w:lineRule="exact"/>
        <w:ind w:leftChars="0" w:firstLine="0" w:firstLineChars="0"/>
        <w:jc w:val="center"/>
        <w:textAlignment w:val="auto"/>
        <w:rPr>
          <w:rFonts w:hint="eastAsia" w:ascii="仿宋_GB2312" w:hAnsi="仿宋_GB2312" w:eastAsia="仿宋_GB2312" w:cs="仿宋_GB2312"/>
          <w:b/>
          <w:bCs/>
          <w:color w:val="000000"/>
          <w:kern w:val="21"/>
          <w:sz w:val="32"/>
          <w:szCs w:val="32"/>
          <w:highlight w:val="none"/>
          <w:lang w:eastAsia="zh-CN"/>
        </w:rPr>
      </w:pPr>
      <w:r>
        <w:rPr>
          <w:rFonts w:hint="eastAsia" w:ascii="仿宋_GB2312" w:hAnsi="仿宋_GB2312" w:eastAsia="仿宋_GB2312" w:cs="仿宋_GB2312"/>
          <w:b/>
          <w:bCs/>
          <w:color w:val="000000"/>
          <w:kern w:val="21"/>
          <w:sz w:val="32"/>
          <w:szCs w:val="32"/>
          <w:highlight w:val="none"/>
          <w:lang w:eastAsia="zh-CN"/>
        </w:rPr>
        <w:t>（征求意见稿）</w:t>
      </w:r>
    </w:p>
    <w:p w14:paraId="52839DDD">
      <w:pPr>
        <w:pageBreakBefore w:val="0"/>
        <w:widowControl w:val="0"/>
        <w:kinsoku/>
        <w:wordWrap/>
        <w:topLinePunct w:val="0"/>
        <w:autoSpaceDE/>
        <w:autoSpaceDN/>
        <w:bidi w:val="0"/>
        <w:spacing w:line="600" w:lineRule="exact"/>
        <w:ind w:leftChars="0"/>
        <w:textAlignment w:val="auto"/>
        <w:rPr>
          <w:rFonts w:hint="eastAsia"/>
          <w:highlight w:val="none"/>
        </w:rPr>
      </w:pPr>
    </w:p>
    <w:p w14:paraId="1ED6B1A2">
      <w:pPr>
        <w:pStyle w:val="3"/>
        <w:pageBreakBefore w:val="0"/>
        <w:widowControl w:val="0"/>
        <w:kinsoku/>
        <w:wordWrap/>
        <w:topLinePunct w:val="0"/>
        <w:autoSpaceDE/>
        <w:autoSpaceDN/>
        <w:bidi w:val="0"/>
        <w:spacing w:line="600" w:lineRule="exact"/>
        <w:ind w:leftChars="0" w:firstLine="0" w:firstLineChars="0"/>
        <w:textAlignment w:val="auto"/>
        <w:rPr>
          <w:rFonts w:hint="eastAsia"/>
          <w:highlight w:val="none"/>
        </w:rPr>
      </w:pPr>
      <w:r>
        <w:rPr>
          <w:rFonts w:hint="eastAsia"/>
          <w:sz w:val="32"/>
          <w:highlight w:val="none"/>
        </w:rPr>
        <w:t>第一章 总则</w:t>
      </w:r>
    </w:p>
    <w:p w14:paraId="463D13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仿宋_GB2312" w:hAnsi="仿宋_GB2312" w:eastAsia="仿宋_GB2312" w:cs="仿宋_GB2312"/>
          <w:color w:val="000000"/>
          <w:kern w:val="21"/>
          <w:sz w:val="32"/>
          <w:szCs w:val="32"/>
          <w:highlight w:val="none"/>
        </w:rPr>
      </w:pPr>
      <w:r>
        <w:rPr>
          <w:rStyle w:val="10"/>
          <w:rFonts w:hint="eastAsia" w:ascii="仿宋_GB2312" w:hAnsi="仿宋_GB2312" w:eastAsia="仿宋_GB2312" w:cs="仿宋_GB2312"/>
          <w:sz w:val="32"/>
          <w:szCs w:val="32"/>
          <w:highlight w:val="none"/>
        </w:rPr>
        <w:t xml:space="preserve">第一条 </w:t>
      </w:r>
      <w:r>
        <w:rPr>
          <w:rStyle w:val="10"/>
          <w:rFonts w:hint="eastAsia" w:ascii="仿宋_GB2312" w:hAnsi="仿宋_GB2312" w:eastAsia="仿宋_GB2312" w:cs="仿宋_GB2312"/>
          <w:sz w:val="32"/>
          <w:szCs w:val="32"/>
          <w:highlight w:val="none"/>
          <w:lang w:val="en-US" w:eastAsia="zh-CN"/>
        </w:rPr>
        <w:t xml:space="preserve"> </w:t>
      </w:r>
      <w:r>
        <w:rPr>
          <w:rFonts w:hint="eastAsia" w:ascii="仿宋_GB2312" w:hAnsi="Calibri" w:eastAsia="仿宋_GB2312" w:cs="仿宋_GB2312"/>
          <w:color w:val="000000"/>
          <w:kern w:val="21"/>
          <w:sz w:val="32"/>
          <w:szCs w:val="32"/>
          <w:lang w:val="en-US" w:eastAsia="zh-CN" w:bidi="ar"/>
        </w:rPr>
        <w:t>为深入贯彻落实党中央、国务院关于社会信用体系建设的决策部署，建立健全全省预拌混凝土市场信用体系，进一步规范建筑市场秩序，营造公平竞争、诚信守法的市场环境，依据《中华人民共和国建筑法》《中共中央办公厅、国务院办公厅关于健全社会信用体系的意见》《国务院办公厅关于加快推进社会信用体系建设构建以信用为基础的新型监管机制的指导意见》《湖北省建筑市场管理条例》《湖北省社会信用信息管理条例》等法律法规及政策文件，结合我省实际，制定本办法。</w:t>
      </w:r>
    </w:p>
    <w:p w14:paraId="38EFCC73">
      <w:pPr>
        <w:pageBreakBefore w:val="0"/>
        <w:widowControl w:val="0"/>
        <w:kinsoku/>
        <w:wordWrap/>
        <w:topLinePunct w:val="0"/>
        <w:autoSpaceDE/>
        <w:autoSpaceDN/>
        <w:bidi w:val="0"/>
        <w:spacing w:line="600" w:lineRule="exact"/>
        <w:ind w:leftChars="0" w:firstLine="643" w:firstLineChars="200"/>
        <w:jc w:val="left"/>
        <w:textAlignment w:val="auto"/>
        <w:rPr>
          <w:rStyle w:val="10"/>
          <w:rFonts w:hint="eastAsia" w:ascii="仿宋_GB2312" w:hAnsi="仿宋_GB2312" w:eastAsia="仿宋_GB2312" w:cs="仿宋_GB2312"/>
          <w:b w:val="0"/>
          <w:bCs/>
          <w:sz w:val="32"/>
          <w:szCs w:val="32"/>
          <w:highlight w:val="none"/>
        </w:rPr>
      </w:pPr>
      <w:r>
        <w:rPr>
          <w:rStyle w:val="10"/>
          <w:rFonts w:hint="eastAsia" w:ascii="仿宋_GB2312" w:hAnsi="仿宋_GB2312" w:eastAsia="仿宋_GB2312" w:cs="仿宋_GB2312"/>
          <w:sz w:val="32"/>
          <w:szCs w:val="32"/>
          <w:highlight w:val="none"/>
        </w:rPr>
        <w:t xml:space="preserve">第二条 </w:t>
      </w:r>
      <w:r>
        <w:rPr>
          <w:rStyle w:val="10"/>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000000"/>
          <w:kern w:val="21"/>
          <w:sz w:val="32"/>
          <w:szCs w:val="32"/>
          <w:highlight w:val="none"/>
          <w:lang w:val="en-US" w:eastAsia="zh-CN"/>
        </w:rPr>
        <w:t>本办法所</w:t>
      </w:r>
      <w:r>
        <w:rPr>
          <w:rFonts w:hint="eastAsia" w:ascii="仿宋_GB2312" w:hAnsi="仿宋_GB2312" w:eastAsia="仿宋_GB2312" w:cs="仿宋_GB2312"/>
          <w:color w:val="000000"/>
          <w:kern w:val="21"/>
          <w:sz w:val="32"/>
          <w:szCs w:val="32"/>
          <w:highlight w:val="none"/>
        </w:rPr>
        <w:t>称</w:t>
      </w:r>
      <w:r>
        <w:rPr>
          <w:rFonts w:hint="eastAsia" w:ascii="仿宋_GB2312" w:hAnsi="仿宋_GB2312" w:eastAsia="仿宋_GB2312" w:cs="仿宋_GB2312"/>
          <w:color w:val="000000"/>
          <w:kern w:val="21"/>
          <w:sz w:val="32"/>
          <w:szCs w:val="32"/>
          <w:highlight w:val="none"/>
          <w:lang w:val="en-US" w:eastAsia="zh-CN"/>
        </w:rPr>
        <w:t>的预拌混凝土企业</w:t>
      </w:r>
      <w:r>
        <w:rPr>
          <w:rFonts w:hint="eastAsia" w:ascii="仿宋_GB2312" w:hAnsi="仿宋_GB2312" w:eastAsia="仿宋_GB2312" w:cs="仿宋_GB2312"/>
          <w:color w:val="000000"/>
          <w:kern w:val="21"/>
          <w:sz w:val="32"/>
          <w:szCs w:val="32"/>
          <w:highlight w:val="none"/>
        </w:rPr>
        <w:t>信用</w:t>
      </w:r>
      <w:r>
        <w:rPr>
          <w:rFonts w:hint="eastAsia" w:ascii="仿宋_GB2312" w:hAnsi="仿宋_GB2312" w:eastAsia="仿宋_GB2312" w:cs="仿宋_GB2312"/>
          <w:color w:val="000000"/>
          <w:kern w:val="21"/>
          <w:sz w:val="32"/>
          <w:szCs w:val="32"/>
          <w:highlight w:val="none"/>
          <w:lang w:val="en-US" w:eastAsia="zh-CN"/>
        </w:rPr>
        <w:t>评价管理</w:t>
      </w:r>
      <w:r>
        <w:rPr>
          <w:rFonts w:hint="eastAsia" w:ascii="仿宋_GB2312" w:hAnsi="仿宋_GB2312" w:eastAsia="仿宋_GB2312" w:cs="仿宋_GB2312"/>
          <w:color w:val="000000"/>
          <w:kern w:val="21"/>
          <w:sz w:val="32"/>
          <w:szCs w:val="32"/>
          <w:highlight w:val="none"/>
        </w:rPr>
        <w:t>是指在本省</w:t>
      </w:r>
      <w:r>
        <w:rPr>
          <w:rFonts w:hint="eastAsia" w:ascii="仿宋_GB2312" w:hAnsi="仿宋_GB2312" w:eastAsia="仿宋_GB2312" w:cs="仿宋_GB2312"/>
          <w:color w:val="000000"/>
          <w:kern w:val="21"/>
          <w:sz w:val="32"/>
          <w:szCs w:val="32"/>
          <w:highlight w:val="none"/>
          <w:lang w:val="en-US" w:eastAsia="zh-CN"/>
        </w:rPr>
        <w:t>预拌混凝土企业（以下简称混凝土企业）</w:t>
      </w:r>
      <w:r>
        <w:rPr>
          <w:rFonts w:hint="eastAsia" w:ascii="仿宋_GB2312" w:hAnsi="仿宋_GB2312" w:eastAsia="仿宋_GB2312" w:cs="仿宋_GB2312"/>
          <w:color w:val="000000"/>
          <w:kern w:val="21"/>
          <w:sz w:val="32"/>
          <w:szCs w:val="32"/>
          <w:highlight w:val="none"/>
        </w:rPr>
        <w:t>生产经营活动中，对</w:t>
      </w:r>
      <w:r>
        <w:rPr>
          <w:rFonts w:hint="eastAsia" w:ascii="仿宋_GB2312" w:hAnsi="仿宋_GB2312" w:eastAsia="仿宋_GB2312" w:cs="仿宋_GB2312"/>
          <w:color w:val="000000"/>
          <w:kern w:val="21"/>
          <w:sz w:val="32"/>
          <w:szCs w:val="32"/>
          <w:highlight w:val="none"/>
          <w:lang w:val="en-US" w:eastAsia="zh-CN"/>
        </w:rPr>
        <w:t>混凝土企业</w:t>
      </w:r>
      <w:r>
        <w:rPr>
          <w:rFonts w:hint="eastAsia" w:ascii="仿宋_GB2312" w:hAnsi="仿宋_GB2312" w:eastAsia="仿宋_GB2312" w:cs="仿宋_GB2312"/>
          <w:color w:val="000000"/>
          <w:kern w:val="21"/>
          <w:sz w:val="32"/>
          <w:szCs w:val="32"/>
          <w:highlight w:val="none"/>
        </w:rPr>
        <w:t>信用信息的采集、认定、评价、应用、公开、修复及监督管理。</w:t>
      </w:r>
    </w:p>
    <w:p w14:paraId="1FF62E41">
      <w:pPr>
        <w:pageBreakBefore w:val="0"/>
        <w:widowControl w:val="0"/>
        <w:kinsoku/>
        <w:wordWrap/>
        <w:topLinePunct w:val="0"/>
        <w:autoSpaceDE/>
        <w:autoSpaceDN/>
        <w:bidi w:val="0"/>
        <w:spacing w:line="600" w:lineRule="exact"/>
        <w:ind w:leftChars="0" w:firstLine="640" w:firstLineChars="200"/>
        <w:jc w:val="left"/>
        <w:textAlignment w:val="auto"/>
        <w:rPr>
          <w:rFonts w:hint="eastAsia" w:ascii="仿宋_GB2312" w:hAnsi="仿宋_GB2312" w:eastAsia="仿宋_GB2312" w:cs="仿宋_GB2312"/>
          <w:color w:val="000000"/>
          <w:kern w:val="21"/>
          <w:sz w:val="32"/>
          <w:szCs w:val="32"/>
          <w:highlight w:val="none"/>
          <w:lang w:val="en-US" w:eastAsia="zh-CN"/>
        </w:rPr>
      </w:pPr>
      <w:r>
        <w:rPr>
          <w:rFonts w:hint="eastAsia" w:ascii="仿宋_GB2312" w:hAnsi="仿宋_GB2312" w:eastAsia="仿宋_GB2312" w:cs="仿宋_GB2312"/>
          <w:color w:val="000000"/>
          <w:kern w:val="21"/>
          <w:sz w:val="32"/>
          <w:szCs w:val="32"/>
          <w:highlight w:val="none"/>
        </w:rPr>
        <w:t>本办法适用于</w:t>
      </w:r>
      <w:r>
        <w:rPr>
          <w:rFonts w:hint="eastAsia" w:ascii="仿宋_GB2312" w:hAnsi="仿宋_GB2312" w:eastAsia="仿宋_GB2312" w:cs="仿宋_GB2312"/>
          <w:color w:val="000000"/>
          <w:kern w:val="21"/>
          <w:sz w:val="32"/>
          <w:szCs w:val="32"/>
          <w:highlight w:val="none"/>
          <w:lang w:eastAsia="zh-CN"/>
        </w:rPr>
        <w:t>本省</w:t>
      </w:r>
      <w:r>
        <w:rPr>
          <w:rFonts w:hint="eastAsia" w:ascii="仿宋_GB2312" w:hAnsi="仿宋_GB2312" w:eastAsia="仿宋_GB2312" w:cs="仿宋_GB2312"/>
          <w:color w:val="000000"/>
          <w:kern w:val="21"/>
          <w:sz w:val="32"/>
          <w:szCs w:val="32"/>
          <w:highlight w:val="none"/>
        </w:rPr>
        <w:t>内</w:t>
      </w:r>
      <w:r>
        <w:rPr>
          <w:rFonts w:hint="eastAsia" w:ascii="仿宋_GB2312" w:hAnsi="仿宋_GB2312" w:eastAsia="仿宋_GB2312" w:cs="仿宋_GB2312"/>
          <w:color w:val="000000"/>
          <w:kern w:val="21"/>
          <w:sz w:val="32"/>
          <w:szCs w:val="32"/>
          <w:highlight w:val="none"/>
          <w:lang w:val="en-US" w:eastAsia="zh-CN"/>
        </w:rPr>
        <w:t>具有预拌混凝土专业承包资质，</w:t>
      </w:r>
      <w:r>
        <w:rPr>
          <w:rFonts w:hint="eastAsia" w:ascii="仿宋_GB2312" w:hAnsi="仿宋_GB2312" w:eastAsia="仿宋_GB2312" w:cs="仿宋_GB2312"/>
          <w:color w:val="000000"/>
          <w:kern w:val="21"/>
          <w:sz w:val="32"/>
          <w:szCs w:val="32"/>
          <w:highlight w:val="none"/>
        </w:rPr>
        <w:t>从事</w:t>
      </w:r>
      <w:r>
        <w:rPr>
          <w:rFonts w:hint="eastAsia" w:ascii="仿宋_GB2312" w:hAnsi="仿宋_GB2312" w:eastAsia="仿宋_GB2312" w:cs="仿宋_GB2312"/>
          <w:color w:val="000000"/>
          <w:kern w:val="21"/>
          <w:sz w:val="32"/>
          <w:szCs w:val="32"/>
          <w:highlight w:val="none"/>
          <w:lang w:val="en-US" w:eastAsia="zh-CN"/>
        </w:rPr>
        <w:t>预拌混凝土生产经营的企业</w:t>
      </w:r>
      <w:r>
        <w:rPr>
          <w:rFonts w:hint="eastAsia" w:ascii="仿宋_GB2312" w:hAnsi="仿宋_GB2312" w:eastAsia="仿宋_GB2312" w:cs="仿宋_GB2312"/>
          <w:color w:val="000000"/>
          <w:kern w:val="21"/>
          <w:sz w:val="32"/>
          <w:szCs w:val="32"/>
          <w:highlight w:val="none"/>
        </w:rPr>
        <w:t>。</w:t>
      </w:r>
    </w:p>
    <w:p w14:paraId="1174C250">
      <w:pPr>
        <w:pageBreakBefore w:val="0"/>
        <w:widowControl w:val="0"/>
        <w:kinsoku/>
        <w:wordWrap/>
        <w:topLinePunct w:val="0"/>
        <w:autoSpaceDE/>
        <w:autoSpaceDN/>
        <w:bidi w:val="0"/>
        <w:spacing w:line="600" w:lineRule="exact"/>
        <w:ind w:leftChars="0" w:firstLine="643" w:firstLineChars="200"/>
        <w:textAlignment w:val="auto"/>
        <w:rPr>
          <w:rFonts w:hint="eastAsia" w:ascii="仿宋_GB2312" w:hAnsi="仿宋_GB2312" w:eastAsia="仿宋_GB2312" w:cs="仿宋_GB2312"/>
          <w:sz w:val="32"/>
          <w:szCs w:val="32"/>
          <w:highlight w:val="none"/>
        </w:rPr>
      </w:pPr>
      <w:r>
        <w:rPr>
          <w:rStyle w:val="10"/>
          <w:rFonts w:hint="eastAsia" w:ascii="仿宋_GB2312" w:hAnsi="仿宋_GB2312" w:eastAsia="仿宋_GB2312" w:cs="仿宋_GB2312"/>
          <w:sz w:val="32"/>
          <w:szCs w:val="32"/>
          <w:highlight w:val="none"/>
        </w:rPr>
        <w:t>第三条</w:t>
      </w:r>
      <w:r>
        <w:rPr>
          <w:rStyle w:val="10"/>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lang w:val="en-US" w:eastAsia="zh-CN"/>
        </w:rPr>
        <w:t>混凝土企业信用评价管理</w:t>
      </w:r>
      <w:r>
        <w:rPr>
          <w:rFonts w:hint="eastAsia" w:ascii="仿宋_GB2312" w:hAnsi="仿宋_GB2312" w:eastAsia="仿宋_GB2312" w:cs="仿宋_GB2312"/>
          <w:color w:val="000000"/>
          <w:kern w:val="0"/>
          <w:sz w:val="32"/>
          <w:szCs w:val="32"/>
          <w:highlight w:val="none"/>
        </w:rPr>
        <w:t>工作，要遵循客观、公平、公正和审慎的原则，不得违反国家法律法规，不得泄露国家秘密、商业秘密和个人隐私。</w:t>
      </w:r>
    </w:p>
    <w:p w14:paraId="5900790F">
      <w:pPr>
        <w:pageBreakBefore w:val="0"/>
        <w:widowControl w:val="0"/>
        <w:kinsoku/>
        <w:wordWrap/>
        <w:topLinePunct w:val="0"/>
        <w:autoSpaceDE/>
        <w:autoSpaceDN/>
        <w:bidi w:val="0"/>
        <w:spacing w:line="600" w:lineRule="exact"/>
        <w:ind w:leftChars="0" w:firstLine="643" w:firstLineChars="200"/>
        <w:textAlignment w:val="auto"/>
        <w:rPr>
          <w:rFonts w:hint="eastAsia" w:ascii="仿宋_GB2312" w:hAnsi="仿宋_GB2312" w:eastAsia="仿宋_GB2312" w:cs="仿宋_GB2312"/>
          <w:color w:val="000000"/>
          <w:kern w:val="0"/>
          <w:sz w:val="32"/>
          <w:szCs w:val="32"/>
          <w:highlight w:val="none"/>
          <w:lang w:eastAsia="zh-CN"/>
        </w:rPr>
      </w:pPr>
      <w:r>
        <w:rPr>
          <w:rStyle w:val="10"/>
          <w:rFonts w:hint="eastAsia" w:ascii="仿宋_GB2312" w:hAnsi="仿宋_GB2312" w:eastAsia="仿宋_GB2312" w:cs="仿宋_GB2312"/>
          <w:sz w:val="32"/>
          <w:szCs w:val="32"/>
          <w:highlight w:val="none"/>
        </w:rPr>
        <w:t xml:space="preserve">第四条 </w:t>
      </w:r>
      <w:r>
        <w:rPr>
          <w:rStyle w:val="10"/>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lang w:eastAsia="zh-CN"/>
        </w:rPr>
        <w:t>混凝土企业信用评价工作在湖北省建筑市场监督与诚信一体化平台（以下简称一体化平台）开展。信用评价管理工作按照</w:t>
      </w:r>
      <w:r>
        <w:rPr>
          <w:rFonts w:hint="eastAsia" w:ascii="仿宋_GB2312" w:hAnsi="仿宋_GB2312" w:eastAsia="仿宋_GB2312" w:cs="仿宋_GB2312"/>
          <w:color w:val="000000"/>
          <w:kern w:val="0"/>
          <w:sz w:val="32"/>
          <w:szCs w:val="32"/>
          <w:highlight w:val="none"/>
        </w:rPr>
        <w:t>省级统筹、分级负责</w:t>
      </w:r>
      <w:r>
        <w:rPr>
          <w:rFonts w:hint="eastAsia" w:ascii="仿宋_GB2312" w:hAnsi="仿宋_GB2312" w:eastAsia="仿宋_GB2312" w:cs="仿宋_GB2312"/>
          <w:color w:val="000000"/>
          <w:kern w:val="0"/>
          <w:sz w:val="32"/>
          <w:szCs w:val="32"/>
          <w:highlight w:val="none"/>
          <w:lang w:eastAsia="zh-CN"/>
        </w:rPr>
        <w:t>原则实行。</w:t>
      </w:r>
    </w:p>
    <w:p w14:paraId="7C54F345">
      <w:pPr>
        <w:pageBreakBefore w:val="0"/>
        <w:widowControl w:val="0"/>
        <w:kinsoku/>
        <w:wordWrap/>
        <w:topLinePunct w:val="0"/>
        <w:autoSpaceDE/>
        <w:autoSpaceDN/>
        <w:bidi w:val="0"/>
        <w:spacing w:line="600" w:lineRule="exact"/>
        <w:ind w:leftChars="0" w:firstLine="640" w:firstLineChars="200"/>
        <w:textAlignment w:val="auto"/>
        <w:rPr>
          <w:rStyle w:val="10"/>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省住建厅统筹全省混凝土</w:t>
      </w:r>
      <w:r>
        <w:rPr>
          <w:rFonts w:hint="eastAsia" w:ascii="仿宋_GB2312" w:hAnsi="仿宋_GB2312" w:eastAsia="仿宋_GB2312" w:cs="仿宋_GB2312"/>
          <w:color w:val="000000"/>
          <w:kern w:val="0"/>
          <w:sz w:val="32"/>
          <w:szCs w:val="32"/>
          <w:highlight w:val="none"/>
          <w:lang w:val="en-US" w:eastAsia="zh-CN"/>
        </w:rPr>
        <w:t>企业信用评价</w:t>
      </w:r>
      <w:r>
        <w:rPr>
          <w:rFonts w:hint="eastAsia" w:ascii="仿宋_GB2312" w:hAnsi="仿宋_GB2312" w:eastAsia="仿宋_GB2312" w:cs="仿宋_GB2312"/>
          <w:color w:val="000000"/>
          <w:kern w:val="0"/>
          <w:sz w:val="32"/>
          <w:szCs w:val="32"/>
          <w:highlight w:val="none"/>
          <w:lang w:eastAsia="zh-CN"/>
        </w:rPr>
        <w:t>管理工作，负责制定全省混凝土</w:t>
      </w:r>
      <w:r>
        <w:rPr>
          <w:rFonts w:hint="eastAsia" w:ascii="仿宋_GB2312" w:hAnsi="仿宋_GB2312" w:eastAsia="仿宋_GB2312" w:cs="仿宋_GB2312"/>
          <w:color w:val="000000"/>
          <w:kern w:val="0"/>
          <w:sz w:val="32"/>
          <w:szCs w:val="32"/>
          <w:highlight w:val="none"/>
          <w:lang w:val="en-US" w:eastAsia="zh-CN"/>
        </w:rPr>
        <w:t>企业信用评价</w:t>
      </w:r>
      <w:r>
        <w:rPr>
          <w:rFonts w:hint="eastAsia" w:ascii="仿宋_GB2312" w:hAnsi="仿宋_GB2312" w:eastAsia="仿宋_GB2312" w:cs="仿宋_GB2312"/>
          <w:color w:val="000000"/>
          <w:kern w:val="0"/>
          <w:sz w:val="32"/>
          <w:szCs w:val="32"/>
          <w:highlight w:val="none"/>
          <w:lang w:eastAsia="zh-CN"/>
        </w:rPr>
        <w:t>管理制度，分类建立混凝土企业统一评价指标，公开信用信息。</w:t>
      </w:r>
    </w:p>
    <w:p w14:paraId="3CBE3083">
      <w:pPr>
        <w:pageBreakBefore w:val="0"/>
        <w:widowControl w:val="0"/>
        <w:kinsoku/>
        <w:wordWrap/>
        <w:topLinePunct w:val="0"/>
        <w:autoSpaceDE/>
        <w:autoSpaceDN/>
        <w:bidi w:val="0"/>
        <w:spacing w:line="600" w:lineRule="exact"/>
        <w:ind w:leftChars="0"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市（州）住建部门</w:t>
      </w:r>
      <w:r>
        <w:rPr>
          <w:rFonts w:hint="eastAsia" w:ascii="仿宋_GB2312" w:hAnsi="仿宋_GB2312" w:eastAsia="仿宋_GB2312" w:cs="仿宋_GB2312"/>
          <w:color w:val="000000"/>
          <w:kern w:val="0"/>
          <w:sz w:val="32"/>
          <w:szCs w:val="32"/>
          <w:highlight w:val="none"/>
          <w:lang w:val="en-US" w:eastAsia="zh-CN"/>
        </w:rPr>
        <w:t>负责</w:t>
      </w:r>
      <w:r>
        <w:rPr>
          <w:rFonts w:hint="eastAsia" w:ascii="仿宋_GB2312" w:hAnsi="仿宋_GB2312" w:eastAsia="仿宋_GB2312" w:cs="仿宋_GB2312"/>
          <w:color w:val="000000"/>
          <w:kern w:val="0"/>
          <w:sz w:val="32"/>
          <w:szCs w:val="32"/>
          <w:highlight w:val="none"/>
          <w:lang w:eastAsia="zh-CN"/>
        </w:rPr>
        <w:t>本</w:t>
      </w:r>
      <w:r>
        <w:rPr>
          <w:rFonts w:hint="eastAsia" w:ascii="仿宋_GB2312" w:hAnsi="仿宋_GB2312" w:eastAsia="仿宋_GB2312" w:cs="仿宋_GB2312"/>
          <w:color w:val="000000"/>
          <w:kern w:val="0"/>
          <w:sz w:val="32"/>
          <w:szCs w:val="32"/>
          <w:highlight w:val="none"/>
          <w:lang w:val="en-US" w:eastAsia="zh-CN"/>
        </w:rPr>
        <w:t>地区混凝土企业</w:t>
      </w:r>
      <w:r>
        <w:rPr>
          <w:rFonts w:hint="eastAsia" w:ascii="仿宋_GB2312" w:hAnsi="仿宋_GB2312" w:eastAsia="仿宋_GB2312" w:cs="仿宋_GB2312"/>
          <w:color w:val="000000"/>
          <w:kern w:val="0"/>
          <w:sz w:val="32"/>
          <w:szCs w:val="32"/>
          <w:highlight w:val="none"/>
          <w:lang w:eastAsia="zh-CN"/>
        </w:rPr>
        <w:t>信用</w:t>
      </w:r>
      <w:r>
        <w:rPr>
          <w:rFonts w:hint="eastAsia" w:ascii="仿宋_GB2312" w:hAnsi="仿宋_GB2312" w:eastAsia="仿宋_GB2312" w:cs="仿宋_GB2312"/>
          <w:color w:val="000000"/>
          <w:kern w:val="0"/>
          <w:sz w:val="32"/>
          <w:szCs w:val="32"/>
          <w:highlight w:val="none"/>
          <w:lang w:val="en-US" w:eastAsia="zh-CN"/>
        </w:rPr>
        <w:t>评价</w:t>
      </w:r>
      <w:r>
        <w:rPr>
          <w:rFonts w:hint="eastAsia" w:ascii="仿宋_GB2312" w:hAnsi="仿宋_GB2312" w:eastAsia="仿宋_GB2312" w:cs="仿宋_GB2312"/>
          <w:color w:val="000000"/>
          <w:kern w:val="0"/>
          <w:sz w:val="32"/>
          <w:szCs w:val="32"/>
          <w:highlight w:val="none"/>
          <w:lang w:eastAsia="zh-CN"/>
        </w:rPr>
        <w:t>管理工作，</w:t>
      </w:r>
      <w:r>
        <w:rPr>
          <w:rFonts w:hint="eastAsia" w:ascii="仿宋_GB2312" w:hAnsi="仿宋_GB2312" w:eastAsia="仿宋_GB2312" w:cs="仿宋_GB2312"/>
          <w:color w:val="000000"/>
          <w:kern w:val="0"/>
          <w:sz w:val="32"/>
          <w:szCs w:val="32"/>
          <w:highlight w:val="none"/>
          <w:lang w:val="en-US" w:eastAsia="zh-CN"/>
        </w:rPr>
        <w:t>负责市城区内混凝土企业的信用信息</w:t>
      </w:r>
      <w:r>
        <w:rPr>
          <w:rFonts w:hint="eastAsia" w:ascii="仿宋_GB2312" w:hAnsi="仿宋_GB2312" w:eastAsia="仿宋_GB2312" w:cs="仿宋_GB2312"/>
          <w:color w:val="000000"/>
          <w:kern w:val="0"/>
          <w:sz w:val="32"/>
          <w:szCs w:val="32"/>
          <w:highlight w:val="none"/>
          <w:lang w:eastAsia="zh-CN"/>
        </w:rPr>
        <w:t>采集、审核、更新、公开</w:t>
      </w:r>
      <w:r>
        <w:rPr>
          <w:rFonts w:hint="eastAsia" w:ascii="仿宋_GB2312" w:hAnsi="仿宋_GB2312" w:eastAsia="仿宋_GB2312" w:cs="仿宋_GB2312"/>
          <w:color w:val="000000"/>
          <w:kern w:val="0"/>
          <w:sz w:val="32"/>
          <w:szCs w:val="32"/>
          <w:highlight w:val="none"/>
          <w:lang w:val="en-US" w:eastAsia="zh-CN"/>
        </w:rPr>
        <w:t>和</w:t>
      </w:r>
      <w:r>
        <w:rPr>
          <w:rFonts w:hint="eastAsia" w:ascii="仿宋_GB2312" w:hAnsi="仿宋_GB2312" w:eastAsia="仿宋_GB2312" w:cs="仿宋_GB2312"/>
          <w:color w:val="000000"/>
          <w:kern w:val="0"/>
          <w:sz w:val="32"/>
          <w:szCs w:val="32"/>
          <w:highlight w:val="none"/>
          <w:lang w:eastAsia="zh-CN"/>
        </w:rPr>
        <w:t>使用。</w:t>
      </w:r>
    </w:p>
    <w:p w14:paraId="009F8AE7">
      <w:pPr>
        <w:pageBreakBefore w:val="0"/>
        <w:widowControl w:val="0"/>
        <w:kinsoku/>
        <w:wordWrap/>
        <w:topLinePunct w:val="0"/>
        <w:autoSpaceDE/>
        <w:autoSpaceDN/>
        <w:bidi w:val="0"/>
        <w:spacing w:line="600" w:lineRule="exact"/>
        <w:ind w:leftChars="0" w:firstLine="640" w:firstLineChars="200"/>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县（市）住建部门按照属地管理原则，负责本辖区内</w:t>
      </w:r>
      <w:r>
        <w:rPr>
          <w:rFonts w:hint="eastAsia" w:ascii="仿宋_GB2312" w:hAnsi="仿宋_GB2312" w:eastAsia="仿宋_GB2312" w:cs="仿宋_GB2312"/>
          <w:color w:val="000000"/>
          <w:kern w:val="0"/>
          <w:sz w:val="32"/>
          <w:szCs w:val="32"/>
          <w:highlight w:val="none"/>
          <w:lang w:val="en-US" w:eastAsia="zh-CN"/>
        </w:rPr>
        <w:t>混凝土企业的信用信息</w:t>
      </w:r>
      <w:r>
        <w:rPr>
          <w:rFonts w:hint="eastAsia" w:ascii="仿宋_GB2312" w:hAnsi="仿宋_GB2312" w:eastAsia="仿宋_GB2312" w:cs="仿宋_GB2312"/>
          <w:color w:val="000000"/>
          <w:kern w:val="0"/>
          <w:sz w:val="32"/>
          <w:szCs w:val="32"/>
          <w:highlight w:val="none"/>
          <w:lang w:eastAsia="zh-CN"/>
        </w:rPr>
        <w:t>采集、审核、更新、公开</w:t>
      </w:r>
      <w:r>
        <w:rPr>
          <w:rFonts w:hint="eastAsia" w:ascii="仿宋_GB2312" w:hAnsi="仿宋_GB2312" w:eastAsia="仿宋_GB2312" w:cs="仿宋_GB2312"/>
          <w:color w:val="000000"/>
          <w:kern w:val="0"/>
          <w:sz w:val="32"/>
          <w:szCs w:val="32"/>
          <w:highlight w:val="none"/>
          <w:lang w:val="en-US" w:eastAsia="zh-CN"/>
        </w:rPr>
        <w:t>和</w:t>
      </w:r>
      <w:r>
        <w:rPr>
          <w:rFonts w:hint="eastAsia" w:ascii="仿宋_GB2312" w:hAnsi="仿宋_GB2312" w:eastAsia="仿宋_GB2312" w:cs="仿宋_GB2312"/>
          <w:color w:val="000000"/>
          <w:kern w:val="0"/>
          <w:sz w:val="32"/>
          <w:szCs w:val="32"/>
          <w:highlight w:val="none"/>
          <w:lang w:eastAsia="zh-CN"/>
        </w:rPr>
        <w:t>使用。</w:t>
      </w:r>
    </w:p>
    <w:p w14:paraId="786C163A">
      <w:pPr>
        <w:pageBreakBefore w:val="0"/>
        <w:widowControl w:val="0"/>
        <w:kinsoku/>
        <w:wordWrap/>
        <w:topLinePunct w:val="0"/>
        <w:autoSpaceDE/>
        <w:autoSpaceDN/>
        <w:bidi w:val="0"/>
        <w:spacing w:line="600" w:lineRule="exact"/>
        <w:ind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鼓励各级住建部门委托行业协会、第三方机构等单位参与信用管理。支持授权的行业协会开展信用评价认定等相关工作。</w:t>
      </w:r>
    </w:p>
    <w:p w14:paraId="125FD74E">
      <w:pPr>
        <w:pageBreakBefore w:val="0"/>
        <w:widowControl w:val="0"/>
        <w:kinsoku/>
        <w:wordWrap/>
        <w:topLinePunct w:val="0"/>
        <w:autoSpaceDE/>
        <w:autoSpaceDN/>
        <w:bidi w:val="0"/>
        <w:spacing w:line="600" w:lineRule="exact"/>
        <w:ind w:leftChars="0" w:firstLine="643" w:firstLineChars="200"/>
        <w:textAlignment w:val="auto"/>
        <w:rPr>
          <w:rFonts w:hint="default"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b/>
          <w:bCs/>
          <w:color w:val="000000"/>
          <w:kern w:val="0"/>
          <w:sz w:val="32"/>
          <w:szCs w:val="32"/>
          <w:highlight w:val="none"/>
          <w:lang w:val="en-US" w:eastAsia="zh-CN"/>
        </w:rPr>
        <w:t>第五条</w:t>
      </w:r>
      <w:r>
        <w:rPr>
          <w:rFonts w:hint="eastAsia" w:ascii="仿宋_GB2312" w:hAnsi="仿宋_GB2312" w:eastAsia="仿宋_GB2312" w:cs="仿宋_GB2312"/>
          <w:color w:val="000000"/>
          <w:kern w:val="0"/>
          <w:sz w:val="32"/>
          <w:szCs w:val="32"/>
          <w:highlight w:val="none"/>
          <w:lang w:val="en-US" w:eastAsia="zh-CN"/>
        </w:rPr>
        <w:t xml:space="preserve">  各级住建部门要指定专人或委托专门机构开展信用评价工作。加强信用信息安全管理，保障信用信息安全。</w:t>
      </w:r>
    </w:p>
    <w:p w14:paraId="55C282CE">
      <w:pPr>
        <w:pageBreakBefore w:val="0"/>
        <w:widowControl w:val="0"/>
        <w:kinsoku/>
        <w:wordWrap/>
        <w:topLinePunct w:val="0"/>
        <w:autoSpaceDE/>
        <w:autoSpaceDN/>
        <w:bidi w:val="0"/>
        <w:spacing w:line="600" w:lineRule="exact"/>
        <w:ind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rPr>
      </w:pPr>
    </w:p>
    <w:p w14:paraId="6A82FECF">
      <w:pPr>
        <w:pStyle w:val="3"/>
        <w:pageBreakBefore w:val="0"/>
        <w:widowControl w:val="0"/>
        <w:kinsoku/>
        <w:wordWrap/>
        <w:topLinePunct w:val="0"/>
        <w:autoSpaceDE/>
        <w:autoSpaceDN/>
        <w:bidi w:val="0"/>
        <w:spacing w:line="600" w:lineRule="exact"/>
        <w:ind w:leftChars="0" w:firstLine="0" w:firstLineChars="0"/>
        <w:textAlignment w:val="auto"/>
        <w:rPr>
          <w:rFonts w:hint="eastAsia"/>
          <w:sz w:val="32"/>
          <w:highlight w:val="none"/>
        </w:rPr>
      </w:pPr>
      <w:r>
        <w:rPr>
          <w:rFonts w:hint="eastAsia"/>
          <w:sz w:val="32"/>
          <w:highlight w:val="none"/>
          <w:lang w:eastAsia="zh-CN"/>
        </w:rPr>
        <w:t>第二章</w:t>
      </w:r>
      <w:r>
        <w:rPr>
          <w:rFonts w:hint="eastAsia"/>
          <w:sz w:val="32"/>
          <w:highlight w:val="none"/>
          <w:lang w:val="en-US" w:eastAsia="zh-CN"/>
        </w:rPr>
        <w:t xml:space="preserve"> </w:t>
      </w:r>
      <w:r>
        <w:rPr>
          <w:rFonts w:hint="eastAsia"/>
          <w:sz w:val="32"/>
          <w:highlight w:val="none"/>
        </w:rPr>
        <w:t>信用信息</w:t>
      </w:r>
      <w:r>
        <w:rPr>
          <w:rFonts w:hint="eastAsia"/>
          <w:sz w:val="32"/>
          <w:highlight w:val="none"/>
          <w:lang w:eastAsia="zh-CN"/>
        </w:rPr>
        <w:t>构成与</w:t>
      </w:r>
      <w:r>
        <w:rPr>
          <w:rFonts w:hint="eastAsia"/>
          <w:sz w:val="32"/>
          <w:highlight w:val="none"/>
        </w:rPr>
        <w:t>采集</w:t>
      </w:r>
      <w:r>
        <w:rPr>
          <w:rFonts w:hint="eastAsia"/>
          <w:sz w:val="32"/>
          <w:highlight w:val="none"/>
          <w:lang w:eastAsia="zh-CN"/>
        </w:rPr>
        <w:t>认定</w:t>
      </w:r>
    </w:p>
    <w:p w14:paraId="0D1AE490">
      <w:pPr>
        <w:pageBreakBefore w:val="0"/>
        <w:widowControl w:val="0"/>
        <w:numPr>
          <w:ilvl w:val="0"/>
          <w:numId w:val="0"/>
        </w:numPr>
        <w:kinsoku/>
        <w:wordWrap/>
        <w:topLinePunct w:val="0"/>
        <w:autoSpaceDE/>
        <w:autoSpaceDN/>
        <w:bidi w:val="0"/>
        <w:spacing w:line="600" w:lineRule="exact"/>
        <w:ind w:leftChars="0" w:firstLine="643" w:firstLineChars="200"/>
        <w:textAlignment w:val="auto"/>
        <w:rPr>
          <w:rFonts w:hint="eastAsia" w:ascii="仿宋_GB2312" w:hAnsi="仿宋_GB2312" w:eastAsia="仿宋_GB2312" w:cs="仿宋_GB2312"/>
          <w:color w:val="000000"/>
          <w:kern w:val="21"/>
          <w:sz w:val="32"/>
          <w:szCs w:val="32"/>
          <w:highlight w:val="none"/>
          <w:lang w:eastAsia="zh-CN"/>
        </w:rPr>
      </w:pPr>
      <w:r>
        <w:rPr>
          <w:rFonts w:hint="eastAsia" w:ascii="仿宋_GB2312" w:hAnsi="仿宋_GB2312" w:eastAsia="仿宋_GB2312" w:cs="仿宋_GB2312"/>
          <w:b/>
          <w:bCs/>
          <w:color w:val="000000"/>
          <w:kern w:val="21"/>
          <w:sz w:val="32"/>
          <w:szCs w:val="32"/>
          <w:highlight w:val="none"/>
          <w:lang w:val="en-US" w:eastAsia="zh-CN"/>
        </w:rPr>
        <w:t>第六条</w:t>
      </w:r>
      <w:r>
        <w:rPr>
          <w:rStyle w:val="10"/>
          <w:rFonts w:hint="eastAsia" w:ascii="仿宋_GB2312" w:hAnsi="仿宋_GB2312" w:eastAsia="仿宋_GB2312" w:cs="仿宋_GB2312"/>
          <w:b w:val="0"/>
          <w:bCs/>
          <w:sz w:val="32"/>
          <w:highlight w:val="none"/>
          <w:lang w:eastAsia="zh-CN"/>
        </w:rPr>
        <w:t xml:space="preserve"> </w:t>
      </w:r>
      <w:r>
        <w:rPr>
          <w:rStyle w:val="10"/>
          <w:rFonts w:hint="eastAsia" w:ascii="仿宋_GB2312" w:hAnsi="仿宋_GB2312" w:eastAsia="仿宋_GB2312" w:cs="仿宋_GB2312"/>
          <w:b w:val="0"/>
          <w:bCs/>
          <w:sz w:val="32"/>
          <w:highlight w:val="none"/>
          <w:lang w:val="en-US" w:eastAsia="zh-CN"/>
        </w:rPr>
        <w:t xml:space="preserve"> </w:t>
      </w:r>
      <w:r>
        <w:rPr>
          <w:rFonts w:hint="eastAsia" w:ascii="仿宋_GB2312" w:hAnsi="仿宋_GB2312" w:eastAsia="仿宋_GB2312" w:cs="仿宋_GB2312"/>
          <w:color w:val="000000"/>
          <w:kern w:val="21"/>
          <w:sz w:val="32"/>
          <w:szCs w:val="32"/>
          <w:highlight w:val="none"/>
        </w:rPr>
        <w:t>信用信息主要由基础信息、</w:t>
      </w:r>
      <w:r>
        <w:rPr>
          <w:rFonts w:hint="eastAsia" w:ascii="仿宋_GB2312" w:hAnsi="仿宋_GB2312" w:eastAsia="仿宋_GB2312" w:cs="仿宋_GB2312"/>
          <w:color w:val="000000"/>
          <w:kern w:val="21"/>
          <w:sz w:val="32"/>
          <w:szCs w:val="32"/>
          <w:highlight w:val="none"/>
          <w:lang w:eastAsia="zh-CN"/>
        </w:rPr>
        <w:t>良好</w:t>
      </w:r>
      <w:r>
        <w:rPr>
          <w:rFonts w:hint="eastAsia" w:ascii="仿宋_GB2312" w:hAnsi="仿宋_GB2312" w:eastAsia="仿宋_GB2312" w:cs="仿宋_GB2312"/>
          <w:color w:val="000000"/>
          <w:kern w:val="21"/>
          <w:sz w:val="32"/>
          <w:szCs w:val="32"/>
          <w:highlight w:val="none"/>
        </w:rPr>
        <w:t>信用信息、不良信用信息构成</w:t>
      </w:r>
      <w:r>
        <w:rPr>
          <w:rFonts w:hint="eastAsia" w:ascii="仿宋_GB2312" w:hAnsi="仿宋_GB2312" w:eastAsia="仿宋_GB2312" w:cs="仿宋_GB2312"/>
          <w:color w:val="000000"/>
          <w:kern w:val="21"/>
          <w:sz w:val="32"/>
          <w:szCs w:val="32"/>
          <w:highlight w:val="none"/>
          <w:lang w:eastAsia="zh-CN"/>
        </w:rPr>
        <w:t>，信用信息评价标准见附件。</w:t>
      </w:r>
    </w:p>
    <w:p w14:paraId="34021B74">
      <w:pPr>
        <w:pageBreakBefore w:val="0"/>
        <w:widowControl w:val="0"/>
        <w:kinsoku/>
        <w:wordWrap/>
        <w:topLinePunct w:val="0"/>
        <w:autoSpaceDE/>
        <w:autoSpaceDN/>
        <w:bidi w:val="0"/>
        <w:spacing w:line="600" w:lineRule="exact"/>
        <w:ind w:leftChars="0" w:firstLine="643"/>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21"/>
          <w:sz w:val="32"/>
          <w:szCs w:val="32"/>
          <w:highlight w:val="none"/>
        </w:rPr>
        <w:t>基础信息：</w:t>
      </w:r>
      <w:r>
        <w:rPr>
          <w:rFonts w:hint="eastAsia" w:ascii="仿宋_GB2312" w:hAnsi="仿宋_GB2312" w:eastAsia="仿宋_GB2312" w:cs="仿宋_GB2312"/>
          <w:color w:val="000000"/>
          <w:kern w:val="21"/>
          <w:sz w:val="32"/>
          <w:szCs w:val="32"/>
          <w:highlight w:val="none"/>
          <w:lang w:eastAsia="zh-CN"/>
        </w:rPr>
        <w:t>混凝土</w:t>
      </w:r>
      <w:r>
        <w:rPr>
          <w:rFonts w:hint="eastAsia" w:ascii="仿宋_GB2312" w:hAnsi="仿宋_GB2312" w:eastAsia="仿宋_GB2312" w:cs="仿宋_GB2312"/>
          <w:color w:val="000000"/>
          <w:kern w:val="0"/>
          <w:sz w:val="32"/>
          <w:szCs w:val="32"/>
          <w:highlight w:val="none"/>
          <w:lang w:val="en-US" w:eastAsia="zh-CN"/>
        </w:rPr>
        <w:t>企业</w:t>
      </w:r>
      <w:r>
        <w:rPr>
          <w:rFonts w:hint="eastAsia" w:ascii="仿宋_GB2312" w:hAnsi="仿宋_GB2312" w:eastAsia="仿宋_GB2312" w:cs="仿宋_GB2312"/>
          <w:color w:val="000000"/>
          <w:kern w:val="0"/>
          <w:sz w:val="32"/>
          <w:szCs w:val="32"/>
          <w:highlight w:val="none"/>
        </w:rPr>
        <w:t>的注册</w:t>
      </w:r>
      <w:r>
        <w:rPr>
          <w:rFonts w:hint="eastAsia" w:ascii="仿宋_GB2312" w:hAnsi="仿宋_GB2312" w:eastAsia="仿宋_GB2312" w:cs="仿宋_GB2312"/>
          <w:color w:val="000000"/>
          <w:kern w:val="0"/>
          <w:sz w:val="32"/>
          <w:szCs w:val="32"/>
          <w:highlight w:val="none"/>
          <w:lang w:val="en-US" w:eastAsia="zh-CN"/>
        </w:rPr>
        <w:t>登记</w:t>
      </w:r>
      <w:r>
        <w:rPr>
          <w:rFonts w:hint="eastAsia" w:ascii="仿宋_GB2312" w:hAnsi="仿宋_GB2312" w:eastAsia="仿宋_GB2312" w:cs="仿宋_GB2312"/>
          <w:color w:val="000000"/>
          <w:kern w:val="0"/>
          <w:sz w:val="32"/>
          <w:szCs w:val="32"/>
          <w:highlight w:val="none"/>
        </w:rPr>
        <w:t>、资质、</w:t>
      </w:r>
      <w:r>
        <w:rPr>
          <w:rFonts w:hint="eastAsia" w:ascii="仿宋_GB2312" w:hAnsi="仿宋_GB2312" w:eastAsia="仿宋_GB2312" w:cs="仿宋_GB2312"/>
          <w:color w:val="000000"/>
          <w:kern w:val="0"/>
          <w:sz w:val="32"/>
          <w:szCs w:val="32"/>
          <w:highlight w:val="none"/>
          <w:lang w:val="en-US" w:eastAsia="zh-CN"/>
        </w:rPr>
        <w:t>履约能力</w:t>
      </w:r>
      <w:r>
        <w:rPr>
          <w:rFonts w:hint="eastAsia" w:ascii="仿宋_GB2312" w:hAnsi="仿宋_GB2312" w:eastAsia="仿宋_GB2312" w:cs="仿宋_GB2312"/>
          <w:color w:val="000000"/>
          <w:kern w:val="0"/>
          <w:sz w:val="32"/>
          <w:szCs w:val="32"/>
          <w:highlight w:val="none"/>
        </w:rPr>
        <w:t>等</w:t>
      </w:r>
      <w:r>
        <w:rPr>
          <w:rFonts w:hint="eastAsia" w:ascii="仿宋_GB2312" w:hAnsi="仿宋_GB2312" w:eastAsia="仿宋_GB2312" w:cs="仿宋_GB2312"/>
          <w:color w:val="000000"/>
          <w:kern w:val="0"/>
          <w:sz w:val="32"/>
          <w:szCs w:val="32"/>
          <w:highlight w:val="none"/>
          <w:lang w:val="en-US" w:eastAsia="zh-CN"/>
        </w:rPr>
        <w:t>信息</w:t>
      </w:r>
      <w:r>
        <w:rPr>
          <w:rFonts w:hint="eastAsia" w:ascii="仿宋_GB2312" w:hAnsi="仿宋_GB2312" w:eastAsia="仿宋_GB2312" w:cs="仿宋_GB2312"/>
          <w:color w:val="000000"/>
          <w:kern w:val="0"/>
          <w:sz w:val="32"/>
          <w:szCs w:val="32"/>
          <w:highlight w:val="none"/>
        </w:rPr>
        <w:t>。</w:t>
      </w:r>
    </w:p>
    <w:p w14:paraId="33B97CFC">
      <w:pPr>
        <w:pageBreakBefore w:val="0"/>
        <w:widowControl w:val="0"/>
        <w:kinsoku/>
        <w:wordWrap/>
        <w:topLinePunct w:val="0"/>
        <w:autoSpaceDE/>
        <w:autoSpaceDN/>
        <w:bidi w:val="0"/>
        <w:spacing w:line="600" w:lineRule="exact"/>
        <w:ind w:leftChars="0" w:firstLine="643"/>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lang w:eastAsia="zh-CN"/>
        </w:rPr>
        <w:t>良好信用信息：混凝土</w:t>
      </w:r>
      <w:r>
        <w:rPr>
          <w:rFonts w:hint="eastAsia" w:ascii="仿宋_GB2312" w:hAnsi="仿宋_GB2312" w:eastAsia="仿宋_GB2312" w:cs="仿宋_GB2312"/>
          <w:color w:val="000000"/>
          <w:kern w:val="21"/>
          <w:sz w:val="32"/>
          <w:szCs w:val="32"/>
          <w:highlight w:val="none"/>
          <w:lang w:val="en-US" w:eastAsia="zh-CN"/>
        </w:rPr>
        <w:t>企业</w:t>
      </w:r>
      <w:r>
        <w:rPr>
          <w:rFonts w:hint="eastAsia" w:ascii="仿宋_GB2312" w:hAnsi="仿宋_GB2312" w:eastAsia="仿宋_GB2312" w:cs="仿宋_GB2312"/>
          <w:color w:val="000000"/>
          <w:kern w:val="21"/>
          <w:sz w:val="32"/>
          <w:szCs w:val="32"/>
          <w:highlight w:val="none"/>
        </w:rPr>
        <w:t>在</w:t>
      </w:r>
      <w:r>
        <w:rPr>
          <w:rFonts w:hint="eastAsia" w:ascii="仿宋_GB2312" w:hAnsi="仿宋_GB2312" w:eastAsia="仿宋_GB2312" w:cs="仿宋_GB2312"/>
          <w:color w:val="000000"/>
          <w:kern w:val="21"/>
          <w:sz w:val="32"/>
          <w:szCs w:val="32"/>
          <w:highlight w:val="none"/>
          <w:lang w:val="en-US" w:eastAsia="zh-CN"/>
        </w:rPr>
        <w:t>生产经营</w:t>
      </w:r>
      <w:r>
        <w:rPr>
          <w:rFonts w:hint="eastAsia" w:ascii="仿宋_GB2312" w:hAnsi="仿宋_GB2312" w:eastAsia="仿宋_GB2312" w:cs="仿宋_GB2312"/>
          <w:color w:val="000000"/>
          <w:kern w:val="21"/>
          <w:sz w:val="32"/>
          <w:szCs w:val="32"/>
          <w:highlight w:val="none"/>
        </w:rPr>
        <w:t>过程中受到县级</w:t>
      </w:r>
      <w:r>
        <w:rPr>
          <w:rFonts w:hint="eastAsia" w:ascii="仿宋_GB2312" w:hAnsi="仿宋_GB2312" w:eastAsia="仿宋_GB2312" w:cs="仿宋_GB2312"/>
          <w:color w:val="000000"/>
          <w:kern w:val="21"/>
          <w:sz w:val="32"/>
          <w:szCs w:val="32"/>
          <w:highlight w:val="none"/>
          <w:lang w:eastAsia="zh-CN"/>
        </w:rPr>
        <w:t>（含）</w:t>
      </w:r>
      <w:r>
        <w:rPr>
          <w:rFonts w:hint="eastAsia" w:ascii="仿宋_GB2312" w:hAnsi="仿宋_GB2312" w:eastAsia="仿宋_GB2312" w:cs="仿宋_GB2312"/>
          <w:color w:val="000000"/>
          <w:kern w:val="21"/>
          <w:sz w:val="32"/>
          <w:szCs w:val="32"/>
          <w:highlight w:val="none"/>
        </w:rPr>
        <w:t>以上</w:t>
      </w:r>
      <w:r>
        <w:rPr>
          <w:rFonts w:hint="eastAsia" w:ascii="仿宋_GB2312" w:hAnsi="仿宋_GB2312" w:eastAsia="仿宋_GB2312" w:cs="仿宋_GB2312"/>
          <w:color w:val="000000"/>
          <w:kern w:val="21"/>
          <w:sz w:val="32"/>
          <w:szCs w:val="32"/>
          <w:highlight w:val="none"/>
          <w:lang w:eastAsia="zh-CN"/>
        </w:rPr>
        <w:t>党委、政府</w:t>
      </w:r>
      <w:r>
        <w:rPr>
          <w:rFonts w:hint="eastAsia" w:ascii="仿宋_GB2312" w:hAnsi="仿宋_GB2312" w:eastAsia="仿宋_GB2312" w:cs="仿宋_GB2312"/>
          <w:color w:val="000000"/>
          <w:kern w:val="21"/>
          <w:sz w:val="32"/>
          <w:szCs w:val="32"/>
          <w:highlight w:val="none"/>
        </w:rPr>
        <w:t>、</w:t>
      </w:r>
      <w:r>
        <w:rPr>
          <w:rFonts w:hint="eastAsia" w:ascii="仿宋_GB2312" w:hAnsi="仿宋_GB2312" w:eastAsia="仿宋_GB2312" w:cs="仿宋_GB2312"/>
          <w:color w:val="000000"/>
          <w:kern w:val="21"/>
          <w:sz w:val="32"/>
          <w:szCs w:val="32"/>
          <w:highlight w:val="none"/>
          <w:lang w:val="en-US" w:eastAsia="zh-CN"/>
        </w:rPr>
        <w:t>群团组织、</w:t>
      </w:r>
      <w:r>
        <w:rPr>
          <w:rFonts w:hint="eastAsia" w:ascii="仿宋_GB2312" w:hAnsi="仿宋_GB2312" w:eastAsia="仿宋_GB2312" w:cs="仿宋_GB2312"/>
          <w:color w:val="000000"/>
          <w:kern w:val="21"/>
          <w:sz w:val="32"/>
          <w:szCs w:val="32"/>
          <w:highlight w:val="none"/>
        </w:rPr>
        <w:t>住建部门或市（州）级</w:t>
      </w:r>
      <w:r>
        <w:rPr>
          <w:rFonts w:hint="eastAsia" w:ascii="仿宋_GB2312" w:hAnsi="仿宋_GB2312" w:eastAsia="仿宋_GB2312" w:cs="仿宋_GB2312"/>
          <w:color w:val="000000"/>
          <w:kern w:val="21"/>
          <w:sz w:val="32"/>
          <w:szCs w:val="32"/>
          <w:highlight w:val="none"/>
          <w:lang w:eastAsia="zh-CN"/>
        </w:rPr>
        <w:t>（含）</w:t>
      </w:r>
      <w:r>
        <w:rPr>
          <w:rFonts w:hint="eastAsia" w:ascii="仿宋_GB2312" w:hAnsi="仿宋_GB2312" w:eastAsia="仿宋_GB2312" w:cs="仿宋_GB2312"/>
          <w:color w:val="000000"/>
          <w:kern w:val="21"/>
          <w:sz w:val="32"/>
          <w:szCs w:val="32"/>
          <w:highlight w:val="none"/>
        </w:rPr>
        <w:t>以上行业协会</w:t>
      </w:r>
      <w:r>
        <w:rPr>
          <w:rFonts w:hint="eastAsia" w:ascii="仿宋_GB2312" w:hAnsi="仿宋_GB2312" w:eastAsia="仿宋_GB2312" w:cs="仿宋_GB2312"/>
          <w:color w:val="000000"/>
          <w:kern w:val="21"/>
          <w:sz w:val="32"/>
          <w:szCs w:val="32"/>
          <w:highlight w:val="none"/>
          <w:lang w:eastAsia="zh-CN"/>
        </w:rPr>
        <w:t>、</w:t>
      </w:r>
      <w:r>
        <w:rPr>
          <w:rFonts w:hint="eastAsia" w:ascii="仿宋_GB2312" w:hAnsi="仿宋_GB2312" w:eastAsia="仿宋_GB2312" w:cs="仿宋_GB2312"/>
          <w:color w:val="000000"/>
          <w:kern w:val="21"/>
          <w:sz w:val="32"/>
          <w:szCs w:val="32"/>
          <w:highlight w:val="none"/>
        </w:rPr>
        <w:t>学会表彰（表扬）奖励</w:t>
      </w:r>
      <w:r>
        <w:rPr>
          <w:rFonts w:hint="eastAsia" w:ascii="仿宋_GB2312" w:hAnsi="仿宋_GB2312" w:eastAsia="仿宋_GB2312" w:cs="仿宋_GB2312"/>
          <w:color w:val="000000"/>
          <w:kern w:val="21"/>
          <w:sz w:val="32"/>
          <w:szCs w:val="32"/>
          <w:highlight w:val="none"/>
          <w:lang w:eastAsia="zh-CN"/>
        </w:rPr>
        <w:t>、评价认定结果</w:t>
      </w:r>
      <w:r>
        <w:rPr>
          <w:rFonts w:hint="eastAsia" w:ascii="仿宋_GB2312" w:hAnsi="仿宋_GB2312" w:eastAsia="仿宋_GB2312" w:cs="仿宋_GB2312"/>
          <w:color w:val="000000"/>
          <w:kern w:val="21"/>
          <w:sz w:val="32"/>
          <w:szCs w:val="32"/>
          <w:highlight w:val="none"/>
        </w:rPr>
        <w:t>等良好行为信息。</w:t>
      </w:r>
    </w:p>
    <w:p w14:paraId="358FF546">
      <w:pPr>
        <w:pageBreakBefore w:val="0"/>
        <w:widowControl w:val="0"/>
        <w:kinsoku/>
        <w:wordWrap/>
        <w:topLinePunct w:val="0"/>
        <w:autoSpaceDE/>
        <w:autoSpaceDN/>
        <w:bidi w:val="0"/>
        <w:spacing w:line="600" w:lineRule="exact"/>
        <w:ind w:leftChars="0" w:firstLine="643"/>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lang w:eastAsia="zh-CN"/>
        </w:rPr>
        <w:t>不良信用信息：混凝土</w:t>
      </w:r>
      <w:r>
        <w:rPr>
          <w:rFonts w:hint="eastAsia" w:ascii="仿宋_GB2312" w:hAnsi="仿宋_GB2312" w:eastAsia="仿宋_GB2312" w:cs="仿宋_GB2312"/>
          <w:color w:val="000000"/>
          <w:kern w:val="21"/>
          <w:sz w:val="32"/>
          <w:szCs w:val="32"/>
          <w:highlight w:val="none"/>
          <w:lang w:val="en-US" w:eastAsia="zh-CN"/>
        </w:rPr>
        <w:t>企业</w:t>
      </w:r>
      <w:r>
        <w:rPr>
          <w:rFonts w:hint="eastAsia" w:ascii="仿宋_GB2312" w:hAnsi="仿宋_GB2312" w:eastAsia="仿宋_GB2312" w:cs="仿宋_GB2312"/>
          <w:color w:val="000000"/>
          <w:kern w:val="21"/>
          <w:sz w:val="32"/>
          <w:szCs w:val="32"/>
          <w:highlight w:val="none"/>
        </w:rPr>
        <w:t>在</w:t>
      </w:r>
      <w:r>
        <w:rPr>
          <w:rFonts w:hint="eastAsia" w:ascii="仿宋_GB2312" w:hAnsi="仿宋_GB2312" w:eastAsia="仿宋_GB2312" w:cs="仿宋_GB2312"/>
          <w:color w:val="000000"/>
          <w:kern w:val="21"/>
          <w:sz w:val="32"/>
          <w:szCs w:val="32"/>
          <w:highlight w:val="none"/>
          <w:lang w:val="en-US" w:eastAsia="zh-CN"/>
        </w:rPr>
        <w:t>生产经营</w:t>
      </w:r>
      <w:r>
        <w:rPr>
          <w:rFonts w:hint="eastAsia" w:ascii="仿宋_GB2312" w:hAnsi="仿宋_GB2312" w:eastAsia="仿宋_GB2312" w:cs="仿宋_GB2312"/>
          <w:color w:val="000000"/>
          <w:kern w:val="21"/>
          <w:sz w:val="32"/>
          <w:szCs w:val="32"/>
          <w:highlight w:val="none"/>
        </w:rPr>
        <w:t>过程中</w:t>
      </w:r>
      <w:r>
        <w:rPr>
          <w:rFonts w:hint="eastAsia" w:ascii="仿宋_GB2312" w:hAnsi="仿宋_GB2312" w:eastAsia="仿宋_GB2312" w:cs="仿宋_GB2312"/>
          <w:color w:val="000000"/>
          <w:kern w:val="21"/>
          <w:sz w:val="32"/>
          <w:szCs w:val="32"/>
          <w:highlight w:val="none"/>
          <w:lang w:val="en-US" w:eastAsia="zh-CN"/>
        </w:rPr>
        <w:t>由</w:t>
      </w:r>
      <w:r>
        <w:rPr>
          <w:rFonts w:hint="eastAsia" w:ascii="仿宋_GB2312" w:hAnsi="仿宋_GB2312" w:eastAsia="仿宋_GB2312" w:cs="仿宋_GB2312"/>
          <w:color w:val="000000"/>
          <w:kern w:val="21"/>
          <w:sz w:val="32"/>
          <w:szCs w:val="32"/>
          <w:highlight w:val="none"/>
        </w:rPr>
        <w:t>县</w:t>
      </w:r>
      <w:r>
        <w:rPr>
          <w:rFonts w:hint="eastAsia" w:ascii="仿宋_GB2312" w:hAnsi="仿宋_GB2312" w:eastAsia="仿宋_GB2312" w:cs="仿宋_GB2312"/>
          <w:color w:val="000000"/>
          <w:kern w:val="21"/>
          <w:sz w:val="32"/>
          <w:szCs w:val="32"/>
          <w:highlight w:val="none"/>
          <w:lang w:eastAsia="zh-CN"/>
        </w:rPr>
        <w:t>级（含）</w:t>
      </w:r>
      <w:r>
        <w:rPr>
          <w:rFonts w:hint="eastAsia" w:ascii="仿宋_GB2312" w:hAnsi="仿宋_GB2312" w:eastAsia="仿宋_GB2312" w:cs="仿宋_GB2312"/>
          <w:color w:val="000000"/>
          <w:kern w:val="21"/>
          <w:sz w:val="32"/>
          <w:szCs w:val="32"/>
          <w:highlight w:val="none"/>
        </w:rPr>
        <w:t>以上住建部门或其委托的机构查实的不规范行为和给予行政处罚的行为，以及经有关部门认定的其他不良行为信息。</w:t>
      </w:r>
    </w:p>
    <w:p w14:paraId="5EFC06F6">
      <w:pPr>
        <w:keepNext w:val="0"/>
        <w:keepLines w:val="0"/>
        <w:pageBreakBefore w:val="0"/>
        <w:widowControl w:val="0"/>
        <w:kinsoku/>
        <w:wordWrap/>
        <w:overflowPunct w:val="0"/>
        <w:topLinePunct w:val="0"/>
        <w:autoSpaceDE/>
        <w:autoSpaceDN/>
        <w:bidi w:val="0"/>
        <w:adjustRightInd/>
        <w:spacing w:line="600" w:lineRule="exact"/>
        <w:ind w:leftChars="0" w:firstLine="643" w:firstLineChars="200"/>
        <w:jc w:val="both"/>
        <w:textAlignment w:val="auto"/>
        <w:rPr>
          <w:rFonts w:hint="eastAsia" w:ascii="仿宋_GB2312" w:hAnsi="仿宋_GB2312" w:eastAsia="仿宋_GB2312" w:cs="仿宋_GB2312"/>
          <w:color w:val="000000" w:themeColor="text1"/>
          <w:kern w:val="2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2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kern w:val="21"/>
          <w:sz w:val="32"/>
          <w:szCs w:val="32"/>
          <w:highlight w:val="none"/>
          <w:lang w:eastAsia="zh-CN"/>
          <w14:textFill>
            <w14:solidFill>
              <w14:schemeClr w14:val="tx1"/>
            </w14:solidFill>
          </w14:textFill>
        </w:rPr>
        <w:t>七</w:t>
      </w:r>
      <w:r>
        <w:rPr>
          <w:rFonts w:hint="eastAsia" w:ascii="仿宋_GB2312" w:hAnsi="仿宋_GB2312" w:eastAsia="仿宋_GB2312" w:cs="仿宋_GB2312"/>
          <w:b/>
          <w:bCs/>
          <w:color w:val="000000" w:themeColor="text1"/>
          <w:kern w:val="21"/>
          <w:sz w:val="32"/>
          <w:szCs w:val="32"/>
          <w:highlight w:val="none"/>
          <w14:textFill>
            <w14:solidFill>
              <w14:schemeClr w14:val="tx1"/>
            </w14:solidFill>
          </w14:textFill>
        </w:rPr>
        <w:t>条</w:t>
      </w:r>
      <w:r>
        <w:rPr>
          <w:rFonts w:hint="eastAsia" w:ascii="仿宋_GB2312" w:hAnsi="仿宋_GB2312" w:eastAsia="仿宋_GB2312" w:cs="仿宋_GB2312"/>
          <w:b/>
          <w:bCs/>
          <w:color w:val="000000" w:themeColor="text1"/>
          <w:kern w:val="2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混凝土企业</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应及时主动完整准确申报基本信息、</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良好</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信用信息、不良信用信息，并以主动承诺的方式对信用信息的真实性、准确性、完整性负责</w:t>
      </w:r>
      <w:r>
        <w:rPr>
          <w:rFonts w:hint="eastAsia" w:ascii="仿宋_GB2312" w:hAnsi="仿宋_GB2312" w:eastAsia="仿宋_GB2312" w:cs="仿宋_GB2312"/>
          <w:color w:val="000000" w:themeColor="text1"/>
          <w:kern w:val="21"/>
          <w:sz w:val="32"/>
          <w:szCs w:val="32"/>
          <w:highlight w:val="none"/>
          <w:lang w:eastAsia="zh-CN"/>
          <w14:textFill>
            <w14:solidFill>
              <w14:schemeClr w14:val="tx1"/>
            </w14:solidFill>
          </w14:textFill>
        </w:rPr>
        <w:t>。相关部门按照本办法第四条的规定审核认定。</w:t>
      </w:r>
    </w:p>
    <w:p w14:paraId="32AF60A7">
      <w:pPr>
        <w:keepNext w:val="0"/>
        <w:keepLines w:val="0"/>
        <w:pageBreakBefore w:val="0"/>
        <w:widowControl w:val="0"/>
        <w:kinsoku/>
        <w:wordWrap/>
        <w:overflowPunct w:val="0"/>
        <w:topLinePunct w:val="0"/>
        <w:autoSpaceDE/>
        <w:autoSpaceDN/>
        <w:bidi w:val="0"/>
        <w:adjustRightInd/>
        <w:spacing w:line="600" w:lineRule="exact"/>
        <w:ind w:leftChars="0" w:firstLine="640" w:firstLineChars="200"/>
        <w:jc w:val="both"/>
        <w:textAlignment w:val="auto"/>
        <w:rPr>
          <w:rFonts w:hint="eastAsia" w:ascii="仿宋_GB2312" w:hAnsi="仿宋_GB2312" w:eastAsia="仿宋_GB2312" w:cs="仿宋_GB2312"/>
          <w:color w:val="000000" w:themeColor="text1"/>
          <w:kern w:val="2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混凝土企业</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在本省从事</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生产经营</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活动中，受到省级、市级、县级建设行业主管部门等作出的经认定的不良信用信息，由各相关部门按照职责分工在日常监管中录入</w:t>
      </w:r>
      <w:r>
        <w:rPr>
          <w:rFonts w:hint="eastAsia" w:ascii="仿宋_GB2312" w:hAnsi="仿宋_GB2312" w:eastAsia="仿宋_GB2312" w:cs="仿宋_GB2312"/>
          <w:color w:val="000000" w:themeColor="text1"/>
          <w:kern w:val="21"/>
          <w:sz w:val="32"/>
          <w:szCs w:val="32"/>
          <w:highlight w:val="none"/>
          <w:lang w:eastAsia="zh-CN"/>
          <w14:textFill>
            <w14:solidFill>
              <w14:schemeClr w14:val="tx1"/>
            </w14:solidFill>
          </w14:textFill>
        </w:rPr>
        <w:t>。</w:t>
      </w:r>
    </w:p>
    <w:p w14:paraId="3669686F">
      <w:pPr>
        <w:pageBreakBefore w:val="0"/>
        <w:widowControl w:val="0"/>
        <w:numPr>
          <w:ilvl w:val="0"/>
          <w:numId w:val="0"/>
        </w:numPr>
        <w:shd w:val="clear" w:color="auto" w:fill="FFFFFF"/>
        <w:kinsoku/>
        <w:wordWrap/>
        <w:overflowPunct w:val="0"/>
        <w:topLinePunct w:val="0"/>
        <w:autoSpaceDE/>
        <w:autoSpaceDN/>
        <w:bidi w:val="0"/>
        <w:spacing w:line="600" w:lineRule="exact"/>
        <w:ind w:leftChars="0" w:firstLine="640" w:firstLineChars="200"/>
        <w:textAlignment w:val="auto"/>
        <w:rPr>
          <w:rFonts w:hint="eastAsia" w:ascii="仿宋_GB2312" w:hAnsi="仿宋_GB2312" w:eastAsia="仿宋_GB2312" w:cs="仿宋_GB2312"/>
          <w:color w:val="000000"/>
          <w:kern w:val="21"/>
          <w:sz w:val="32"/>
          <w:szCs w:val="32"/>
          <w:highlight w:val="none"/>
          <w:lang w:val="en-US" w:eastAsia="zh-CN"/>
        </w:rPr>
      </w:pPr>
      <w:r>
        <w:rPr>
          <w:rFonts w:hint="eastAsia" w:ascii="仿宋_GB2312" w:hAnsi="仿宋_GB2312" w:eastAsia="仿宋_GB2312" w:cs="仿宋_GB2312"/>
          <w:color w:val="000000"/>
          <w:kern w:val="21"/>
          <w:sz w:val="32"/>
          <w:szCs w:val="32"/>
          <w:highlight w:val="none"/>
          <w:lang w:val="en-US" w:eastAsia="zh-CN"/>
        </w:rPr>
        <w:t>鼓励社会公众、行业协会、新闻媒体等对混凝土企业的不良行为进行举报和曝光，所在辖区的住建部门对收到的举报信息进行核实处理，并将核实结果纳入信用信息管理。</w:t>
      </w:r>
    </w:p>
    <w:p w14:paraId="2812E0CB">
      <w:pPr>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21"/>
          <w:sz w:val="32"/>
          <w:szCs w:val="32"/>
          <w:highlight w:val="none"/>
          <w:lang w:eastAsia="zh-CN"/>
          <w14:textFill>
            <w14:solidFill>
              <w14:schemeClr w14:val="tx1"/>
            </w14:solidFill>
          </w14:textFill>
        </w:rPr>
        <w:t>第八条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信用信息在做出认定决定或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混凝土企业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提交认定申请后，原则上</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个工作日内完成认定和采集。</w:t>
      </w:r>
    </w:p>
    <w:p w14:paraId="058EC76D">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21"/>
          <w:sz w:val="32"/>
          <w:szCs w:val="32"/>
          <w:highlight w:val="none"/>
          <w:lang w:eastAsia="zh-CN"/>
          <w14:textFill>
            <w14:solidFill>
              <w14:schemeClr w14:val="tx1"/>
            </w14:solidFill>
          </w14:textFill>
        </w:rPr>
        <w:t>第九条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基本信息的认定以相关证明材料或行政主管部门管理系统中记载的信息为依据。</w:t>
      </w:r>
    </w:p>
    <w:p w14:paraId="7347BF4E">
      <w:pPr>
        <w:keepNext w:val="0"/>
        <w:keepLines w:val="0"/>
        <w:pageBreakBefore w:val="0"/>
        <w:widowControl w:val="0"/>
        <w:kinsoku/>
        <w:wordWrap/>
        <w:overflowPunct w:val="0"/>
        <w:topLinePunct w:val="0"/>
        <w:autoSpaceDE/>
        <w:autoSpaceDN/>
        <w:bidi w:val="0"/>
        <w:adjustRightInd/>
        <w:spacing w:line="600" w:lineRule="exact"/>
        <w:ind w:lef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良好</w:t>
      </w:r>
      <w:r>
        <w:rPr>
          <w:rFonts w:hint="eastAsia" w:ascii="仿宋_GB2312" w:hAnsi="仿宋_GB2312" w:eastAsia="仿宋_GB2312" w:cs="仿宋_GB2312"/>
          <w:color w:val="000000" w:themeColor="text1"/>
          <w:sz w:val="32"/>
          <w:szCs w:val="32"/>
          <w:highlight w:val="none"/>
          <w14:textFill>
            <w14:solidFill>
              <w14:schemeClr w14:val="tx1"/>
            </w14:solidFill>
          </w14:textFill>
        </w:rPr>
        <w:t>信用信息的认定，以文件、证书及官网公告为依据。</w:t>
      </w:r>
    </w:p>
    <w:p w14:paraId="2B99DD15">
      <w:pPr>
        <w:keepNext w:val="0"/>
        <w:keepLines w:val="0"/>
        <w:pageBreakBefore w:val="0"/>
        <w:widowControl w:val="0"/>
        <w:kinsoku/>
        <w:wordWrap/>
        <w:overflowPunct w:val="0"/>
        <w:topLinePunct w:val="0"/>
        <w:autoSpaceDE/>
        <w:autoSpaceDN/>
        <w:bidi w:val="0"/>
        <w:adjustRightInd/>
        <w:spacing w:line="600" w:lineRule="exact"/>
        <w:ind w:lef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不良信用信息的认定，应当依据以下资料：</w:t>
      </w:r>
    </w:p>
    <w:p w14:paraId="231CB058">
      <w:pPr>
        <w:keepNext w:val="0"/>
        <w:keepLines w:val="0"/>
        <w:pageBreakBefore w:val="0"/>
        <w:widowControl w:val="0"/>
        <w:kinsoku/>
        <w:wordWrap/>
        <w:overflowPunct w:val="0"/>
        <w:topLinePunct w:val="0"/>
        <w:autoSpaceDE/>
        <w:autoSpaceDN/>
        <w:bidi w:val="0"/>
        <w:adjustRightInd/>
        <w:spacing w:line="600" w:lineRule="exact"/>
        <w:ind w:lef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（一）生效的司法裁判文书和仲裁文书；</w:t>
      </w:r>
    </w:p>
    <w:p w14:paraId="05A5F0F9">
      <w:pPr>
        <w:keepNext w:val="0"/>
        <w:keepLines w:val="0"/>
        <w:pageBreakBefore w:val="0"/>
        <w:widowControl w:val="0"/>
        <w:kinsoku/>
        <w:wordWrap/>
        <w:overflowPunct w:val="0"/>
        <w:topLinePunct w:val="0"/>
        <w:autoSpaceDE/>
        <w:autoSpaceDN/>
        <w:bidi w:val="0"/>
        <w:adjustRightInd/>
        <w:spacing w:line="600" w:lineRule="exact"/>
        <w:ind w:lef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（二）行政监督检查、行政处罚、行政强制、行政裁决和行政确认等行政行为决定文书；</w:t>
      </w:r>
    </w:p>
    <w:p w14:paraId="08F44E53">
      <w:pPr>
        <w:keepNext w:val="0"/>
        <w:keepLines w:val="0"/>
        <w:pageBreakBefore w:val="0"/>
        <w:widowControl w:val="0"/>
        <w:kinsoku/>
        <w:wordWrap/>
        <w:overflowPunct w:val="0"/>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法律法规或者党中央、国务院政策文件规定可作为失信行为认定依据的其他文书；</w:t>
      </w:r>
    </w:p>
    <w:p w14:paraId="70E9549C">
      <w:pPr>
        <w:keepNext w:val="0"/>
        <w:keepLines w:val="0"/>
        <w:pageBreakBefore w:val="0"/>
        <w:widowControl w:val="0"/>
        <w:kinsoku/>
        <w:wordWrap/>
        <w:overflowPunct w:val="0"/>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（四）行政机关官方网站公示的对</w:t>
      </w:r>
      <w:r>
        <w:rPr>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混凝土企业</w:t>
      </w:r>
      <w:r>
        <w:rPr>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信用状况具有负面影响的信息。</w:t>
      </w:r>
    </w:p>
    <w:p w14:paraId="78EB9076">
      <w:pPr>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b/>
          <w:bCs/>
          <w:color w:val="000000" w:themeColor="text1"/>
          <w:kern w:val="21"/>
          <w:sz w:val="32"/>
          <w:szCs w:val="32"/>
          <w:highlight w:val="none"/>
          <w:lang w:eastAsia="zh-CN"/>
          <w14:textFill>
            <w14:solidFill>
              <w14:schemeClr w14:val="tx1"/>
            </w14:solidFill>
          </w14:textFill>
        </w:rPr>
        <w:t>第十条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省住建厅可根据国家、省有关政策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修订混凝土</w:t>
      </w:r>
      <w:r>
        <w:rPr>
          <w:rFonts w:hint="eastAsia" w:ascii="仿宋_GB2312" w:hAnsi="仿宋_GB2312" w:eastAsia="仿宋_GB2312" w:cs="仿宋_GB2312"/>
          <w:color w:val="000000"/>
          <w:kern w:val="0"/>
          <w:sz w:val="32"/>
          <w:szCs w:val="32"/>
          <w:highlight w:val="none"/>
          <w:lang w:val="en-US" w:eastAsia="zh-CN"/>
        </w:rPr>
        <w:t>企业</w:t>
      </w:r>
      <w:r>
        <w:rPr>
          <w:rFonts w:hint="eastAsia" w:ascii="仿宋_GB2312" w:hAnsi="仿宋_GB2312" w:eastAsia="仿宋_GB2312" w:cs="仿宋_GB2312"/>
          <w:color w:val="000000"/>
          <w:kern w:val="0"/>
          <w:sz w:val="32"/>
          <w:szCs w:val="32"/>
          <w:highlight w:val="none"/>
        </w:rPr>
        <w:t>信用信息</w:t>
      </w:r>
      <w:r>
        <w:rPr>
          <w:rFonts w:hint="eastAsia" w:ascii="仿宋_GB2312" w:hAnsi="仿宋_GB2312" w:eastAsia="仿宋_GB2312" w:cs="仿宋_GB2312"/>
          <w:color w:val="000000"/>
          <w:kern w:val="0"/>
          <w:sz w:val="32"/>
          <w:szCs w:val="32"/>
          <w:highlight w:val="none"/>
          <w:lang w:val="en-US" w:eastAsia="zh-CN"/>
        </w:rPr>
        <w:t>认定规则</w:t>
      </w:r>
      <w:r>
        <w:rPr>
          <w:rFonts w:hint="eastAsia" w:ascii="仿宋_GB2312" w:hAnsi="仿宋_GB2312" w:eastAsia="仿宋_GB2312" w:cs="仿宋_GB2312"/>
          <w:color w:val="000000"/>
          <w:kern w:val="0"/>
          <w:sz w:val="32"/>
          <w:szCs w:val="32"/>
          <w:highlight w:val="none"/>
        </w:rPr>
        <w:t>。</w:t>
      </w:r>
    </w:p>
    <w:p w14:paraId="56AE52F1">
      <w:pPr>
        <w:keepNext w:val="0"/>
        <w:keepLines w:val="0"/>
        <w:pageBreakBefore w:val="0"/>
        <w:widowControl w:val="0"/>
        <w:numPr>
          <w:ilvl w:val="-1"/>
          <w:numId w:val="0"/>
        </w:numPr>
        <w:shd w:val="clear" w:color="auto" w:fill="FFFFFF"/>
        <w:kinsoku/>
        <w:wordWrap/>
        <w:overflowPunct w:val="0"/>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olor w:val="000000"/>
          <w:kern w:val="21"/>
          <w:sz w:val="32"/>
          <w:szCs w:val="32"/>
          <w:highlight w:val="none"/>
        </w:rPr>
      </w:pPr>
    </w:p>
    <w:p w14:paraId="3EA6A1FE">
      <w:pPr>
        <w:pStyle w:val="3"/>
        <w:keepNext/>
        <w:keepLines/>
        <w:pageBreakBefore w:val="0"/>
        <w:widowControl w:val="0"/>
        <w:kinsoku/>
        <w:wordWrap/>
        <w:overflowPunct/>
        <w:topLinePunct w:val="0"/>
        <w:autoSpaceDE/>
        <w:autoSpaceDN/>
        <w:bidi w:val="0"/>
        <w:adjustRightInd/>
        <w:snapToGrid/>
        <w:spacing w:line="600" w:lineRule="exact"/>
        <w:ind w:leftChars="0" w:firstLine="0" w:firstLineChars="0"/>
        <w:textAlignment w:val="auto"/>
        <w:rPr>
          <w:rFonts w:hint="eastAsia"/>
          <w:highlight w:val="none"/>
        </w:rPr>
      </w:pPr>
      <w:r>
        <w:rPr>
          <w:rFonts w:hint="eastAsia" w:ascii="黑体" w:hAnsi="黑体"/>
          <w:sz w:val="32"/>
          <w:highlight w:val="none"/>
        </w:rPr>
        <w:t>第三章 信用信息评分和应用</w:t>
      </w:r>
    </w:p>
    <w:p w14:paraId="2767DCBD">
      <w:pPr>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第十一条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混凝土企业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信用管理实行季度评价的信用评价方法。信用信息采集记录部门按照信用评价标准对信用分值进行加减，原则上以每季度最后一天</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24</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00</w:t>
      </w:r>
      <w:r>
        <w:rPr>
          <w:rFonts w:hint="eastAsia" w:ascii="仿宋_GB2312" w:hAnsi="仿宋_GB2312" w:eastAsia="仿宋_GB2312" w:cs="仿宋_GB2312"/>
          <w:color w:val="000000" w:themeColor="text1"/>
          <w:sz w:val="32"/>
          <w:szCs w:val="32"/>
          <w:highlight w:val="none"/>
          <w14:textFill>
            <w14:solidFill>
              <w14:schemeClr w14:val="tx1"/>
            </w14:solidFill>
          </w14:textFill>
        </w:rPr>
        <w:t>确定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混凝土企业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的评价得分，按照计分高低自动形成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混凝土企业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信用评价结果，根据评价结果确定该季度评价等级。</w:t>
      </w:r>
    </w:p>
    <w:p w14:paraId="491DC198">
      <w:pPr>
        <w:pStyle w:val="6"/>
        <w:keepNext w:val="0"/>
        <w:keepLines w:val="0"/>
        <w:pageBreakBefore w:val="0"/>
        <w:widowControl w:val="0"/>
        <w:numPr>
          <w:ilvl w:val="0"/>
          <w:numId w:val="0"/>
        </w:numPr>
        <w:kinsoku/>
        <w:wordWrap/>
        <w:overflowPunct w:val="0"/>
        <w:topLinePunct w:val="0"/>
        <w:autoSpaceDE/>
        <w:autoSpaceDN/>
        <w:bidi w:val="0"/>
        <w:adjustRightInd/>
        <w:snapToGrid w:val="0"/>
        <w:spacing w:line="600" w:lineRule="exact"/>
        <w:ind w:lef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21"/>
          <w:sz w:val="32"/>
          <w:szCs w:val="32"/>
          <w:highlight w:val="none"/>
          <w:lang w:val="en-US" w:eastAsia="zh-CN"/>
          <w14:textFill>
            <w14:solidFill>
              <w14:schemeClr w14:val="tx1"/>
            </w14:solidFill>
          </w14:textFill>
        </w:rPr>
        <w:t>第十二条</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 xml:space="preserve">  混凝土企业</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信用信息评分指标体系全省统一。</w:t>
      </w:r>
      <w:r>
        <w:rPr>
          <w:rFonts w:hint="eastAsia" w:ascii="仿宋_GB2312" w:hAnsi="仿宋_GB2312" w:eastAsia="仿宋_GB2312" w:cs="仿宋_GB2312"/>
          <w:color w:val="000000" w:themeColor="text1"/>
          <w:sz w:val="32"/>
          <w:szCs w:val="32"/>
          <w:highlight w:val="none"/>
          <w14:textFill>
            <w14:solidFill>
              <w14:schemeClr w14:val="tx1"/>
            </w14:solidFill>
          </w14:textFill>
        </w:rPr>
        <w:t>信用信息评价采用百分制，由基本信息分、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良好</w:t>
      </w:r>
      <w:r>
        <w:rPr>
          <w:rFonts w:hint="eastAsia" w:ascii="仿宋_GB2312" w:hAnsi="仿宋_GB2312" w:eastAsia="仿宋_GB2312" w:cs="仿宋_GB2312"/>
          <w:color w:val="000000" w:themeColor="text1"/>
          <w:sz w:val="32"/>
          <w:szCs w:val="32"/>
          <w:highlight w:val="none"/>
          <w14:textFill>
            <w14:solidFill>
              <w14:schemeClr w14:val="tx1"/>
            </w14:solidFill>
          </w14:textFill>
        </w:rPr>
        <w:t>信息分、不良信息分三部分组成。</w:t>
      </w:r>
    </w:p>
    <w:p w14:paraId="1447BC5B">
      <w:pPr>
        <w:pStyle w:val="6"/>
        <w:keepNext w:val="0"/>
        <w:keepLines w:val="0"/>
        <w:pageBreakBefore w:val="0"/>
        <w:widowControl w:val="0"/>
        <w:kinsoku/>
        <w:wordWrap/>
        <w:overflowPunct w:val="0"/>
        <w:topLinePunct w:val="0"/>
        <w:autoSpaceDE/>
        <w:autoSpaceDN/>
        <w:bidi w:val="0"/>
        <w:adjustRightInd/>
        <w:spacing w:line="600" w:lineRule="exact"/>
        <w:ind w:leftChars="0" w:firstLine="640" w:firstLineChars="200"/>
        <w:jc w:val="both"/>
        <w:textAlignment w:val="auto"/>
        <w:rPr>
          <w:rFonts w:hint="eastAsia" w:ascii="仿宋_GB2312" w:hAnsi="仿宋_GB2312" w:eastAsia="仿宋_GB2312" w:cs="仿宋_GB2312"/>
          <w:color w:val="000000"/>
          <w:kern w:val="21"/>
          <w:sz w:val="32"/>
          <w:szCs w:val="32"/>
          <w:highlight w:val="none"/>
          <w:lang w:val="en-US" w:eastAsia="zh-CN" w:bidi="ar"/>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评价得分=基本信息分+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良好</w:t>
      </w:r>
      <w:r>
        <w:rPr>
          <w:rFonts w:hint="eastAsia" w:ascii="仿宋_GB2312" w:hAnsi="仿宋_GB2312" w:eastAsia="仿宋_GB2312" w:cs="仿宋_GB2312"/>
          <w:color w:val="000000" w:themeColor="text1"/>
          <w:sz w:val="32"/>
          <w:szCs w:val="32"/>
          <w:highlight w:val="none"/>
          <w14:textFill>
            <w14:solidFill>
              <w14:schemeClr w14:val="tx1"/>
            </w14:solidFill>
          </w14:textFill>
        </w:rPr>
        <w:t>信息分+不良信息分。基本信息分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60</w:t>
      </w:r>
      <w:r>
        <w:rPr>
          <w:rFonts w:hint="eastAsia" w:ascii="仿宋_GB2312" w:hAnsi="仿宋_GB2312" w:eastAsia="仿宋_GB2312" w:cs="仿宋_GB2312"/>
          <w:color w:val="000000" w:themeColor="text1"/>
          <w:sz w:val="32"/>
          <w:szCs w:val="32"/>
          <w:highlight w:val="none"/>
          <w14:textFill>
            <w14:solidFill>
              <w14:schemeClr w14:val="tx1"/>
            </w14:solidFill>
          </w14:textFill>
        </w:rPr>
        <w:t>分为限，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良好</w:t>
      </w:r>
      <w:r>
        <w:rPr>
          <w:rFonts w:hint="eastAsia" w:ascii="仿宋_GB2312" w:hAnsi="仿宋_GB2312" w:eastAsia="仿宋_GB2312" w:cs="仿宋_GB2312"/>
          <w:color w:val="000000" w:themeColor="text1"/>
          <w:sz w:val="32"/>
          <w:szCs w:val="32"/>
          <w:highlight w:val="none"/>
          <w14:textFill>
            <w14:solidFill>
              <w14:schemeClr w14:val="tx1"/>
            </w14:solidFill>
          </w14:textFill>
        </w:rPr>
        <w:t>信息分以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40</w:t>
      </w:r>
      <w:r>
        <w:rPr>
          <w:rFonts w:hint="eastAsia" w:ascii="仿宋_GB2312" w:hAnsi="仿宋_GB2312" w:eastAsia="仿宋_GB2312" w:cs="仿宋_GB2312"/>
          <w:color w:val="000000" w:themeColor="text1"/>
          <w:sz w:val="32"/>
          <w:szCs w:val="32"/>
          <w:highlight w:val="none"/>
          <w14:textFill>
            <w14:solidFill>
              <w14:schemeClr w14:val="tx1"/>
            </w14:solidFill>
          </w14:textFill>
        </w:rPr>
        <w:t>分为限；不良信息分从评价总分中扣除，扣完为止。</w:t>
      </w:r>
    </w:p>
    <w:p w14:paraId="76D172DD">
      <w:pPr>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b/>
          <w:bCs/>
          <w:color w:val="000000"/>
          <w:kern w:val="21"/>
          <w:sz w:val="32"/>
          <w:szCs w:val="32"/>
          <w:highlight w:val="none"/>
          <w:lang w:val="en-US" w:eastAsia="zh-CN" w:bidi="ar"/>
        </w:rPr>
        <w:t>第十三条</w:t>
      </w:r>
      <w:r>
        <w:rPr>
          <w:rFonts w:hint="eastAsia" w:ascii="仿宋_GB2312" w:hAnsi="仿宋_GB2312" w:eastAsia="仿宋_GB2312" w:cs="仿宋_GB2312"/>
          <w:color w:val="000000"/>
          <w:kern w:val="21"/>
          <w:sz w:val="32"/>
          <w:szCs w:val="32"/>
          <w:highlight w:val="none"/>
          <w:lang w:val="en-US" w:eastAsia="zh-CN" w:bidi="ar"/>
        </w:rPr>
        <w:t xml:space="preserve">  各级住建部门按照本办法第四条的规定，</w:t>
      </w:r>
      <w:r>
        <w:rPr>
          <w:rFonts w:hint="eastAsia" w:ascii="仿宋_GB2312" w:hAnsi="仿宋_GB2312" w:eastAsia="仿宋_GB2312" w:cs="仿宋_GB2312"/>
          <w:color w:val="000000"/>
          <w:kern w:val="0"/>
          <w:sz w:val="32"/>
          <w:szCs w:val="32"/>
          <w:highlight w:val="none"/>
        </w:rPr>
        <w:t>结合本地实际，</w:t>
      </w:r>
      <w:r>
        <w:rPr>
          <w:rFonts w:hint="eastAsia" w:ascii="仿宋_GB2312" w:hAnsi="仿宋_GB2312" w:eastAsia="仿宋_GB2312" w:cs="仿宋_GB2312"/>
          <w:color w:val="000000"/>
          <w:sz w:val="32"/>
          <w:szCs w:val="32"/>
          <w:highlight w:val="none"/>
        </w:rPr>
        <w:t>依据信用综合评分</w:t>
      </w:r>
      <w:r>
        <w:rPr>
          <w:rFonts w:hint="eastAsia" w:ascii="仿宋_GB2312" w:hAnsi="仿宋_GB2312" w:eastAsia="仿宋_GB2312" w:cs="仿宋_GB2312"/>
          <w:color w:val="000000"/>
          <w:sz w:val="32"/>
          <w:szCs w:val="32"/>
          <w:highlight w:val="none"/>
          <w:lang w:eastAsia="zh-CN"/>
        </w:rPr>
        <w:t>结果的分数段或分数值，</w:t>
      </w:r>
      <w:r>
        <w:rPr>
          <w:rFonts w:hint="eastAsia" w:ascii="仿宋_GB2312" w:hAnsi="仿宋_GB2312" w:eastAsia="仿宋_GB2312" w:cs="仿宋_GB2312"/>
          <w:color w:val="000000"/>
          <w:kern w:val="0"/>
          <w:sz w:val="32"/>
          <w:szCs w:val="32"/>
          <w:highlight w:val="none"/>
        </w:rPr>
        <w:t>分档设置信用等级</w:t>
      </w:r>
      <w:r>
        <w:rPr>
          <w:rFonts w:hint="eastAsia" w:ascii="仿宋_GB2312" w:hAnsi="仿宋_GB2312" w:eastAsia="仿宋_GB2312" w:cs="仿宋_GB2312"/>
          <w:color w:val="000000"/>
          <w:kern w:val="0"/>
          <w:sz w:val="32"/>
          <w:szCs w:val="32"/>
          <w:highlight w:val="none"/>
          <w:lang w:eastAsia="zh-CN"/>
        </w:rPr>
        <w:t>，设定</w:t>
      </w:r>
      <w:r>
        <w:rPr>
          <w:rFonts w:hint="eastAsia" w:ascii="仿宋_GB2312" w:hAnsi="仿宋_GB2312" w:eastAsia="仿宋_GB2312" w:cs="仿宋_GB2312"/>
          <w:color w:val="000000"/>
          <w:kern w:val="0"/>
          <w:sz w:val="32"/>
          <w:szCs w:val="32"/>
          <w:highlight w:val="none"/>
          <w:lang w:val="en-US" w:eastAsia="zh-CN"/>
        </w:rPr>
        <w:t>A（优）、B（良）、C（一般）、D（较差）四个等级。</w:t>
      </w:r>
      <w:r>
        <w:rPr>
          <w:rFonts w:hint="eastAsia" w:ascii="仿宋_GB2312" w:hAnsi="仿宋_GB2312" w:eastAsia="仿宋_GB2312" w:cs="仿宋_GB2312"/>
          <w:color w:val="000000"/>
          <w:kern w:val="0"/>
          <w:sz w:val="32"/>
          <w:szCs w:val="32"/>
          <w:highlight w:val="none"/>
        </w:rPr>
        <w:t>在行政许可、工程招投标、工程担保与保险、日常监管、政策扶持、评优表彰等工作中应用信用评价结果，实施差别化管理。</w:t>
      </w:r>
    </w:p>
    <w:p w14:paraId="2A4E02D1">
      <w:pPr>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b/>
          <w:bCs/>
          <w:color w:val="000000"/>
          <w:kern w:val="21"/>
          <w:sz w:val="32"/>
          <w:szCs w:val="32"/>
          <w:highlight w:val="none"/>
          <w:lang w:eastAsia="zh-CN"/>
        </w:rPr>
        <w:t>第十四条</w:t>
      </w:r>
      <w:r>
        <w:rPr>
          <w:rFonts w:hint="eastAsia" w:ascii="仿宋_GB2312" w:hAnsi="仿宋_GB2312" w:eastAsia="仿宋_GB2312" w:cs="仿宋_GB2312"/>
          <w:color w:val="000000"/>
          <w:kern w:val="21"/>
          <w:sz w:val="32"/>
          <w:szCs w:val="32"/>
          <w:highlight w:val="none"/>
          <w:lang w:val="en-US" w:eastAsia="zh-CN"/>
        </w:rPr>
        <w:t xml:space="preserve">  </w:t>
      </w:r>
      <w:r>
        <w:rPr>
          <w:rFonts w:hint="eastAsia" w:ascii="仿宋_GB2312" w:hAnsi="仿宋_GB2312" w:eastAsia="仿宋_GB2312" w:cs="仿宋_GB2312"/>
          <w:color w:val="000000"/>
          <w:kern w:val="21"/>
          <w:sz w:val="32"/>
          <w:szCs w:val="32"/>
          <w:highlight w:val="none"/>
          <w:lang w:eastAsia="zh-CN"/>
        </w:rPr>
        <w:t>各级住建部门</w:t>
      </w:r>
      <w:r>
        <w:rPr>
          <w:rFonts w:hint="eastAsia" w:ascii="仿宋_GB2312" w:hAnsi="仿宋_GB2312" w:eastAsia="仿宋_GB2312" w:cs="仿宋_GB2312"/>
          <w:color w:val="000000"/>
          <w:kern w:val="21"/>
          <w:sz w:val="32"/>
          <w:szCs w:val="32"/>
          <w:highlight w:val="none"/>
        </w:rPr>
        <w:t>对无信用评价记录或信用评价结果为</w:t>
      </w:r>
      <w:r>
        <w:rPr>
          <w:rFonts w:hint="eastAsia" w:ascii="仿宋_GB2312" w:hAnsi="仿宋_GB2312" w:eastAsia="仿宋_GB2312" w:cs="仿宋_GB2312"/>
          <w:color w:val="000000"/>
          <w:kern w:val="21"/>
          <w:sz w:val="32"/>
          <w:szCs w:val="32"/>
          <w:highlight w:val="none"/>
          <w:lang w:val="en-US" w:eastAsia="zh-CN"/>
        </w:rPr>
        <w:t>D（较差）</w:t>
      </w:r>
      <w:r>
        <w:rPr>
          <w:rFonts w:hint="eastAsia" w:ascii="仿宋_GB2312" w:hAnsi="仿宋_GB2312" w:eastAsia="仿宋_GB2312" w:cs="仿宋_GB2312"/>
          <w:color w:val="000000"/>
          <w:kern w:val="21"/>
          <w:sz w:val="32"/>
          <w:szCs w:val="32"/>
          <w:highlight w:val="none"/>
        </w:rPr>
        <w:t>的</w:t>
      </w:r>
      <w:r>
        <w:rPr>
          <w:rFonts w:hint="eastAsia" w:ascii="仿宋_GB2312" w:hAnsi="仿宋_GB2312" w:eastAsia="仿宋_GB2312" w:cs="仿宋_GB2312"/>
          <w:color w:val="000000"/>
          <w:kern w:val="21"/>
          <w:sz w:val="32"/>
          <w:szCs w:val="32"/>
          <w:highlight w:val="none"/>
          <w:lang w:eastAsia="zh-CN"/>
        </w:rPr>
        <w:t>混凝土</w:t>
      </w:r>
      <w:r>
        <w:rPr>
          <w:rFonts w:hint="eastAsia" w:ascii="仿宋_GB2312" w:hAnsi="仿宋_GB2312" w:eastAsia="仿宋_GB2312" w:cs="仿宋_GB2312"/>
          <w:color w:val="000000"/>
          <w:kern w:val="21"/>
          <w:sz w:val="32"/>
          <w:szCs w:val="32"/>
          <w:highlight w:val="none"/>
          <w:lang w:val="en-US" w:eastAsia="zh-CN"/>
        </w:rPr>
        <w:t>企业</w:t>
      </w:r>
      <w:r>
        <w:rPr>
          <w:rFonts w:hint="eastAsia" w:ascii="仿宋_GB2312" w:hAnsi="仿宋_GB2312" w:eastAsia="仿宋_GB2312" w:cs="仿宋_GB2312"/>
          <w:color w:val="000000"/>
          <w:kern w:val="21"/>
          <w:sz w:val="32"/>
          <w:szCs w:val="32"/>
          <w:highlight w:val="none"/>
        </w:rPr>
        <w:t>，</w:t>
      </w:r>
      <w:r>
        <w:rPr>
          <w:rFonts w:hint="eastAsia" w:ascii="仿宋_GB2312" w:hAnsi="仿宋_GB2312" w:eastAsia="仿宋_GB2312" w:cs="仿宋_GB2312"/>
          <w:color w:val="000000"/>
          <w:kern w:val="21"/>
          <w:sz w:val="32"/>
          <w:szCs w:val="32"/>
          <w:highlight w:val="none"/>
          <w:lang w:eastAsia="zh-CN"/>
        </w:rPr>
        <w:t>应</w:t>
      </w:r>
      <w:bookmarkStart w:id="0" w:name="_GoBack"/>
      <w:bookmarkEnd w:id="0"/>
      <w:r>
        <w:rPr>
          <w:rFonts w:hint="eastAsia" w:ascii="仿宋_GB2312" w:hAnsi="仿宋_GB2312" w:eastAsia="仿宋_GB2312" w:cs="仿宋_GB2312"/>
          <w:color w:val="000000"/>
          <w:kern w:val="21"/>
          <w:sz w:val="32"/>
          <w:szCs w:val="32"/>
          <w:highlight w:val="none"/>
          <w:lang w:eastAsia="zh-CN"/>
        </w:rPr>
        <w:t>列</w:t>
      </w:r>
      <w:r>
        <w:rPr>
          <w:rFonts w:hint="eastAsia" w:ascii="仿宋_GB2312" w:hAnsi="仿宋_GB2312" w:eastAsia="仿宋_GB2312" w:cs="仿宋_GB2312"/>
          <w:color w:val="000000"/>
          <w:kern w:val="21"/>
          <w:sz w:val="32"/>
          <w:szCs w:val="32"/>
          <w:highlight w:val="none"/>
        </w:rPr>
        <w:t>为重点监管对象。</w:t>
      </w:r>
    </w:p>
    <w:p w14:paraId="0BBA8B61">
      <w:pPr>
        <w:keepNext w:val="0"/>
        <w:keepLines w:val="0"/>
        <w:pageBreakBefore w:val="0"/>
        <w:widowControl w:val="0"/>
        <w:numPr>
          <w:ilvl w:val="-1"/>
          <w:numId w:val="0"/>
        </w:numPr>
        <w:shd w:val="clear" w:color="auto" w:fill="FFFFFF"/>
        <w:kinsoku/>
        <w:wordWrap/>
        <w:overflowPunct w:val="0"/>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olor w:val="000000"/>
          <w:kern w:val="21"/>
          <w:sz w:val="32"/>
          <w:szCs w:val="32"/>
          <w:highlight w:val="none"/>
        </w:rPr>
      </w:pPr>
    </w:p>
    <w:p w14:paraId="0E2887BD">
      <w:pPr>
        <w:pStyle w:val="3"/>
        <w:keepNext/>
        <w:keepLines/>
        <w:pageBreakBefore w:val="0"/>
        <w:widowControl w:val="0"/>
        <w:kinsoku/>
        <w:wordWrap/>
        <w:overflowPunct/>
        <w:topLinePunct w:val="0"/>
        <w:autoSpaceDE/>
        <w:autoSpaceDN/>
        <w:bidi w:val="0"/>
        <w:adjustRightInd/>
        <w:snapToGrid/>
        <w:spacing w:line="600" w:lineRule="exact"/>
        <w:ind w:leftChars="0" w:firstLine="0" w:firstLineChars="0"/>
        <w:textAlignment w:val="auto"/>
        <w:rPr>
          <w:rFonts w:hint="eastAsia"/>
          <w:highlight w:val="none"/>
        </w:rPr>
      </w:pPr>
      <w:r>
        <w:rPr>
          <w:rFonts w:hint="eastAsia" w:ascii="黑体" w:hAnsi="黑体"/>
          <w:sz w:val="32"/>
          <w:highlight w:val="none"/>
        </w:rPr>
        <w:t>第四章 信用信息公开与共享</w:t>
      </w:r>
    </w:p>
    <w:p w14:paraId="5A98EF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2"/>
          <w:sz w:val="32"/>
          <w:szCs w:val="32"/>
          <w:highlight w:val="none"/>
          <w:lang w:val="en-US" w:eastAsia="zh-CN" w:bidi="ar-SA"/>
        </w:rPr>
        <w:t xml:space="preserve">第十五条 </w:t>
      </w:r>
      <w:r>
        <w:rPr>
          <w:rFonts w:hint="eastAsia" w:ascii="仿宋_GB2312" w:hAnsi="仿宋_GB2312" w:eastAsia="仿宋_GB2312" w:cs="仿宋_GB2312"/>
          <w:kern w:val="21"/>
          <w:sz w:val="32"/>
          <w:szCs w:val="32"/>
          <w:highlight w:val="none"/>
          <w:lang w:val="en-US" w:eastAsia="zh-CN" w:bidi="ar-SA"/>
        </w:rPr>
        <w:t xml:space="preserve"> 信用信息经采集、审核认定后，</w:t>
      </w:r>
      <w:r>
        <w:rPr>
          <w:rStyle w:val="10"/>
          <w:rFonts w:hint="eastAsia" w:ascii="仿宋_GB2312" w:hAnsi="仿宋_GB2312" w:eastAsia="仿宋_GB2312" w:cs="仿宋_GB2312"/>
          <w:b w:val="0"/>
          <w:bCs/>
          <w:sz w:val="32"/>
          <w:szCs w:val="32"/>
          <w:highlight w:val="none"/>
          <w:lang w:eastAsia="zh-CN"/>
        </w:rPr>
        <w:t>通过</w:t>
      </w:r>
      <w:r>
        <w:rPr>
          <w:rFonts w:hint="eastAsia" w:ascii="仿宋_GB2312" w:hAnsi="仿宋_GB2312" w:eastAsia="仿宋_GB2312" w:cs="仿宋_GB2312"/>
          <w:color w:val="000000"/>
          <w:kern w:val="0"/>
          <w:sz w:val="32"/>
          <w:szCs w:val="32"/>
          <w:highlight w:val="none"/>
          <w:lang w:val="en-US" w:eastAsia="zh-CN" w:bidi="ar"/>
        </w:rPr>
        <w:t>一体化平台</w:t>
      </w:r>
      <w:r>
        <w:rPr>
          <w:rStyle w:val="10"/>
          <w:rFonts w:hint="eastAsia" w:ascii="仿宋_GB2312" w:hAnsi="仿宋_GB2312" w:eastAsia="仿宋_GB2312" w:cs="仿宋_GB2312"/>
          <w:b w:val="0"/>
          <w:bCs/>
          <w:sz w:val="32"/>
          <w:szCs w:val="32"/>
          <w:highlight w:val="none"/>
          <w:lang w:val="en-US" w:eastAsia="zh-CN"/>
        </w:rPr>
        <w:t>和</w:t>
      </w:r>
      <w:r>
        <w:rPr>
          <w:rStyle w:val="10"/>
          <w:rFonts w:hint="eastAsia" w:ascii="仿宋_GB2312" w:hAnsi="仿宋_GB2312" w:eastAsia="仿宋_GB2312" w:cs="仿宋_GB2312"/>
          <w:b w:val="0"/>
          <w:bCs/>
          <w:sz w:val="32"/>
          <w:szCs w:val="32"/>
          <w:highlight w:val="none"/>
          <w:lang w:eastAsia="zh-CN"/>
        </w:rPr>
        <w:t>湖北省散预信息化平台，</w:t>
      </w:r>
      <w:r>
        <w:rPr>
          <w:rStyle w:val="10"/>
          <w:rFonts w:hint="eastAsia" w:ascii="仿宋_GB2312" w:hAnsi="仿宋_GB2312" w:eastAsia="仿宋_GB2312" w:cs="仿宋_GB2312"/>
          <w:b w:val="0"/>
          <w:bCs/>
          <w:sz w:val="32"/>
          <w:szCs w:val="32"/>
          <w:highlight w:val="none"/>
          <w:lang w:val="en-US" w:eastAsia="zh-CN"/>
        </w:rPr>
        <w:t>按市（州）城区、县（市）分区域</w:t>
      </w:r>
      <w:r>
        <w:rPr>
          <w:rStyle w:val="10"/>
          <w:rFonts w:hint="eastAsia" w:ascii="仿宋_GB2312" w:hAnsi="仿宋_GB2312" w:eastAsia="仿宋_GB2312" w:cs="仿宋_GB2312"/>
          <w:b w:val="0"/>
          <w:bCs/>
          <w:sz w:val="32"/>
          <w:szCs w:val="32"/>
          <w:highlight w:val="none"/>
          <w:lang w:eastAsia="zh-CN"/>
        </w:rPr>
        <w:t>向社会公开。公开内容应符合法律法规和保密规定，保护企业商业秘密和个人隐私。</w:t>
      </w:r>
    </w:p>
    <w:p w14:paraId="33F2C823">
      <w:pPr>
        <w:pageBreakBefore w:val="0"/>
        <w:widowControl w:val="0"/>
        <w:kinsoku/>
        <w:wordWrap/>
        <w:topLinePunct w:val="0"/>
        <w:autoSpaceDE/>
        <w:autoSpaceDN/>
        <w:bidi w:val="0"/>
        <w:spacing w:line="600" w:lineRule="exact"/>
        <w:ind w:leftChars="0" w:firstLine="643"/>
        <w:textAlignment w:val="auto"/>
        <w:rPr>
          <w:rFonts w:hint="eastAsia" w:ascii="仿宋_GB2312" w:hAnsi="仿宋_GB2312" w:eastAsia="仿宋_GB2312" w:cs="仿宋_GB2312"/>
          <w:kern w:val="21"/>
          <w:sz w:val="32"/>
          <w:szCs w:val="32"/>
          <w:highlight w:val="none"/>
        </w:rPr>
      </w:pPr>
      <w:r>
        <w:rPr>
          <w:rFonts w:hint="eastAsia" w:ascii="仿宋_GB2312" w:hAnsi="仿宋_GB2312" w:eastAsia="仿宋_GB2312" w:cs="仿宋_GB2312"/>
          <w:b/>
          <w:bCs/>
          <w:kern w:val="2"/>
          <w:sz w:val="32"/>
          <w:szCs w:val="32"/>
          <w:highlight w:val="none"/>
          <w:lang w:val="en-US" w:eastAsia="zh-CN" w:bidi="ar-SA"/>
        </w:rPr>
        <w:t xml:space="preserve">第十六条 </w:t>
      </w:r>
      <w:r>
        <w:rPr>
          <w:rFonts w:hint="eastAsia" w:ascii="仿宋_GB2312" w:hAnsi="仿宋_GB2312" w:eastAsia="仿宋_GB2312" w:cs="仿宋_GB2312"/>
          <w:kern w:val="21"/>
          <w:sz w:val="32"/>
          <w:szCs w:val="32"/>
          <w:highlight w:val="none"/>
          <w:lang w:val="en-US" w:eastAsia="zh-CN" w:bidi="ar-SA"/>
        </w:rPr>
        <w:t xml:space="preserve"> 信用信息公开期限为：</w:t>
      </w:r>
    </w:p>
    <w:p w14:paraId="2EA52C30">
      <w:pPr>
        <w:pageBreakBefore w:val="0"/>
        <w:widowControl w:val="0"/>
        <w:kinsoku/>
        <w:wordWrap/>
        <w:topLinePunct w:val="0"/>
        <w:autoSpaceDE/>
        <w:autoSpaceDN/>
        <w:bidi w:val="0"/>
        <w:spacing w:line="600" w:lineRule="exact"/>
        <w:ind w:leftChars="0" w:firstLine="643"/>
        <w:textAlignment w:val="auto"/>
        <w:rPr>
          <w:rStyle w:val="10"/>
          <w:rFonts w:hint="eastAsia" w:ascii="仿宋_GB2312" w:hAnsi="仿宋_GB2312" w:eastAsia="仿宋_GB2312" w:cs="仿宋_GB2312"/>
          <w:b w:val="0"/>
          <w:bCs/>
          <w:sz w:val="32"/>
          <w:szCs w:val="32"/>
          <w:highlight w:val="none"/>
          <w:lang w:eastAsia="zh-CN"/>
        </w:rPr>
      </w:pPr>
      <w:r>
        <w:rPr>
          <w:rStyle w:val="10"/>
          <w:rFonts w:hint="eastAsia" w:ascii="仿宋_GB2312" w:hAnsi="仿宋_GB2312" w:eastAsia="仿宋_GB2312" w:cs="仿宋_GB2312"/>
          <w:b w:val="0"/>
          <w:bCs/>
          <w:sz w:val="32"/>
          <w:szCs w:val="32"/>
          <w:highlight w:val="none"/>
          <w:lang w:eastAsia="zh-CN"/>
        </w:rPr>
        <w:t>（一）信用信息公开期限自信息产生之日起计算，应与信息有效期一致。</w:t>
      </w:r>
    </w:p>
    <w:p w14:paraId="18C697B6">
      <w:pPr>
        <w:pageBreakBefore w:val="0"/>
        <w:widowControl w:val="0"/>
        <w:kinsoku/>
        <w:wordWrap/>
        <w:topLinePunct w:val="0"/>
        <w:autoSpaceDE/>
        <w:autoSpaceDN/>
        <w:bidi w:val="0"/>
        <w:spacing w:line="600" w:lineRule="exact"/>
        <w:ind w:leftChars="0" w:firstLine="643"/>
        <w:textAlignment w:val="auto"/>
        <w:rPr>
          <w:rStyle w:val="10"/>
          <w:rFonts w:hint="eastAsia" w:ascii="仿宋_GB2312" w:hAnsi="仿宋_GB2312" w:eastAsia="仿宋_GB2312" w:cs="仿宋_GB2312"/>
          <w:b w:val="0"/>
          <w:bCs/>
          <w:sz w:val="32"/>
          <w:szCs w:val="32"/>
          <w:highlight w:val="none"/>
          <w:lang w:eastAsia="zh-CN"/>
        </w:rPr>
      </w:pPr>
      <w:r>
        <w:rPr>
          <w:rStyle w:val="10"/>
          <w:rFonts w:hint="eastAsia" w:ascii="仿宋_GB2312" w:hAnsi="仿宋_GB2312" w:eastAsia="仿宋_GB2312" w:cs="仿宋_GB2312"/>
          <w:b w:val="0"/>
          <w:bCs/>
          <w:sz w:val="32"/>
          <w:szCs w:val="32"/>
          <w:highlight w:val="none"/>
          <w:lang w:eastAsia="zh-CN"/>
        </w:rPr>
        <w:t>（二）信用信息公开期满后，转为信用档案保存。</w:t>
      </w:r>
    </w:p>
    <w:p w14:paraId="113064B5">
      <w:pPr>
        <w:pageBreakBefore w:val="0"/>
        <w:widowControl w:val="0"/>
        <w:shd w:val="clear" w:color="auto" w:fill="FFFFFF"/>
        <w:kinsoku/>
        <w:wordWrap/>
        <w:overflowPunct w:val="0"/>
        <w:topLinePunct w:val="0"/>
        <w:autoSpaceDE/>
        <w:autoSpaceDN/>
        <w:bidi w:val="0"/>
        <w:spacing w:line="600" w:lineRule="exact"/>
        <w:ind w:leftChars="0"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（三）各级住建部门可以依法调阅信用档案。</w:t>
      </w:r>
    </w:p>
    <w:p w14:paraId="31C4903C">
      <w:pPr>
        <w:pageBreakBefore w:val="0"/>
        <w:widowControl w:val="0"/>
        <w:kinsoku/>
        <w:wordWrap/>
        <w:topLinePunct w:val="0"/>
        <w:autoSpaceDE/>
        <w:autoSpaceDN/>
        <w:bidi w:val="0"/>
        <w:spacing w:line="600" w:lineRule="exact"/>
        <w:ind w:leftChars="0" w:firstLine="643"/>
        <w:textAlignment w:val="auto"/>
        <w:rPr>
          <w:rStyle w:val="10"/>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bCs/>
          <w:kern w:val="2"/>
          <w:sz w:val="32"/>
          <w:szCs w:val="32"/>
          <w:highlight w:val="none"/>
          <w:lang w:val="en-US" w:eastAsia="zh-CN" w:bidi="ar-SA"/>
        </w:rPr>
        <w:t xml:space="preserve">第十七条  </w:t>
      </w:r>
      <w:r>
        <w:rPr>
          <w:rStyle w:val="10"/>
          <w:rFonts w:hint="eastAsia" w:ascii="仿宋_GB2312" w:hAnsi="仿宋_GB2312" w:eastAsia="仿宋_GB2312" w:cs="仿宋_GB2312"/>
          <w:b w:val="0"/>
          <w:bCs/>
          <w:sz w:val="32"/>
          <w:szCs w:val="32"/>
          <w:highlight w:val="none"/>
          <w:lang w:eastAsia="zh-CN"/>
        </w:rPr>
        <w:t>信用信息按照“谁采集、谁维护”的方式实施维护管理。信用信息的修正或撤销，由原信用信息采集部门负责。</w:t>
      </w:r>
    </w:p>
    <w:p w14:paraId="3045C69A">
      <w:pPr>
        <w:pageBreakBefore w:val="0"/>
        <w:widowControl w:val="0"/>
        <w:kinsoku/>
        <w:wordWrap/>
        <w:topLinePunct w:val="0"/>
        <w:autoSpaceDE/>
        <w:autoSpaceDN/>
        <w:bidi w:val="0"/>
        <w:spacing w:line="600" w:lineRule="exact"/>
        <w:ind w:leftChars="0" w:firstLine="643"/>
        <w:textAlignment w:val="auto"/>
        <w:rPr>
          <w:rStyle w:val="10"/>
          <w:rFonts w:hint="eastAsia" w:ascii="仿宋_GB2312" w:hAnsi="仿宋_GB2312" w:eastAsia="仿宋_GB2312" w:cs="仿宋_GB2312"/>
          <w:b w:val="0"/>
          <w:bCs/>
          <w:sz w:val="32"/>
          <w:szCs w:val="32"/>
          <w:highlight w:val="none"/>
          <w:lang w:eastAsia="zh-CN"/>
        </w:rPr>
      </w:pPr>
      <w:r>
        <w:rPr>
          <w:rStyle w:val="10"/>
          <w:rFonts w:hint="eastAsia" w:ascii="仿宋_GB2312" w:hAnsi="仿宋_GB2312" w:eastAsia="仿宋_GB2312" w:cs="仿宋_GB2312"/>
          <w:b w:val="0"/>
          <w:bCs/>
          <w:sz w:val="32"/>
          <w:szCs w:val="32"/>
          <w:highlight w:val="none"/>
          <w:lang w:eastAsia="zh-CN"/>
        </w:rPr>
        <w:t>行政处罚经行政复议、行政诉讼等方式依法变更或撤销的，原信用信息采集部门应在收到变更或撤销决定后</w:t>
      </w:r>
      <w:r>
        <w:rPr>
          <w:rStyle w:val="10"/>
          <w:rFonts w:hint="default" w:ascii="Times New Roman" w:hAnsi="Times New Roman" w:eastAsia="仿宋_GB2312" w:cs="Times New Roman"/>
          <w:b w:val="0"/>
          <w:bCs/>
          <w:sz w:val="32"/>
          <w:szCs w:val="32"/>
          <w:highlight w:val="none"/>
          <w:lang w:val="en-US" w:eastAsia="zh-CN"/>
        </w:rPr>
        <w:t>3</w:t>
      </w:r>
      <w:r>
        <w:rPr>
          <w:rStyle w:val="10"/>
          <w:rFonts w:hint="eastAsia" w:ascii="仿宋_GB2312" w:hAnsi="仿宋_GB2312" w:eastAsia="仿宋_GB2312" w:cs="仿宋_GB2312"/>
          <w:b w:val="0"/>
          <w:bCs/>
          <w:sz w:val="32"/>
          <w:szCs w:val="32"/>
          <w:highlight w:val="none"/>
          <w:lang w:eastAsia="zh-CN"/>
        </w:rPr>
        <w:t>个工作日内变更或撤销该不良信用信息。</w:t>
      </w:r>
    </w:p>
    <w:p w14:paraId="5DB0FAC9">
      <w:pPr>
        <w:pageBreakBefore w:val="0"/>
        <w:widowControl w:val="0"/>
        <w:shd w:val="clear" w:color="auto" w:fill="FFFFFF"/>
        <w:kinsoku/>
        <w:wordWrap/>
        <w:overflowPunct w:val="0"/>
        <w:topLinePunct w:val="0"/>
        <w:autoSpaceDE/>
        <w:autoSpaceDN/>
        <w:bidi w:val="0"/>
        <w:spacing w:line="600" w:lineRule="exact"/>
        <w:ind w:leftChars="0" w:firstLine="643"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b/>
          <w:bCs/>
          <w:color w:val="000000"/>
          <w:kern w:val="21"/>
          <w:sz w:val="32"/>
          <w:szCs w:val="32"/>
          <w:highlight w:val="none"/>
        </w:rPr>
        <w:t>第十</w:t>
      </w:r>
      <w:r>
        <w:rPr>
          <w:rFonts w:hint="eastAsia" w:ascii="仿宋_GB2312" w:hAnsi="仿宋_GB2312" w:eastAsia="仿宋_GB2312" w:cs="仿宋_GB2312"/>
          <w:b/>
          <w:bCs/>
          <w:color w:val="000000"/>
          <w:kern w:val="21"/>
          <w:sz w:val="32"/>
          <w:szCs w:val="32"/>
          <w:highlight w:val="none"/>
          <w:lang w:eastAsia="zh-CN"/>
        </w:rPr>
        <w:t>八</w:t>
      </w:r>
      <w:r>
        <w:rPr>
          <w:rFonts w:hint="eastAsia" w:ascii="仿宋_GB2312" w:hAnsi="仿宋_GB2312" w:eastAsia="仿宋_GB2312" w:cs="仿宋_GB2312"/>
          <w:b/>
          <w:bCs/>
          <w:color w:val="000000"/>
          <w:kern w:val="21"/>
          <w:sz w:val="32"/>
          <w:szCs w:val="32"/>
          <w:highlight w:val="none"/>
        </w:rPr>
        <w:t>条</w:t>
      </w:r>
      <w:r>
        <w:rPr>
          <w:rFonts w:hint="eastAsia" w:ascii="仿宋_GB2312" w:hAnsi="仿宋_GB2312" w:eastAsia="仿宋_GB2312" w:cs="仿宋_GB2312"/>
          <w:color w:val="000000"/>
          <w:kern w:val="21"/>
          <w:sz w:val="32"/>
          <w:szCs w:val="32"/>
          <w:highlight w:val="none"/>
          <w:lang w:val="en-US" w:eastAsia="zh-CN"/>
        </w:rPr>
        <w:t xml:space="preserve">  </w:t>
      </w:r>
      <w:r>
        <w:rPr>
          <w:rFonts w:hint="eastAsia" w:ascii="仿宋_GB2312" w:hAnsi="仿宋_GB2312" w:eastAsia="仿宋_GB2312" w:cs="仿宋_GB2312"/>
          <w:color w:val="000000"/>
          <w:kern w:val="21"/>
          <w:sz w:val="32"/>
          <w:szCs w:val="32"/>
          <w:highlight w:val="none"/>
        </w:rPr>
        <w:t>各级住建部门应建立信用信息异议申诉与复核制度，公开信用信息异议处理部门和联系方式。</w:t>
      </w:r>
    </w:p>
    <w:p w14:paraId="62ADE0D0">
      <w:pPr>
        <w:pageBreakBefore w:val="0"/>
        <w:widowControl w:val="0"/>
        <w:shd w:val="clear" w:color="auto" w:fill="FFFFFF"/>
        <w:kinsoku/>
        <w:wordWrap/>
        <w:overflowPunct w:val="0"/>
        <w:topLinePunct w:val="0"/>
        <w:autoSpaceDE/>
        <w:autoSpaceDN/>
        <w:bidi w:val="0"/>
        <w:spacing w:line="600" w:lineRule="exact"/>
        <w:ind w:leftChars="0"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lang w:val="en-US" w:eastAsia="zh-CN"/>
        </w:rPr>
        <w:t>混凝土企业</w:t>
      </w:r>
      <w:r>
        <w:rPr>
          <w:rFonts w:hint="eastAsia" w:ascii="仿宋_GB2312" w:hAnsi="仿宋_GB2312" w:eastAsia="仿宋_GB2312" w:cs="仿宋_GB2312"/>
          <w:color w:val="000000"/>
          <w:kern w:val="21"/>
          <w:sz w:val="32"/>
          <w:szCs w:val="32"/>
          <w:highlight w:val="none"/>
        </w:rPr>
        <w:t>对信用信息及其变更等存在异议的，可以向采集该信用信息的部门提出书面申诉，并提交相关证明材料。该信用信息采集部门应当自受理申诉之日起</w:t>
      </w:r>
      <w:r>
        <w:rPr>
          <w:rFonts w:hint="default" w:ascii="Times New Roman" w:hAnsi="Times New Roman" w:eastAsia="仿宋_GB2312" w:cs="Times New Roman"/>
          <w:color w:val="000000"/>
          <w:kern w:val="21"/>
          <w:sz w:val="32"/>
          <w:szCs w:val="32"/>
          <w:highlight w:val="none"/>
        </w:rPr>
        <w:t>15</w:t>
      </w:r>
      <w:r>
        <w:rPr>
          <w:rFonts w:hint="eastAsia" w:ascii="仿宋_GB2312" w:hAnsi="仿宋_GB2312" w:eastAsia="仿宋_GB2312" w:cs="仿宋_GB2312"/>
          <w:color w:val="000000"/>
          <w:kern w:val="21"/>
          <w:sz w:val="32"/>
          <w:szCs w:val="32"/>
          <w:highlight w:val="none"/>
        </w:rPr>
        <w:t>个工作日内进行核实并作出处理。</w:t>
      </w:r>
    </w:p>
    <w:p w14:paraId="2E572653">
      <w:pPr>
        <w:pageBreakBefore w:val="0"/>
        <w:widowControl w:val="0"/>
        <w:shd w:val="clear" w:color="auto" w:fill="FFFFFF"/>
        <w:kinsoku/>
        <w:wordWrap/>
        <w:overflowPunct w:val="0"/>
        <w:topLinePunct w:val="0"/>
        <w:autoSpaceDE/>
        <w:autoSpaceDN/>
        <w:bidi w:val="0"/>
        <w:spacing w:line="600" w:lineRule="exact"/>
        <w:ind w:leftChars="0" w:firstLine="643" w:firstLineChars="200"/>
        <w:textAlignment w:val="auto"/>
        <w:rPr>
          <w:rStyle w:val="10"/>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bCs/>
          <w:color w:val="000000"/>
          <w:kern w:val="21"/>
          <w:sz w:val="32"/>
          <w:szCs w:val="32"/>
          <w:highlight w:val="none"/>
        </w:rPr>
        <w:t>第十</w:t>
      </w:r>
      <w:r>
        <w:rPr>
          <w:rFonts w:hint="eastAsia" w:ascii="仿宋_GB2312" w:hAnsi="仿宋_GB2312" w:eastAsia="仿宋_GB2312" w:cs="仿宋_GB2312"/>
          <w:b/>
          <w:bCs/>
          <w:color w:val="000000"/>
          <w:kern w:val="21"/>
          <w:sz w:val="32"/>
          <w:szCs w:val="32"/>
          <w:highlight w:val="none"/>
          <w:lang w:eastAsia="zh-CN"/>
        </w:rPr>
        <w:t>九</w:t>
      </w:r>
      <w:r>
        <w:rPr>
          <w:rFonts w:hint="eastAsia" w:ascii="仿宋_GB2312" w:hAnsi="仿宋_GB2312" w:eastAsia="仿宋_GB2312" w:cs="仿宋_GB2312"/>
          <w:b/>
          <w:bCs/>
          <w:color w:val="000000"/>
          <w:kern w:val="21"/>
          <w:sz w:val="32"/>
          <w:szCs w:val="32"/>
          <w:highlight w:val="none"/>
        </w:rPr>
        <w:t>条</w:t>
      </w:r>
      <w:r>
        <w:rPr>
          <w:rFonts w:hint="eastAsia" w:ascii="仿宋_GB2312" w:hAnsi="仿宋_GB2312" w:eastAsia="仿宋_GB2312" w:cs="仿宋_GB2312"/>
          <w:color w:val="000000"/>
          <w:kern w:val="21"/>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各级住建部门应加强与</w:t>
      </w:r>
      <w:r>
        <w:rPr>
          <w:rFonts w:hint="eastAsia" w:ascii="仿宋_GB2312" w:hAnsi="仿宋_GB2312" w:eastAsia="仿宋_GB2312" w:cs="仿宋_GB2312"/>
          <w:color w:val="000000"/>
          <w:kern w:val="0"/>
          <w:sz w:val="32"/>
          <w:szCs w:val="32"/>
          <w:highlight w:val="none"/>
          <w:lang w:eastAsia="zh-CN"/>
        </w:rPr>
        <w:t>交通、公安、生态环保和司法等</w:t>
      </w:r>
      <w:r>
        <w:rPr>
          <w:rFonts w:hint="eastAsia" w:ascii="仿宋_GB2312" w:hAnsi="仿宋_GB2312" w:eastAsia="仿宋_GB2312" w:cs="仿宋_GB2312"/>
          <w:color w:val="000000"/>
          <w:kern w:val="0"/>
          <w:sz w:val="32"/>
          <w:szCs w:val="32"/>
          <w:highlight w:val="none"/>
        </w:rPr>
        <w:t>工程建设相关主管部门的工作协同，推动信用信息互联共享，建立联合守信激励和失信惩戒机制</w:t>
      </w:r>
      <w:r>
        <w:rPr>
          <w:rFonts w:hint="eastAsia" w:ascii="仿宋_GB2312" w:hAnsi="仿宋_GB2312" w:eastAsia="仿宋_GB2312" w:cs="仿宋_GB2312"/>
          <w:color w:val="000000"/>
          <w:kern w:val="21"/>
          <w:sz w:val="32"/>
          <w:szCs w:val="32"/>
          <w:highlight w:val="none"/>
        </w:rPr>
        <w:t>。</w:t>
      </w:r>
    </w:p>
    <w:p w14:paraId="2CCEC4EE">
      <w:pPr>
        <w:pageBreakBefore w:val="0"/>
        <w:widowControl w:val="0"/>
        <w:shd w:val="clear" w:color="auto" w:fill="FFFFFF"/>
        <w:kinsoku/>
        <w:wordWrap/>
        <w:overflowPunct w:val="0"/>
        <w:topLinePunct w:val="0"/>
        <w:autoSpaceDE/>
        <w:autoSpaceDN/>
        <w:bidi w:val="0"/>
        <w:spacing w:line="600" w:lineRule="exact"/>
        <w:ind w:leftChars="0" w:firstLine="643"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b/>
          <w:bCs/>
          <w:color w:val="000000"/>
          <w:kern w:val="21"/>
          <w:sz w:val="32"/>
          <w:szCs w:val="32"/>
          <w:highlight w:val="none"/>
        </w:rPr>
        <w:t>第</w:t>
      </w:r>
      <w:r>
        <w:rPr>
          <w:rFonts w:hint="eastAsia" w:ascii="仿宋_GB2312" w:hAnsi="仿宋_GB2312" w:eastAsia="仿宋_GB2312" w:cs="仿宋_GB2312"/>
          <w:b/>
          <w:bCs/>
          <w:color w:val="000000"/>
          <w:kern w:val="21"/>
          <w:sz w:val="32"/>
          <w:szCs w:val="32"/>
          <w:highlight w:val="none"/>
          <w:lang w:eastAsia="zh-CN"/>
        </w:rPr>
        <w:t>二</w:t>
      </w:r>
      <w:r>
        <w:rPr>
          <w:rFonts w:hint="eastAsia" w:ascii="仿宋_GB2312" w:hAnsi="仿宋_GB2312" w:eastAsia="仿宋_GB2312" w:cs="仿宋_GB2312"/>
          <w:b/>
          <w:bCs/>
          <w:color w:val="000000"/>
          <w:kern w:val="21"/>
          <w:sz w:val="32"/>
          <w:szCs w:val="32"/>
          <w:highlight w:val="none"/>
        </w:rPr>
        <w:t>十条</w:t>
      </w:r>
      <w:r>
        <w:rPr>
          <w:rFonts w:hint="eastAsia" w:ascii="仿宋_GB2312" w:hAnsi="仿宋_GB2312" w:eastAsia="仿宋_GB2312" w:cs="仿宋_GB2312"/>
          <w:color w:val="000000"/>
          <w:kern w:val="21"/>
          <w:sz w:val="32"/>
          <w:szCs w:val="32"/>
          <w:highlight w:val="none"/>
          <w:lang w:val="en-US" w:eastAsia="zh-CN"/>
        </w:rPr>
        <w:t xml:space="preserve">  相关的执法部门或监管机构应</w:t>
      </w:r>
      <w:r>
        <w:rPr>
          <w:rFonts w:hint="eastAsia" w:ascii="仿宋_GB2312" w:hAnsi="仿宋_GB2312" w:eastAsia="仿宋_GB2312" w:cs="仿宋_GB2312"/>
          <w:color w:val="000000"/>
          <w:kern w:val="0"/>
          <w:sz w:val="32"/>
          <w:szCs w:val="32"/>
          <w:highlight w:val="none"/>
        </w:rPr>
        <w:t>严格依法使用信用信息，不得依据超过公开期限的不良信用信息对</w:t>
      </w:r>
      <w:r>
        <w:rPr>
          <w:rFonts w:hint="eastAsia" w:ascii="仿宋_GB2312" w:hAnsi="仿宋_GB2312" w:eastAsia="仿宋_GB2312" w:cs="仿宋_GB2312"/>
          <w:color w:val="000000"/>
          <w:kern w:val="0"/>
          <w:sz w:val="32"/>
          <w:szCs w:val="32"/>
          <w:highlight w:val="none"/>
          <w:lang w:eastAsia="zh-CN"/>
        </w:rPr>
        <w:t>混凝土企业</w:t>
      </w:r>
      <w:r>
        <w:rPr>
          <w:rFonts w:hint="eastAsia" w:ascii="仿宋_GB2312" w:hAnsi="仿宋_GB2312" w:eastAsia="仿宋_GB2312" w:cs="仿宋_GB2312"/>
          <w:color w:val="000000"/>
          <w:kern w:val="0"/>
          <w:sz w:val="32"/>
          <w:szCs w:val="32"/>
          <w:highlight w:val="none"/>
        </w:rPr>
        <w:t>进行限制和惩戒。</w:t>
      </w:r>
      <w:r>
        <w:rPr>
          <w:rFonts w:hint="eastAsia" w:ascii="仿宋_GB2312" w:hAnsi="仿宋_GB2312" w:eastAsia="仿宋_GB2312" w:cs="仿宋_GB2312"/>
          <w:color w:val="000000"/>
          <w:kern w:val="0"/>
          <w:sz w:val="32"/>
          <w:szCs w:val="32"/>
          <w:highlight w:val="none"/>
          <w:lang w:eastAsia="zh-CN"/>
        </w:rPr>
        <w:t>法律法规</w:t>
      </w:r>
      <w:r>
        <w:rPr>
          <w:rFonts w:hint="eastAsia" w:ascii="仿宋_GB2312" w:hAnsi="仿宋_GB2312" w:eastAsia="仿宋_GB2312" w:cs="仿宋_GB2312"/>
          <w:color w:val="000000"/>
          <w:kern w:val="0"/>
          <w:sz w:val="32"/>
          <w:szCs w:val="32"/>
          <w:highlight w:val="none"/>
        </w:rPr>
        <w:t>另有规定的，从其规定</w:t>
      </w:r>
      <w:r>
        <w:rPr>
          <w:rFonts w:hint="eastAsia" w:ascii="仿宋_GB2312" w:hAnsi="仿宋_GB2312" w:eastAsia="仿宋_GB2312" w:cs="仿宋_GB2312"/>
          <w:color w:val="000000"/>
          <w:kern w:val="21"/>
          <w:sz w:val="32"/>
          <w:szCs w:val="32"/>
          <w:highlight w:val="none"/>
        </w:rPr>
        <w:t>。</w:t>
      </w:r>
    </w:p>
    <w:p w14:paraId="41B7875F">
      <w:pPr>
        <w:pageBreakBefore w:val="0"/>
        <w:widowControl w:val="0"/>
        <w:shd w:val="clear" w:color="auto" w:fill="FFFFFF"/>
        <w:kinsoku/>
        <w:wordWrap/>
        <w:overflowPunct w:val="0"/>
        <w:topLinePunct w:val="0"/>
        <w:autoSpaceDE/>
        <w:autoSpaceDN/>
        <w:bidi w:val="0"/>
        <w:spacing w:line="600" w:lineRule="exact"/>
        <w:ind w:leftChars="0" w:firstLine="640" w:firstLineChars="200"/>
        <w:textAlignment w:val="auto"/>
        <w:rPr>
          <w:rFonts w:hint="eastAsia" w:ascii="仿宋_GB2312" w:hAnsi="仿宋_GB2312" w:eastAsia="仿宋_GB2312" w:cs="仿宋_GB2312"/>
          <w:color w:val="000000"/>
          <w:kern w:val="21"/>
          <w:sz w:val="32"/>
          <w:szCs w:val="32"/>
          <w:highlight w:val="none"/>
        </w:rPr>
      </w:pPr>
    </w:p>
    <w:p w14:paraId="093BE98E">
      <w:pPr>
        <w:pStyle w:val="3"/>
        <w:keepNext/>
        <w:keepLines/>
        <w:pageBreakBefore w:val="0"/>
        <w:widowControl w:val="0"/>
        <w:numPr>
          <w:ilvl w:val="0"/>
          <w:numId w:val="1"/>
        </w:numPr>
        <w:kinsoku/>
        <w:wordWrap/>
        <w:overflowPunct/>
        <w:topLinePunct w:val="0"/>
        <w:autoSpaceDE/>
        <w:autoSpaceDN/>
        <w:bidi w:val="0"/>
        <w:adjustRightInd/>
        <w:snapToGrid/>
        <w:spacing w:line="600" w:lineRule="exact"/>
        <w:ind w:leftChars="0" w:firstLine="0" w:firstLineChars="0"/>
        <w:textAlignment w:val="auto"/>
        <w:rPr>
          <w:rFonts w:hint="eastAsia" w:ascii="黑体" w:hAnsi="黑体"/>
          <w:sz w:val="32"/>
          <w:highlight w:val="none"/>
        </w:rPr>
      </w:pPr>
      <w:r>
        <w:rPr>
          <w:rFonts w:hint="eastAsia" w:ascii="黑体" w:hAnsi="黑体"/>
          <w:sz w:val="32"/>
          <w:highlight w:val="none"/>
        </w:rPr>
        <w:t>严重失信主体管理</w:t>
      </w:r>
    </w:p>
    <w:p w14:paraId="26F9D836">
      <w:pPr>
        <w:keepNext w:val="0"/>
        <w:keepLines w:val="0"/>
        <w:pageBreakBefore w:val="0"/>
        <w:widowControl w:val="0"/>
        <w:kinsoku/>
        <w:wordWrap/>
        <w:overflowPunct w:val="0"/>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1"/>
          <w:sz w:val="32"/>
          <w:szCs w:val="32"/>
          <w14:textFill>
            <w14:solidFill>
              <w14:schemeClr w14:val="tx1"/>
            </w14:solidFill>
          </w14:textFill>
        </w:rPr>
        <w:t>第二十</w:t>
      </w:r>
      <w:r>
        <w:rPr>
          <w:rFonts w:hint="eastAsia" w:ascii="仿宋_GB2312" w:hAnsi="仿宋_GB2312" w:eastAsia="仿宋_GB2312" w:cs="仿宋_GB2312"/>
          <w:b/>
          <w:bCs/>
          <w:color w:val="000000" w:themeColor="text1"/>
          <w:kern w:val="21"/>
          <w:sz w:val="32"/>
          <w:szCs w:val="32"/>
          <w:lang w:eastAsia="zh-CN"/>
          <w14:textFill>
            <w14:solidFill>
              <w14:schemeClr w14:val="tx1"/>
            </w14:solidFill>
          </w14:textFill>
        </w:rPr>
        <w:t>一</w:t>
      </w:r>
      <w:r>
        <w:rPr>
          <w:rFonts w:hint="eastAsia" w:ascii="仿宋_GB2312" w:hAnsi="仿宋_GB2312" w:eastAsia="仿宋_GB2312" w:cs="仿宋_GB2312"/>
          <w:b/>
          <w:bCs/>
          <w:color w:val="000000" w:themeColor="text1"/>
          <w:kern w:val="2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严重失信主体名单的认定标准依照法律法规和国家有关规定确定的标准执行，在信用评价标准中明确。</w:t>
      </w:r>
    </w:p>
    <w:p w14:paraId="45A8440B">
      <w:pPr>
        <w:keepNext w:val="0"/>
        <w:keepLines w:val="0"/>
        <w:pageBreakBefore w:val="0"/>
        <w:widowControl w:val="0"/>
        <w:kinsoku/>
        <w:wordWrap/>
        <w:overflowPunct w:val="0"/>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1"/>
          <w:sz w:val="32"/>
          <w:szCs w:val="32"/>
          <w14:textFill>
            <w14:solidFill>
              <w14:schemeClr w14:val="tx1"/>
            </w14:solidFill>
          </w14:textFill>
        </w:rPr>
        <w:t>第二十</w:t>
      </w:r>
      <w:r>
        <w:rPr>
          <w:rFonts w:hint="eastAsia" w:ascii="仿宋_GB2312" w:hAnsi="仿宋_GB2312" w:eastAsia="仿宋_GB2312" w:cs="仿宋_GB2312"/>
          <w:b/>
          <w:bCs/>
          <w:color w:val="000000" w:themeColor="text1"/>
          <w:kern w:val="21"/>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kern w:val="21"/>
          <w:sz w:val="32"/>
          <w:szCs w:val="32"/>
          <w14:textFill>
            <w14:solidFill>
              <w14:schemeClr w14:val="tx1"/>
            </w14:solidFill>
          </w14:textFill>
        </w:rPr>
        <w:t>条</w:t>
      </w:r>
      <w:r>
        <w:rPr>
          <w:rFonts w:hint="eastAsia" w:ascii="仿宋_GB2312" w:hAnsi="仿宋_GB2312" w:eastAsia="仿宋_GB2312" w:cs="仿宋_GB2312"/>
          <w:b/>
          <w:bCs/>
          <w:color w:val="000000" w:themeColor="text1"/>
          <w:kern w:val="2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列入严重失信主体名单的</w:t>
      </w:r>
      <w:r>
        <w:rPr>
          <w:rFonts w:hint="eastAsia" w:ascii="仿宋_GB2312" w:hAnsi="仿宋_GB2312" w:eastAsia="仿宋_GB2312" w:cs="仿宋_GB2312"/>
          <w:color w:val="000000" w:themeColor="text1"/>
          <w:sz w:val="32"/>
          <w:szCs w:val="32"/>
          <w:lang w:eastAsia="zh-CN"/>
          <w14:textFill>
            <w14:solidFill>
              <w14:schemeClr w14:val="tx1"/>
            </w14:solidFill>
          </w14:textFill>
        </w:rPr>
        <w:t>混凝土企业</w:t>
      </w:r>
      <w:r>
        <w:rPr>
          <w:rFonts w:hint="eastAsia" w:ascii="仿宋_GB2312" w:hAnsi="仿宋_GB2312" w:eastAsia="仿宋_GB2312" w:cs="仿宋_GB2312"/>
          <w:color w:val="000000" w:themeColor="text1"/>
          <w:sz w:val="32"/>
          <w:szCs w:val="32"/>
          <w14:textFill>
            <w14:solidFill>
              <w14:schemeClr w14:val="tx1"/>
            </w14:solidFill>
          </w14:textFill>
        </w:rPr>
        <w:t>在公示期内暂停其信用信息的采集、认定及信用评价等活动，实施最严格监管。严重失信主体名单公示期届满后，按照其被列入严重失信主体名单时的信用状况实施信用管理。</w:t>
      </w:r>
    </w:p>
    <w:p w14:paraId="78EBC3B5">
      <w:pPr>
        <w:pageBreakBefore w:val="0"/>
        <w:widowControl w:val="0"/>
        <w:shd w:val="clear" w:color="auto" w:fill="FFFFFF"/>
        <w:kinsoku/>
        <w:wordWrap/>
        <w:overflowPunct w:val="0"/>
        <w:topLinePunct w:val="0"/>
        <w:autoSpaceDE/>
        <w:autoSpaceDN/>
        <w:bidi w:val="0"/>
        <w:spacing w:line="600" w:lineRule="exact"/>
        <w:ind w:leftChars="0" w:firstLine="640" w:firstLineChars="200"/>
        <w:textAlignment w:val="auto"/>
        <w:rPr>
          <w:rFonts w:hint="eastAsia" w:ascii="仿宋_GB2312" w:hAnsi="仿宋_GB2312" w:eastAsia="仿宋_GB2312" w:cs="仿宋_GB2312"/>
          <w:color w:val="000000"/>
          <w:kern w:val="21"/>
          <w:sz w:val="32"/>
          <w:szCs w:val="32"/>
          <w:highlight w:val="none"/>
        </w:rPr>
      </w:pPr>
    </w:p>
    <w:p w14:paraId="6B731CC3">
      <w:pPr>
        <w:pStyle w:val="3"/>
        <w:keepNext/>
        <w:keepLines/>
        <w:pageBreakBefore w:val="0"/>
        <w:widowControl w:val="0"/>
        <w:numPr>
          <w:ilvl w:val="0"/>
          <w:numId w:val="1"/>
        </w:numPr>
        <w:kinsoku/>
        <w:wordWrap/>
        <w:overflowPunct/>
        <w:topLinePunct w:val="0"/>
        <w:autoSpaceDE/>
        <w:autoSpaceDN/>
        <w:bidi w:val="0"/>
        <w:adjustRightInd/>
        <w:snapToGrid/>
        <w:spacing w:line="600" w:lineRule="exact"/>
        <w:ind w:leftChars="0" w:firstLine="0" w:firstLineChars="0"/>
        <w:textAlignment w:val="auto"/>
        <w:rPr>
          <w:rFonts w:hint="eastAsia" w:ascii="黑体" w:hAnsi="黑体"/>
          <w:sz w:val="32"/>
          <w:highlight w:val="none"/>
        </w:rPr>
      </w:pPr>
      <w:r>
        <w:rPr>
          <w:rFonts w:hint="eastAsia" w:ascii="黑体" w:hAnsi="黑体"/>
          <w:sz w:val="32"/>
          <w:highlight w:val="none"/>
        </w:rPr>
        <w:t>信用修复</w:t>
      </w:r>
    </w:p>
    <w:p w14:paraId="03BEE277">
      <w:pPr>
        <w:pageBreakBefore w:val="0"/>
        <w:widowControl w:val="0"/>
        <w:kinsoku/>
        <w:wordWrap/>
        <w:topLinePunct w:val="0"/>
        <w:autoSpaceDE/>
        <w:autoSpaceDN/>
        <w:bidi w:val="0"/>
        <w:spacing w:line="600" w:lineRule="exact"/>
        <w:ind w:leftChars="0" w:firstLine="643"/>
        <w:textAlignment w:val="auto"/>
        <w:rPr>
          <w:rStyle w:val="10"/>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bCs/>
          <w:kern w:val="2"/>
          <w:sz w:val="32"/>
          <w:szCs w:val="32"/>
          <w:highlight w:val="none"/>
          <w:lang w:val="en-US" w:eastAsia="zh-CN" w:bidi="ar-SA"/>
        </w:rPr>
        <w:t xml:space="preserve">第二十三条 </w:t>
      </w:r>
      <w:r>
        <w:rPr>
          <w:rFonts w:hint="eastAsia" w:ascii="仿宋_GB2312" w:hAnsi="仿宋_GB2312" w:eastAsia="仿宋_GB2312" w:cs="仿宋_GB2312"/>
          <w:sz w:val="32"/>
          <w:szCs w:val="32"/>
          <w:highlight w:val="none"/>
        </w:rPr>
        <w:t xml:space="preserve"> </w:t>
      </w:r>
      <w:r>
        <w:rPr>
          <w:rStyle w:val="10"/>
          <w:rFonts w:hint="eastAsia" w:ascii="仿宋_GB2312" w:hAnsi="仿宋_GB2312" w:eastAsia="仿宋_GB2312" w:cs="仿宋_GB2312"/>
          <w:b w:val="0"/>
          <w:bCs/>
          <w:sz w:val="32"/>
          <w:szCs w:val="32"/>
          <w:highlight w:val="none"/>
          <w:lang w:eastAsia="zh-CN"/>
        </w:rPr>
        <w:t>信用修复应满足以下条件：</w:t>
      </w:r>
    </w:p>
    <w:p w14:paraId="19A3EB12">
      <w:pPr>
        <w:pageBreakBefore w:val="0"/>
        <w:widowControl w:val="0"/>
        <w:shd w:val="clear" w:color="auto" w:fill="FFFFFF"/>
        <w:kinsoku/>
        <w:wordWrap/>
        <w:overflowPunct w:val="0"/>
        <w:topLinePunct w:val="0"/>
        <w:autoSpaceDE/>
        <w:autoSpaceDN/>
        <w:bidi w:val="0"/>
        <w:spacing w:line="600" w:lineRule="exact"/>
        <w:ind w:leftChars="0"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（一）该不良行为已主动纠正、消除不良影响且未造成严重危害后果；</w:t>
      </w:r>
    </w:p>
    <w:p w14:paraId="3D922782">
      <w:pPr>
        <w:pageBreakBefore w:val="0"/>
        <w:widowControl w:val="0"/>
        <w:shd w:val="clear" w:color="auto" w:fill="FFFFFF"/>
        <w:kinsoku/>
        <w:wordWrap/>
        <w:overflowPunct w:val="0"/>
        <w:topLinePunct w:val="0"/>
        <w:autoSpaceDE/>
        <w:autoSpaceDN/>
        <w:bidi w:val="0"/>
        <w:spacing w:line="600" w:lineRule="exact"/>
        <w:ind w:leftChars="0"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（二）</w:t>
      </w:r>
      <w:r>
        <w:rPr>
          <w:rFonts w:hint="eastAsia" w:ascii="仿宋_GB2312" w:hAnsi="仿宋_GB2312" w:eastAsia="仿宋_GB2312" w:cs="仿宋_GB2312"/>
          <w:color w:val="000000"/>
          <w:kern w:val="21"/>
          <w:sz w:val="32"/>
          <w:szCs w:val="32"/>
          <w:highlight w:val="none"/>
          <w:lang w:eastAsia="zh-CN"/>
        </w:rPr>
        <w:t>最低公开有效期不低于</w:t>
      </w:r>
      <w:r>
        <w:rPr>
          <w:rFonts w:hint="default" w:ascii="Times New Roman" w:hAnsi="Times New Roman" w:eastAsia="仿宋_GB2312" w:cs="Times New Roman"/>
          <w:color w:val="000000"/>
          <w:kern w:val="21"/>
          <w:sz w:val="32"/>
          <w:szCs w:val="32"/>
          <w:highlight w:val="none"/>
        </w:rPr>
        <w:t>6</w:t>
      </w:r>
      <w:r>
        <w:rPr>
          <w:rFonts w:hint="eastAsia" w:ascii="仿宋_GB2312" w:hAnsi="仿宋_GB2312" w:eastAsia="仿宋_GB2312" w:cs="仿宋_GB2312"/>
          <w:color w:val="000000"/>
          <w:kern w:val="21"/>
          <w:sz w:val="32"/>
          <w:szCs w:val="32"/>
          <w:highlight w:val="none"/>
        </w:rPr>
        <w:t>个月；</w:t>
      </w:r>
    </w:p>
    <w:p w14:paraId="1CEA34AC">
      <w:pPr>
        <w:pageBreakBefore w:val="0"/>
        <w:widowControl w:val="0"/>
        <w:shd w:val="clear" w:color="auto" w:fill="FFFFFF"/>
        <w:kinsoku/>
        <w:wordWrap/>
        <w:overflowPunct w:val="0"/>
        <w:topLinePunct w:val="0"/>
        <w:autoSpaceDE/>
        <w:autoSpaceDN/>
        <w:bidi w:val="0"/>
        <w:spacing w:line="600" w:lineRule="exact"/>
        <w:ind w:leftChars="0"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（三）该不良行为自认定之日起，到申请修复前未再发生同类不良行为。</w:t>
      </w:r>
    </w:p>
    <w:p w14:paraId="1BA5C685">
      <w:pPr>
        <w:pageBreakBefore w:val="0"/>
        <w:widowControl w:val="0"/>
        <w:shd w:val="clear" w:color="auto" w:fill="FFFFFF"/>
        <w:kinsoku/>
        <w:wordWrap/>
        <w:overflowPunct w:val="0"/>
        <w:topLinePunct w:val="0"/>
        <w:autoSpaceDE/>
        <w:autoSpaceDN/>
        <w:bidi w:val="0"/>
        <w:spacing w:line="600" w:lineRule="exact"/>
        <w:ind w:leftChars="0" w:firstLine="643"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b/>
          <w:color w:val="000000"/>
          <w:kern w:val="21"/>
          <w:sz w:val="32"/>
          <w:szCs w:val="32"/>
          <w:highlight w:val="none"/>
        </w:rPr>
        <w:t>第二十</w:t>
      </w:r>
      <w:r>
        <w:rPr>
          <w:rFonts w:hint="eastAsia" w:ascii="仿宋_GB2312" w:hAnsi="仿宋_GB2312" w:eastAsia="仿宋_GB2312" w:cs="仿宋_GB2312"/>
          <w:b/>
          <w:color w:val="000000"/>
          <w:kern w:val="21"/>
          <w:sz w:val="32"/>
          <w:szCs w:val="32"/>
          <w:highlight w:val="none"/>
          <w:lang w:eastAsia="zh-CN"/>
        </w:rPr>
        <w:t>四</w:t>
      </w:r>
      <w:r>
        <w:rPr>
          <w:rFonts w:hint="eastAsia" w:ascii="仿宋_GB2312" w:hAnsi="仿宋_GB2312" w:eastAsia="仿宋_GB2312" w:cs="仿宋_GB2312"/>
          <w:b/>
          <w:color w:val="000000"/>
          <w:kern w:val="21"/>
          <w:sz w:val="32"/>
          <w:szCs w:val="32"/>
          <w:highlight w:val="none"/>
        </w:rPr>
        <w:t>条</w:t>
      </w:r>
      <w:r>
        <w:rPr>
          <w:rFonts w:hint="eastAsia" w:ascii="仿宋_GB2312" w:hAnsi="仿宋_GB2312" w:eastAsia="仿宋_GB2312" w:cs="仿宋_GB2312"/>
          <w:color w:val="000000"/>
          <w:kern w:val="21"/>
          <w:sz w:val="32"/>
          <w:szCs w:val="32"/>
          <w:highlight w:val="none"/>
        </w:rPr>
        <w:t xml:space="preserve">  信用修复程序：</w:t>
      </w:r>
    </w:p>
    <w:p w14:paraId="3A36BB61">
      <w:pPr>
        <w:pageBreakBefore w:val="0"/>
        <w:widowControl w:val="0"/>
        <w:shd w:val="clear" w:color="auto" w:fill="FFFFFF"/>
        <w:kinsoku/>
        <w:wordWrap/>
        <w:overflowPunct w:val="0"/>
        <w:topLinePunct w:val="0"/>
        <w:autoSpaceDE/>
        <w:autoSpaceDN/>
        <w:bidi w:val="0"/>
        <w:spacing w:line="600" w:lineRule="exact"/>
        <w:ind w:leftChars="0"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（一）提出申请。申请人向原不良行为信息采集部门提出书面修复申请，并提供已完成整改、消除不良影响</w:t>
      </w:r>
      <w:r>
        <w:rPr>
          <w:rFonts w:hint="eastAsia" w:ascii="仿宋_GB2312" w:hAnsi="仿宋_GB2312" w:eastAsia="仿宋_GB2312" w:cs="仿宋_GB2312"/>
          <w:color w:val="000000"/>
          <w:kern w:val="21"/>
          <w:sz w:val="32"/>
          <w:szCs w:val="32"/>
          <w:highlight w:val="none"/>
          <w:lang w:eastAsia="zh-CN"/>
        </w:rPr>
        <w:t>、完成相应赔偿等信用修复工作</w:t>
      </w:r>
      <w:r>
        <w:rPr>
          <w:rFonts w:hint="eastAsia" w:ascii="仿宋_GB2312" w:hAnsi="仿宋_GB2312" w:eastAsia="仿宋_GB2312" w:cs="仿宋_GB2312"/>
          <w:color w:val="000000"/>
          <w:kern w:val="21"/>
          <w:sz w:val="32"/>
          <w:szCs w:val="32"/>
          <w:highlight w:val="none"/>
        </w:rPr>
        <w:t>的相关材料。</w:t>
      </w:r>
    </w:p>
    <w:p w14:paraId="100AA0FE">
      <w:pPr>
        <w:pageBreakBefore w:val="0"/>
        <w:widowControl w:val="0"/>
        <w:shd w:val="clear" w:color="auto" w:fill="FFFFFF"/>
        <w:kinsoku/>
        <w:wordWrap/>
        <w:overflowPunct w:val="0"/>
        <w:topLinePunct w:val="0"/>
        <w:autoSpaceDE/>
        <w:autoSpaceDN/>
        <w:bidi w:val="0"/>
        <w:spacing w:line="600" w:lineRule="exact"/>
        <w:ind w:leftChars="0"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（二）受理申请。原不良行为信息采集部门应当自收到申请之日起</w:t>
      </w:r>
      <w:r>
        <w:rPr>
          <w:rFonts w:hint="default" w:ascii="Times New Roman" w:hAnsi="Times New Roman" w:eastAsia="仿宋_GB2312" w:cs="Times New Roman"/>
          <w:color w:val="000000"/>
          <w:kern w:val="21"/>
          <w:sz w:val="32"/>
          <w:szCs w:val="32"/>
          <w:highlight w:val="none"/>
          <w:lang w:val="en-US" w:eastAsia="zh-CN"/>
        </w:rPr>
        <w:t>10</w:t>
      </w:r>
      <w:r>
        <w:rPr>
          <w:rFonts w:hint="eastAsia" w:ascii="仿宋_GB2312" w:hAnsi="仿宋_GB2312" w:eastAsia="仿宋_GB2312" w:cs="仿宋_GB2312"/>
          <w:color w:val="000000"/>
          <w:kern w:val="21"/>
          <w:sz w:val="32"/>
          <w:szCs w:val="32"/>
          <w:highlight w:val="none"/>
        </w:rPr>
        <w:t>个工作日内作出是否受理的决定，并告知申请人。</w:t>
      </w:r>
    </w:p>
    <w:p w14:paraId="3C209154">
      <w:pPr>
        <w:pageBreakBefore w:val="0"/>
        <w:widowControl w:val="0"/>
        <w:shd w:val="clear" w:color="auto" w:fill="FFFFFF"/>
        <w:kinsoku/>
        <w:wordWrap/>
        <w:overflowPunct w:val="0"/>
        <w:topLinePunct w:val="0"/>
        <w:autoSpaceDE/>
        <w:autoSpaceDN/>
        <w:bidi w:val="0"/>
        <w:spacing w:line="600" w:lineRule="exact"/>
        <w:ind w:leftChars="0" w:firstLine="640" w:firstLineChars="200"/>
        <w:textAlignment w:val="auto"/>
        <w:rPr>
          <w:rFonts w:hint="eastAsia" w:ascii="仿宋_GB2312" w:hAnsi="仿宋_GB2312" w:eastAsia="仿宋_GB2312" w:cs="仿宋_GB2312"/>
          <w:color w:val="000000"/>
          <w:kern w:val="21"/>
          <w:sz w:val="32"/>
          <w:szCs w:val="32"/>
          <w:highlight w:val="none"/>
        </w:rPr>
      </w:pPr>
      <w:r>
        <w:rPr>
          <w:rFonts w:hint="eastAsia" w:ascii="仿宋_GB2312" w:hAnsi="仿宋_GB2312" w:eastAsia="仿宋_GB2312" w:cs="仿宋_GB2312"/>
          <w:color w:val="000000"/>
          <w:kern w:val="21"/>
          <w:sz w:val="32"/>
          <w:szCs w:val="32"/>
          <w:highlight w:val="none"/>
        </w:rPr>
        <w:t>（三）</w:t>
      </w:r>
      <w:r>
        <w:rPr>
          <w:rFonts w:hint="eastAsia" w:ascii="仿宋_GB2312" w:hAnsi="仿宋_GB2312" w:eastAsia="仿宋_GB2312" w:cs="仿宋_GB2312"/>
          <w:color w:val="000000"/>
          <w:kern w:val="21"/>
          <w:sz w:val="32"/>
          <w:szCs w:val="32"/>
          <w:highlight w:val="none"/>
          <w:lang w:eastAsia="zh-CN"/>
        </w:rPr>
        <w:t>修复处理</w:t>
      </w:r>
      <w:r>
        <w:rPr>
          <w:rFonts w:hint="eastAsia" w:ascii="仿宋_GB2312" w:hAnsi="仿宋_GB2312" w:eastAsia="仿宋_GB2312" w:cs="仿宋_GB2312"/>
          <w:color w:val="000000"/>
          <w:kern w:val="21"/>
          <w:sz w:val="32"/>
          <w:szCs w:val="32"/>
          <w:highlight w:val="none"/>
        </w:rPr>
        <w:t>。原不良行为信息采集部门，对申请人履行法定义务、纠正违法行为等情况进行核实后，由原采集信息的部门对该不良行为信息进行调整，并做好修复标识。</w:t>
      </w:r>
    </w:p>
    <w:p w14:paraId="37B9161F">
      <w:pPr>
        <w:pageBreakBefore w:val="0"/>
        <w:widowControl w:val="0"/>
        <w:kinsoku/>
        <w:wordWrap/>
        <w:topLinePunct w:val="0"/>
        <w:autoSpaceDE/>
        <w:autoSpaceDN/>
        <w:bidi w:val="0"/>
        <w:spacing w:line="600" w:lineRule="exact"/>
        <w:ind w:leftChars="0" w:firstLine="643" w:firstLineChars="200"/>
        <w:textAlignment w:val="auto"/>
        <w:rPr>
          <w:rStyle w:val="10"/>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bCs/>
          <w:kern w:val="2"/>
          <w:sz w:val="32"/>
          <w:szCs w:val="32"/>
          <w:highlight w:val="none"/>
          <w:lang w:val="en-US" w:eastAsia="zh-CN" w:bidi="ar-SA"/>
        </w:rPr>
        <w:t xml:space="preserve">第二十五条 </w:t>
      </w:r>
      <w:r>
        <w:rPr>
          <w:rStyle w:val="10"/>
          <w:rFonts w:hint="eastAsia" w:ascii="仿宋_GB2312" w:hAnsi="仿宋_GB2312" w:eastAsia="仿宋_GB2312" w:cs="仿宋_GB2312"/>
          <w:b w:val="0"/>
          <w:bCs/>
          <w:sz w:val="32"/>
          <w:szCs w:val="32"/>
          <w:highlight w:val="none"/>
          <w:lang w:eastAsia="zh-CN"/>
        </w:rPr>
        <w:t xml:space="preserve"> 提供虚假资料，导致修复行为失当的，延长该不良行为信息有效期，且不再受理修复申请。</w:t>
      </w:r>
    </w:p>
    <w:p w14:paraId="29F84F5A">
      <w:pPr>
        <w:pStyle w:val="3"/>
        <w:pageBreakBefore w:val="0"/>
        <w:widowControl w:val="0"/>
        <w:kinsoku/>
        <w:wordWrap/>
        <w:topLinePunct w:val="0"/>
        <w:autoSpaceDE/>
        <w:autoSpaceDN/>
        <w:bidi w:val="0"/>
        <w:spacing w:line="600" w:lineRule="exact"/>
        <w:ind w:leftChars="0" w:firstLine="640" w:firstLineChars="200"/>
        <w:textAlignment w:val="auto"/>
        <w:rPr>
          <w:rFonts w:hint="eastAsia" w:ascii="黑体" w:hAnsi="黑体"/>
          <w:sz w:val="32"/>
          <w:highlight w:val="none"/>
          <w:lang w:eastAsia="zh-CN"/>
        </w:rPr>
      </w:pPr>
    </w:p>
    <w:p w14:paraId="6B70DB01">
      <w:pPr>
        <w:pStyle w:val="3"/>
        <w:keepNext/>
        <w:keepLines/>
        <w:pageBreakBefore w:val="0"/>
        <w:widowControl w:val="0"/>
        <w:numPr>
          <w:ilvl w:val="0"/>
          <w:numId w:val="1"/>
        </w:numPr>
        <w:kinsoku/>
        <w:wordWrap/>
        <w:overflowPunct/>
        <w:topLinePunct w:val="0"/>
        <w:autoSpaceDE/>
        <w:autoSpaceDN/>
        <w:bidi w:val="0"/>
        <w:adjustRightInd/>
        <w:snapToGrid/>
        <w:spacing w:line="600" w:lineRule="exact"/>
        <w:ind w:leftChars="0" w:firstLine="0" w:firstLineChars="0"/>
        <w:textAlignment w:val="auto"/>
        <w:rPr>
          <w:rFonts w:hint="eastAsia" w:ascii="黑体" w:hAnsi="黑体"/>
          <w:sz w:val="32"/>
          <w:highlight w:val="none"/>
          <w:lang w:eastAsia="zh-CN"/>
        </w:rPr>
      </w:pPr>
      <w:r>
        <w:rPr>
          <w:rFonts w:hint="eastAsia" w:ascii="黑体" w:hAnsi="黑体"/>
          <w:sz w:val="32"/>
          <w:highlight w:val="none"/>
          <w:lang w:eastAsia="zh-CN"/>
        </w:rPr>
        <w:t>附则</w:t>
      </w:r>
    </w:p>
    <w:p w14:paraId="2D2D2D6C">
      <w:pPr>
        <w:pageBreakBefore w:val="0"/>
        <w:widowControl w:val="0"/>
        <w:kinsoku/>
        <w:wordWrap/>
        <w:topLinePunct w:val="0"/>
        <w:autoSpaceDE/>
        <w:autoSpaceDN/>
        <w:bidi w:val="0"/>
        <w:spacing w:line="600" w:lineRule="exact"/>
        <w:ind w:leftChars="0" w:firstLine="643"/>
        <w:textAlignment w:val="auto"/>
        <w:rPr>
          <w:rStyle w:val="10"/>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bCs/>
          <w:kern w:val="2"/>
          <w:sz w:val="32"/>
          <w:szCs w:val="32"/>
          <w:highlight w:val="none"/>
          <w:lang w:val="en-US" w:eastAsia="zh-CN" w:bidi="ar-SA"/>
        </w:rPr>
        <w:t xml:space="preserve">第二十六条 </w:t>
      </w:r>
      <w:r>
        <w:rPr>
          <w:rFonts w:hint="eastAsia" w:ascii="仿宋_GB2312" w:hAnsi="仿宋_GB2312" w:eastAsia="仿宋_GB2312" w:cs="仿宋_GB2312"/>
          <w:sz w:val="32"/>
          <w:szCs w:val="32"/>
          <w:highlight w:val="none"/>
        </w:rPr>
        <w:t xml:space="preserve"> </w:t>
      </w:r>
      <w:r>
        <w:rPr>
          <w:rStyle w:val="10"/>
          <w:rFonts w:hint="eastAsia" w:ascii="仿宋_GB2312" w:hAnsi="仿宋_GB2312" w:eastAsia="仿宋_GB2312" w:cs="仿宋_GB2312"/>
          <w:b w:val="0"/>
          <w:bCs/>
          <w:sz w:val="32"/>
          <w:szCs w:val="32"/>
          <w:highlight w:val="none"/>
          <w:lang w:eastAsia="zh-CN"/>
        </w:rPr>
        <w:t>市（州）住建部门可结合本地实际制定实施细则或管理办法。</w:t>
      </w:r>
    </w:p>
    <w:p w14:paraId="5A295DAC">
      <w:pPr>
        <w:pageBreakBefore w:val="0"/>
        <w:widowControl w:val="0"/>
        <w:kinsoku/>
        <w:wordWrap/>
        <w:topLinePunct w:val="0"/>
        <w:autoSpaceDE/>
        <w:autoSpaceDN/>
        <w:bidi w:val="0"/>
        <w:spacing w:line="600" w:lineRule="exact"/>
        <w:ind w:leftChars="0" w:firstLine="643"/>
        <w:textAlignment w:val="auto"/>
        <w:rPr>
          <w:rStyle w:val="10"/>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bCs/>
          <w:kern w:val="2"/>
          <w:sz w:val="32"/>
          <w:szCs w:val="32"/>
          <w:highlight w:val="none"/>
          <w:lang w:val="en-US" w:eastAsia="zh-CN" w:bidi="ar-SA"/>
        </w:rPr>
        <w:t xml:space="preserve">第二十七条 </w:t>
      </w:r>
      <w:r>
        <w:rPr>
          <w:rFonts w:hint="eastAsia" w:ascii="仿宋_GB2312" w:hAnsi="仿宋_GB2312" w:eastAsia="仿宋_GB2312" w:cs="仿宋_GB2312"/>
          <w:sz w:val="32"/>
          <w:szCs w:val="32"/>
          <w:highlight w:val="none"/>
        </w:rPr>
        <w:t xml:space="preserve"> </w:t>
      </w:r>
      <w:r>
        <w:rPr>
          <w:rStyle w:val="10"/>
          <w:rFonts w:hint="eastAsia" w:ascii="仿宋_GB2312" w:hAnsi="仿宋_GB2312" w:eastAsia="仿宋_GB2312" w:cs="仿宋_GB2312"/>
          <w:b w:val="0"/>
          <w:bCs/>
          <w:sz w:val="32"/>
          <w:szCs w:val="32"/>
          <w:highlight w:val="none"/>
          <w:lang w:eastAsia="zh-CN"/>
        </w:rPr>
        <w:t>本办法由湖北省住建厅负责解释。</w:t>
      </w:r>
    </w:p>
    <w:p w14:paraId="08E2EA4D">
      <w:pPr>
        <w:pageBreakBefore w:val="0"/>
        <w:widowControl w:val="0"/>
        <w:kinsoku/>
        <w:wordWrap/>
        <w:topLinePunct w:val="0"/>
        <w:autoSpaceDE/>
        <w:autoSpaceDN/>
        <w:bidi w:val="0"/>
        <w:spacing w:line="600" w:lineRule="exact"/>
        <w:ind w:leftChars="0" w:firstLine="643" w:firstLineChars="200"/>
        <w:textAlignment w:val="auto"/>
        <w:rPr>
          <w:rStyle w:val="10"/>
          <w:rFonts w:hint="eastAsia" w:ascii="仿宋" w:hAnsi="仿宋" w:eastAsia="仿宋" w:cs="Times New Roman"/>
          <w:b w:val="0"/>
          <w:bCs/>
          <w:sz w:val="32"/>
          <w:highlight w:val="none"/>
          <w:lang w:eastAsia="zh-CN"/>
        </w:rPr>
      </w:pPr>
      <w:r>
        <w:rPr>
          <w:rFonts w:hint="eastAsia" w:ascii="仿宋_GB2312" w:hAnsi="仿宋_GB2312" w:eastAsia="仿宋_GB2312" w:cs="仿宋_GB2312"/>
          <w:b/>
          <w:bCs/>
          <w:kern w:val="2"/>
          <w:sz w:val="32"/>
          <w:szCs w:val="32"/>
          <w:highlight w:val="none"/>
          <w:lang w:val="en-US" w:eastAsia="zh-CN" w:bidi="ar-SA"/>
        </w:rPr>
        <w:t xml:space="preserve">第二十八条 </w:t>
      </w:r>
      <w:r>
        <w:rPr>
          <w:rStyle w:val="10"/>
          <w:rFonts w:hint="eastAsia" w:ascii="仿宋_GB2312" w:hAnsi="仿宋_GB2312" w:eastAsia="仿宋_GB2312" w:cs="仿宋_GB2312"/>
          <w:b w:val="0"/>
          <w:bCs/>
          <w:sz w:val="32"/>
          <w:szCs w:val="32"/>
          <w:highlight w:val="none"/>
          <w:lang w:val="en-US" w:eastAsia="zh-CN"/>
        </w:rPr>
        <w:t xml:space="preserve"> </w:t>
      </w:r>
      <w:r>
        <w:rPr>
          <w:rStyle w:val="10"/>
          <w:rFonts w:hint="eastAsia" w:ascii="仿宋_GB2312" w:hAnsi="仿宋_GB2312" w:eastAsia="仿宋_GB2312" w:cs="仿宋_GB2312"/>
          <w:b w:val="0"/>
          <w:bCs/>
          <w:sz w:val="32"/>
          <w:szCs w:val="32"/>
          <w:highlight w:val="none"/>
          <w:lang w:eastAsia="zh-CN"/>
        </w:rPr>
        <w:t>本办法自</w:t>
      </w:r>
      <w:r>
        <w:rPr>
          <w:rStyle w:val="10"/>
          <w:rFonts w:hint="default" w:ascii="Times New Roman" w:hAnsi="Times New Roman" w:eastAsia="仿宋_GB2312" w:cs="Times New Roman"/>
          <w:b w:val="0"/>
          <w:bCs/>
          <w:sz w:val="32"/>
          <w:szCs w:val="32"/>
          <w:highlight w:val="none"/>
          <w:lang w:eastAsia="zh-CN"/>
        </w:rPr>
        <w:t>2025</w:t>
      </w:r>
      <w:r>
        <w:rPr>
          <w:rStyle w:val="10"/>
          <w:rFonts w:hint="eastAsia" w:ascii="仿宋_GB2312" w:hAnsi="仿宋_GB2312" w:eastAsia="仿宋_GB2312" w:cs="仿宋_GB2312"/>
          <w:b w:val="0"/>
          <w:bCs/>
          <w:sz w:val="32"/>
          <w:szCs w:val="32"/>
          <w:highlight w:val="none"/>
          <w:lang w:eastAsia="zh-CN"/>
        </w:rPr>
        <w:t>年</w:t>
      </w:r>
      <w:r>
        <w:rPr>
          <w:rStyle w:val="10"/>
          <w:rFonts w:hint="eastAsia" w:ascii="仿宋_GB2312" w:hAnsi="仿宋_GB2312" w:eastAsia="仿宋_GB2312" w:cs="仿宋_GB2312"/>
          <w:b w:val="0"/>
          <w:bCs/>
          <w:sz w:val="32"/>
          <w:szCs w:val="32"/>
          <w:highlight w:val="none"/>
          <w:lang w:val="en-US" w:eastAsia="zh-CN"/>
        </w:rPr>
        <w:t>*</w:t>
      </w:r>
      <w:r>
        <w:rPr>
          <w:rStyle w:val="10"/>
          <w:rFonts w:hint="eastAsia" w:ascii="仿宋_GB2312" w:hAnsi="仿宋_GB2312" w:eastAsia="仿宋_GB2312" w:cs="仿宋_GB2312"/>
          <w:b w:val="0"/>
          <w:bCs/>
          <w:sz w:val="32"/>
          <w:szCs w:val="32"/>
          <w:highlight w:val="none"/>
          <w:lang w:eastAsia="zh-CN"/>
        </w:rPr>
        <w:t>月</w:t>
      </w:r>
      <w:r>
        <w:rPr>
          <w:rStyle w:val="10"/>
          <w:rFonts w:hint="eastAsia" w:ascii="仿宋_GB2312" w:hAnsi="仿宋_GB2312" w:eastAsia="仿宋_GB2312" w:cs="仿宋_GB2312"/>
          <w:b w:val="0"/>
          <w:bCs/>
          <w:sz w:val="32"/>
          <w:szCs w:val="32"/>
          <w:highlight w:val="none"/>
          <w:lang w:val="en-US" w:eastAsia="zh-CN"/>
        </w:rPr>
        <w:t>*</w:t>
      </w:r>
      <w:r>
        <w:rPr>
          <w:rStyle w:val="10"/>
          <w:rFonts w:hint="eastAsia" w:ascii="仿宋_GB2312" w:hAnsi="仿宋_GB2312" w:eastAsia="仿宋_GB2312" w:cs="仿宋_GB2312"/>
          <w:b w:val="0"/>
          <w:bCs/>
          <w:sz w:val="32"/>
          <w:szCs w:val="32"/>
          <w:highlight w:val="none"/>
          <w:lang w:eastAsia="zh-CN"/>
        </w:rPr>
        <w:t>日起施行。</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5C57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DCB94">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8DCB94">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7DC6B"/>
    <w:multiLevelType w:val="singleLevel"/>
    <w:tmpl w:val="31E7DC6B"/>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Njc4MDQ4YmU1YWYyYWFmNzU5NjA2YjFlNThiNTgifQ=="/>
  </w:docVars>
  <w:rsids>
    <w:rsidRoot w:val="601A3A19"/>
    <w:rsid w:val="040A4AA1"/>
    <w:rsid w:val="06874187"/>
    <w:rsid w:val="0C6A0D11"/>
    <w:rsid w:val="110D797F"/>
    <w:rsid w:val="13BD4B56"/>
    <w:rsid w:val="19DF20B0"/>
    <w:rsid w:val="19FFE7A6"/>
    <w:rsid w:val="1B381927"/>
    <w:rsid w:val="1BAA4BEE"/>
    <w:rsid w:val="1D241725"/>
    <w:rsid w:val="1F7DCDF5"/>
    <w:rsid w:val="248C4729"/>
    <w:rsid w:val="2558427C"/>
    <w:rsid w:val="26436829"/>
    <w:rsid w:val="275B0CB4"/>
    <w:rsid w:val="27F0514E"/>
    <w:rsid w:val="29656152"/>
    <w:rsid w:val="2FEF9A75"/>
    <w:rsid w:val="31495EC7"/>
    <w:rsid w:val="34CC71CA"/>
    <w:rsid w:val="374765BD"/>
    <w:rsid w:val="37BC667D"/>
    <w:rsid w:val="37C10039"/>
    <w:rsid w:val="37DE0314"/>
    <w:rsid w:val="387B8B20"/>
    <w:rsid w:val="3A7461F5"/>
    <w:rsid w:val="3BB59C53"/>
    <w:rsid w:val="3D0B523D"/>
    <w:rsid w:val="3EEF0C5A"/>
    <w:rsid w:val="416825AF"/>
    <w:rsid w:val="42732159"/>
    <w:rsid w:val="47F71213"/>
    <w:rsid w:val="491E576F"/>
    <w:rsid w:val="4F065435"/>
    <w:rsid w:val="56E61458"/>
    <w:rsid w:val="57FBEB46"/>
    <w:rsid w:val="580C7572"/>
    <w:rsid w:val="5D5F481B"/>
    <w:rsid w:val="5E3DDE8C"/>
    <w:rsid w:val="5E5FE8DF"/>
    <w:rsid w:val="5FEE73F6"/>
    <w:rsid w:val="601A3A19"/>
    <w:rsid w:val="625472E1"/>
    <w:rsid w:val="627DDA91"/>
    <w:rsid w:val="62B02DC4"/>
    <w:rsid w:val="65FEA3EC"/>
    <w:rsid w:val="671F1E08"/>
    <w:rsid w:val="673E76F6"/>
    <w:rsid w:val="68422696"/>
    <w:rsid w:val="6A8663FE"/>
    <w:rsid w:val="6BDF22E4"/>
    <w:rsid w:val="6C496293"/>
    <w:rsid w:val="6E392AC2"/>
    <w:rsid w:val="6E5FA09B"/>
    <w:rsid w:val="6E712470"/>
    <w:rsid w:val="6F8BB71F"/>
    <w:rsid w:val="6FFF67FF"/>
    <w:rsid w:val="73AED971"/>
    <w:rsid w:val="748F129B"/>
    <w:rsid w:val="756DF831"/>
    <w:rsid w:val="778A1EDB"/>
    <w:rsid w:val="788F3C1F"/>
    <w:rsid w:val="7894BD52"/>
    <w:rsid w:val="79C05C55"/>
    <w:rsid w:val="79DF636C"/>
    <w:rsid w:val="7A3BD74C"/>
    <w:rsid w:val="7BBD15FE"/>
    <w:rsid w:val="7BBE37D2"/>
    <w:rsid w:val="7CAAB0B4"/>
    <w:rsid w:val="7CCBD678"/>
    <w:rsid w:val="7D771265"/>
    <w:rsid w:val="7E7E3039"/>
    <w:rsid w:val="7FEE02FA"/>
    <w:rsid w:val="7FF97B95"/>
    <w:rsid w:val="7FFD4BFB"/>
    <w:rsid w:val="7FFD932D"/>
    <w:rsid w:val="9BDF6A22"/>
    <w:rsid w:val="ABB68D84"/>
    <w:rsid w:val="ACCDCB07"/>
    <w:rsid w:val="ADDB53CA"/>
    <w:rsid w:val="AFF46652"/>
    <w:rsid w:val="B4F76DFC"/>
    <w:rsid w:val="B77FFCF8"/>
    <w:rsid w:val="BBFBFBC9"/>
    <w:rsid w:val="BFFBAA86"/>
    <w:rsid w:val="CFFEA492"/>
    <w:rsid w:val="D5FE9025"/>
    <w:rsid w:val="D7F68A17"/>
    <w:rsid w:val="E3FFAA0F"/>
    <w:rsid w:val="E76F0C31"/>
    <w:rsid w:val="EEAF1081"/>
    <w:rsid w:val="EF8F9BD9"/>
    <w:rsid w:val="EFDDB185"/>
    <w:rsid w:val="F1DF6293"/>
    <w:rsid w:val="F1FF0569"/>
    <w:rsid w:val="F5B9F128"/>
    <w:rsid w:val="F6FD4A05"/>
    <w:rsid w:val="F7A7D28E"/>
    <w:rsid w:val="F7B0E87D"/>
    <w:rsid w:val="F7FF01B2"/>
    <w:rsid w:val="FAF902B8"/>
    <w:rsid w:val="FBDE13FF"/>
    <w:rsid w:val="FDDFA1CD"/>
    <w:rsid w:val="FFFC0192"/>
    <w:rsid w:val="FFFF8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680" w:lineRule="exact"/>
      <w:jc w:val="center"/>
      <w:outlineLvl w:val="0"/>
    </w:pPr>
    <w:rPr>
      <w:rFonts w:eastAsia="方正小标宋简体"/>
      <w:kern w:val="44"/>
      <w:sz w:val="44"/>
    </w:rPr>
  </w:style>
  <w:style w:type="paragraph" w:styleId="3">
    <w:name w:val="heading 2"/>
    <w:basedOn w:val="1"/>
    <w:next w:val="1"/>
    <w:unhideWhenUsed/>
    <w:qFormat/>
    <w:uiPriority w:val="0"/>
    <w:pPr>
      <w:keepNext/>
      <w:keepLines/>
      <w:spacing w:line="680" w:lineRule="exact"/>
      <w:jc w:val="center"/>
      <w:outlineLvl w:val="1"/>
    </w:pPr>
    <w:rPr>
      <w:rFonts w:ascii="Arial" w:hAnsi="Arial" w:eastAsia="黑体"/>
    </w:rPr>
  </w:style>
  <w:style w:type="paragraph" w:styleId="4">
    <w:name w:val="heading 3"/>
    <w:basedOn w:val="1"/>
    <w:next w:val="1"/>
    <w:link w:val="10"/>
    <w:unhideWhenUsed/>
    <w:qFormat/>
    <w:uiPriority w:val="0"/>
    <w:pPr>
      <w:keepNext/>
      <w:keepLines/>
      <w:outlineLvl w:val="2"/>
    </w:pPr>
    <w:rPr>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3 Char"/>
    <w:link w:val="4"/>
    <w:qFormat/>
    <w:uiPriority w:val="0"/>
    <w:rPr>
      <w:b/>
    </w:rPr>
  </w:style>
  <w:style w:type="character" w:customStyle="1" w:styleId="11">
    <w:name w:val="15"/>
    <w:basedOn w:val="9"/>
    <w:qFormat/>
    <w:uiPriority w:val="0"/>
    <w:rPr>
      <w:rFonts w:hint="default" w:ascii="Times New Roman" w:hAnsi="Times New Roman" w:cs="Times New Roman"/>
      <w:b/>
    </w:rPr>
  </w:style>
  <w:style w:type="character" w:customStyle="1" w:styleId="12">
    <w:name w:val="10"/>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3161</Words>
  <Characters>3174</Characters>
  <Lines>1</Lines>
  <Paragraphs>1</Paragraphs>
  <TotalTime>7</TotalTime>
  <ScaleCrop>false</ScaleCrop>
  <LinksUpToDate>false</LinksUpToDate>
  <CharactersWithSpaces>3234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2025-05-16T06:05:00Z</dcterms:created>
  <dc:creator>丁静静</dc:creator>
  <cp:lastModifiedBy>徐洁</cp:lastModifiedBy>
  <cp:lastPrinted>2025-07-11T01:29:21Z</cp:lastPrinted>
  <dcterms:modified xsi:type="dcterms:W3CDTF">2025-07-11T01:30:22Z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4C164D74BB64482DAD36E6506A7E01C8_13</vt:lpwstr>
  </property>
  <property fmtid="{D5CDD505-2E9C-101B-9397-08002B2CF9AE}" pid="4" name="KSOTemplateDocerSaveRecord">
    <vt:lpwstr>eyJoZGlkIjoiMjUzZGNjOTBkY2QxZjkxMTljNDljOTI5MWYyZjU2OTMiLCJ1c2VySWQiOiI3MTM4ODAxNjEifQ==</vt:lpwstr>
  </property>
</Properties>
</file>