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351CE">
      <w:pPr>
        <w:pStyle w:val="546"/>
        <w:framePr w:w="0" w:hRule="auto" w:wrap="auto" w:vAnchor="margin" w:hAnchor="text" w:xAlign="left" w:yAlign="inline"/>
      </w:pPr>
      <w:r>
        <mc:AlternateContent>
          <mc:Choice Requires="wps">
            <w:drawing>
              <wp:anchor distT="0" distB="0" distL="114300" distR="114300" simplePos="0" relativeHeight="251663360" behindDoc="0" locked="0" layoutInCell="1" allowOverlap="1">
                <wp:simplePos x="0" y="0"/>
                <wp:positionH relativeFrom="page">
                  <wp:posOffset>2737485</wp:posOffset>
                </wp:positionH>
                <wp:positionV relativeFrom="page">
                  <wp:posOffset>467995</wp:posOffset>
                </wp:positionV>
                <wp:extent cx="3960495" cy="914400"/>
                <wp:effectExtent l="0" t="0" r="1905" b="0"/>
                <wp:wrapNone/>
                <wp:docPr id="15"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rgbClr val="FFFFFF"/>
                        </a:solidFill>
                        <a:ln w="6350">
                          <a:noFill/>
                        </a:ln>
                        <a:effectLst/>
                      </wps:spPr>
                      <wps:txbx>
                        <w:txbxContent>
                          <w:p w14:paraId="76FBFB9B">
                            <w:pPr>
                              <w:pStyle w:val="343"/>
                            </w:pPr>
                            <w:r>
                              <w:t>DB</w:t>
                            </w:r>
                            <w:r>
                              <w:rPr>
                                <w:rFonts w:hint="eastAsia" w:eastAsia="宋体"/>
                              </w:rPr>
                              <w:t>42</w:t>
                            </w:r>
                            <w:r>
                              <w:rPr>
                                <w:rFonts w:hint="eastAsia"/>
                              </w:rPr>
                              <w:t xml:space="preserve"> </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15.55pt;margin-top:36.85pt;height:72pt;width:311.85pt;mso-position-horizontal-relative:page;mso-position-vertical-relative:page;z-index:251663360;mso-width-relative:page;mso-height-relative:page;" fillcolor="#FFFFFF" filled="t" stroked="f" coordsize="21600,21600" o:gfxdata="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2fdfbbAAAACwEAAA8AAAAAAAAAAQAgAAAAIgAAAGRycy9kb3ducmV2LnhtbFBLAQIU&#10;ABQAAAAIAIdO4kCUQIxXYgIAAJoEAAAOAAAAAAAAAAEAIAAAACoBAABkcnMvZTJvRG9jLnhtbFBL&#10;BQYAAAAABgAGAFkBAAD+BQAAAAA=&#10;">
                <v:fill on="t" focussize="0,0"/>
                <v:stroke on="f" weight="0.5pt"/>
                <v:imagedata o:title=""/>
                <o:lock v:ext="edit" aspectratio="f"/>
                <v:textbox inset="0mm,0mm,2.54mm,0mm">
                  <w:txbxContent>
                    <w:p w14:paraId="76FBFB9B">
                      <w:pPr>
                        <w:pStyle w:val="343"/>
                      </w:pPr>
                      <w:r>
                        <w:t>DB</w:t>
                      </w:r>
                      <w:r>
                        <w:rPr>
                          <w:rFonts w:hint="eastAsia" w:eastAsia="宋体"/>
                        </w:rPr>
                        <w:t>42</w:t>
                      </w:r>
                      <w:r>
                        <w:rPr>
                          <w:rFonts w:hint="eastAsia"/>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rgbClr val="FFFFFF"/>
                        </a:solidFill>
                        <a:ln w="6350">
                          <a:noFill/>
                        </a:ln>
                        <a:effectLst/>
                      </wps:spPr>
                      <wps:txbx>
                        <w:txbxContent>
                          <w:p w14:paraId="2B9D4A30">
                            <w:pPr>
                              <w:pStyle w:val="333"/>
                            </w:pPr>
                            <w:r>
                              <w:rPr>
                                <w:rFonts w:hint="eastAsia"/>
                              </w:rPr>
                              <w:t>ICS 91.040.30</w:t>
                            </w:r>
                          </w:p>
                          <w:p w14:paraId="74D5BB5D">
                            <w:pPr>
                              <w:pStyle w:val="333"/>
                            </w:pPr>
                            <w:r>
                              <w:rPr>
                                <w:rFonts w:hint="eastAsia"/>
                              </w:rPr>
                              <w:t>CCS P 33</w:t>
                            </w:r>
                          </w:p>
                          <w:p w14:paraId="42679FFA">
                            <w:pPr>
                              <w:pStyle w:val="333"/>
                            </w:pPr>
                          </w:p>
                          <w:p w14:paraId="785E13AD">
                            <w:pPr>
                              <w:pStyle w:val="333"/>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62336;mso-width-relative:page;mso-height-relative:page;" fillcolor="#FFFFFF"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rogh2QAAAAoBAAAPAAAAAAAAAAEAIAAAACIAAABkcnMvZG93bnJldi54bWxQSwEC&#10;FAAUAAAACACHTuJAwo35O2UCAACaBAAADgAAAAAAAAABACAAAAAoAQAAZHJzL2Uyb0RvYy54bWxQ&#10;SwUGAAAAAAYABgBZAQAA/wUAAAAA&#10;">
                <v:fill on="t" focussize="0,0"/>
                <v:stroke on="f" weight="0.5pt"/>
                <v:imagedata o:title=""/>
                <o:lock v:ext="edit" aspectratio="f"/>
                <v:textbox inset="0mm,0mm,2.54mm,0mm">
                  <w:txbxContent>
                    <w:p w14:paraId="2B9D4A30">
                      <w:pPr>
                        <w:pStyle w:val="333"/>
                      </w:pPr>
                      <w:r>
                        <w:rPr>
                          <w:rFonts w:hint="eastAsia"/>
                        </w:rPr>
                        <w:t>ICS 91.040.30</w:t>
                      </w:r>
                    </w:p>
                    <w:p w14:paraId="74D5BB5D">
                      <w:pPr>
                        <w:pStyle w:val="333"/>
                      </w:pPr>
                      <w:r>
                        <w:rPr>
                          <w:rFonts w:hint="eastAsia"/>
                        </w:rPr>
                        <w:t>CCS P 33</w:t>
                      </w:r>
                    </w:p>
                    <w:p w14:paraId="42679FFA">
                      <w:pPr>
                        <w:pStyle w:val="333"/>
                      </w:pPr>
                    </w:p>
                    <w:p w14:paraId="785E13AD">
                      <w:pPr>
                        <w:pStyle w:val="333"/>
                      </w:pPr>
                    </w:p>
                  </w:txbxContent>
                </v:textbox>
              </v:shape>
            </w:pict>
          </mc:Fallback>
        </mc:AlternateContent>
      </w:r>
    </w:p>
    <w:p w14:paraId="4BB6B054">
      <w:pPr>
        <w:pStyle w:val="258"/>
        <w:ind w:firstLine="420"/>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ge">
                  <wp:posOffset>1511935</wp:posOffset>
                </wp:positionV>
                <wp:extent cx="6120765" cy="648335"/>
                <wp:effectExtent l="0" t="0" r="0" b="0"/>
                <wp:wrapNone/>
                <wp:docPr id="17"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rgbClr val="FFFFFF"/>
                        </a:solidFill>
                        <a:ln w="6350">
                          <a:noFill/>
                        </a:ln>
                        <a:effectLst/>
                      </wps:spPr>
                      <wps:txbx>
                        <w:txbxContent>
                          <w:p w14:paraId="24AC13F2">
                            <w:pPr>
                              <w:pStyle w:val="530"/>
                              <w:rPr>
                                <w:rFonts w:ascii="黑体" w:eastAsia="黑体"/>
                                <w:b w:val="0"/>
                                <w:w w:val="100"/>
                                <w:sz w:val="48"/>
                              </w:rPr>
                            </w:pPr>
                            <w:r>
                              <w:rPr>
                                <w:rFonts w:ascii="黑体" w:eastAsia="黑体"/>
                                <w:b w:val="0"/>
                                <w:w w:val="100"/>
                                <w:sz w:val="48"/>
                              </w:rPr>
                              <w:t>湖北省地方标准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19.05pt;height:51.05pt;width:481.95pt;mso-position-horizontal-relative:margin;mso-position-vertical-relative:page;z-index:251659264;mso-width-relative:page;mso-height-relative:page;" fillcolor="#FFFFFF" filled="t" stroked="f" coordsize="21600,21600" o:gfxdata="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ctX9rZAAAACAEAAA8AAAAAAAAAAQAgAAAAIgAAAGRycy9kb3ducmV2LnhtbFBLAQIU&#10;ABQAAAAIAIdO4kCUDCm5ZAIAAJoEAAAOAAAAAAAAAAEAIAAAACgBAABkcnMvZTJvRG9jLnhtbFBL&#10;BQYAAAAABgAGAFkBAAD+BQAAAAA=&#10;">
                <v:fill on="t" focussize="0,0"/>
                <v:stroke on="f" weight="0.5pt"/>
                <v:imagedata o:title=""/>
                <o:lock v:ext="edit" aspectratio="f"/>
                <v:textbox inset="0mm,0mm,2.54mm,0mm">
                  <w:txbxContent>
                    <w:p w14:paraId="24AC13F2">
                      <w:pPr>
                        <w:pStyle w:val="530"/>
                        <w:rPr>
                          <w:rFonts w:ascii="黑体" w:eastAsia="黑体"/>
                          <w:b w:val="0"/>
                          <w:w w:val="100"/>
                          <w:sz w:val="48"/>
                        </w:rPr>
                      </w:pPr>
                      <w:r>
                        <w:rPr>
                          <w:rFonts w:ascii="黑体" w:eastAsia="黑体"/>
                          <w:b w:val="0"/>
                          <w:w w:val="100"/>
                          <w:sz w:val="48"/>
                        </w:rPr>
                        <w:t>湖北省地方标准</w:t>
                      </w:r>
                    </w:p>
                  </w:txbxContent>
                </v:textbox>
              </v:shape>
            </w:pict>
          </mc:Fallback>
        </mc:AlternateContent>
      </w:r>
    </w:p>
    <w:p w14:paraId="5E6E418F">
      <w:pPr>
        <w:pStyle w:val="258"/>
        <w:ind w:firstLine="420"/>
      </w:pPr>
    </w:p>
    <w:p w14:paraId="4078629F">
      <w:pPr>
        <w:pStyle w:val="258"/>
        <w:ind w:firstLine="420"/>
        <w:sectPr>
          <w:headerReference r:id="rId3" w:type="default"/>
          <w:footerReference r:id="rId5" w:type="default"/>
          <w:headerReference r:id="rId4" w:type="even"/>
          <w:footerReference r:id="rId6" w:type="even"/>
          <w:pgSz w:w="11907" w:h="16839"/>
          <w:pgMar w:top="-340" w:right="1134" w:bottom="1021" w:left="1134" w:header="0" w:footer="0" w:gutter="0"/>
          <w:pgNumType w:start="1"/>
          <w:cols w:space="425" w:num="1"/>
          <w:titlePg/>
          <w:docGrid w:linePitch="312" w:charSpace="0"/>
        </w:sectPr>
      </w:pPr>
      <w:bookmarkStart w:id="120" w:name="_GoBack"/>
      <w:bookmarkEnd w:id="120"/>
      <w:r>
        <mc:AlternateContent>
          <mc:Choice Requires="wps">
            <w:drawing>
              <wp:anchor distT="0" distB="0" distL="114300" distR="114300" simplePos="0" relativeHeight="251669504" behindDoc="0" locked="0" layoutInCell="1" allowOverlap="1">
                <wp:simplePos x="0" y="0"/>
                <wp:positionH relativeFrom="page">
                  <wp:posOffset>2061845</wp:posOffset>
                </wp:positionH>
                <wp:positionV relativeFrom="page">
                  <wp:posOffset>9380855</wp:posOffset>
                </wp:positionV>
                <wp:extent cx="2862580" cy="751840"/>
                <wp:effectExtent l="0" t="0" r="2540" b="10160"/>
                <wp:wrapNone/>
                <wp:docPr id="1" name="首页自画框图11"/>
                <wp:cNvGraphicFramePr/>
                <a:graphic xmlns:a="http://schemas.openxmlformats.org/drawingml/2006/main">
                  <a:graphicData uri="http://schemas.microsoft.com/office/word/2010/wordprocessingShape">
                    <wps:wsp>
                      <wps:cNvSpPr txBox="1"/>
                      <wps:spPr>
                        <a:xfrm>
                          <a:off x="0" y="0"/>
                          <a:ext cx="2862580" cy="751840"/>
                        </a:xfrm>
                        <a:prstGeom prst="rect">
                          <a:avLst/>
                        </a:prstGeom>
                        <a:solidFill>
                          <a:srgbClr val="FFFFFF"/>
                        </a:solidFill>
                        <a:ln w="6350">
                          <a:noFill/>
                        </a:ln>
                      </wps:spPr>
                      <wps:txbx>
                        <w:txbxContent>
                          <w:p w14:paraId="181C7B52">
                            <w:pPr>
                              <w:adjustRightInd w:val="0"/>
                              <w:spacing w:line="200" w:lineRule="atLeast"/>
                              <w:jc w:val="distribute"/>
                              <w:rPr>
                                <w:rFonts w:ascii="黑体" w:hAnsi="Calibri" w:eastAsia="黑体"/>
                                <w:sz w:val="36"/>
                                <w:szCs w:val="36"/>
                              </w:rPr>
                            </w:pPr>
                            <w:r>
                              <w:rPr>
                                <w:rFonts w:ascii="黑体" w:hAnsi="Calibri" w:eastAsia="黑体"/>
                                <w:sz w:val="36"/>
                                <w:szCs w:val="36"/>
                              </w:rPr>
                              <w:t>湖北省住房</w:t>
                            </w:r>
                            <w:r>
                              <w:rPr>
                                <w:rFonts w:hint="eastAsia" w:ascii="黑体" w:hAnsi="Calibri" w:eastAsia="黑体"/>
                                <w:sz w:val="36"/>
                                <w:szCs w:val="36"/>
                                <w:lang w:eastAsia="zh-CN"/>
                              </w:rPr>
                              <w:t>和</w:t>
                            </w:r>
                            <w:r>
                              <w:rPr>
                                <w:rFonts w:ascii="黑体" w:hAnsi="Calibri" w:eastAsia="黑体"/>
                                <w:sz w:val="36"/>
                                <w:szCs w:val="36"/>
                              </w:rPr>
                              <w:t>城乡建设厅</w:t>
                            </w:r>
                          </w:p>
                          <w:p w14:paraId="54E6C860">
                            <w:pPr>
                              <w:adjustRightInd w:val="0"/>
                              <w:spacing w:line="200" w:lineRule="atLeast"/>
                              <w:jc w:val="distribute"/>
                              <w:rPr>
                                <w:rFonts w:ascii="黑体" w:hAnsi="Calibri" w:eastAsia="黑体"/>
                                <w:sz w:val="36"/>
                                <w:szCs w:val="36"/>
                              </w:rPr>
                            </w:pPr>
                            <w:r>
                              <w:rPr>
                                <w:rFonts w:hint="eastAsia" w:ascii="黑体" w:hAnsi="Calibri" w:eastAsia="黑体"/>
                                <w:sz w:val="36"/>
                                <w:szCs w:val="36"/>
                              </w:rPr>
                              <w:t>湖北省市场监督管理局</w:t>
                            </w:r>
                          </w:p>
                        </w:txbxContent>
                      </wps:txbx>
                      <wps:bodyPr lIns="0" tIns="0" rIns="0" bIns="0" upright="1">
                        <a:noAutofit/>
                      </wps:bodyPr>
                    </wps:wsp>
                  </a:graphicData>
                </a:graphic>
              </wp:anchor>
            </w:drawing>
          </mc:Choice>
          <mc:Fallback>
            <w:pict>
              <v:shape id="首页自画框图11" o:spid="_x0000_s1026" o:spt="202" type="#_x0000_t202" style="position:absolute;left:0pt;margin-left:162.35pt;margin-top:738.65pt;height:59.2pt;width:225.4pt;mso-position-horizontal-relative:page;mso-position-vertical-relative:page;z-index:251669504;mso-width-relative:page;mso-height-relative:page;" fillcolor="#FFFFFF" filled="t" stroked="f" coordsize="21600,21600" o:gfxdata="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5J3k2QAAAA0BAAAPAAAAAAAAAAEAIAAAACIAAABkcnMvZG93bnJldi54bWxQSwEC&#10;FAAUAAAACACHTuJAFC/WCPMBAADHAwAADgAAAAAAAAABACAAAAAoAQAAZHJzL2Uyb0RvYy54bWxQ&#10;SwUGAAAAAAYABgBZAQAAjQUAAAAA&#10;">
                <v:fill on="t" focussize="0,0"/>
                <v:stroke on="f" weight="0.5pt"/>
                <v:imagedata o:title=""/>
                <o:lock v:ext="edit" aspectratio="f"/>
                <v:textbox inset="0mm,0mm,0mm,0mm">
                  <w:txbxContent>
                    <w:p w14:paraId="181C7B52">
                      <w:pPr>
                        <w:adjustRightInd w:val="0"/>
                        <w:spacing w:line="200" w:lineRule="atLeast"/>
                        <w:jc w:val="distribute"/>
                        <w:rPr>
                          <w:rFonts w:ascii="黑体" w:hAnsi="Calibri" w:eastAsia="黑体"/>
                          <w:sz w:val="36"/>
                          <w:szCs w:val="36"/>
                        </w:rPr>
                      </w:pPr>
                      <w:r>
                        <w:rPr>
                          <w:rFonts w:ascii="黑体" w:hAnsi="Calibri" w:eastAsia="黑体"/>
                          <w:sz w:val="36"/>
                          <w:szCs w:val="36"/>
                        </w:rPr>
                        <w:t>湖北省住房</w:t>
                      </w:r>
                      <w:r>
                        <w:rPr>
                          <w:rFonts w:hint="eastAsia" w:ascii="黑体" w:hAnsi="Calibri" w:eastAsia="黑体"/>
                          <w:sz w:val="36"/>
                          <w:szCs w:val="36"/>
                          <w:lang w:eastAsia="zh-CN"/>
                        </w:rPr>
                        <w:t>和</w:t>
                      </w:r>
                      <w:r>
                        <w:rPr>
                          <w:rFonts w:ascii="黑体" w:hAnsi="Calibri" w:eastAsia="黑体"/>
                          <w:sz w:val="36"/>
                          <w:szCs w:val="36"/>
                        </w:rPr>
                        <w:t>城乡建设厅</w:t>
                      </w:r>
                    </w:p>
                    <w:p w14:paraId="54E6C860">
                      <w:pPr>
                        <w:adjustRightInd w:val="0"/>
                        <w:spacing w:line="200" w:lineRule="atLeast"/>
                        <w:jc w:val="distribute"/>
                        <w:rPr>
                          <w:rFonts w:ascii="黑体" w:hAnsi="Calibri" w:eastAsia="黑体"/>
                          <w:sz w:val="36"/>
                          <w:szCs w:val="36"/>
                        </w:rPr>
                      </w:pPr>
                      <w:r>
                        <w:rPr>
                          <w:rFonts w:hint="eastAsia" w:ascii="黑体" w:hAnsi="Calibri" w:eastAsia="黑体"/>
                          <w:sz w:val="36"/>
                          <w:szCs w:val="36"/>
                        </w:rPr>
                        <w:t>湖北省市场监督管理局</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2517775</wp:posOffset>
                </wp:positionH>
                <wp:positionV relativeFrom="page">
                  <wp:posOffset>2120265</wp:posOffset>
                </wp:positionV>
                <wp:extent cx="4320540" cy="556895"/>
                <wp:effectExtent l="0" t="0" r="3810" b="0"/>
                <wp:wrapNone/>
                <wp:docPr id="18" name="首页自画框图5"/>
                <wp:cNvGraphicFramePr/>
                <a:graphic xmlns:a="http://schemas.openxmlformats.org/drawingml/2006/main">
                  <a:graphicData uri="http://schemas.microsoft.com/office/word/2010/wordprocessingShape">
                    <wps:wsp>
                      <wps:cNvSpPr txBox="1"/>
                      <wps:spPr>
                        <a:xfrm>
                          <a:off x="0" y="0"/>
                          <a:ext cx="4320540" cy="556591"/>
                        </a:xfrm>
                        <a:prstGeom prst="rect">
                          <a:avLst/>
                        </a:prstGeom>
                        <a:solidFill>
                          <a:srgbClr val="FFFFFF"/>
                        </a:solidFill>
                        <a:ln w="6350">
                          <a:noFill/>
                        </a:ln>
                        <a:effectLst/>
                      </wps:spPr>
                      <wps:txbx>
                        <w:txbxContent>
                          <w:p w14:paraId="58B90856">
                            <w:pPr>
                              <w:pStyle w:val="531"/>
                            </w:pPr>
                            <w:r>
                              <w:rPr>
                                <w:rFonts w:hint="eastAsia"/>
                                <w:lang w:val="fr-FR"/>
                              </w:rPr>
                              <w:t>DB</w:t>
                            </w:r>
                            <w:r>
                              <w:rPr>
                                <w:rFonts w:hint="eastAsia"/>
                              </w:rPr>
                              <w:t>42/T XXXX-2025</w:t>
                            </w:r>
                          </w:p>
                          <w:p w14:paraId="08C33A94">
                            <w:pPr>
                              <w:pStyle w:val="267"/>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25pt;margin-top:166.95pt;height:43.85pt;width:340.2pt;mso-position-horizontal-relative:page;mso-position-vertical-relative:page;z-index:251665408;mso-width-relative:page;mso-height-relative:page;" fillcolor="#FFFFFF" filled="t" stroked="f" coordsize="21600,21600" o:gfxdata="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K5UL/bAAAADAEAAA8AAAAAAAAAAQAgAAAAIgAAAGRycy9kb3ducmV2LnhtbFBL&#10;AQIUABQAAAAIAIdO4kDVtbiSZQIAAJoEAAAOAAAAAAAAAAEAIAAAACoBAABkcnMvZTJvRG9jLnht&#10;bFBLBQYAAAAABgAGAFkBAAABBgAAAAA=&#10;">
                <v:fill on="t" focussize="0,0"/>
                <v:stroke on="f" weight="0.5pt"/>
                <v:imagedata o:title=""/>
                <o:lock v:ext="edit" aspectratio="f"/>
                <v:textbox inset="0mm,0mm,2.54mm,0mm">
                  <w:txbxContent>
                    <w:p w14:paraId="58B90856">
                      <w:pPr>
                        <w:pStyle w:val="531"/>
                      </w:pPr>
                      <w:r>
                        <w:rPr>
                          <w:rFonts w:hint="eastAsia"/>
                          <w:lang w:val="fr-FR"/>
                        </w:rPr>
                        <w:t>DB</w:t>
                      </w:r>
                      <w:r>
                        <w:rPr>
                          <w:rFonts w:hint="eastAsia"/>
                        </w:rPr>
                        <w:t>42/T XXXX-2025</w:t>
                      </w:r>
                    </w:p>
                    <w:p w14:paraId="08C33A94">
                      <w:pPr>
                        <w:pStyle w:val="267"/>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1491615</wp:posOffset>
                </wp:positionV>
                <wp:extent cx="6121400" cy="0"/>
                <wp:effectExtent l="0" t="0" r="31750" b="19050"/>
                <wp:wrapNone/>
                <wp:docPr id="1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left:-0.9pt;margin-top:117.45pt;height:0pt;width:482pt;z-index:251664384;mso-width-relative:page;mso-height-relative:page;" filled="f" stroked="t" coordsize="21600,21600" o:gfxdata="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W2X/9cAAAAKAQAADwAAAAAAAAABACAAAAAiAAAAZHJzL2Rvd25yZXYueG1sUEsBAhQAFAAA&#10;AAgAh07iQJJedwTwAQAAwgMAAA4AAAAAAAAAAQAgAAAAJgEAAGRycy9lMm9Eb2MueG1sUEsFBgAA&#10;AAAGAAYAWQEAAIg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-140335</wp:posOffset>
                </wp:positionH>
                <wp:positionV relativeFrom="page">
                  <wp:posOffset>4134485</wp:posOffset>
                </wp:positionV>
                <wp:extent cx="6400165" cy="4320540"/>
                <wp:effectExtent l="0" t="0" r="635" b="3810"/>
                <wp:wrapNone/>
                <wp:docPr id="20" name="首页自画框图7"/>
                <wp:cNvGraphicFramePr/>
                <a:graphic xmlns:a="http://schemas.openxmlformats.org/drawingml/2006/main">
                  <a:graphicData uri="http://schemas.microsoft.com/office/word/2010/wordprocessingShape">
                    <wps:wsp>
                      <wps:cNvSpPr txBox="1"/>
                      <wps:spPr>
                        <a:xfrm>
                          <a:off x="0" y="0"/>
                          <a:ext cx="6400441" cy="4320540"/>
                        </a:xfrm>
                        <a:prstGeom prst="rect">
                          <a:avLst/>
                        </a:prstGeom>
                        <a:solidFill>
                          <a:srgbClr val="FFFFFF"/>
                        </a:solidFill>
                        <a:ln w="6350">
                          <a:noFill/>
                        </a:ln>
                        <a:effectLst/>
                      </wps:spPr>
                      <wps:txbx>
                        <w:txbxContent>
                          <w:p w14:paraId="6C1180F5">
                            <w:pPr>
                              <w:pStyle w:val="532"/>
                            </w:pPr>
                            <w:r>
                              <w:rPr>
                                <w:rFonts w:hint="eastAsia"/>
                              </w:rPr>
                              <w:t>大型公共建筑碳排放分级评价标准</w:t>
                            </w:r>
                          </w:p>
                          <w:p w14:paraId="5C1210D5"/>
                          <w:p w14:paraId="45474085">
                            <w:pPr>
                              <w:pStyle w:val="271"/>
                              <w:rPr>
                                <w:rFonts w:hAnsi="黑体" w:cs="黑体"/>
                                <w:sz w:val="40"/>
                                <w:szCs w:val="24"/>
                              </w:rPr>
                            </w:pPr>
                            <w:r>
                              <w:rPr>
                                <w:rFonts w:hint="eastAsia" w:hAnsi="黑体" w:cs="黑体"/>
                                <w:color w:val="2A2F45"/>
                                <w:sz w:val="36"/>
                                <w:szCs w:val="36"/>
                                <w:shd w:val="clear" w:color="auto" w:fill="FFFFFF"/>
                              </w:rPr>
                              <w:t>Standard for Carbo</w:t>
                            </w:r>
                            <w:r>
                              <w:rPr>
                                <w:rFonts w:hint="eastAsia" w:hAnsi="黑体" w:cs="黑体"/>
                                <w:sz w:val="36"/>
                                <w:szCs w:val="36"/>
                                <w:shd w:val="clear" w:color="auto" w:fill="FFFFFF"/>
                              </w:rPr>
                              <w:t>n Emission Grading Evaluation of Large Public Buildings</w:t>
                            </w:r>
                          </w:p>
                          <w:p w14:paraId="289EFD28">
                            <w:pPr>
                              <w:pStyle w:val="271"/>
                              <w:rPr>
                                <w:rFonts w:hint="eastAsia"/>
                                <w:lang w:eastAsia="zh-CN"/>
                              </w:rPr>
                            </w:pPr>
                          </w:p>
                          <w:p w14:paraId="41B863FE">
                            <w:pPr>
                              <w:pStyle w:val="271"/>
                              <w:rPr>
                                <w:rFonts w:hint="eastAsia" w:eastAsia="黑体"/>
                                <w:lang w:eastAsia="zh-CN"/>
                              </w:rPr>
                            </w:pPr>
                            <w:r>
                              <w:rPr>
                                <w:rFonts w:hint="eastAsia"/>
                                <w:lang w:eastAsia="zh-CN"/>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1.05pt;margin-top:325.55pt;height:340.2pt;width:503.95pt;mso-position-horizontal-relative:margin;mso-position-vertical-relative:page;z-index:251660288;mso-width-relative:page;mso-height-relative:page;" fillcolor="#FFFFFF" filled="t" stroked="f" coordsize="21600,21600" o:gfxdata="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1/zdf2wAAAAwBAAAPAAAAAAAAAAEAIAAAACIAAABkcnMvZG93bnJldi54bWxQ&#10;SwECFAAUAAAACACHTuJALGqQ0WYCAACbBAAADgAAAAAAAAABACAAAAAqAQAAZHJzL2Uyb0RvYy54&#10;bWxQSwUGAAAAAAYABgBZAQAAAgYAAAAA&#10;">
                <v:fill on="t" focussize="0,0"/>
                <v:stroke on="f" weight="0.5pt"/>
                <v:imagedata o:title=""/>
                <o:lock v:ext="edit" aspectratio="f"/>
                <v:textbox inset="0mm,0mm,2.54mm,0mm">
                  <w:txbxContent>
                    <w:p w14:paraId="6C1180F5">
                      <w:pPr>
                        <w:pStyle w:val="532"/>
                      </w:pPr>
                      <w:r>
                        <w:rPr>
                          <w:rFonts w:hint="eastAsia"/>
                        </w:rPr>
                        <w:t>大型公共建筑碳排放分级评价标准</w:t>
                      </w:r>
                    </w:p>
                    <w:p w14:paraId="5C1210D5"/>
                    <w:p w14:paraId="45474085">
                      <w:pPr>
                        <w:pStyle w:val="271"/>
                        <w:rPr>
                          <w:rFonts w:hAnsi="黑体" w:cs="黑体"/>
                          <w:sz w:val="40"/>
                          <w:szCs w:val="24"/>
                        </w:rPr>
                      </w:pPr>
                      <w:r>
                        <w:rPr>
                          <w:rFonts w:hint="eastAsia" w:hAnsi="黑体" w:cs="黑体"/>
                          <w:color w:val="2A2F45"/>
                          <w:sz w:val="36"/>
                          <w:szCs w:val="36"/>
                          <w:shd w:val="clear" w:color="auto" w:fill="FFFFFF"/>
                        </w:rPr>
                        <w:t>Standard for Carbo</w:t>
                      </w:r>
                      <w:r>
                        <w:rPr>
                          <w:rFonts w:hint="eastAsia" w:hAnsi="黑体" w:cs="黑体"/>
                          <w:sz w:val="36"/>
                          <w:szCs w:val="36"/>
                          <w:shd w:val="clear" w:color="auto" w:fill="FFFFFF"/>
                        </w:rPr>
                        <w:t>n Emission Grading Evaluation of Large Public Buildings</w:t>
                      </w:r>
                    </w:p>
                    <w:p w14:paraId="289EFD28">
                      <w:pPr>
                        <w:pStyle w:val="271"/>
                        <w:rPr>
                          <w:rFonts w:hint="eastAsia"/>
                          <w:lang w:eastAsia="zh-CN"/>
                        </w:rPr>
                      </w:pPr>
                    </w:p>
                    <w:p w14:paraId="41B863FE">
                      <w:pPr>
                        <w:pStyle w:val="271"/>
                        <w:rPr>
                          <w:rFonts w:hint="eastAsia" w:eastAsia="黑体"/>
                          <w:lang w:eastAsia="zh-CN"/>
                        </w:rPr>
                      </w:pPr>
                      <w:r>
                        <w:rPr>
                          <w:rFonts w:hint="eastAsia"/>
                          <w:lang w:eastAsia="zh-CN"/>
                        </w:rPr>
                        <w:t>（征求意见稿）</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4099560</wp:posOffset>
                </wp:positionH>
                <wp:positionV relativeFrom="page">
                  <wp:posOffset>8832215</wp:posOffset>
                </wp:positionV>
                <wp:extent cx="2880360" cy="360045"/>
                <wp:effectExtent l="0" t="0" r="0" b="1905"/>
                <wp:wrapNone/>
                <wp:docPr id="22"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16006F7E">
                            <w:pPr>
                              <w:pStyle w:val="291"/>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2.8pt;margin-top:695.45pt;height:28.35pt;width:226.8pt;mso-position-horizontal-relative:page;mso-position-vertical-relative:page;z-index:251667456;mso-width-relative:page;mso-height-relative:page;" fillcolor="#FFFFFF" filled="t" stroked="f" coordsize="21600,21600" o:gfxdata="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1CPdAAAADgEAAA8AAAAAAAAAAQAgAAAAIgAAAGRycy9kb3ducmV2LnhtbFBL&#10;AQIUABQAAAAIAIdO4kCPxdxYYwIAAJoEAAAOAAAAAAAAAAEAIAAAACwBAABkcnMvZTJvRG9jLnht&#10;bFBLBQYAAAAABgAGAFkBAAABBgAAAAA=&#10;">
                <v:fill on="t" focussize="0,0"/>
                <v:stroke on="f" weight="0.5pt"/>
                <v:imagedata o:title=""/>
                <o:lock v:ext="edit" aspectratio="f"/>
                <v:textbox inset="0mm,0mm,2.54mm,0mm">
                  <w:txbxContent>
                    <w:p w14:paraId="16006F7E">
                      <w:pPr>
                        <w:pStyle w:val="291"/>
                      </w:pPr>
                      <w:r>
                        <w:rPr>
                          <w:rFonts w:hint="eastAsia"/>
                        </w:rPr>
                        <w:t>20XX-XX-XX实施</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708660</wp:posOffset>
                </wp:positionH>
                <wp:positionV relativeFrom="page">
                  <wp:posOffset>8831580</wp:posOffset>
                </wp:positionV>
                <wp:extent cx="2880360" cy="360045"/>
                <wp:effectExtent l="0" t="0" r="15240" b="1905"/>
                <wp:wrapNone/>
                <wp:docPr id="21"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rgbClr val="FFFFFF"/>
                        </a:solidFill>
                        <a:ln w="6350">
                          <a:noFill/>
                        </a:ln>
                        <a:effectLst/>
                      </wps:spPr>
                      <wps:txbx>
                        <w:txbxContent>
                          <w:p w14:paraId="4186FF61">
                            <w:pPr>
                              <w:pStyle w:val="533"/>
                              <w:rPr>
                                <w:rFonts w:ascii="黑体"/>
                              </w:rPr>
                            </w:pPr>
                            <w:r>
                              <w:rPr>
                                <w:rFonts w:hint="eastAsia" w:ascii="黑体"/>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55.8pt;margin-top:695.4pt;height:28.35pt;width:226.8pt;mso-position-horizontal-relative:page;mso-position-vertical-relative:page;z-index:251661312;mso-width-relative:page;mso-height-relative:page;" fillcolor="#FFFFFF" filled="t" stroked="f" coordsize="21600,21600" o:gfxdata="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HUks3AAAAA0BAAAPAAAAAAAAAAEAIAAAACIAAABkcnMvZG93bnJldi54bWxQSwEC&#10;FAAUAAAACACHTuJAwyxFsWICAACaBAAADgAAAAAAAAABACAAAAArAQAAZHJzL2Uyb0RvYy54bWxQ&#10;SwUGAAAAAAYABgBZAQAA/wUAAAAA&#10;">
                <v:fill on="t" focussize="0,0"/>
                <v:stroke on="f" weight="0.5pt"/>
                <v:imagedata o:title=""/>
                <o:lock v:ext="edit" aspectratio="f"/>
                <v:textbox inset="0mm,0mm,2.54mm,0mm">
                  <w:txbxContent>
                    <w:p w14:paraId="4186FF61">
                      <w:pPr>
                        <w:pStyle w:val="533"/>
                        <w:rPr>
                          <w:rFonts w:ascii="黑体"/>
                        </w:rPr>
                      </w:pPr>
                      <w:r>
                        <w:rPr>
                          <w:rFonts w:hint="eastAsia" w:ascii="黑体"/>
                        </w:rPr>
                        <w:t>20XX-XX-XX发布</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page">
                  <wp:posOffset>5318760</wp:posOffset>
                </wp:positionH>
                <wp:positionV relativeFrom="page">
                  <wp:posOffset>9580245</wp:posOffset>
                </wp:positionV>
                <wp:extent cx="805180" cy="410210"/>
                <wp:effectExtent l="0" t="0" r="0" b="8890"/>
                <wp:wrapNone/>
                <wp:docPr id="25" name="首页自画框图12"/>
                <wp:cNvGraphicFramePr/>
                <a:graphic xmlns:a="http://schemas.openxmlformats.org/drawingml/2006/main">
                  <a:graphicData uri="http://schemas.microsoft.com/office/word/2010/wordprocessingShape">
                    <wps:wsp>
                      <wps:cNvSpPr txBox="1"/>
                      <wps:spPr>
                        <a:xfrm>
                          <a:off x="0" y="0"/>
                          <a:ext cx="805180" cy="410400"/>
                        </a:xfrm>
                        <a:prstGeom prst="rect">
                          <a:avLst/>
                        </a:prstGeom>
                        <a:solidFill>
                          <a:srgbClr val="FFFFFF"/>
                        </a:solidFill>
                        <a:ln w="6350">
                          <a:noFill/>
                        </a:ln>
                        <a:effectLst/>
                      </wps:spPr>
                      <wps:txbx>
                        <w:txbxContent>
                          <w:p w14:paraId="4D249149">
                            <w:pPr>
                              <w:adjustRightInd w:val="0"/>
                              <w:spacing w:line="200" w:lineRule="atLeast"/>
                              <w:jc w:val="center"/>
                              <w:rPr>
                                <w:rFonts w:ascii="黑体" w:hAnsi="Calibri" w:eastAsia="黑体"/>
                                <w:sz w:val="36"/>
                                <w:szCs w:val="36"/>
                              </w:rPr>
                            </w:pPr>
                            <w:r>
                              <w:rPr>
                                <w:rFonts w:hint="eastAsia" w:ascii="黑体" w:hAnsi="Calibri" w:eastAsia="黑体"/>
                                <w:sz w:val="36"/>
                                <w:szCs w:val="36"/>
                                <w:lang w:eastAsia="zh-CN"/>
                              </w:rPr>
                              <w:t>联合</w:t>
                            </w:r>
                            <w:r>
                              <w:rPr>
                                <w:rFonts w:hint="eastAsia" w:ascii="黑体" w:hAnsi="Calibri" w:eastAsia="黑体"/>
                                <w:sz w:val="36"/>
                                <w:szCs w:val="36"/>
                              </w:rPr>
                              <w:t>发布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18.8pt;margin-top:754.35pt;height:32.3pt;width:63.4pt;mso-position-horizontal-relative:page;mso-position-vertical-relative:page;mso-wrap-style:none;z-index:251670528;mso-width-relative:page;mso-height-relative:page;" fillcolor="#FFFFFF" filled="t" stroked="f" coordsize="21600,21600" o:gfxdata="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Ibn3AAAAA0BAAAPAAAAAAAAAAEAIAAAACIAAABkcnMvZG93bnJldi54bWxQSwECFAAU&#10;AAAACACHTuJA+KYFhF8CAACUBAAADgAAAAAAAAABACAAAAArAQAAZHJzL2Uyb0RvYy54bWxQSwUG&#10;AAAAAAYABgBZAQAA/AUAAAAA&#10;">
                <v:fill on="t" focussize="0,0"/>
                <v:stroke on="f" weight="0.5pt"/>
                <v:imagedata o:title=""/>
                <o:lock v:ext="edit" aspectratio="f"/>
                <v:textbox inset="0mm,0mm,0mm,0mm">
                  <w:txbxContent>
                    <w:p w14:paraId="4D249149">
                      <w:pPr>
                        <w:adjustRightInd w:val="0"/>
                        <w:spacing w:line="200" w:lineRule="atLeast"/>
                        <w:jc w:val="center"/>
                        <w:rPr>
                          <w:rFonts w:ascii="黑体" w:hAnsi="Calibri" w:eastAsia="黑体"/>
                          <w:sz w:val="36"/>
                          <w:szCs w:val="36"/>
                        </w:rPr>
                      </w:pPr>
                      <w:r>
                        <w:rPr>
                          <w:rFonts w:hint="eastAsia" w:ascii="黑体" w:hAnsi="Calibri" w:eastAsia="黑体"/>
                          <w:sz w:val="36"/>
                          <w:szCs w:val="36"/>
                          <w:lang w:eastAsia="zh-CN"/>
                        </w:rPr>
                        <w:t>联合</w:t>
                      </w:r>
                      <w:r>
                        <w:rPr>
                          <w:rFonts w:hint="eastAsia" w:ascii="黑体" w:hAnsi="Calibri" w:eastAsia="黑体"/>
                          <w:sz w:val="36"/>
                          <w:szCs w:val="36"/>
                        </w:rPr>
                        <w:t>发布</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-11430</wp:posOffset>
                </wp:positionH>
                <wp:positionV relativeFrom="paragraph">
                  <wp:posOffset>7512050</wp:posOffset>
                </wp:positionV>
                <wp:extent cx="6121400" cy="0"/>
                <wp:effectExtent l="0" t="4445" r="0" b="0"/>
                <wp:wrapNone/>
                <wp:docPr id="23"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10" o:spid="_x0000_s1026" o:spt="20" style="position:absolute;left:0pt;margin-left:-0.9pt;margin-top:591.5pt;height:0pt;width:482pt;z-index:251668480;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M0abNcAAAAMAQAADwAAAAAAAAABACAAAAAiAAAAZHJzL2Rvd25yZXYueG1sUEsBAhQAFAAA&#10;AAgAh07iQFRUNIbwAQAAwwMAAA4AAAAAAAAAAQAgAAAAJgEAAGRycy9lMm9Eb2MueG1sUEsFBgAA&#10;AAAGAAYAWQEAAIgFAAAAAA==&#10;">
                <v:fill on="f" focussize="0,0"/>
                <v:stroke weight="0.5pt" color="#000000" miterlimit="8" joinstyle="miter"/>
                <v:imagedata o:title=""/>
                <o:lock v:ext="edit" aspectratio="f"/>
              </v:line>
            </w:pict>
          </mc:Fallback>
        </mc:AlternateContent>
      </w:r>
    </w:p>
    <w:p w14:paraId="06FBF7F8">
      <w:pPr>
        <w:widowControl/>
        <w:jc w:val="left"/>
        <w:sectPr>
          <w:headerReference r:id="rId8" w:type="first"/>
          <w:footerReference r:id="rId10" w:type="first"/>
          <w:headerReference r:id="rId7" w:type="default"/>
          <w:footerReference r:id="rId9" w:type="default"/>
          <w:pgSz w:w="11907" w:h="16839"/>
          <w:pgMar w:top="567" w:right="1134" w:bottom="1134" w:left="1134" w:header="1418" w:footer="1134" w:gutter="284"/>
          <w:pgNumType w:start="1"/>
          <w:cols w:space="425" w:num="1"/>
          <w:docGrid w:type="lines" w:linePitch="312" w:charSpace="0"/>
        </w:sectPr>
      </w:pPr>
      <w:bookmarkStart w:id="0" w:name="标准目次"/>
      <w:bookmarkEnd w:id="0"/>
      <w:bookmarkStart w:id="1" w:name="标准目次内容"/>
      <w:r>
        <mc:AlternateContent>
          <mc:Choice Requires="wps">
            <w:drawing>
              <wp:anchor distT="0" distB="0" distL="114300" distR="114300" simplePos="0" relativeHeight="251671552" behindDoc="0" locked="0" layoutInCell="1" allowOverlap="1">
                <wp:simplePos x="0" y="0"/>
                <wp:positionH relativeFrom="column">
                  <wp:posOffset>4732655</wp:posOffset>
                </wp:positionH>
                <wp:positionV relativeFrom="paragraph">
                  <wp:posOffset>-502285</wp:posOffset>
                </wp:positionV>
                <wp:extent cx="1642745" cy="541655"/>
                <wp:effectExtent l="3175" t="0" r="1905"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642745" cy="5416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65pt;margin-top:-39.55pt;height:42.65pt;width:129.35pt;z-index:251671552;mso-width-relative:page;mso-height-relative:page;" fillcolor="#FFFFFF" filled="t" stroked="f" coordsize="21600,21600" o:gfxdata="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1V72AAAAAoB&#10;AAAPAAAAAAAAAAEAIAAAACIAAABkcnMvZG93bnJldi54bWxQSwECFAAUAAAACACHTuJAr1bEeBsC&#10;AAAmBAAADgAAAAAAAAABACAAAAAnAQAAZHJzL2Uyb0RvYy54bWxQSwUGAAAAAAYABgBZAQAAtAUA&#10;AAAA&#10;">
                <v:fill on="t" focussize="0,0"/>
                <v:stroke on="f"/>
                <v:imagedata o:title=""/>
                <o:lock v:ext="edit" aspectratio="f"/>
              </v:rect>
            </w:pict>
          </mc:Fallback>
        </mc:AlternateContent>
      </w:r>
      <w:r>
        <w:br w:type="page"/>
      </w:r>
    </w:p>
    <w:p w14:paraId="32F89AB6">
      <w:pPr>
        <w:widowControl/>
        <w:jc w:val="left"/>
        <w:rPr>
          <w:rFonts w:ascii="黑体" w:eastAsia="黑体"/>
          <w:kern w:val="0"/>
          <w:sz w:val="32"/>
          <w:szCs w:val="20"/>
        </w:rPr>
      </w:pPr>
    </w:p>
    <w:p w14:paraId="79C22C82">
      <w:pPr>
        <w:pStyle w:val="534"/>
        <w:spacing w:before="720" w:beforeLines="300" w:after="360"/>
        <w:rPr>
          <w:spacing w:val="320"/>
        </w:rPr>
      </w:pPr>
      <w:r>
        <w:rPr>
          <w:rFonts w:hint="eastAsia"/>
          <w:spacing w:val="320"/>
        </w:rPr>
        <w:t>目次</w:t>
      </w:r>
    </w:p>
    <w:bookmarkEnd w:id="1"/>
    <w:p w14:paraId="5CCA95F7">
      <w:pPr>
        <w:pStyle w:val="19"/>
        <w:tabs>
          <w:tab w:val="right" w:leader="dot" w:pos="9345"/>
        </w:tabs>
        <w:spacing w:before="60" w:after="60"/>
        <w:rPr>
          <w:rFonts w:asciiTheme="minorHAnsi" w:hAnsiTheme="minorHAnsi" w:eastAsiaTheme="minorEastAsia" w:cstheme="minorBidi"/>
          <w:kern w:val="2"/>
          <w:szCs w:val="22"/>
        </w:rPr>
      </w:pPr>
      <w:r>
        <w:rPr>
          <w:rFonts w:hAnsi="宋体" w:cs="宋体"/>
        </w:rPr>
        <w:fldChar w:fldCharType="begin"/>
      </w:r>
      <w:r>
        <w:rPr>
          <w:rFonts w:hAnsi="宋体" w:cs="宋体"/>
        </w:rPr>
        <w:instrText xml:space="preserve"> </w:instrText>
      </w:r>
      <w:r>
        <w:rPr>
          <w:rFonts w:hint="eastAsia" w:hAnsi="宋体" w:cs="宋体"/>
        </w:rPr>
        <w:instrText xml:space="preserve">TOC \o "1-1" \h \z \u</w:instrText>
      </w:r>
      <w:r>
        <w:rPr>
          <w:rFonts w:hAnsi="宋体" w:cs="宋体"/>
        </w:rPr>
        <w:instrText xml:space="preserve"> </w:instrText>
      </w:r>
      <w:r>
        <w:rPr>
          <w:rFonts w:hAnsi="宋体" w:cs="宋体"/>
        </w:rPr>
        <w:fldChar w:fldCharType="separate"/>
      </w:r>
      <w:r>
        <w:fldChar w:fldCharType="begin"/>
      </w:r>
      <w:r>
        <w:instrText xml:space="preserve"> HYPERLINK \l "_Toc177570334" </w:instrText>
      </w:r>
      <w:r>
        <w:fldChar w:fldCharType="separate"/>
      </w:r>
      <w:r>
        <w:rPr>
          <w:rStyle w:val="242"/>
        </w:rPr>
        <w:t>1</w:t>
      </w:r>
      <w:r>
        <w:rPr>
          <w:rStyle w:val="242"/>
          <w:rFonts w:hint="eastAsia"/>
        </w:rPr>
        <w:t>　范围</w:t>
      </w:r>
      <w:r>
        <w:tab/>
      </w:r>
      <w:r>
        <w:fldChar w:fldCharType="begin"/>
      </w:r>
      <w:r>
        <w:instrText xml:space="preserve"> PAGEREF _Toc177570334 \h </w:instrText>
      </w:r>
      <w:r>
        <w:fldChar w:fldCharType="separate"/>
      </w:r>
      <w:r>
        <w:t>1</w:t>
      </w:r>
      <w:r>
        <w:fldChar w:fldCharType="end"/>
      </w:r>
      <w:r>
        <w:fldChar w:fldCharType="end"/>
      </w:r>
    </w:p>
    <w:p w14:paraId="3A526059">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"_Toc177570335" </w:instrText>
      </w:r>
      <w:r>
        <w:fldChar w:fldCharType="separate"/>
      </w:r>
      <w:r>
        <w:rPr>
          <w:rStyle w:val="242"/>
        </w:rPr>
        <w:t>2</w:t>
      </w:r>
      <w:r>
        <w:rPr>
          <w:rStyle w:val="242"/>
          <w:rFonts w:hint="eastAsia"/>
        </w:rPr>
        <w:t>　规范性引用文件</w:t>
      </w:r>
      <w:r>
        <w:tab/>
      </w:r>
      <w:r>
        <w:fldChar w:fldCharType="begin"/>
      </w:r>
      <w:r>
        <w:instrText xml:space="preserve"> PAGEREF _Toc177570335 \h </w:instrText>
      </w:r>
      <w:r>
        <w:fldChar w:fldCharType="separate"/>
      </w:r>
      <w:r>
        <w:t>1</w:t>
      </w:r>
      <w:r>
        <w:fldChar w:fldCharType="end"/>
      </w:r>
      <w:r>
        <w:fldChar w:fldCharType="end"/>
      </w:r>
    </w:p>
    <w:p w14:paraId="6FA568ED">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"_Toc177570336" </w:instrText>
      </w:r>
      <w:r>
        <w:fldChar w:fldCharType="separate"/>
      </w:r>
      <w:r>
        <w:rPr>
          <w:rStyle w:val="242"/>
        </w:rPr>
        <w:t>3</w:t>
      </w:r>
      <w:r>
        <w:rPr>
          <w:rStyle w:val="242"/>
          <w:rFonts w:hint="eastAsia"/>
        </w:rPr>
        <w:t>　术语和定义</w:t>
      </w:r>
      <w:r>
        <w:tab/>
      </w:r>
      <w:r>
        <w:fldChar w:fldCharType="begin"/>
      </w:r>
      <w:r>
        <w:instrText xml:space="preserve"> PAGEREF _Toc177570336 \h </w:instrText>
      </w:r>
      <w:r>
        <w:fldChar w:fldCharType="separate"/>
      </w:r>
      <w:r>
        <w:t>1</w:t>
      </w:r>
      <w:r>
        <w:fldChar w:fldCharType="end"/>
      </w:r>
      <w:r>
        <w:fldChar w:fldCharType="end"/>
      </w:r>
    </w:p>
    <w:p w14:paraId="017CEC89">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"_Toc177570337" </w:instrText>
      </w:r>
      <w:r>
        <w:fldChar w:fldCharType="separate"/>
      </w:r>
      <w:r>
        <w:rPr>
          <w:rStyle w:val="242"/>
        </w:rPr>
        <w:t>4</w:t>
      </w:r>
      <w:r>
        <w:rPr>
          <w:rStyle w:val="242"/>
          <w:rFonts w:hint="eastAsia"/>
        </w:rPr>
        <w:t>　基本规定</w:t>
      </w:r>
      <w:r>
        <w:tab/>
      </w:r>
      <w:r>
        <w:fldChar w:fldCharType="begin"/>
      </w:r>
      <w:r>
        <w:instrText xml:space="preserve"> PAGEREF _Toc177570337 \h </w:instrText>
      </w:r>
      <w:r>
        <w:fldChar w:fldCharType="separate"/>
      </w:r>
      <w:r>
        <w:t>3</w:t>
      </w:r>
      <w:r>
        <w:fldChar w:fldCharType="end"/>
      </w:r>
      <w:r>
        <w:fldChar w:fldCharType="end"/>
      </w:r>
    </w:p>
    <w:p w14:paraId="0A084ABA">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"_Toc177570338" </w:instrText>
      </w:r>
      <w:r>
        <w:fldChar w:fldCharType="separate"/>
      </w:r>
      <w:r>
        <w:rPr>
          <w:rStyle w:val="242"/>
        </w:rPr>
        <w:t>5</w:t>
      </w:r>
      <w:r>
        <w:rPr>
          <w:rStyle w:val="242"/>
          <w:rFonts w:hint="eastAsia"/>
        </w:rPr>
        <w:t>　公共建筑运行阶段碳排放计算</w:t>
      </w:r>
      <w:r>
        <w:tab/>
      </w:r>
      <w:r>
        <w:fldChar w:fldCharType="begin"/>
      </w:r>
      <w:r>
        <w:instrText xml:space="preserve"> PAGEREF _Toc177570338 \h </w:instrText>
      </w:r>
      <w:r>
        <w:fldChar w:fldCharType="separate"/>
      </w:r>
      <w:r>
        <w:t>3</w:t>
      </w:r>
      <w:r>
        <w:fldChar w:fldCharType="end"/>
      </w:r>
      <w:r>
        <w:fldChar w:fldCharType="end"/>
      </w:r>
    </w:p>
    <w:p w14:paraId="64963A5E">
      <w:pPr>
        <w:pStyle w:val="19"/>
        <w:tabs>
          <w:tab w:val="right" w:leader="dot" w:pos="9345"/>
        </w:tabs>
        <w:spacing w:before="60" w:after="60"/>
        <w:rPr>
          <w:rFonts w:asciiTheme="minorHAnsi" w:hAnsiTheme="minorHAnsi" w:eastAsiaTheme="minorEastAsia" w:cstheme="minorBidi"/>
          <w:kern w:val="2"/>
          <w:szCs w:val="22"/>
        </w:rPr>
      </w:pPr>
      <w:r>
        <w:fldChar w:fldCharType="begin"/>
      </w:r>
      <w:r>
        <w:instrText xml:space="preserve"> HYPERLINK \l "_Toc177570339" </w:instrText>
      </w:r>
      <w:r>
        <w:fldChar w:fldCharType="separate"/>
      </w:r>
      <w:r>
        <w:rPr>
          <w:rStyle w:val="242"/>
          <w:rFonts w:cs="仿宋_GB2312"/>
          <w:bCs/>
        </w:rPr>
        <w:t>6</w:t>
      </w:r>
      <w:r>
        <w:rPr>
          <w:rStyle w:val="242"/>
          <w:rFonts w:hint="eastAsia" w:cs="仿宋_GB2312"/>
          <w:bCs/>
        </w:rPr>
        <w:t>　</w:t>
      </w:r>
      <w:r>
        <w:rPr>
          <w:rStyle w:val="242"/>
          <w:rFonts w:hint="eastAsia"/>
        </w:rPr>
        <w:t>分级评价</w:t>
      </w:r>
      <w:r>
        <w:tab/>
      </w:r>
      <w:r>
        <w:fldChar w:fldCharType="begin"/>
      </w:r>
      <w:r>
        <w:instrText xml:space="preserve"> PAGEREF _Toc177570339 \h </w:instrText>
      </w:r>
      <w:r>
        <w:fldChar w:fldCharType="separate"/>
      </w:r>
      <w:r>
        <w:t>4</w:t>
      </w:r>
      <w:r>
        <w:fldChar w:fldCharType="end"/>
      </w:r>
      <w:r>
        <w:fldChar w:fldCharType="end"/>
      </w:r>
    </w:p>
    <w:p w14:paraId="43E61602">
      <w:pPr>
        <w:pStyle w:val="258"/>
        <w:ind w:firstLine="420"/>
        <w:rPr>
          <w:rFonts w:hAnsi="宋体" w:cs="宋体"/>
        </w:rPr>
      </w:pPr>
      <w:r>
        <w:rPr>
          <w:rFonts w:hAnsi="宋体" w:cs="宋体"/>
        </w:rPr>
        <w:fldChar w:fldCharType="end"/>
      </w:r>
    </w:p>
    <w:p w14:paraId="49A0681D">
      <w:pPr>
        <w:widowControl/>
        <w:jc w:val="left"/>
        <w:rPr>
          <w:rFonts w:ascii="宋体"/>
          <w:kern w:val="0"/>
          <w:szCs w:val="20"/>
        </w:rPr>
      </w:pPr>
      <w:r>
        <w:br w:type="page"/>
      </w:r>
    </w:p>
    <w:p w14:paraId="133A921A">
      <w:pPr>
        <w:pStyle w:val="258"/>
        <w:ind w:firstLine="723"/>
        <w:jc w:val="center"/>
        <w:rPr>
          <w:rFonts w:asciiTheme="majorEastAsia" w:hAnsiTheme="majorEastAsia" w:eastAsiaTheme="majorEastAsia" w:cstheme="majorEastAsia"/>
          <w:b/>
          <w:bCs/>
          <w:sz w:val="36"/>
          <w:szCs w:val="32"/>
        </w:rPr>
      </w:pPr>
      <w:r>
        <w:rPr>
          <w:rFonts w:hint="eastAsia" w:asciiTheme="majorEastAsia" w:hAnsiTheme="majorEastAsia" w:eastAsiaTheme="majorEastAsia" w:cstheme="majorEastAsia"/>
          <w:b/>
          <w:bCs/>
          <w:sz w:val="36"/>
          <w:szCs w:val="32"/>
        </w:rPr>
        <mc:AlternateContent>
          <mc:Choice Requires="wps">
            <w:drawing>
              <wp:anchor distT="0" distB="0" distL="114300" distR="114300" simplePos="0" relativeHeight="251673600" behindDoc="0" locked="0" layoutInCell="1" allowOverlap="1">
                <wp:simplePos x="0" y="0"/>
                <wp:positionH relativeFrom="column">
                  <wp:posOffset>-158750</wp:posOffset>
                </wp:positionH>
                <wp:positionV relativeFrom="paragraph">
                  <wp:posOffset>-370840</wp:posOffset>
                </wp:positionV>
                <wp:extent cx="1642745" cy="541655"/>
                <wp:effectExtent l="3175" t="0" r="1905" b="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642745" cy="5416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pt;margin-top:-29.2pt;height:42.65pt;width:129.35pt;z-index:251673600;mso-width-relative:page;mso-height-relative:page;" fillcolor="#FFFFFF" filled="t" stroked="f" coordsize="21600,21600" o:gfxdata="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OplEPYAAAACgEA&#10;AA8AAAAAAAAAAQAgAAAAIgAAAGRycy9kb3ducmV2LnhtbFBLAQIUABQAAAAIAIdO4kAfVRYbGgIA&#10;ACgEAAAOAAAAAAAAAAEAIAAAACcBAABkcnMvZTJvRG9jLnhtbFBLBQYAAAAABgAGAFkBAACzBQAA&#10;AAA=&#10;">
                <v:fill on="t" focussize="0,0"/>
                <v:stroke on="f"/>
                <v:imagedata o:title=""/>
                <o:lock v:ext="edit" aspectratio="f"/>
              </v:rect>
            </w:pict>
          </mc:Fallback>
        </mc:AlternateContent>
      </w:r>
      <w:r>
        <w:rPr>
          <w:rFonts w:hint="eastAsia" w:asciiTheme="majorEastAsia" w:hAnsiTheme="majorEastAsia" w:eastAsiaTheme="majorEastAsia" w:cstheme="majorEastAsia"/>
          <w:b/>
          <w:bCs/>
          <w:sz w:val="36"/>
          <w:szCs w:val="32"/>
        </w:rPr>
        <mc:AlternateContent>
          <mc:Choice Requires="wps">
            <w:drawing>
              <wp:anchor distT="0" distB="0" distL="114300" distR="114300" simplePos="0" relativeHeight="251672576" behindDoc="0" locked="0" layoutInCell="1" allowOverlap="1">
                <wp:simplePos x="0" y="0"/>
                <wp:positionH relativeFrom="column">
                  <wp:posOffset>-158750</wp:posOffset>
                </wp:positionH>
                <wp:positionV relativeFrom="paragraph">
                  <wp:posOffset>8454390</wp:posOffset>
                </wp:positionV>
                <wp:extent cx="1642745" cy="541655"/>
                <wp:effectExtent l="3175" t="0" r="1905" b="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642745" cy="5416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5pt;margin-top:665.7pt;height:42.65pt;width:129.35pt;z-index:251672576;mso-width-relative:page;mso-height-relative:page;" fillcolor="#FFFFFF" filled="t" stroked="f" coordsize="21600,21600" o:gfxdata="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F/Gp2wAA&#10;AA0BAAAPAAAAAAAAAAEAIAAAACIAAABkcnMvZG93bnJldi54bWxQSwECFAAUAAAACACHTuJArlqT&#10;bBsCAAAoBAAADgAAAAAAAAABACAAAAAqAQAAZHJzL2Uyb0RvYy54bWxQSwUGAAAAAAYABgBZAQAA&#10;twUAAAAA&#10;">
                <v:fill on="t" focussize="0,0"/>
                <v:stroke on="f"/>
                <v:imagedata o:title=""/>
                <o:lock v:ext="edit" aspectratio="f"/>
              </v:rect>
            </w:pict>
          </mc:Fallback>
        </mc:AlternateContent>
      </w:r>
      <w:bookmarkStart w:id="2" w:name="_Toc171282323"/>
    </w:p>
    <w:p w14:paraId="49373D02">
      <w:pPr>
        <w:pStyle w:val="258"/>
        <w:ind w:firstLine="723"/>
        <w:jc w:val="center"/>
        <w:rPr>
          <w:rFonts w:asciiTheme="majorEastAsia" w:hAnsiTheme="majorEastAsia" w:eastAsiaTheme="majorEastAsia" w:cstheme="majorEastAsia"/>
          <w:b/>
          <w:bCs/>
          <w:sz w:val="36"/>
          <w:szCs w:val="32"/>
        </w:rPr>
      </w:pPr>
      <w:r>
        <w:rPr>
          <w:rFonts w:hint="eastAsia" w:asciiTheme="majorEastAsia" w:hAnsiTheme="majorEastAsia" w:eastAsiaTheme="majorEastAsia" w:cstheme="majorEastAsia"/>
          <w:b/>
          <w:bCs/>
          <w:sz w:val="36"/>
          <w:szCs w:val="32"/>
        </w:rPr>
        <w:t>前  言</w:t>
      </w:r>
      <w:bookmarkEnd w:id="2"/>
    </w:p>
    <w:p w14:paraId="04D95F42">
      <w:pPr>
        <w:pStyle w:val="258"/>
        <w:ind w:firstLine="723"/>
        <w:jc w:val="center"/>
        <w:rPr>
          <w:rFonts w:asciiTheme="majorEastAsia" w:hAnsiTheme="majorEastAsia" w:eastAsiaTheme="majorEastAsia" w:cstheme="majorEastAsia"/>
          <w:b/>
          <w:bCs/>
          <w:sz w:val="36"/>
          <w:szCs w:val="32"/>
        </w:rPr>
      </w:pPr>
    </w:p>
    <w:p w14:paraId="55696AA4">
      <w:pPr>
        <w:pStyle w:val="550"/>
        <w:widowControl w:val="0"/>
        <w:spacing w:line="320" w:lineRule="exact"/>
        <w:ind w:firstLine="420"/>
        <w:rPr>
          <w:rFonts w:ascii="Times New Roman"/>
        </w:rPr>
      </w:pPr>
      <w:r>
        <w:rPr>
          <w:rFonts w:ascii="Times New Roman"/>
        </w:rPr>
        <w:t>本文件按照GB/T 1.1－2020《标准化工作导则第1部分：标准化文件的结构和起草规则》给出的规定起草。</w:t>
      </w:r>
    </w:p>
    <w:p w14:paraId="46430B4D">
      <w:pPr>
        <w:pStyle w:val="550"/>
        <w:widowControl w:val="0"/>
        <w:spacing w:line="320" w:lineRule="exact"/>
        <w:ind w:firstLine="420"/>
        <w:rPr>
          <w:rFonts w:ascii="Times New Roman"/>
        </w:rPr>
      </w:pPr>
      <w:r>
        <w:rPr>
          <w:rFonts w:ascii="Times New Roman"/>
        </w:rPr>
        <w:t>请注意本文件的某些内容可能涉及专利。本文件的发布机构不承担识别专利的责任。</w:t>
      </w:r>
    </w:p>
    <w:p w14:paraId="77E2242D">
      <w:pPr>
        <w:pStyle w:val="550"/>
        <w:widowControl w:val="0"/>
        <w:spacing w:line="320" w:lineRule="exact"/>
        <w:ind w:firstLine="420"/>
        <w:rPr>
          <w:rFonts w:ascii="Times New Roman"/>
        </w:rPr>
      </w:pPr>
      <w:r>
        <w:rPr>
          <w:rFonts w:ascii="Times New Roman"/>
        </w:rPr>
        <w:t>本文件由湖北省住房和城乡建设厅提出并归口管理。</w:t>
      </w:r>
    </w:p>
    <w:p w14:paraId="714299BE">
      <w:pPr>
        <w:pStyle w:val="550"/>
        <w:widowControl w:val="0"/>
        <w:spacing w:line="320" w:lineRule="exact"/>
        <w:ind w:firstLine="420"/>
        <w:rPr>
          <w:rFonts w:ascii="Times New Roman"/>
        </w:rPr>
      </w:pPr>
      <w:r>
        <w:rPr>
          <w:rFonts w:ascii="Times New Roman"/>
        </w:rPr>
        <w:t>本文件起草单位：</w:t>
      </w:r>
      <w:bookmarkStart w:id="3" w:name="OLE_LINK2"/>
      <w:r>
        <w:rPr>
          <w:rFonts w:hint="eastAsia" w:ascii="Times New Roman"/>
        </w:rPr>
        <w:t>湖北碳排放权交易中心有限公司、湖北省建设科技与建筑节能办公室、湖北省建筑节能协会、中南建筑设计院股份有限公司、湖北中碳资产管理有限公司。</w:t>
      </w:r>
    </w:p>
    <w:bookmarkEnd w:id="3"/>
    <w:p w14:paraId="5E11AA3A">
      <w:pPr>
        <w:pStyle w:val="550"/>
        <w:widowControl w:val="0"/>
        <w:spacing w:line="320" w:lineRule="exact"/>
        <w:ind w:firstLine="420"/>
        <w:rPr>
          <w:rFonts w:ascii="Times New Roman"/>
        </w:rPr>
      </w:pPr>
      <w:r>
        <w:rPr>
          <w:rFonts w:hint="eastAsia" w:ascii="Times New Roman"/>
        </w:rPr>
        <w:t>本文件主要起草人：何昌福、雷琦、方凡、王华玥、李源浩、王敏、杨玉环、徐强、胡紫东、杨雷、谢春娥、陈菡、杨世涛、李祖豪。</w:t>
      </w:r>
    </w:p>
    <w:p w14:paraId="014269E1">
      <w:pPr>
        <w:pStyle w:val="550"/>
        <w:ind w:firstLine="420"/>
      </w:pPr>
      <w:r>
        <w:rPr>
          <w:rFonts w:hint="eastAsia"/>
        </w:rPr>
        <w:t>本文件实施应用中的疑问，可咨询湖北省住房和城乡建设厅，联系电话：</w:t>
      </w:r>
      <w:r>
        <w:t>027-68873088</w:t>
      </w:r>
      <w:r>
        <w:rPr>
          <w:rFonts w:hint="eastAsia"/>
        </w:rPr>
        <w:t>，邮箱：</w:t>
      </w:r>
      <w:r>
        <w:rPr>
          <w:rFonts w:hint="eastAsia"/>
          <w:lang w:val="en-US" w:eastAsia="zh-CN"/>
        </w:rPr>
        <w:t>bkc@</w:t>
      </w:r>
      <w:r>
        <w:t>hbszjt.net.cn</w:t>
      </w:r>
      <w:r>
        <w:rPr>
          <w:rFonts w:hint="eastAsia"/>
        </w:rPr>
        <w:t>；对本文件的有关修改意见建议请反馈至湖北碳排放权交易中心有限公司，联系电话：027-86649630，邮箱：leiqi@hbets.cn。</w:t>
      </w:r>
    </w:p>
    <w:p w14:paraId="4FA9A66F">
      <w:pPr>
        <w:pStyle w:val="550"/>
        <w:widowControl w:val="0"/>
        <w:ind w:firstLine="420"/>
        <w:rPr>
          <w:rFonts w:ascii="Times New Roman"/>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cols w:space="425" w:num="1"/>
          <w:formProt w:val="0"/>
          <w:docGrid w:linePitch="312" w:charSpace="0"/>
        </w:sectPr>
      </w:pPr>
    </w:p>
    <w:p w14:paraId="179E8F44">
      <w:pPr>
        <w:pStyle w:val="258"/>
        <w:ind w:firstLine="420"/>
        <w:sectPr>
          <w:footerReference r:id="rId15" w:type="default"/>
          <w:footerReference r:id="rId16" w:type="even"/>
          <w:pgSz w:w="11907" w:h="16839"/>
          <w:pgMar w:top="567" w:right="1134" w:bottom="1134" w:left="1134" w:header="1418" w:footer="1134" w:gutter="284"/>
          <w:pgNumType w:fmt="upperRoman" w:start="1"/>
          <w:cols w:space="425" w:num="1"/>
          <w:docGrid w:type="lines" w:linePitch="312" w:charSpace="0"/>
        </w:sectPr>
      </w:pPr>
    </w:p>
    <w:p w14:paraId="04991E63">
      <w:pPr>
        <w:pStyle w:val="315"/>
        <w:rPr>
          <w:rFonts w:hAnsi="黑体"/>
          <w:kern w:val="2"/>
          <w:szCs w:val="32"/>
        </w:rPr>
      </w:pPr>
      <w:bookmarkStart w:id="4" w:name="标准内容"/>
      <w:bookmarkEnd w:id="4"/>
      <w:r>
        <w:rPr>
          <w:rFonts w:hint="eastAsia" w:hAnsi="黑体"/>
          <w:kern w:val="2"/>
          <w:szCs w:val="32"/>
        </w:rPr>
        <w:t>大型公共建筑碳排放分级评价标准</w:t>
      </w:r>
    </w:p>
    <w:p w14:paraId="6EE452F7">
      <w:pPr>
        <w:pStyle w:val="539"/>
      </w:pPr>
      <w:bookmarkStart w:id="5" w:name="_Toc177570334"/>
      <w:r>
        <w:rPr>
          <w:rFonts w:hint="eastAsia"/>
        </w:rPr>
        <w:t>1　范围</w:t>
      </w:r>
      <w:bookmarkEnd w:id="5"/>
    </w:p>
    <w:p w14:paraId="48F9CBD4">
      <w:pPr>
        <w:pStyle w:val="260"/>
        <w:widowControl w:val="0"/>
        <w:numPr>
          <w:ilvl w:val="1"/>
          <w:numId w:val="0"/>
        </w:numPr>
        <w:overflowPunct w:val="0"/>
        <w:spacing w:beforeLines="0" w:afterLines="0"/>
        <w:ind w:firstLine="420" w:firstLineChars="200"/>
        <w:jc w:val="both"/>
        <w:outlineLvl w:val="9"/>
        <w:rPr>
          <w:rFonts w:asciiTheme="minorEastAsia" w:hAnsiTheme="minorEastAsia" w:eastAsiaTheme="minorEastAsia"/>
        </w:rPr>
      </w:pPr>
      <w:r>
        <w:rPr>
          <w:rFonts w:hint="eastAsia" w:asciiTheme="minorEastAsia" w:hAnsiTheme="minorEastAsia" w:eastAsiaTheme="minorEastAsia"/>
        </w:rPr>
        <w:t>本文件规定了大型公共建筑碳排放的术语、基本规定、运行阶段碳排放计算方法、碳排放分级评价标准等内容。</w:t>
      </w:r>
    </w:p>
    <w:p w14:paraId="38D27D50">
      <w:pPr>
        <w:pStyle w:val="545"/>
        <w:tabs>
          <w:tab w:val="left" w:pos="1620"/>
        </w:tabs>
        <w:ind w:firstLine="420" w:firstLineChars="200"/>
        <w:rPr>
          <w:rFonts w:asciiTheme="minorEastAsia" w:hAnsiTheme="minorEastAsia" w:eastAsiaTheme="minorEastAsia"/>
        </w:rPr>
      </w:pPr>
      <w:r>
        <w:rPr>
          <w:rFonts w:hint="eastAsia" w:asciiTheme="minorEastAsia" w:hAnsiTheme="minorEastAsia" w:eastAsiaTheme="minorEastAsia"/>
        </w:rPr>
        <w:t>本文件适用于</w:t>
      </w:r>
      <w:r>
        <w:rPr>
          <w:rFonts w:hint="eastAsia"/>
          <w:spacing w:val="-2"/>
        </w:rPr>
        <w:t>办公建筑、旅游饭店建筑、商业建筑、医疗卫生建筑、会展建筑等</w:t>
      </w:r>
      <w:r>
        <w:rPr>
          <w:rFonts w:hint="eastAsia" w:asciiTheme="minorEastAsia" w:hAnsiTheme="minorEastAsia" w:eastAsiaTheme="minorEastAsia"/>
        </w:rPr>
        <w:t>大型公共建筑运行阶段碳排放分级评价。</w:t>
      </w:r>
    </w:p>
    <w:p w14:paraId="52A4406D">
      <w:pPr>
        <w:pStyle w:val="538"/>
        <w:tabs>
          <w:tab w:val="clear" w:pos="1620"/>
        </w:tabs>
        <w:spacing w:before="468" w:beforeLines="150" w:after="312"/>
      </w:pPr>
      <w:bookmarkStart w:id="6" w:name="_Toc26653"/>
      <w:bookmarkStart w:id="7" w:name="_Toc26986531"/>
      <w:bookmarkStart w:id="8" w:name="_Toc24371"/>
      <w:bookmarkStart w:id="9" w:name="_Toc24475"/>
      <w:bookmarkStart w:id="10" w:name="_Toc31682"/>
      <w:bookmarkStart w:id="11" w:name="_Toc26718931"/>
      <w:bookmarkStart w:id="12" w:name="_Toc26986772"/>
      <w:bookmarkStart w:id="13" w:name="_Toc177570335"/>
      <w:bookmarkStart w:id="14" w:name="_Toc17897"/>
      <w:r>
        <w:rPr>
          <w:rFonts w:hint="eastAsia"/>
        </w:rPr>
        <w:t>2　规范性引用文件</w:t>
      </w:r>
      <w:bookmarkEnd w:id="6"/>
      <w:bookmarkEnd w:id="7"/>
      <w:bookmarkEnd w:id="8"/>
      <w:bookmarkEnd w:id="9"/>
      <w:bookmarkEnd w:id="10"/>
      <w:bookmarkEnd w:id="11"/>
      <w:bookmarkEnd w:id="12"/>
      <w:bookmarkEnd w:id="13"/>
      <w:bookmarkEnd w:id="14"/>
    </w:p>
    <w:p w14:paraId="7628E815">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DBC0DCC">
      <w:pPr>
        <w:pStyle w:val="258"/>
        <w:widowControl w:val="0"/>
        <w:overflowPunct w:val="0"/>
        <w:ind w:firstLine="420"/>
      </w:pPr>
      <w:r>
        <w:rPr>
          <w:rFonts w:hint="eastAsia"/>
        </w:rPr>
        <w:t>GB/T18883  室内空气质量标准</w:t>
      </w:r>
    </w:p>
    <w:p w14:paraId="5A8BF2EA">
      <w:pPr>
        <w:pStyle w:val="258"/>
        <w:widowControl w:val="0"/>
        <w:overflowPunct w:val="0"/>
        <w:ind w:firstLine="420"/>
      </w:pPr>
      <w:r>
        <w:rPr>
          <w:rFonts w:hint="eastAsia"/>
        </w:rPr>
        <w:t>GB 50034  建筑照明设计标准</w:t>
      </w:r>
    </w:p>
    <w:p w14:paraId="284BBB3D">
      <w:pPr>
        <w:pStyle w:val="258"/>
        <w:widowControl w:val="0"/>
        <w:overflowPunct w:val="0"/>
        <w:ind w:firstLine="420"/>
      </w:pPr>
      <w:r>
        <w:rPr>
          <w:rFonts w:hint="eastAsia"/>
        </w:rPr>
        <w:t>GB 50736  民用建筑供暖通风与空气调节设计规范</w:t>
      </w:r>
    </w:p>
    <w:p w14:paraId="7B98302A">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GB/T50801 可再生能源建筑应用工程评价标准</w:t>
      </w:r>
    </w:p>
    <w:p w14:paraId="6EEF6564">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GB/T51366  建筑碳排放计算标准</w:t>
      </w:r>
    </w:p>
    <w:p w14:paraId="485235DC">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GB 55015  建筑节能与可再生能源利用通用规范</w:t>
      </w:r>
    </w:p>
    <w:p w14:paraId="22467237">
      <w:pPr>
        <w:pStyle w:val="258"/>
        <w:widowControl w:val="0"/>
        <w:overflowPunct w:val="0"/>
        <w:ind w:firstLine="420"/>
        <w:rPr>
          <w:rFonts w:asciiTheme="minorEastAsia" w:hAnsiTheme="minorEastAsia" w:eastAsiaTheme="minorEastAsia"/>
          <w:szCs w:val="21"/>
        </w:rPr>
      </w:pPr>
      <w:r>
        <w:rPr>
          <w:rFonts w:hint="eastAsia"/>
        </w:rPr>
        <w:t>GB</w:t>
      </w:r>
      <w:r>
        <w:rPr>
          <w:rFonts w:hint="eastAsia"/>
          <w:lang w:val="en-US" w:eastAsia="zh-CN"/>
        </w:rPr>
        <w:t xml:space="preserve"> </w:t>
      </w:r>
      <w:r>
        <w:rPr>
          <w:rFonts w:hint="eastAsia"/>
        </w:rPr>
        <w:t>55016   建筑环境通用规范</w:t>
      </w:r>
    </w:p>
    <w:p w14:paraId="3447FFC3">
      <w:pPr>
        <w:pStyle w:val="539"/>
      </w:pPr>
      <w:bookmarkStart w:id="15" w:name="_Toc9310"/>
      <w:bookmarkStart w:id="16" w:name="_Toc22640"/>
      <w:bookmarkStart w:id="17" w:name="_Toc5870"/>
      <w:bookmarkStart w:id="18" w:name="_Toc177570336"/>
      <w:bookmarkStart w:id="19" w:name="_Toc19337"/>
      <w:bookmarkStart w:id="20" w:name="_Toc9582"/>
      <w:r>
        <w:rPr>
          <w:rFonts w:hint="eastAsia"/>
        </w:rPr>
        <w:t>3　术语和定义</w:t>
      </w:r>
      <w:bookmarkEnd w:id="15"/>
      <w:bookmarkEnd w:id="16"/>
      <w:bookmarkEnd w:id="17"/>
      <w:bookmarkEnd w:id="18"/>
      <w:bookmarkEnd w:id="19"/>
      <w:bookmarkEnd w:id="20"/>
    </w:p>
    <w:sdt>
      <w:sdtPr>
        <w:rPr>
          <w:rFonts w:asciiTheme="minorEastAsia" w:hAnsiTheme="minorEastAsia" w:eastAsiaTheme="minorEastAsia"/>
          <w:szCs w:val="21"/>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heme="minorEastAsia" w:hAnsiTheme="minorEastAsia" w:eastAsiaTheme="minorEastAsia"/>
          <w:szCs w:val="21"/>
        </w:rPr>
      </w:sdtEndPr>
      <w:sdtContent>
        <w:p w14:paraId="5662084E">
          <w:pPr>
            <w:pStyle w:val="258"/>
            <w:widowControl w:val="0"/>
            <w:overflowPunct w:val="0"/>
            <w:ind w:firstLine="420"/>
            <w:rPr>
              <w:rFonts w:asciiTheme="minorEastAsia" w:hAnsiTheme="minorEastAsia" w:eastAsiaTheme="minorEastAsia"/>
              <w:szCs w:val="21"/>
            </w:rPr>
          </w:pPr>
          <w:bookmarkStart w:id="21" w:name="_Toc26986532"/>
          <w:bookmarkEnd w:id="21"/>
          <w:r>
            <w:rPr>
              <w:rFonts w:asciiTheme="minorEastAsia" w:hAnsiTheme="minorEastAsia" w:eastAsiaTheme="minorEastAsia"/>
              <w:szCs w:val="21"/>
            </w:rPr>
            <w:t>下列术语和定义适用于本文件。</w:t>
          </w:r>
        </w:p>
      </w:sdtContent>
    </w:sdt>
    <w:p w14:paraId="790290A1">
      <w:pPr>
        <w:pStyle w:val="541"/>
      </w:pPr>
      <w:bookmarkStart w:id="22" w:name="_Toc30795"/>
      <w:bookmarkStart w:id="23" w:name="_Toc25627"/>
      <w:bookmarkStart w:id="24" w:name="_Toc30265"/>
      <w:bookmarkStart w:id="25" w:name="_Toc15564"/>
      <w:bookmarkStart w:id="26" w:name="_Toc19629"/>
      <w:r>
        <w:rPr>
          <w:rFonts w:hint="eastAsia"/>
        </w:rPr>
        <w:t>3.1　</w:t>
      </w:r>
    </w:p>
    <w:p w14:paraId="1EF83D5C">
      <w:pPr>
        <w:pStyle w:val="541"/>
        <w:ind w:leftChars="200" w:hanging="147" w:hangingChars="70"/>
      </w:pPr>
      <w:r>
        <w:t>建筑运行阶段碳排放</w:t>
      </w:r>
      <w:bookmarkEnd w:id="22"/>
      <w:bookmarkEnd w:id="23"/>
      <w:bookmarkEnd w:id="24"/>
      <w:bookmarkEnd w:id="25"/>
      <w:bookmarkEnd w:id="26"/>
      <w:r>
        <w:t xml:space="preserve"> building operational carbon dioxide emission</w:t>
      </w:r>
      <w:r>
        <w:rPr>
          <w:rFonts w:hint="eastAsia"/>
        </w:rPr>
        <w:t>s</w:t>
      </w:r>
    </w:p>
    <w:p w14:paraId="6B2B1C29">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建筑物在与其运行阶段产生的二氧化碳排放量总和。按照排放源类型，分为直接排放和间接排放。以二氧化碳当量表示。</w:t>
      </w:r>
    </w:p>
    <w:p w14:paraId="56AF0AF0">
      <w:pPr>
        <w:pStyle w:val="541"/>
      </w:pPr>
      <w:bookmarkStart w:id="27" w:name="_Toc19893"/>
      <w:bookmarkStart w:id="28" w:name="_Toc28490"/>
      <w:bookmarkStart w:id="29" w:name="_Toc4241"/>
      <w:bookmarkStart w:id="30" w:name="_Toc14424"/>
      <w:bookmarkStart w:id="31" w:name="_Toc30214"/>
      <w:r>
        <w:rPr>
          <w:rFonts w:hint="eastAsia"/>
        </w:rPr>
        <w:t>3.2　</w:t>
      </w:r>
    </w:p>
    <w:p w14:paraId="6020C8C8">
      <w:pPr>
        <w:pStyle w:val="541"/>
        <w:ind w:leftChars="200" w:hanging="147" w:hangingChars="70"/>
      </w:pPr>
      <w:r>
        <w:t>直接排放 direct emissions</w:t>
      </w:r>
    </w:p>
    <w:p w14:paraId="08B2D605">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建筑运行过程中固定燃烧源燃烧化石燃料产生的二氧化碳排放，如锅炉、灶、发电机等。不包括交通运输设施等移动燃烧源产生的二氧化碳排放。</w:t>
      </w:r>
    </w:p>
    <w:p w14:paraId="25A92A51">
      <w:pPr>
        <w:pStyle w:val="541"/>
      </w:pPr>
      <w:r>
        <w:rPr>
          <w:rFonts w:hint="eastAsia"/>
        </w:rPr>
        <w:t>3.3　</w:t>
      </w:r>
    </w:p>
    <w:p w14:paraId="25B43532">
      <w:pPr>
        <w:pStyle w:val="541"/>
        <w:ind w:leftChars="200" w:hanging="147" w:hangingChars="70"/>
      </w:pPr>
      <w:r>
        <w:t>间接排放 indirect emissions</w:t>
      </w:r>
    </w:p>
    <w:p w14:paraId="58E92BC2">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建筑运行过程中使用外购电力、蒸气、热力或冷力的生产过程产生的二氧化碳排放。</w:t>
      </w:r>
    </w:p>
    <w:p w14:paraId="319CBDBF">
      <w:pPr>
        <w:pStyle w:val="541"/>
      </w:pPr>
      <w:r>
        <w:rPr>
          <w:rFonts w:hint="eastAsia"/>
        </w:rPr>
        <w:t>3.4</w:t>
      </w:r>
    </w:p>
    <w:p w14:paraId="5D97628C">
      <w:pPr>
        <w:pStyle w:val="541"/>
      </w:pPr>
      <w:r>
        <w:rPr>
          <w:rFonts w:hint="eastAsia"/>
        </w:rPr>
        <w:t xml:space="preserve">　  </w:t>
      </w:r>
      <w:r>
        <w:t>建筑基准碳排放强度</w:t>
      </w:r>
      <w:bookmarkEnd w:id="27"/>
      <w:bookmarkEnd w:id="28"/>
      <w:bookmarkEnd w:id="29"/>
      <w:bookmarkEnd w:id="30"/>
      <w:bookmarkEnd w:id="31"/>
      <w:r>
        <w:rPr>
          <w:rFonts w:hint="eastAsia"/>
        </w:rPr>
        <w:t xml:space="preserve">reference </w:t>
      </w:r>
      <w:r>
        <w:t>building</w:t>
      </w:r>
      <w:r>
        <w:rPr>
          <w:rFonts w:hint="eastAsia"/>
        </w:rPr>
        <w:t xml:space="preserve"> </w:t>
      </w:r>
      <w:r>
        <w:t>carbon dioxide emission intensity</w:t>
      </w:r>
    </w:p>
    <w:p w14:paraId="4ADC08E3">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根据湖北地区公共建筑碳排放统计数据的平均值，计算得出的被评价建筑年单位面积碳排放强度，单位是</w:t>
      </w:r>
      <w:r>
        <w:rPr>
          <w:rFonts w:asciiTheme="minorEastAsia" w:hAnsiTheme="minorEastAsia" w:eastAsiaTheme="minorEastAsia"/>
          <w:i/>
          <w:iCs/>
          <w:szCs w:val="21"/>
        </w:rPr>
        <w:t>kgCO</w:t>
      </w:r>
      <w:r>
        <w:rPr>
          <w:rFonts w:asciiTheme="minorEastAsia" w:hAnsiTheme="minorEastAsia" w:eastAsiaTheme="minorEastAsia"/>
          <w:i/>
          <w:iCs/>
          <w:szCs w:val="21"/>
          <w:vertAlign w:val="subscript"/>
        </w:rPr>
        <w:t>2</w:t>
      </w:r>
      <w:r>
        <w:rPr>
          <w:rFonts w:asciiTheme="minorEastAsia" w:hAnsiTheme="minorEastAsia" w:eastAsiaTheme="minorEastAsia"/>
          <w:i/>
          <w:iCs/>
          <w:szCs w:val="21"/>
        </w:rPr>
        <w:t>/m</w:t>
      </w:r>
      <w:r>
        <w:rPr>
          <w:rFonts w:asciiTheme="minorEastAsia" w:hAnsiTheme="minorEastAsia" w:eastAsiaTheme="minorEastAsia"/>
          <w:i/>
          <w:iCs/>
          <w:szCs w:val="21"/>
          <w:vertAlign w:val="superscript"/>
        </w:rPr>
        <w:t>2</w:t>
      </w:r>
      <w:r>
        <w:rPr>
          <w:rFonts w:asciiTheme="minorEastAsia" w:hAnsiTheme="minorEastAsia" w:eastAsiaTheme="minorEastAsia"/>
          <w:i/>
          <w:iCs/>
          <w:szCs w:val="21"/>
        </w:rPr>
        <w:t>·a。</w:t>
      </w:r>
    </w:p>
    <w:p w14:paraId="0784F101">
      <w:pPr>
        <w:pStyle w:val="541"/>
      </w:pPr>
      <w:bookmarkStart w:id="32" w:name="_Toc6995"/>
      <w:bookmarkStart w:id="33" w:name="_Toc28421"/>
      <w:bookmarkStart w:id="34" w:name="_Toc5727"/>
      <w:bookmarkStart w:id="35" w:name="_Toc26253"/>
      <w:bookmarkStart w:id="36" w:name="_Toc26503"/>
      <w:r>
        <w:rPr>
          <w:rFonts w:hint="eastAsia"/>
        </w:rPr>
        <w:t>3.5　</w:t>
      </w:r>
    </w:p>
    <w:p w14:paraId="6325ED90">
      <w:pPr>
        <w:pStyle w:val="541"/>
        <w:ind w:leftChars="200" w:hanging="147" w:hangingChars="70"/>
      </w:pPr>
      <w:r>
        <w:t>建筑实际碳排放强度</w:t>
      </w:r>
      <w:bookmarkEnd w:id="32"/>
      <w:bookmarkEnd w:id="33"/>
      <w:bookmarkEnd w:id="34"/>
      <w:bookmarkEnd w:id="35"/>
      <w:bookmarkEnd w:id="36"/>
      <w:r>
        <w:rPr>
          <w:rFonts w:hint="eastAsia"/>
        </w:rPr>
        <w:t xml:space="preserve">actual </w:t>
      </w:r>
      <w:r>
        <w:t>building carbon dioxide emission intensity</w:t>
      </w:r>
    </w:p>
    <w:p w14:paraId="1973D746">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将被评价建筑的活动水平数据乘以相应的碳排放因子，计算得出的被评价建筑年单位面积碳排放强度，单位</w:t>
      </w:r>
      <w:r>
        <w:rPr>
          <w:rFonts w:asciiTheme="minorEastAsia" w:hAnsiTheme="minorEastAsia" w:eastAsiaTheme="minorEastAsia"/>
          <w:i/>
          <w:iCs/>
          <w:szCs w:val="21"/>
        </w:rPr>
        <w:t>kgCO</w:t>
      </w:r>
      <w:r>
        <w:rPr>
          <w:rFonts w:asciiTheme="minorEastAsia" w:hAnsiTheme="minorEastAsia" w:eastAsiaTheme="minorEastAsia"/>
          <w:i/>
          <w:iCs/>
          <w:szCs w:val="21"/>
          <w:vertAlign w:val="subscript"/>
        </w:rPr>
        <w:t>2</w:t>
      </w:r>
      <w:r>
        <w:rPr>
          <w:rFonts w:asciiTheme="minorEastAsia" w:hAnsiTheme="minorEastAsia" w:eastAsiaTheme="minorEastAsia"/>
          <w:i/>
          <w:iCs/>
          <w:szCs w:val="21"/>
        </w:rPr>
        <w:t>/m</w:t>
      </w:r>
      <w:r>
        <w:rPr>
          <w:rFonts w:asciiTheme="minorEastAsia" w:hAnsiTheme="minorEastAsia" w:eastAsiaTheme="minorEastAsia"/>
          <w:i/>
          <w:iCs/>
          <w:szCs w:val="21"/>
          <w:vertAlign w:val="superscript"/>
        </w:rPr>
        <w:t>2</w:t>
      </w:r>
      <w:r>
        <w:rPr>
          <w:rFonts w:asciiTheme="minorEastAsia" w:hAnsiTheme="minorEastAsia" w:eastAsiaTheme="minorEastAsia"/>
          <w:i/>
          <w:iCs/>
          <w:szCs w:val="21"/>
        </w:rPr>
        <w:t>·a</w:t>
      </w:r>
      <w:r>
        <w:rPr>
          <w:rFonts w:asciiTheme="minorEastAsia" w:hAnsiTheme="minorEastAsia" w:eastAsiaTheme="minorEastAsia"/>
          <w:szCs w:val="21"/>
        </w:rPr>
        <w:t>。</w:t>
      </w:r>
    </w:p>
    <w:p w14:paraId="5F2CE2FB">
      <w:pPr>
        <w:pStyle w:val="541"/>
      </w:pPr>
      <w:bookmarkStart w:id="37" w:name="_Toc25148"/>
      <w:bookmarkStart w:id="38" w:name="_Toc7474"/>
      <w:bookmarkStart w:id="39" w:name="_Toc3002"/>
      <w:bookmarkStart w:id="40" w:name="_Toc27501"/>
      <w:bookmarkStart w:id="41" w:name="_Toc10071"/>
      <w:r>
        <w:rPr>
          <w:rFonts w:hint="eastAsia"/>
        </w:rPr>
        <w:t>3.6　</w:t>
      </w:r>
    </w:p>
    <w:p w14:paraId="438166AD">
      <w:pPr>
        <w:pStyle w:val="541"/>
        <w:ind w:leftChars="200" w:hanging="147" w:hangingChars="70"/>
      </w:pPr>
      <w:r>
        <w:t>碳排放因子</w:t>
      </w:r>
      <w:bookmarkEnd w:id="37"/>
      <w:bookmarkEnd w:id="38"/>
      <w:bookmarkEnd w:id="39"/>
      <w:bookmarkEnd w:id="40"/>
      <w:bookmarkEnd w:id="41"/>
      <w:r>
        <w:rPr>
          <w:rFonts w:hint="eastAsia"/>
        </w:rPr>
        <w:t xml:space="preserve"> carbon emission factor</w:t>
      </w:r>
    </w:p>
    <w:p w14:paraId="69A16EE2">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将能源与材料消耗量与二氧化碳排放量相对应的系数，用于量化建筑物在不同阶段不同活动下的碳排放量。</w:t>
      </w:r>
    </w:p>
    <w:p w14:paraId="06BDE137">
      <w:pPr>
        <w:pStyle w:val="541"/>
      </w:pPr>
      <w:bookmarkStart w:id="42" w:name="_Toc2596"/>
      <w:bookmarkStart w:id="43" w:name="_Toc1479"/>
      <w:bookmarkStart w:id="44" w:name="_Toc31547"/>
      <w:bookmarkStart w:id="45" w:name="_Toc28286"/>
      <w:bookmarkStart w:id="46" w:name="_Toc10413"/>
      <w:r>
        <w:rPr>
          <w:rFonts w:hint="eastAsia"/>
        </w:rPr>
        <w:t>3.7　</w:t>
      </w:r>
    </w:p>
    <w:p w14:paraId="34A7E004">
      <w:pPr>
        <w:pStyle w:val="541"/>
        <w:ind w:leftChars="200" w:hanging="147" w:hangingChars="70"/>
      </w:pPr>
      <w:r>
        <w:t>碳汇</w:t>
      </w:r>
      <w:bookmarkEnd w:id="42"/>
      <w:bookmarkEnd w:id="43"/>
      <w:bookmarkEnd w:id="44"/>
      <w:bookmarkEnd w:id="45"/>
      <w:bookmarkEnd w:id="46"/>
      <w:r>
        <w:t xml:space="preserve"> carbon sink</w:t>
      </w:r>
    </w:p>
    <w:p w14:paraId="35A7E1FB">
      <w:pPr>
        <w:pStyle w:val="258"/>
        <w:widowControl w:val="0"/>
        <w:overflowPunct w:val="0"/>
        <w:ind w:firstLine="420"/>
        <w:rPr>
          <w:rFonts w:asciiTheme="minorEastAsia" w:hAnsiTheme="minorEastAsia" w:eastAsiaTheme="minorEastAsia"/>
          <w:szCs w:val="21"/>
        </w:rPr>
      </w:pPr>
      <w:r>
        <w:rPr>
          <w:rFonts w:asciiTheme="minorEastAsia" w:hAnsiTheme="minorEastAsia" w:eastAsiaTheme="minorEastAsia"/>
          <w:szCs w:val="21"/>
        </w:rPr>
        <w:t>通过植树造林、森林管理、植被恢复等措施，利用植物光合作用吸收大气中的二氧化碳，并将其</w:t>
      </w:r>
      <w:r>
        <w:rPr>
          <w:rFonts w:hint="eastAsia" w:asciiTheme="minorEastAsia" w:hAnsiTheme="minorEastAsia" w:eastAsiaTheme="minorEastAsia"/>
          <w:szCs w:val="21"/>
        </w:rPr>
        <w:t>固</w:t>
      </w:r>
      <w:r>
        <w:rPr>
          <w:rFonts w:asciiTheme="minorEastAsia" w:hAnsiTheme="minorEastAsia" w:eastAsiaTheme="minorEastAsia"/>
          <w:szCs w:val="21"/>
        </w:rPr>
        <w:t>定在植被和土壤中，从而减少温室气体在大气层中浓度的过程、活动和机制。</w:t>
      </w:r>
    </w:p>
    <w:p w14:paraId="261CAEC6">
      <w:pPr>
        <w:pStyle w:val="541"/>
      </w:pPr>
      <w:bookmarkStart w:id="47" w:name="_Toc10690"/>
      <w:bookmarkStart w:id="48" w:name="_Toc17150"/>
      <w:bookmarkStart w:id="49" w:name="_Toc28448"/>
      <w:bookmarkStart w:id="50" w:name="_Toc27643"/>
      <w:bookmarkStart w:id="51" w:name="_Toc31344"/>
      <w:r>
        <w:rPr>
          <w:rFonts w:hint="eastAsia"/>
        </w:rPr>
        <w:t>3.8　</w:t>
      </w:r>
    </w:p>
    <w:p w14:paraId="4BF4FFFA">
      <w:pPr>
        <w:pStyle w:val="541"/>
        <w:ind w:leftChars="200" w:hanging="147" w:hangingChars="70"/>
      </w:pPr>
      <w:r>
        <w:t>碳抵消</w:t>
      </w:r>
      <w:bookmarkEnd w:id="47"/>
      <w:bookmarkEnd w:id="48"/>
      <w:bookmarkEnd w:id="49"/>
      <w:bookmarkEnd w:id="50"/>
      <w:bookmarkEnd w:id="51"/>
      <w:r>
        <w:t xml:space="preserve"> carbon offset</w:t>
      </w:r>
    </w:p>
    <w:p w14:paraId="79884FE9">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用于减少温室气体排放源和增加温室气体吸收，用来实现补偿或抵消其他排放源产生温室气体排放的活动。通过购买碳信用额度实现</w:t>
      </w:r>
      <w:r>
        <w:rPr>
          <w:rFonts w:asciiTheme="minorEastAsia" w:hAnsiTheme="minorEastAsia" w:eastAsiaTheme="minorEastAsia"/>
          <w:szCs w:val="21"/>
        </w:rPr>
        <w:t>。</w:t>
      </w:r>
    </w:p>
    <w:p w14:paraId="4FCB4C3E">
      <w:pPr>
        <w:pStyle w:val="541"/>
        <w:tabs>
          <w:tab w:val="left" w:pos="1620"/>
        </w:tabs>
      </w:pPr>
      <w:bookmarkStart w:id="52" w:name="_Toc8710"/>
      <w:bookmarkStart w:id="53" w:name="_Toc15958"/>
      <w:bookmarkStart w:id="54" w:name="_Toc5734"/>
      <w:bookmarkStart w:id="55" w:name="_Toc774"/>
      <w:bookmarkStart w:id="56" w:name="_Toc31365"/>
      <w:r>
        <w:rPr>
          <w:rFonts w:hint="eastAsia"/>
        </w:rPr>
        <w:t>3.9　</w:t>
      </w:r>
    </w:p>
    <w:p w14:paraId="6B865EFA">
      <w:pPr>
        <w:pStyle w:val="541"/>
        <w:tabs>
          <w:tab w:val="left" w:pos="1620"/>
        </w:tabs>
        <w:ind w:leftChars="200" w:hanging="147" w:hangingChars="70"/>
      </w:pPr>
      <w:r>
        <w:rPr>
          <w:rFonts w:hint="eastAsia"/>
        </w:rPr>
        <w:t>建筑主动减碳活动</w:t>
      </w:r>
      <w:bookmarkEnd w:id="52"/>
      <w:bookmarkEnd w:id="53"/>
      <w:bookmarkEnd w:id="54"/>
      <w:bookmarkEnd w:id="55"/>
      <w:bookmarkEnd w:id="56"/>
      <w:r>
        <w:rPr>
          <w:rFonts w:hint="eastAsia"/>
        </w:rPr>
        <w:t xml:space="preserve">  </w:t>
      </w:r>
      <w:r>
        <w:t>Architectural active carbon reduction activities</w:t>
      </w:r>
    </w:p>
    <w:p w14:paraId="55571FDE">
      <w:pPr>
        <w:pStyle w:val="258"/>
        <w:widowControl w:val="0"/>
        <w:overflowPunct w:val="0"/>
        <w:ind w:firstLine="420"/>
        <w:rPr>
          <w:rFonts w:cs="仿宋_GB2312" w:asciiTheme="minorEastAsia" w:hAnsiTheme="minorEastAsia" w:eastAsiaTheme="minorEastAsia"/>
          <w:szCs w:val="21"/>
        </w:rPr>
      </w:pPr>
      <w:r>
        <w:rPr>
          <w:rFonts w:hint="eastAsia" w:asciiTheme="minorEastAsia" w:hAnsiTheme="minorEastAsia" w:eastAsiaTheme="minorEastAsia"/>
          <w:szCs w:val="21"/>
        </w:rPr>
        <w:t>建筑主动减碳活动是指公共建筑在完成能源管理优化和节能改造后，通过主动购买碳减排配额、参与碳交易市场等手段，抵消该建筑运营过程中产生的碳排放量。</w:t>
      </w:r>
    </w:p>
    <w:p w14:paraId="0E4B361F">
      <w:pPr>
        <w:pStyle w:val="258"/>
        <w:widowControl w:val="0"/>
        <w:overflowPunct w:val="0"/>
        <w:ind w:firstLine="420"/>
        <w:rPr>
          <w:rFonts w:asciiTheme="minorEastAsia" w:hAnsiTheme="minorEastAsia" w:eastAsiaTheme="minorEastAsia"/>
          <w:szCs w:val="21"/>
        </w:rPr>
      </w:pPr>
    </w:p>
    <w:p w14:paraId="5564E2AD">
      <w:pPr>
        <w:pStyle w:val="539"/>
      </w:pPr>
      <w:bookmarkStart w:id="57" w:name="_Toc17002"/>
      <w:bookmarkStart w:id="58" w:name="_Toc29422"/>
      <w:bookmarkStart w:id="59" w:name="_Toc27157"/>
      <w:bookmarkStart w:id="60" w:name="_Toc24583"/>
      <w:bookmarkStart w:id="61" w:name="_Toc9506"/>
      <w:bookmarkStart w:id="62" w:name="_Toc177570337"/>
      <w:r>
        <w:rPr>
          <w:rFonts w:hint="eastAsia"/>
        </w:rPr>
        <w:t>4　基本</w:t>
      </w:r>
      <w:bookmarkEnd w:id="57"/>
      <w:bookmarkEnd w:id="58"/>
      <w:bookmarkEnd w:id="59"/>
      <w:bookmarkEnd w:id="60"/>
      <w:bookmarkEnd w:id="61"/>
      <w:r>
        <w:rPr>
          <w:rFonts w:hint="eastAsia"/>
        </w:rPr>
        <w:t>规定</w:t>
      </w:r>
      <w:bookmarkEnd w:id="62"/>
    </w:p>
    <w:p w14:paraId="0903E676">
      <w:pPr>
        <w:pStyle w:val="545"/>
        <w:tabs>
          <w:tab w:val="left" w:pos="1620"/>
        </w:tabs>
        <w:rPr>
          <w:spacing w:val="-2"/>
        </w:rPr>
      </w:pPr>
      <w:bookmarkStart w:id="63" w:name="_Toc6573"/>
      <w:bookmarkStart w:id="64" w:name="_Toc2286"/>
      <w:bookmarkStart w:id="65" w:name="_Toc58"/>
      <w:bookmarkStart w:id="66" w:name="_Toc13711"/>
      <w:r>
        <w:rPr>
          <w:rFonts w:hint="eastAsia"/>
          <w:spacing w:val="-2"/>
        </w:rPr>
        <w:t>4.1　公共建筑运行阶段碳排放分级评价应遵循完整性、准确性、一致性、相关性和透明性等原则。</w:t>
      </w:r>
      <w:bookmarkEnd w:id="63"/>
      <w:bookmarkEnd w:id="64"/>
    </w:p>
    <w:p w14:paraId="68B7411C">
      <w:pPr>
        <w:pStyle w:val="545"/>
        <w:tabs>
          <w:tab w:val="left" w:pos="1620"/>
        </w:tabs>
        <w:jc w:val="left"/>
        <w:rPr>
          <w:spacing w:val="-2"/>
        </w:rPr>
      </w:pPr>
      <w:r>
        <w:rPr>
          <w:rFonts w:hint="eastAsia"/>
          <w:spacing w:val="-2"/>
        </w:rPr>
        <w:t>4.2　公共建筑运行阶段碳排放分级评价应以独栋建筑或功能类似的建筑群为评价对象，且位于湖北省辖区内。</w:t>
      </w:r>
      <w:bookmarkEnd w:id="65"/>
      <w:bookmarkEnd w:id="66"/>
    </w:p>
    <w:p w14:paraId="3BD9AB34">
      <w:pPr>
        <w:pStyle w:val="545"/>
        <w:tabs>
          <w:tab w:val="left" w:pos="1620"/>
        </w:tabs>
        <w:jc w:val="left"/>
        <w:rPr>
          <w:spacing w:val="-2"/>
        </w:rPr>
      </w:pPr>
      <w:r>
        <w:rPr>
          <w:rFonts w:hint="eastAsia"/>
          <w:spacing w:val="-2"/>
        </w:rPr>
        <w:t>4.3　本文件中的大型建筑指建筑面积2万平方米以上的单栋建筑或功能类似的建筑群。</w:t>
      </w:r>
    </w:p>
    <w:p w14:paraId="64B2831E">
      <w:pPr>
        <w:pStyle w:val="545"/>
        <w:tabs>
          <w:tab w:val="left" w:pos="1620"/>
        </w:tabs>
        <w:jc w:val="left"/>
        <w:rPr>
          <w:spacing w:val="-2"/>
        </w:rPr>
      </w:pPr>
      <w:bookmarkStart w:id="67" w:name="_Toc17740"/>
      <w:bookmarkStart w:id="68" w:name="_Toc22622"/>
      <w:r>
        <w:rPr>
          <w:rFonts w:hint="eastAsia"/>
          <w:spacing w:val="-2"/>
        </w:rPr>
        <w:t>4.4　本文件仅针对公共建筑运行阶段碳排放进行评价分级，不考虑建筑生命周期的其他阶段如生产、运输、建造、改造和拆除阶段的碳排放。</w:t>
      </w:r>
    </w:p>
    <w:p w14:paraId="27DE589C">
      <w:pPr>
        <w:pStyle w:val="545"/>
        <w:tabs>
          <w:tab w:val="left" w:pos="1620"/>
        </w:tabs>
        <w:jc w:val="left"/>
        <w:rPr>
          <w:spacing w:val="-2"/>
        </w:rPr>
      </w:pPr>
      <w:r>
        <w:rPr>
          <w:rFonts w:hint="eastAsia"/>
          <w:spacing w:val="-2"/>
        </w:rPr>
        <w:t>4.5　本文件适用于已完成竣工验收，并投入使用一年以上的公共建筑。</w:t>
      </w:r>
      <w:bookmarkEnd w:id="67"/>
      <w:bookmarkEnd w:id="68"/>
    </w:p>
    <w:p w14:paraId="3BD71906">
      <w:pPr>
        <w:pStyle w:val="545"/>
        <w:tabs>
          <w:tab w:val="left" w:pos="1620"/>
        </w:tabs>
        <w:jc w:val="left"/>
        <w:rPr>
          <w:spacing w:val="-2"/>
        </w:rPr>
      </w:pPr>
      <w:r>
        <w:rPr>
          <w:rFonts w:hint="eastAsia"/>
          <w:spacing w:val="-2"/>
        </w:rPr>
        <w:t>4.6　碳排放量的核算周期内，建筑使用面积不低于判定面积60%。</w:t>
      </w:r>
    </w:p>
    <w:p w14:paraId="2598B730">
      <w:pPr>
        <w:pStyle w:val="545"/>
        <w:tabs>
          <w:tab w:val="left" w:pos="1620"/>
        </w:tabs>
        <w:jc w:val="left"/>
        <w:rPr>
          <w:spacing w:val="-2"/>
        </w:rPr>
      </w:pPr>
      <w:r>
        <w:rPr>
          <w:rFonts w:hint="eastAsia"/>
          <w:spacing w:val="-2"/>
        </w:rPr>
        <w:t>4.7　本文件以一年为周期进行建筑运行阶段碳排放量的核算。</w:t>
      </w:r>
    </w:p>
    <w:p w14:paraId="5B6DF15A">
      <w:pPr>
        <w:pStyle w:val="545"/>
        <w:tabs>
          <w:tab w:val="left" w:pos="1620"/>
        </w:tabs>
        <w:jc w:val="left"/>
        <w:rPr>
          <w:spacing w:val="-2"/>
        </w:rPr>
      </w:pPr>
      <w:r>
        <w:rPr>
          <w:rFonts w:hint="eastAsia"/>
          <w:spacing w:val="-2"/>
        </w:rPr>
        <w:t>4.8　对于大型公共建筑的运行阶段碳排放，按照排放源类型，可分为直接排放和间接排放。主要包括为被评价建筑服务的供暖、照明、生活热水等系统能耗产生的二氧化碳排放。</w:t>
      </w:r>
      <w:bookmarkStart w:id="69" w:name="_Toc24428"/>
      <w:bookmarkStart w:id="70" w:name="_Toc20380"/>
      <w:r>
        <w:rPr>
          <w:rFonts w:hint="eastAsia"/>
          <w:spacing w:val="-2"/>
        </w:rPr>
        <w:t>本标准碳排放评价范围包括为被评价建筑服务的供暖、供冷、照明、生活热水等系统能耗产生的二氧化碳排放。</w:t>
      </w:r>
      <w:bookmarkEnd w:id="69"/>
      <w:bookmarkEnd w:id="70"/>
    </w:p>
    <w:p w14:paraId="53A0D95B">
      <w:pPr>
        <w:pStyle w:val="545"/>
        <w:tabs>
          <w:tab w:val="left" w:pos="1620"/>
        </w:tabs>
        <w:jc w:val="left"/>
        <w:rPr>
          <w:spacing w:val="-2"/>
        </w:rPr>
      </w:pPr>
      <w:bookmarkStart w:id="71" w:name="_Toc2896"/>
      <w:bookmarkStart w:id="72" w:name="_Toc4767"/>
      <w:r>
        <w:rPr>
          <w:rFonts w:hint="eastAsia"/>
          <w:spacing w:val="-2"/>
        </w:rPr>
        <w:t>4.9　建筑运行阶段碳排放的等级按星级评价，一星级为“一般碳排放建筑”，二星级为“低碳碳排放建筑”，三星级为“近零碳碳排放建筑”，四星级为零碳排放建筑。</w:t>
      </w:r>
      <w:bookmarkEnd w:id="71"/>
      <w:bookmarkEnd w:id="72"/>
    </w:p>
    <w:p w14:paraId="4B2BCF3F">
      <w:pPr>
        <w:pStyle w:val="539"/>
      </w:pPr>
      <w:bookmarkStart w:id="73" w:name="_Toc32234"/>
      <w:bookmarkStart w:id="74" w:name="_Toc2117"/>
      <w:bookmarkStart w:id="75" w:name="_Toc6417"/>
      <w:bookmarkStart w:id="76" w:name="_Toc177570338"/>
      <w:bookmarkStart w:id="77" w:name="_Toc19757"/>
      <w:bookmarkStart w:id="78" w:name="_Toc15141"/>
      <w:r>
        <w:rPr>
          <w:rFonts w:hint="eastAsia"/>
        </w:rPr>
        <w:t>5　公共建筑运行阶段碳排放计算</w:t>
      </w:r>
      <w:bookmarkEnd w:id="73"/>
      <w:bookmarkEnd w:id="74"/>
      <w:bookmarkEnd w:id="75"/>
      <w:bookmarkEnd w:id="76"/>
      <w:bookmarkEnd w:id="77"/>
      <w:bookmarkEnd w:id="78"/>
    </w:p>
    <w:p w14:paraId="7AF9D18D">
      <w:pPr>
        <w:pStyle w:val="541"/>
      </w:pPr>
      <w:bookmarkStart w:id="79" w:name="_Toc24511"/>
      <w:bookmarkStart w:id="80" w:name="_Toc26905"/>
      <w:bookmarkStart w:id="81" w:name="_Toc19256"/>
      <w:bookmarkStart w:id="82" w:name="_Toc7563"/>
      <w:bookmarkStart w:id="83" w:name="_Toc9389"/>
      <w:r>
        <w:rPr>
          <w:rFonts w:hint="eastAsia"/>
        </w:rPr>
        <w:t>5.1　二氧化碳排放总量的计算</w:t>
      </w:r>
      <w:bookmarkEnd w:id="79"/>
      <w:bookmarkEnd w:id="80"/>
      <w:bookmarkEnd w:id="81"/>
      <w:bookmarkEnd w:id="82"/>
      <w:bookmarkEnd w:id="83"/>
    </w:p>
    <w:p w14:paraId="57435E7A">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公共建筑运行阶段的二氧化碳排放总量等于公共建筑边界内所有使用者的燃料燃烧排放、购入电力和热力所对应的二氧化碳排放量之和。</w:t>
      </w:r>
    </w:p>
    <w:p w14:paraId="727B99C9">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公共建筑运营过程的二氧化碳总排放量按公式(1)计算。</w:t>
      </w:r>
    </w:p>
    <w:p w14:paraId="5800F750">
      <w:pPr>
        <w:pStyle w:val="350"/>
        <w:widowControl w:val="0"/>
        <w:overflowPunct w:val="0"/>
        <w:autoSpaceDE/>
        <w:autoSpaceDN/>
        <w:ind w:firstLine="420" w:firstLineChars="200"/>
        <w:rPr>
          <w:rFonts w:cs="仿宋_GB2312" w:asciiTheme="minorEastAsia" w:hAnsiTheme="minorEastAsia" w:eastAsiaTheme="minorEastAsia"/>
          <w:szCs w:val="21"/>
        </w:rPr>
      </w:pPr>
      <w:r>
        <w:rPr>
          <w:rFonts w:hint="eastAsia" w:asciiTheme="minorEastAsia" w:hAnsiTheme="minorEastAsia" w:eastAsiaTheme="minorEastAsia"/>
          <w:iCs/>
          <w:szCs w:val="21"/>
        </w:rPr>
        <w:tab/>
      </w:r>
      <w:bookmarkStart w:id="84" w:name="_Hlk162946841"/>
      <w:r>
        <w:rPr>
          <w:rFonts w:ascii="Times New Roman"/>
          <w:i/>
          <w:iCs/>
          <w:szCs w:val="21"/>
        </w:rPr>
        <w:t>E</w:t>
      </w:r>
      <w:r>
        <w:rPr>
          <w:rFonts w:ascii="Times New Roman"/>
          <w:szCs w:val="21"/>
          <w:vertAlign w:val="subscript"/>
        </w:rPr>
        <w:t>总</w:t>
      </w:r>
      <w:r>
        <w:rPr>
          <w:rFonts w:ascii="Times New Roman"/>
          <w:i/>
          <w:iCs/>
          <w:szCs w:val="21"/>
        </w:rPr>
        <w:t>=E</w:t>
      </w:r>
      <w:r>
        <w:rPr>
          <w:rFonts w:ascii="Times New Roman"/>
          <w:szCs w:val="21"/>
          <w:vertAlign w:val="subscript"/>
        </w:rPr>
        <w:t>燃料</w:t>
      </w:r>
      <w:r>
        <w:rPr>
          <w:rFonts w:ascii="Times New Roman"/>
          <w:i/>
          <w:iCs/>
          <w:szCs w:val="21"/>
        </w:rPr>
        <w:t>+E</w:t>
      </w:r>
      <w:r>
        <w:rPr>
          <w:rFonts w:ascii="Times New Roman"/>
          <w:szCs w:val="21"/>
          <w:vertAlign w:val="subscript"/>
        </w:rPr>
        <w:t>电力</w:t>
      </w:r>
      <w:r>
        <w:rPr>
          <w:rFonts w:ascii="Times New Roman"/>
          <w:i/>
          <w:iCs/>
          <w:szCs w:val="21"/>
        </w:rPr>
        <w:t>+E</w:t>
      </w:r>
      <w:r>
        <w:rPr>
          <w:rFonts w:ascii="Times New Roman"/>
          <w:szCs w:val="21"/>
          <w:vertAlign w:val="subscript"/>
        </w:rPr>
        <w:t>热力</w:t>
      </w:r>
      <w:r>
        <w:rPr>
          <w:rFonts w:ascii="Times New Roman"/>
          <w:i/>
          <w:iCs/>
          <w:szCs w:val="21"/>
        </w:rPr>
        <w:t>-E</w:t>
      </w:r>
      <w:r>
        <w:rPr>
          <w:rFonts w:ascii="Times New Roman"/>
          <w:szCs w:val="21"/>
          <w:vertAlign w:val="subscript"/>
        </w:rPr>
        <w:t>碳抵消</w:t>
      </w:r>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w:t>
      </w:r>
      <w:r>
        <w:rPr>
          <w:rFonts w:hint="eastAsia" w:cs="Times New Roman" w:asciiTheme="minorEastAsia" w:hAnsiTheme="minorEastAsia" w:eastAsiaTheme="minorEastAsia"/>
          <w:kern w:val="0"/>
          <w:sz w:val="21"/>
          <w:szCs w:val="21"/>
          <w:lang w:val="en-US" w:eastAsia="zh-CN" w:bidi="ar-SA"/>
        </w:rPr>
        <w:fldChar w:fldCharType="begin"/>
      </w:r>
      <w:r>
        <w:rPr>
          <w:rFonts w:hint="eastAsia" w:cs="Times New Roman" w:asciiTheme="minorEastAsia" w:hAnsiTheme="minorEastAsia" w:eastAsiaTheme="minorEastAsia"/>
          <w:kern w:val="0"/>
          <w:sz w:val="21"/>
          <w:szCs w:val="21"/>
          <w:lang w:val="en-US" w:eastAsia="zh-CN" w:bidi="ar-SA"/>
        </w:rPr>
        <w:instrText xml:space="preserve"> SEQ 自动公式编号 \* ARABIC </w:instrText>
      </w:r>
      <w:r>
        <w:rPr>
          <w:rFonts w:hint="eastAsia" w:cs="Times New Roman" w:asciiTheme="minorEastAsia" w:hAnsiTheme="minorEastAsia" w:eastAsiaTheme="minorEastAsia"/>
          <w:kern w:val="0"/>
          <w:sz w:val="21"/>
          <w:szCs w:val="21"/>
          <w:lang w:val="en-US" w:eastAsia="zh-CN" w:bidi="ar-SA"/>
        </w:rPr>
        <w:fldChar w:fldCharType="separate"/>
      </w:r>
      <w:r>
        <w:rPr>
          <w:rFonts w:hint="eastAsia" w:cs="Times New Roman" w:asciiTheme="minorEastAsia" w:hAnsiTheme="minorEastAsia" w:eastAsiaTheme="minorEastAsia"/>
          <w:kern w:val="0"/>
          <w:sz w:val="21"/>
          <w:szCs w:val="21"/>
          <w:lang w:val="en-US" w:eastAsia="zh-CN" w:bidi="ar-SA"/>
        </w:rPr>
        <w:t>1</w:t>
      </w:r>
      <w:r>
        <w:rPr>
          <w:rFonts w:hint="eastAsia" w:cs="Times New Roman" w:asciiTheme="minorEastAsia" w:hAnsiTheme="minorEastAsia" w:eastAsiaTheme="minorEastAsia"/>
          <w:kern w:val="0"/>
          <w:sz w:val="21"/>
          <w:szCs w:val="21"/>
          <w:lang w:val="en-US" w:eastAsia="zh-CN" w:bidi="ar-SA"/>
        </w:rPr>
        <w:fldChar w:fldCharType="end"/>
      </w:r>
      <w:r>
        <w:rPr>
          <w:rFonts w:hint="eastAsia" w:cs="Times New Roman" w:asciiTheme="minorEastAsia" w:hAnsiTheme="minorEastAsia" w:eastAsiaTheme="minorEastAsia"/>
          <w:kern w:val="0"/>
          <w:sz w:val="21"/>
          <w:szCs w:val="21"/>
          <w:lang w:val="en-US" w:eastAsia="zh-CN" w:bidi="ar-SA"/>
        </w:rPr>
        <w:t>)</w:t>
      </w:r>
    </w:p>
    <w:bookmarkEnd w:id="84"/>
    <w:p w14:paraId="1E52C310">
      <w:pPr>
        <w:pStyle w:val="320"/>
        <w:widowControl w:val="0"/>
        <w:overflowPunct w:val="0"/>
        <w:ind w:left="0" w:leftChars="0"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式中：</w:t>
      </w:r>
    </w:p>
    <w:p w14:paraId="038B248C">
      <w:pPr>
        <w:pStyle w:val="320"/>
        <w:widowControl w:val="0"/>
        <w:overflowPunct w:val="0"/>
        <w:ind w:left="0" w:leftChars="0" w:firstLine="420" w:firstLineChars="200"/>
        <w:jc w:val="both"/>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总</w:t>
      </w:r>
      <w:r>
        <w:rPr>
          <w:rFonts w:hint="eastAsia" w:cs="仿宋_GB2312" w:asciiTheme="minorEastAsia" w:hAnsiTheme="minorEastAsia" w:eastAsiaTheme="minorEastAsia"/>
          <w:szCs w:val="21"/>
        </w:rPr>
        <w:t>—运营过程的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排放总量，单位：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14:paraId="1A0F1ABF">
      <w:pPr>
        <w:pStyle w:val="320"/>
        <w:widowControl w:val="0"/>
        <w:overflowPunct w:val="0"/>
        <w:ind w:left="0" w:leftChars="0" w:firstLine="420" w:firstLineChars="200"/>
        <w:jc w:val="both"/>
        <w:rPr>
          <w:rFonts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燃料</w:t>
      </w:r>
      <w:r>
        <w:rPr>
          <w:rFonts w:hint="eastAsia" w:cs="仿宋_GB2312" w:asciiTheme="minorEastAsia" w:hAnsiTheme="minorEastAsia" w:eastAsiaTheme="minorEastAsia"/>
          <w:szCs w:val="21"/>
        </w:rPr>
        <w:t>—燃料燃烧产生的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14:paraId="32DD56B0">
      <w:pPr>
        <w:overflowPunct w:val="0"/>
        <w:ind w:firstLine="420" w:firstLineChars="200"/>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电力</w:t>
      </w:r>
      <w:r>
        <w:rPr>
          <w:rFonts w:hint="eastAsia" w:cs="仿宋_GB2312" w:asciiTheme="minorEastAsia" w:hAnsiTheme="minorEastAsia" w:eastAsiaTheme="minorEastAsia"/>
          <w:szCs w:val="21"/>
        </w:rPr>
        <w:t>—购入电力所对应的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14:paraId="42EE5086">
      <w:pPr>
        <w:overflowPunct w:val="0"/>
        <w:ind w:firstLine="420" w:firstLineChars="200"/>
        <w:rPr>
          <w:rFonts w:cs="仿宋_GB2312"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热力</w:t>
      </w:r>
      <w:r>
        <w:rPr>
          <w:rFonts w:hint="eastAsia" w:cs="仿宋_GB2312" w:asciiTheme="minorEastAsia" w:hAnsiTheme="minorEastAsia" w:eastAsiaTheme="minorEastAsia"/>
          <w:szCs w:val="21"/>
        </w:rPr>
        <w:t>—购入热力所对应的</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排放量，单位：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cs="仿宋_GB2312" w:asciiTheme="minorEastAsia" w:hAnsiTheme="minorEastAsia" w:eastAsiaTheme="minorEastAsia"/>
          <w:szCs w:val="21"/>
        </w:rPr>
        <w:t>；</w:t>
      </w:r>
    </w:p>
    <w:p w14:paraId="75E73B39">
      <w:pPr>
        <w:overflowPunct w:val="0"/>
        <w:ind w:firstLine="420" w:firstLineChars="200"/>
        <w:rPr>
          <w:rFonts w:asciiTheme="minorEastAsia" w:hAnsiTheme="minorEastAsia" w:eastAsiaTheme="minorEastAsia"/>
          <w:szCs w:val="21"/>
        </w:rPr>
      </w:pPr>
      <w:r>
        <w:rPr>
          <w:rFonts w:hint="eastAsia" w:asciiTheme="minorEastAsia" w:hAnsiTheme="minorEastAsia" w:eastAsiaTheme="minorEastAsia"/>
          <w:i/>
          <w:iCs/>
          <w:szCs w:val="21"/>
        </w:rPr>
        <w:t>E</w:t>
      </w:r>
      <w:r>
        <w:rPr>
          <w:rFonts w:hint="eastAsia" w:asciiTheme="minorEastAsia" w:hAnsiTheme="minorEastAsia" w:eastAsiaTheme="minorEastAsia"/>
          <w:szCs w:val="21"/>
          <w:vertAlign w:val="subscript"/>
        </w:rPr>
        <w:t>碳抵消</w:t>
      </w:r>
      <w:r>
        <w:rPr>
          <w:rFonts w:hint="eastAsia" w:cs="仿宋_GB2312" w:asciiTheme="minorEastAsia" w:hAnsiTheme="minorEastAsia" w:eastAsiaTheme="minorEastAsia"/>
          <w:szCs w:val="21"/>
        </w:rPr>
        <w:t>—企业主动减碳活动对应的减碳量，单位：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szCs w:val="21"/>
        </w:rPr>
        <w:t>。</w:t>
      </w:r>
    </w:p>
    <w:p w14:paraId="6F86EE88">
      <w:pPr>
        <w:pStyle w:val="541"/>
      </w:pPr>
      <w:bookmarkStart w:id="85" w:name="_Toc9072"/>
      <w:bookmarkStart w:id="86" w:name="_Toc29066"/>
      <w:bookmarkStart w:id="87" w:name="_Toc23387"/>
      <w:bookmarkStart w:id="88" w:name="_Toc9201"/>
      <w:bookmarkStart w:id="89" w:name="_Toc25128"/>
      <w:r>
        <w:rPr>
          <w:rFonts w:hint="eastAsia"/>
        </w:rPr>
        <w:t>5.2　化石燃料燃烧排放的计算</w:t>
      </w:r>
      <w:bookmarkEnd w:id="85"/>
      <w:bookmarkEnd w:id="86"/>
      <w:bookmarkEnd w:id="87"/>
      <w:bookmarkEnd w:id="88"/>
      <w:bookmarkEnd w:id="89"/>
    </w:p>
    <w:p w14:paraId="7BC9F604">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在公共建筑运行阶段中，使用的化石燃料主要有实物煤、燃油、天然气液化石油气等，</w:t>
      </w:r>
      <w:r>
        <w:rPr>
          <w:rFonts w:hint="eastAsia"/>
        </w:rPr>
        <w:t>主要能源碳排放因子见附录</w:t>
      </w:r>
      <w:r>
        <w:rPr>
          <w:rFonts w:hint="eastAsia" w:asciiTheme="minorEastAsia" w:hAnsiTheme="minorEastAsia" w:eastAsiaTheme="minorEastAsia"/>
          <w:szCs w:val="21"/>
        </w:rPr>
        <w:t>。化石燃料燃烧产生的二氧化碳排放，按照公式(2)计算：</w:t>
      </w:r>
    </w:p>
    <w:p w14:paraId="6B01FED5">
      <w:pPr>
        <w:pStyle w:val="350"/>
        <w:widowControl w:val="0"/>
        <w:overflowPunct w:val="0"/>
        <w:autoSpaceDE/>
        <w:autoSpaceDN/>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ab/>
      </w:r>
      <w:r>
        <w:rPr>
          <w:rFonts w:ascii="Times New Roman" w:eastAsiaTheme="minorEastAsia"/>
          <w:i/>
          <w:iCs/>
          <w:szCs w:val="21"/>
        </w:rPr>
        <w:t>E</w:t>
      </w:r>
      <w:r>
        <w:rPr>
          <w:rFonts w:ascii="Times New Roman" w:eastAsiaTheme="minorEastAsia"/>
          <w:szCs w:val="21"/>
          <w:vertAlign w:val="subscript"/>
        </w:rPr>
        <w:t>燃料</w:t>
      </w:r>
      <m:oMath>
        <m:r>
          <m:rPr>
            <m:sty m:val="p"/>
          </m:rPr>
          <w:rPr>
            <w:rFonts w:ascii="Cambria Math" w:hAnsi="Cambria Math" w:eastAsiaTheme="minorEastAsia"/>
            <w:szCs w:val="21"/>
          </w:rPr>
          <m:t>=</m:t>
        </m:r>
        <m:nary>
          <m:naryPr>
            <m:chr m:val="∑"/>
            <m:limLoc m:val="undOvr"/>
            <m:ctrlPr>
              <w:rPr>
                <w:rFonts w:ascii="Cambria Math" w:hAnsi="Cambria Math" w:eastAsiaTheme="minorEastAsia"/>
                <w:i/>
                <w:szCs w:val="21"/>
              </w:rPr>
            </m:ctrlPr>
          </m:naryPr>
          <m:sub>
            <m:r>
              <m:rPr>
                <m:nor/>
              </m:rPr>
              <w:rPr>
                <w:rFonts w:ascii="Times New Roman" w:eastAsiaTheme="minorEastAsia"/>
                <w:i/>
                <w:szCs w:val="21"/>
              </w:rPr>
              <m:t>i=1</m:t>
            </m:r>
            <m:ctrlPr>
              <w:rPr>
                <w:rFonts w:ascii="Cambria Math" w:hAnsi="Cambria Math" w:eastAsiaTheme="minorEastAsia"/>
                <w:i/>
                <w:szCs w:val="21"/>
              </w:rPr>
            </m:ctrlPr>
          </m:sub>
          <m:sup>
            <m:r>
              <m:rPr>
                <m:nor/>
              </m:rPr>
              <w:rPr>
                <w:rFonts w:ascii="Times New Roman" w:eastAsiaTheme="minorEastAsia"/>
                <w:i/>
                <w:szCs w:val="21"/>
              </w:rPr>
              <m:t>n</m:t>
            </m:r>
            <m:ctrlPr>
              <w:rPr>
                <w:rFonts w:ascii="Cambria Math" w:hAnsi="Cambria Math" w:eastAsiaTheme="minorEastAsia"/>
                <w:i/>
                <w:szCs w:val="21"/>
              </w:rPr>
            </m:ctrlPr>
          </m:sup>
          <m:e>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rPr>
                  <w:rPr>
                    <w:rFonts w:ascii="Times New Roman" w:eastAsiaTheme="minorEastAsia"/>
                    <w:i/>
                    <w:szCs w:val="21"/>
                  </w:rPr>
                  <m:t>i</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EF</m:t>
                </m:r>
                <m:ctrlPr>
                  <w:rPr>
                    <w:rFonts w:ascii="Cambria Math" w:hAnsi="Cambria Math" w:eastAsiaTheme="minorEastAsia"/>
                    <w:i/>
                    <w:szCs w:val="21"/>
                  </w:rPr>
                </m:ctrlPr>
              </m:e>
              <m:sub>
                <m:r>
                  <m:rPr>
                    <m:nor/>
                  </m:rPr>
                  <w:rPr>
                    <w:rFonts w:ascii="Times New Roman" w:eastAsiaTheme="minorEastAsia"/>
                    <w:i/>
                    <w:szCs w:val="21"/>
                  </w:rPr>
                  <m:t>i</m:t>
                </m:r>
                <m:ctrlPr>
                  <w:rPr>
                    <w:rFonts w:ascii="Cambria Math" w:hAnsi="Cambria Math" w:eastAsiaTheme="minorEastAsia"/>
                    <w:i/>
                    <w:szCs w:val="21"/>
                  </w:rPr>
                </m:ctrlPr>
              </m:sub>
            </m:sSub>
            <m:r>
              <m:rPr>
                <m:nor/>
              </m:rPr>
              <w:rPr>
                <w:rFonts w:ascii="Times New Roman" w:eastAsiaTheme="minorEastAsia"/>
                <w:i/>
                <w:szCs w:val="21"/>
              </w:rPr>
              <m:t>）</m:t>
            </m:r>
            <m:ctrlPr>
              <w:rPr>
                <w:rFonts w:ascii="Cambria Math" w:hAnsi="Cambria Math" w:eastAsiaTheme="minorEastAsia"/>
                <w:i/>
                <w:szCs w:val="21"/>
              </w:rPr>
            </m:ctrlPr>
          </m:e>
        </m:nary>
      </m:oMath>
      <w:bookmarkStart w:id="90" w:name="_Hlk162946856"/>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w:t>
      </w:r>
      <w:r>
        <w:rPr>
          <w:rFonts w:hint="eastAsia" w:cs="Times New Roman" w:asciiTheme="minorEastAsia" w:hAnsiTheme="minorEastAsia" w:eastAsiaTheme="minorEastAsia"/>
          <w:kern w:val="0"/>
          <w:sz w:val="21"/>
          <w:szCs w:val="21"/>
          <w:lang w:val="en-US" w:eastAsia="zh-CN" w:bidi="ar-SA"/>
        </w:rPr>
        <w:fldChar w:fldCharType="begin"/>
      </w:r>
      <w:r>
        <w:rPr>
          <w:rFonts w:hint="eastAsia" w:cs="Times New Roman" w:asciiTheme="minorEastAsia" w:hAnsiTheme="minorEastAsia" w:eastAsiaTheme="minorEastAsia"/>
          <w:kern w:val="0"/>
          <w:sz w:val="21"/>
          <w:szCs w:val="21"/>
          <w:lang w:val="en-US" w:eastAsia="zh-CN" w:bidi="ar-SA"/>
        </w:rPr>
        <w:instrText xml:space="preserve"> SEQ 自动公式编号 \* ARABIC </w:instrText>
      </w:r>
      <w:r>
        <w:rPr>
          <w:rFonts w:hint="eastAsia" w:cs="Times New Roman" w:asciiTheme="minorEastAsia" w:hAnsiTheme="minorEastAsia" w:eastAsiaTheme="minorEastAsia"/>
          <w:kern w:val="0"/>
          <w:sz w:val="21"/>
          <w:szCs w:val="21"/>
          <w:lang w:val="en-US" w:eastAsia="zh-CN" w:bidi="ar-SA"/>
        </w:rPr>
        <w:fldChar w:fldCharType="separate"/>
      </w:r>
      <w:r>
        <w:rPr>
          <w:rFonts w:hint="eastAsia" w:cs="Times New Roman" w:asciiTheme="minorEastAsia" w:hAnsiTheme="minorEastAsia" w:eastAsiaTheme="minorEastAsia"/>
          <w:kern w:val="0"/>
          <w:sz w:val="21"/>
          <w:szCs w:val="21"/>
          <w:lang w:val="en-US" w:eastAsia="zh-CN" w:bidi="ar-SA"/>
        </w:rPr>
        <w:t>2</w:t>
      </w:r>
      <w:r>
        <w:rPr>
          <w:rFonts w:hint="eastAsia" w:cs="Times New Roman" w:asciiTheme="minorEastAsia" w:hAnsiTheme="minorEastAsia" w:eastAsiaTheme="minorEastAsia"/>
          <w:kern w:val="0"/>
          <w:sz w:val="21"/>
          <w:szCs w:val="21"/>
          <w:lang w:val="en-US" w:eastAsia="zh-CN" w:bidi="ar-SA"/>
        </w:rPr>
        <w:fldChar w:fldCharType="end"/>
      </w:r>
      <w:r>
        <w:rPr>
          <w:rFonts w:hint="eastAsia" w:cs="Times New Roman" w:asciiTheme="minorEastAsia" w:hAnsiTheme="minorEastAsia" w:eastAsiaTheme="minorEastAsia"/>
          <w:kern w:val="0"/>
          <w:sz w:val="21"/>
          <w:szCs w:val="21"/>
          <w:lang w:val="en-US" w:eastAsia="zh-CN" w:bidi="ar-SA"/>
        </w:rPr>
        <w:t>)</w:t>
      </w:r>
      <w:bookmarkEnd w:id="90"/>
    </w:p>
    <w:p w14:paraId="507D86A4">
      <w:pPr>
        <w:pStyle w:val="320"/>
        <w:widowControl w:val="0"/>
        <w:overflowPunct w:val="0"/>
        <w:ind w:left="0" w:leftChars="0" w:firstLine="420" w:firstLineChars="200"/>
        <w:jc w:val="both"/>
        <w:rPr>
          <w:rFonts w:asciiTheme="minorEastAsia" w:hAnsiTheme="minorEastAsia" w:eastAsiaTheme="minorEastAsia"/>
          <w:szCs w:val="21"/>
        </w:rPr>
      </w:pPr>
      <w:r>
        <w:rPr>
          <w:rFonts w:hint="eastAsia" w:asciiTheme="minorEastAsia" w:hAnsiTheme="minorEastAsia" w:eastAsiaTheme="minorEastAsia"/>
          <w:szCs w:val="21"/>
        </w:rPr>
        <w:t>式中：</w:t>
      </w:r>
    </w:p>
    <w:p w14:paraId="78D1C2EA">
      <w:pPr>
        <w:overflowPunct w:val="0"/>
        <w:ind w:firstLine="420" w:firstLineChars="200"/>
        <w:rPr>
          <w:rFonts w:asciiTheme="minorEastAsia" w:hAnsiTheme="minorEastAsia" w:eastAsiaTheme="minorEastAsia"/>
          <w:szCs w:val="21"/>
        </w:rPr>
      </w:pPr>
      <w:r>
        <w:rPr>
          <w:rFonts w:asciiTheme="minorEastAsia" w:hAnsiTheme="minorEastAsia" w:eastAsiaTheme="minorEastAsia"/>
          <w:i/>
          <w:iCs/>
          <w:szCs w:val="21"/>
        </w:rPr>
        <w:t>E</w:t>
      </w:r>
      <w:r>
        <w:rPr>
          <w:rFonts w:asciiTheme="minorEastAsia" w:hAnsiTheme="minorEastAsia" w:eastAsiaTheme="minorEastAsia"/>
          <w:szCs w:val="21"/>
          <w:vertAlign w:val="subscript"/>
        </w:rPr>
        <w:t>燃料</w:t>
      </w:r>
      <w:r>
        <w:rPr>
          <w:rFonts w:hint="eastAsia" w:cs="仿宋_GB2312" w:asciiTheme="minorEastAsia" w:hAnsiTheme="minorEastAsia" w:eastAsiaTheme="minorEastAsia"/>
          <w:szCs w:val="21"/>
        </w:rPr>
        <w:t>为消耗的化石燃料</w:t>
      </w:r>
      <w:r>
        <w:rPr>
          <w:rFonts w:hint="eastAsia" w:asciiTheme="minorEastAsia" w:hAnsiTheme="minorEastAsia" w:eastAsiaTheme="minorEastAsia"/>
          <w:szCs w:val="21"/>
        </w:rPr>
        <w:t>燃烧产生的</w:t>
      </w:r>
      <w:r>
        <w:rPr>
          <w:rFonts w:asciiTheme="minorEastAsia" w:hAnsiTheme="minorEastAsia" w:eastAsiaTheme="minorEastAsia"/>
          <w:szCs w:val="21"/>
        </w:rPr>
        <w:t>CO</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排放，单位：kg</w:t>
      </w:r>
      <w:r>
        <w:rPr>
          <w:rFonts w:asciiTheme="minorEastAsia" w:hAnsiTheme="minorEastAsia" w:eastAsiaTheme="minorEastAsia"/>
          <w:szCs w:val="21"/>
        </w:rPr>
        <w:t>CO</w:t>
      </w:r>
      <w:r>
        <w:rPr>
          <w:rFonts w:asciiTheme="minorEastAsia" w:hAnsiTheme="minorEastAsia" w:eastAsiaTheme="minorEastAsia"/>
          <w:szCs w:val="21"/>
          <w:vertAlign w:val="subscript"/>
        </w:rPr>
        <w:t>2</w:t>
      </w:r>
    </w:p>
    <w:p w14:paraId="13236733">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szCs w:val="21"/>
              </w:rPr>
            </m:ctrlPr>
          </m:sSubPr>
          <m:e>
            <m:r>
              <m:rPr/>
              <w:rPr>
                <w:rFonts w:ascii="Cambria Math" w:hAnsi="Cambria Math" w:eastAsiaTheme="minorEastAsia"/>
                <w:szCs w:val="21"/>
              </w:rPr>
              <m:t>E</m:t>
            </m:r>
            <m:ctrlPr>
              <w:rPr>
                <w:rFonts w:ascii="Cambria Math" w:hAnsi="Cambria Math" w:eastAsiaTheme="minorEastAsia"/>
                <w:szCs w:val="21"/>
              </w:rPr>
            </m:ctrlPr>
          </m:e>
          <m:sub>
            <m:r>
              <m:rPr/>
              <w:rPr>
                <w:rFonts w:hint="eastAsia" w:ascii="Cambria Math" w:hAnsi="Cambria Math" w:eastAsiaTheme="minorEastAsia"/>
                <w:szCs w:val="21"/>
              </w:rPr>
              <m:t>i</m:t>
            </m:r>
            <m:ctrlPr>
              <w:rPr>
                <w:rFonts w:ascii="Cambria Math" w:hAnsi="Cambria Math" w:eastAsiaTheme="minorEastAsia"/>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建筑第i类能源年消耗量</w:t>
      </w:r>
      <w:r>
        <w:rPr>
          <w:rFonts w:asciiTheme="minorEastAsia" w:hAnsiTheme="minorEastAsia" w:eastAsiaTheme="minorEastAsia"/>
          <w:szCs w:val="21"/>
        </w:rPr>
        <w:t>，</w:t>
      </w:r>
      <w:r>
        <w:rPr>
          <w:rFonts w:hint="eastAsia" w:asciiTheme="minorEastAsia" w:hAnsiTheme="minorEastAsia" w:eastAsiaTheme="minorEastAsia"/>
          <w:szCs w:val="21"/>
        </w:rPr>
        <w:t>单位：</w:t>
      </w:r>
      <w:r>
        <w:rPr>
          <w:rFonts w:asciiTheme="minorEastAsia" w:hAnsiTheme="minorEastAsia" w:eastAsiaTheme="minorEastAsia"/>
          <w:szCs w:val="21"/>
        </w:rPr>
        <w:t>t或万</w:t>
      </w:r>
      <w:r>
        <w:rPr>
          <w:rFonts w:hint="eastAsia" w:cs="Segoe UI Symbol" w:asciiTheme="minorEastAsia" w:hAnsiTheme="minorEastAsia" w:eastAsiaTheme="minorEastAsia"/>
          <w:szCs w:val="21"/>
        </w:rPr>
        <w:t>㎡</w:t>
      </w:r>
    </w:p>
    <w:p w14:paraId="0AF10069">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szCs w:val="21"/>
              </w:rPr>
            </m:ctrlPr>
          </m:sSubPr>
          <m:e>
            <m:r>
              <m:rPr/>
              <w:rPr>
                <w:rFonts w:ascii="Cambria Math" w:hAnsi="Cambria Math" w:eastAsiaTheme="minorEastAsia"/>
                <w:szCs w:val="21"/>
              </w:rPr>
              <m:t>EF</m:t>
            </m:r>
            <m:ctrlPr>
              <w:rPr>
                <w:rFonts w:ascii="Cambria Math" w:hAnsi="Cambria Math" w:eastAsiaTheme="minorEastAsia"/>
                <w:szCs w:val="21"/>
              </w:rPr>
            </m:ctrlPr>
          </m:e>
          <m:sub>
            <m:r>
              <m:rPr/>
              <w:rPr>
                <w:rFonts w:ascii="Cambria Math" w:hAnsi="Cambria Math" w:eastAsiaTheme="minorEastAsia"/>
                <w:szCs w:val="21"/>
              </w:rPr>
              <m:t>i</m:t>
            </m:r>
            <m:ctrlPr>
              <w:rPr>
                <w:rFonts w:ascii="Cambria Math" w:hAnsi="Cambria Math" w:eastAsiaTheme="minorEastAsia"/>
                <w:szCs w:val="21"/>
              </w:rPr>
            </m:ctrlPr>
          </m:sub>
        </m:sSub>
      </m:oMath>
      <w:r>
        <w:rPr>
          <w:rFonts w:asciiTheme="minorEastAsia" w:hAnsiTheme="minorEastAsia" w:eastAsiaTheme="minorEastAsia"/>
          <w:szCs w:val="21"/>
        </w:rPr>
        <w:t>为第i种燃料的碳排放因子</w:t>
      </w:r>
      <w:r>
        <w:rPr>
          <w:rFonts w:hint="eastAsia" w:asciiTheme="minorEastAsia" w:hAnsiTheme="minorEastAsia" w:eastAsiaTheme="minorEastAsia"/>
          <w:szCs w:val="21"/>
        </w:rPr>
        <w:t>，参见附录A;</w:t>
      </w:r>
    </w:p>
    <w:p w14:paraId="64FD2906">
      <w:pPr>
        <w:overflowPunct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i为化石燃料的类型。</w:t>
      </w:r>
    </w:p>
    <w:p w14:paraId="65326BD1">
      <w:pPr>
        <w:pStyle w:val="541"/>
      </w:pPr>
      <w:bookmarkStart w:id="91" w:name="_Toc28428"/>
      <w:bookmarkStart w:id="92" w:name="_Toc27242"/>
      <w:bookmarkStart w:id="93" w:name="_Toc3138"/>
      <w:bookmarkStart w:id="94" w:name="_Toc25253"/>
      <w:bookmarkStart w:id="95" w:name="_Toc7259"/>
      <w:r>
        <w:rPr>
          <w:rFonts w:hint="eastAsia"/>
        </w:rPr>
        <w:t>5.3　购入使用的电力对应的排放</w:t>
      </w:r>
      <w:bookmarkEnd w:id="91"/>
      <w:bookmarkEnd w:id="92"/>
      <w:bookmarkEnd w:id="93"/>
      <w:bookmarkEnd w:id="94"/>
      <w:bookmarkEnd w:id="95"/>
    </w:p>
    <w:p w14:paraId="3AB60C4D">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公共建筑运营中，购入的电力在生产过程中产生的二氧化碳排放，按照公式(3)计算：</w:t>
      </w:r>
    </w:p>
    <w:p w14:paraId="5D4DE466">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w:r>
        <w:rPr>
          <w:rFonts w:ascii="Times New Roman" w:eastAsiaTheme="minorEastAsia"/>
          <w:i/>
          <w:szCs w:val="21"/>
        </w:rPr>
        <w:t>E</w:t>
      </w:r>
      <w:r>
        <w:rPr>
          <w:rFonts w:ascii="Times New Roman" w:eastAsiaTheme="minorEastAsia"/>
          <w:szCs w:val="21"/>
          <w:vertAlign w:val="subscript"/>
        </w:rPr>
        <w:t>电力</w:t>
      </w:r>
      <m:oMath>
        <m:r>
          <m:rPr/>
          <w:rPr>
            <w:rFonts w:ascii="Cambria Math" w:hAnsi="Cambria Math"/>
            <w:szCs w:val="21"/>
          </w:rPr>
          <m:t>=</m:t>
        </m:r>
        <m:sSub>
          <m:sSubPr>
            <m:ctrlPr>
              <w:rPr>
                <w:rFonts w:ascii="Cambria Math" w:hAnsi="Cambria Math"/>
                <w:i/>
                <w:position w:val="4"/>
                <w:szCs w:val="21"/>
              </w:rPr>
            </m:ctrlPr>
          </m:sSubPr>
          <m:e>
            <m:r>
              <m:rPr>
                <m:nor/>
              </m:rPr>
              <w:rPr>
                <w:rFonts w:ascii="Times New Roman"/>
                <w:i/>
                <w:position w:val="4"/>
                <w:szCs w:val="21"/>
              </w:rPr>
              <m:t>E</m:t>
            </m:r>
            <m:ctrlPr>
              <w:rPr>
                <w:rFonts w:ascii="Cambria Math" w:hAnsi="Cambria Math"/>
                <w:i/>
                <w:position w:val="4"/>
                <w:szCs w:val="21"/>
              </w:rPr>
            </m:ctrlPr>
          </m:e>
          <m:sub>
            <m:r>
              <m:rPr>
                <m:nor/>
              </m:rPr>
              <w:rPr>
                <w:rFonts w:ascii="Times New Roman"/>
                <w:i/>
                <w:position w:val="4"/>
                <w:szCs w:val="21"/>
              </w:rPr>
              <m:t>e</m:t>
            </m:r>
            <m:ctrlPr>
              <w:rPr>
                <w:rFonts w:ascii="Cambria Math" w:hAnsi="Cambria Math"/>
                <w:i/>
                <w:position w:val="4"/>
                <w:szCs w:val="21"/>
              </w:rPr>
            </m:ctrlPr>
          </m:sub>
        </m:sSub>
        <m:r>
          <m:rPr>
            <m:nor/>
          </m:rPr>
          <w:rPr>
            <w:rFonts w:ascii="Times New Roman"/>
            <w:i/>
            <w:position w:val="4"/>
            <w:szCs w:val="21"/>
          </w:rPr>
          <m:t>*</m:t>
        </m:r>
        <m:sSub>
          <m:sSubPr>
            <m:ctrlPr>
              <w:rPr>
                <w:rFonts w:ascii="Cambria Math" w:hAnsi="Cambria Math"/>
                <w:i/>
                <w:position w:val="4"/>
                <w:szCs w:val="21"/>
              </w:rPr>
            </m:ctrlPr>
          </m:sSubPr>
          <m:e>
            <m:r>
              <m:rPr>
                <m:nor/>
              </m:rPr>
              <w:rPr>
                <w:rFonts w:ascii="Times New Roman"/>
                <w:i/>
                <w:position w:val="4"/>
                <w:szCs w:val="21"/>
              </w:rPr>
              <m:t>EF</m:t>
            </m:r>
            <m:ctrlPr>
              <w:rPr>
                <w:rFonts w:ascii="Cambria Math" w:hAnsi="Cambria Math"/>
                <w:i/>
                <w:position w:val="4"/>
                <w:szCs w:val="21"/>
              </w:rPr>
            </m:ctrlPr>
          </m:e>
          <m:sub>
            <m:r>
              <m:rPr>
                <m:nor/>
              </m:rPr>
              <w:rPr>
                <w:rFonts w:ascii="Times New Roman"/>
                <w:i/>
                <w:position w:val="4"/>
                <w:szCs w:val="21"/>
              </w:rPr>
              <m:t>e</m:t>
            </m:r>
            <m:ctrlPr>
              <w:rPr>
                <w:rFonts w:ascii="Cambria Math" w:hAnsi="Cambria Math"/>
                <w:i/>
                <w:position w:val="4"/>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 xml:space="preserve"> (3)</w:t>
      </w:r>
    </w:p>
    <w:p w14:paraId="17EAAB4F">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i/>
          <w:iCs/>
          <w:szCs w:val="21"/>
          <w:vertAlign w:val="subscript"/>
        </w:rPr>
        <w:tab/>
      </w:r>
      <w:r>
        <w:rPr>
          <w:rFonts w:hint="eastAsia" w:asciiTheme="minorEastAsia" w:hAnsiTheme="minorEastAsia" w:eastAsiaTheme="minorEastAsia"/>
          <w:szCs w:val="21"/>
        </w:rPr>
        <w:tab/>
      </w:r>
      <w:r>
        <w:rPr>
          <w:rFonts w:hint="eastAsia" w:asciiTheme="minorEastAsia" w:hAnsiTheme="minorEastAsia" w:eastAsiaTheme="minorEastAsia"/>
          <w:szCs w:val="21"/>
        </w:rPr>
        <w:t>式中：</w:t>
      </w:r>
    </w:p>
    <w:p w14:paraId="5AFCAF0A">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E电力为购入电力在生产过程中产生的二氧化碳排放，单位：kgCO2</w:t>
      </w:r>
    </w:p>
    <w:p w14:paraId="2D83C52B">
      <w:pPr>
        <w:pStyle w:val="258"/>
        <w:widowControl w:val="0"/>
        <w:overflowPunct w:val="0"/>
        <w:ind w:firstLine="420"/>
        <w:rPr>
          <w:rFonts w:asciiTheme="minorEastAsia" w:hAnsiTheme="minorEastAsia" w:eastAsiaTheme="minorEastAsia"/>
          <w:szCs w:val="21"/>
        </w:rPr>
      </w:pPr>
      <m:oMath>
        <m:sSub>
          <w:bookmarkStart w:id="96" w:name="_Hlk180954920"/>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为建筑运营期间购入的电量，单位：MWh</w:t>
      </w:r>
    </w:p>
    <w:bookmarkEnd w:id="96"/>
    <w:p w14:paraId="7493AB37">
      <w:pPr>
        <w:pStyle w:val="258"/>
        <w:widowControl w:val="0"/>
        <w:overflowPunct w:val="0"/>
        <w:ind w:firstLine="420"/>
        <w:rPr>
          <w:rFonts w:asciiTheme="minorEastAsia" w:hAnsiTheme="minorEastAsia" w:eastAsiaTheme="minorEastAsia"/>
          <w:szCs w:val="21"/>
        </w:rPr>
      </w:pPr>
      <m:oMath>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EF</m:t>
            </m:r>
            <m:ctrlPr>
              <w:rPr>
                <w:rFonts w:hint="eastAsia" w:ascii="Cambria Math" w:hAnsi="Cambria Math" w:eastAsiaTheme="minorEastAsia"/>
                <w:szCs w:val="21"/>
              </w:rPr>
            </m:ctrlPr>
          </m:e>
          <m:sub>
            <m:r>
              <m:rPr>
                <m:sty m:val="p"/>
              </m:rPr>
              <w:rPr>
                <w:rFonts w:hint="eastAsia" w:ascii="Cambria Math" w:hAnsi="Cambria Math" w:eastAsiaTheme="minorEastAsia"/>
                <w:szCs w:val="21"/>
              </w:rPr>
              <m:t>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电力消费的碳排放因子，电力排放因子，应优先采用上一年度项目所在区域市或省级行政主管部门发布的电力排放因子，当项目所在地无市或省级行政主管部门发布的电力碳排放因子时，可采用生态环境部发布的上一年度电力排放因子；</w:t>
      </w:r>
    </w:p>
    <w:p w14:paraId="469C356A">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建筑运营期间购入的电量按公式（4）</w:t>
      </w:r>
    </w:p>
    <w:p w14:paraId="0ADB84E4">
      <w:pPr>
        <w:pStyle w:val="350"/>
        <w:widowControl w:val="0"/>
        <w:overflowPunct w:val="0"/>
        <w:autoSpaceDE/>
        <w:autoSpaceDN/>
        <w:ind w:firstLine="2100" w:firstLineChars="1000"/>
        <w:rPr>
          <w:rFonts w:asciiTheme="minorEastAsia" w:hAnsiTheme="minorEastAsia" w:eastAsiaTheme="minorEastAsia"/>
          <w:szCs w:val="21"/>
        </w:rPr>
      </w:pPr>
      <w:r>
        <w:rPr>
          <w:rFonts w:ascii="Times New Roman" w:eastAsiaTheme="minorEastAsia"/>
          <w:szCs w:val="21"/>
        </w:rPr>
        <w:tab/>
      </w:r>
      <m:oMath>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hint="eastAsia" w:ascii="Times New Roman" w:eastAsiaTheme="minorEastAsia"/>
                <w:b w:val="0"/>
                <w:i w:val="0"/>
                <w:sz w:val="18"/>
                <w:szCs w:val="18"/>
              </w:rPr>
              <m:t>消耗电</m:t>
            </m:r>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ascii="Times New Roman" w:eastAsiaTheme="minorEastAsia"/>
                <w:b w:val="0"/>
                <w:i w:val="0"/>
                <w:sz w:val="18"/>
                <w:szCs w:val="18"/>
              </w:rPr>
              <m:t>购入电网非化石电</m:t>
            </m:r>
            <m:r>
              <m:rPr>
                <m:nor/>
              </m:rPr>
              <w:rPr>
                <w:rFonts w:ascii="Times New Roman" w:eastAsiaTheme="minorEastAsia"/>
                <w:i/>
                <w:szCs w:val="21"/>
              </w:rPr>
              <m:t>,e</m:t>
            </m:r>
            <m:ctrlPr>
              <w:rPr>
                <w:rFonts w:ascii="Cambria Math" w:hAnsi="Cambria Math" w:eastAsiaTheme="minorEastAsia"/>
                <w:i/>
                <w:szCs w:val="21"/>
              </w:rPr>
            </m:ctrlPr>
          </m:sub>
        </m:sSub>
        <m:r>
          <m:rPr>
            <m:nor/>
          </m:rPr>
          <w:rPr>
            <w:rFonts w:ascii="Times New Roman" w:eastAsiaTheme="minorEastAsia"/>
            <w:i/>
            <w:szCs w:val="21"/>
          </w:rPr>
          <m:t>-</m:t>
        </m:r>
        <m:sSub>
          <m:sSubPr>
            <m:ctrlPr>
              <w:rPr>
                <w:rFonts w:ascii="Cambria Math" w:hAnsi="Cambria Math" w:eastAsiaTheme="minorEastAsia"/>
                <w:i/>
                <w:szCs w:val="21"/>
              </w:rPr>
            </m:ctrlPr>
          </m:sSubPr>
          <m:e>
            <m:r>
              <m:rPr>
                <m:nor/>
              </m:rPr>
              <w:rPr>
                <w:rFonts w:ascii="Times New Roman" w:eastAsiaTheme="minorEastAsia"/>
                <w:i/>
                <w:szCs w:val="21"/>
              </w:rPr>
              <m:t>E</m:t>
            </m:r>
            <m:ctrlPr>
              <w:rPr>
                <w:rFonts w:ascii="Cambria Math" w:hAnsi="Cambria Math" w:eastAsiaTheme="minorEastAsia"/>
                <w:i/>
                <w:szCs w:val="21"/>
              </w:rPr>
            </m:ctrlPr>
          </m:e>
          <m:sub>
            <m:r>
              <m:rPr>
                <m:nor/>
                <m:sty m:val="p"/>
              </m:rPr>
              <w:rPr>
                <w:rFonts w:ascii="Times New Roman" w:eastAsiaTheme="minorEastAsia"/>
                <w:b w:val="0"/>
                <w:i w:val="0"/>
                <w:sz w:val="18"/>
                <w:szCs w:val="18"/>
              </w:rPr>
              <m:t>自发自用非化石电</m:t>
            </m:r>
            <m:r>
              <m:rPr>
                <m:nor/>
              </m:rPr>
              <w:rPr>
                <w:rFonts w:ascii="Times New Roman" w:eastAsiaTheme="minorEastAsia"/>
                <w:i/>
                <w:szCs w:val="21"/>
              </w:rPr>
              <m:t>,e</m:t>
            </m:r>
            <m:ctrlPr>
              <w:rPr>
                <w:rFonts w:ascii="Cambria Math" w:hAnsi="Cambria Math" w:eastAsiaTheme="minorEastAsia"/>
                <w:i/>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(4)</w:t>
      </w:r>
    </w:p>
    <w:p w14:paraId="7E4BF085">
      <w:pPr>
        <w:pStyle w:val="258"/>
        <w:widowControl w:val="0"/>
        <w:overflowPunct w:val="0"/>
        <w:ind w:firstLine="420"/>
        <w:rPr>
          <w:rFonts w:hint="eastAsia" w:asciiTheme="minorEastAsia" w:hAnsiTheme="minorEastAsia" w:eastAsiaTheme="minorEastAsia"/>
          <w:szCs w:val="21"/>
        </w:rPr>
      </w:pPr>
    </w:p>
    <w:p w14:paraId="04DE3269">
      <w:pPr>
        <w:pStyle w:val="258"/>
        <w:widowControl w:val="0"/>
        <w:overflowPunct w:val="0"/>
        <w:ind w:firstLine="840" w:firstLineChars="400"/>
        <w:rPr>
          <w:rFonts w:asciiTheme="minorEastAsia" w:hAnsiTheme="minorEastAsia" w:eastAsiaTheme="minorEastAsia"/>
          <w:szCs w:val="21"/>
        </w:rPr>
      </w:pPr>
      <m:oMath>
        <m:sSub>
          <w:bookmarkStart w:id="97" w:name="_Hlk148465851"/>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消耗电,e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为建筑运营期间消耗的电量</w:t>
      </w:r>
      <w:bookmarkEnd w:id="97"/>
      <w:r>
        <w:rPr>
          <w:rFonts w:hint="eastAsia" w:asciiTheme="minorEastAsia" w:hAnsiTheme="minorEastAsia" w:eastAsiaTheme="minorEastAsia"/>
          <w:szCs w:val="21"/>
        </w:rPr>
        <w:t>，单位：MWh</w:t>
      </w:r>
    </w:p>
    <w:p w14:paraId="6BC12E47">
      <w:pPr>
        <w:pStyle w:val="258"/>
        <w:widowControl w:val="0"/>
        <w:overflowPunct w:val="0"/>
        <w:ind w:firstLine="420"/>
        <w:rPr>
          <w:rFonts w:asciiTheme="minorEastAsia" w:hAnsiTheme="minorEastAsia" w:eastAsiaTheme="minorEastAsia"/>
          <w:szCs w:val="21"/>
        </w:rPr>
      </w:pPr>
      <m:oMath>
        <m:r>
          <m:rPr>
            <m:sty m:val="p"/>
          </m:rPr>
          <w:rPr>
            <w:rFonts w:hint="eastAsia" w:ascii="Cambria Math" w:hAnsi="Cambria Math" w:eastAsiaTheme="minorEastAsia"/>
            <w:szCs w:val="21"/>
          </w:rPr>
          <m:t xml:space="preserve">        </m:t>
        </m:r>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购入电网非化石电,e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为建筑运营期通过市场化交易购入使用的非化石能源电力消费量，单位：MWh</w:t>
      </w:r>
    </w:p>
    <w:p w14:paraId="254A9A8F">
      <w:pPr>
        <w:pStyle w:val="258"/>
        <w:widowControl w:val="0"/>
        <w:overflowPunct w:val="0"/>
        <w:ind w:firstLine="420"/>
        <w:rPr>
          <w:rFonts w:asciiTheme="minorEastAsia" w:hAnsiTheme="minorEastAsia" w:eastAsiaTheme="minorEastAsia"/>
          <w:szCs w:val="21"/>
        </w:rPr>
      </w:pPr>
      <m:oMath>
        <m:r>
          <m:rPr>
            <m:sty m:val="p"/>
          </m:rPr>
          <w:rPr>
            <w:rFonts w:hint="eastAsia" w:ascii="Cambria Math" w:hAnsi="Cambria Math" w:eastAsiaTheme="minorEastAsia"/>
            <w:szCs w:val="21"/>
          </w:rPr>
          <m:t xml:space="preserve">       </m:t>
        </m:r>
        <m:sSub>
          <m:sSubPr>
            <m:ctrlPr>
              <w:rPr>
                <w:rFonts w:hint="eastAsia" w:ascii="Cambria Math" w:hAnsi="Cambria Math" w:eastAsiaTheme="minorEastAsia"/>
                <w:szCs w:val="21"/>
              </w:rPr>
            </m:ctrlPr>
          </m:sSubPr>
          <m:e>
            <m:r>
              <m:rPr>
                <m:sty m:val="p"/>
              </m:rPr>
              <w:rPr>
                <w:rFonts w:hint="eastAsia" w:ascii="Cambria Math" w:hAnsi="Cambria Math" w:eastAsiaTheme="minorEastAsia"/>
                <w:szCs w:val="21"/>
              </w:rPr>
              <m:t>E</m:t>
            </m:r>
            <m:ctrlPr>
              <w:rPr>
                <w:rFonts w:hint="eastAsia" w:ascii="Cambria Math" w:hAnsi="Cambria Math" w:eastAsiaTheme="minorEastAsia"/>
                <w:szCs w:val="21"/>
              </w:rPr>
            </m:ctrlPr>
          </m:e>
          <m:sub>
            <m:r>
              <m:rPr>
                <m:sty m:val="p"/>
              </m:rPr>
              <w:rPr>
                <w:rFonts w:hint="eastAsia" w:ascii="Cambria Math" w:hAnsi="Cambria Math" w:eastAsiaTheme="minorEastAsia"/>
                <w:szCs w:val="21"/>
              </w:rPr>
              <m:t>自发自用非化石电,e</m:t>
            </m:r>
            <m:ctrlPr>
              <w:rPr>
                <w:rFonts w:hint="eastAsia" w:ascii="Cambria Math" w:hAnsi="Cambria Math" w:eastAsiaTheme="minorEastAsia"/>
                <w:szCs w:val="21"/>
              </w:rPr>
            </m:ctrlPr>
          </m:sub>
        </m:sSub>
      </m:oMath>
      <w:r>
        <w:rPr>
          <w:rFonts w:hint="eastAsia" w:asciiTheme="minorEastAsia" w:hAnsiTheme="minorEastAsia" w:eastAsiaTheme="minorEastAsia"/>
          <w:szCs w:val="21"/>
        </w:rPr>
        <w:t>为建筑运营期间自发自用非化石能源电量，单位：MWh</w:t>
      </w:r>
    </w:p>
    <w:p w14:paraId="69D11266">
      <w:pPr>
        <w:pStyle w:val="258"/>
        <w:widowControl w:val="0"/>
        <w:overflowPunct w:val="0"/>
        <w:ind w:firstLine="420"/>
        <w:rPr>
          <w:rFonts w:asciiTheme="minorEastAsia" w:hAnsiTheme="minorEastAsia" w:eastAsiaTheme="minorEastAsia"/>
          <w:szCs w:val="21"/>
        </w:rPr>
      </w:pPr>
      <w:bookmarkStart w:id="98" w:name="_Toc5520"/>
      <w:bookmarkStart w:id="99" w:name="_Toc28602"/>
      <w:bookmarkStart w:id="100" w:name="_Toc7402"/>
      <w:bookmarkStart w:id="101" w:name="_Toc17664"/>
      <w:bookmarkStart w:id="102" w:name="_Toc13982"/>
      <w:r>
        <w:rPr>
          <w:rFonts w:hint="eastAsia" w:asciiTheme="minorEastAsia" w:hAnsiTheme="minorEastAsia" w:eastAsiaTheme="minorEastAsia"/>
          <w:szCs w:val="21"/>
        </w:rPr>
        <w:t>5.4　购入使用的热力对应的排放</w:t>
      </w:r>
      <w:bookmarkEnd w:id="98"/>
      <w:bookmarkEnd w:id="99"/>
      <w:bookmarkEnd w:id="100"/>
      <w:bookmarkEnd w:id="101"/>
      <w:bookmarkEnd w:id="102"/>
      <w:r>
        <w:rPr>
          <w:rFonts w:hint="eastAsia" w:asciiTheme="minorEastAsia" w:hAnsiTheme="minorEastAsia" w:eastAsiaTheme="minorEastAsia"/>
          <w:szCs w:val="21"/>
        </w:rPr>
        <w:t>公共建筑运营中，购入的蒸汽、热水在生产过程中产的二氧化碳排放，按照公式(</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)计算：</w:t>
      </w:r>
    </w:p>
    <w:p w14:paraId="08AD0E77">
      <w:pPr>
        <w:pStyle w:val="350"/>
        <w:widowControl w:val="0"/>
        <w:overflowPunct w:val="0"/>
        <w:autoSpaceDE/>
        <w:autoSpaceDN/>
        <w:ind w:firstLine="2100" w:firstLineChars="1000"/>
        <w:rPr>
          <w:rFonts w:asciiTheme="minorEastAsia" w:hAnsiTheme="minorEastAsia" w:eastAsiaTheme="minorEastAsia"/>
          <w:szCs w:val="21"/>
        </w:rPr>
      </w:pPr>
      <w:r>
        <w:rPr>
          <w:rFonts w:ascii="Times New Roman" w:eastAsiaTheme="minorEastAsia"/>
          <w:szCs w:val="21"/>
        </w:rPr>
        <w:tab/>
      </w:r>
      <w:r>
        <w:rPr>
          <w:rFonts w:ascii="Times New Roman" w:eastAsiaTheme="minorEastAsia"/>
          <w:i/>
          <w:szCs w:val="21"/>
        </w:rPr>
        <w:t>E</w:t>
      </w:r>
      <w:r>
        <w:rPr>
          <w:rFonts w:ascii="Times New Roman" w:eastAsiaTheme="minorEastAsia"/>
          <w:szCs w:val="21"/>
          <w:vertAlign w:val="subscript"/>
        </w:rPr>
        <w:t>热力</w:t>
      </w:r>
      <m:oMath>
        <m:r>
          <m:rPr/>
          <w:rPr>
            <w:rFonts w:ascii="Cambria Math" w:hAnsi="Cambria Math" w:eastAsiaTheme="minorEastAsia"/>
            <w:szCs w:val="21"/>
          </w:rPr>
          <m:t>=</m:t>
        </m:r>
        <m:sSub>
          <m:sSubPr>
            <m:ctrlPr>
              <w:rPr>
                <w:rFonts w:ascii="Cambria Math" w:hAnsi="Cambria Math" w:eastAsiaTheme="minorEastAsia"/>
                <w:i/>
                <w:szCs w:val="21"/>
              </w:rPr>
            </m:ctrlPr>
          </m:sSubPr>
          <m:e>
            <m:r>
              <m:rPr/>
              <w:rPr>
                <w:rFonts w:ascii="Cambria Math" w:hAnsi="Cambria Math" w:eastAsiaTheme="minorEastAsia"/>
                <w:szCs w:val="21"/>
              </w:rPr>
              <m:t>E</m:t>
            </m:r>
            <m:ctrlPr>
              <w:rPr>
                <w:rFonts w:ascii="Cambria Math" w:hAnsi="Cambria Math" w:eastAsiaTheme="minorEastAsia"/>
                <w:i/>
                <w:szCs w:val="21"/>
              </w:rPr>
            </m:ctrlPr>
          </m:e>
          <m:sub>
            <m:r>
              <m:rPr/>
              <w:rPr>
                <w:rFonts w:ascii="Cambria Math" w:hAnsi="Cambria Math" w:eastAsia="MS Mincho"/>
                <w:szCs w:val="21"/>
              </w:rPr>
              <m:t>ℎ</m:t>
            </m:r>
            <m:ctrlPr>
              <w:rPr>
                <w:rFonts w:ascii="Cambria Math" w:hAnsi="Cambria Math" w:eastAsiaTheme="minorEastAsia"/>
                <w:i/>
                <w:szCs w:val="21"/>
              </w:rPr>
            </m:ctrlPr>
          </m:sub>
        </m:sSub>
        <m:r>
          <m:rPr/>
          <w:rPr>
            <w:rFonts w:ascii="Cambria Math" w:hAnsi="Cambria Math" w:eastAsia="MS Mincho"/>
            <w:szCs w:val="21"/>
          </w:rPr>
          <m:t>∗</m:t>
        </m:r>
        <m:sSub>
          <m:sSubPr>
            <m:ctrlPr>
              <w:rPr>
                <w:rFonts w:ascii="Cambria Math" w:hAnsi="Cambria Math" w:eastAsiaTheme="minorEastAsia"/>
                <w:i/>
                <w:szCs w:val="21"/>
              </w:rPr>
            </m:ctrlPr>
          </m:sSubPr>
          <m:e>
            <m:r>
              <m:rPr/>
              <w:rPr>
                <w:rFonts w:ascii="Cambria Math" w:hAnsi="Cambria Math" w:eastAsiaTheme="minorEastAsia"/>
                <w:szCs w:val="21"/>
              </w:rPr>
              <m:t>EF</m:t>
            </m:r>
            <m:ctrlPr>
              <w:rPr>
                <w:rFonts w:ascii="Cambria Math" w:hAnsi="Cambria Math" w:eastAsiaTheme="minorEastAsia"/>
                <w:i/>
                <w:szCs w:val="21"/>
              </w:rPr>
            </m:ctrlPr>
          </m:e>
          <m:sub>
            <m:r>
              <m:rPr/>
              <w:rPr>
                <w:rFonts w:ascii="Cambria Math" w:hAnsi="Cambria Math" w:eastAsia="MS Mincho"/>
                <w:szCs w:val="21"/>
              </w:rPr>
              <m:t>ℎ</m:t>
            </m:r>
            <m:ctrlPr>
              <w:rPr>
                <w:rFonts w:ascii="Cambria Math" w:hAnsi="Cambria Math" w:eastAsiaTheme="minorEastAsia"/>
                <w:i/>
                <w:szCs w:val="21"/>
              </w:rPr>
            </m:ctrlPr>
          </m:sub>
        </m:sSub>
      </m:oMath>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(5)</w:t>
      </w:r>
    </w:p>
    <w:p w14:paraId="741C6AA0">
      <w:pPr>
        <w:pStyle w:val="258"/>
        <w:widowControl w:val="0"/>
        <w:tabs>
          <w:tab w:val="center" w:pos="605"/>
        </w:tabs>
        <w:overflowPunct w:val="0"/>
        <w:ind w:firstLine="420"/>
        <w:rPr>
          <w:rFonts w:hint="eastAsia" w:asciiTheme="minorEastAsia" w:hAnsiTheme="minorEastAsia" w:eastAsiaTheme="minorEastAsia"/>
          <w:szCs w:val="21"/>
        </w:rPr>
      </w:pPr>
    </w:p>
    <w:p w14:paraId="499C4F46">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式中：</w:t>
      </w:r>
    </w:p>
    <w:p w14:paraId="326268A7">
      <w:pPr>
        <w:overflowPunct w:val="0"/>
        <w:ind w:firstLine="420" w:firstLineChars="200"/>
        <w:rPr>
          <w:rFonts w:asciiTheme="minorEastAsia" w:hAnsiTheme="minorEastAsia" w:eastAsiaTheme="minorEastAsia"/>
          <w:szCs w:val="21"/>
        </w:rPr>
      </w:pPr>
      <w:r>
        <w:rPr>
          <w:rFonts w:asciiTheme="minorEastAsia" w:hAnsiTheme="minorEastAsia" w:eastAsiaTheme="minorEastAsia"/>
          <w:i/>
          <w:iCs/>
          <w:szCs w:val="21"/>
        </w:rPr>
        <w:t>E</w:t>
      </w:r>
      <w:r>
        <w:rPr>
          <w:rFonts w:hint="eastAsia" w:asciiTheme="minorEastAsia" w:hAnsiTheme="minorEastAsia" w:eastAsiaTheme="minorEastAsia"/>
          <w:szCs w:val="21"/>
          <w:vertAlign w:val="subscript"/>
        </w:rPr>
        <w:t>热力</w:t>
      </w:r>
      <w:r>
        <w:rPr>
          <w:rFonts w:hint="eastAsia" w:cs="仿宋_GB2312" w:asciiTheme="minorEastAsia" w:hAnsiTheme="minorEastAsia" w:eastAsiaTheme="minorEastAsia"/>
          <w:szCs w:val="21"/>
        </w:rPr>
        <w:t>为购入蒸汽和热水产生的二氧化碳排放，单位：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p>
    <w:p w14:paraId="7C48BD0D">
      <w:pPr>
        <w:overflowPunct w:val="0"/>
        <w:ind w:firstLine="420" w:firstLineChars="200"/>
        <w:rPr>
          <w:rFonts w:cs="仿宋_GB2312" w:asciiTheme="minorEastAsia" w:hAnsiTheme="minorEastAsia" w:eastAsiaTheme="minorEastAsia"/>
          <w:szCs w:val="21"/>
        </w:rPr>
      </w:pPr>
      <m:oMath>
        <m:sSub>
          <m:sSubPr>
            <m:ctrlPr>
              <w:rPr>
                <w:rFonts w:ascii="Cambria Math" w:hAnsi="Cambria Math" w:eastAsiaTheme="minorEastAsia"/>
                <w:kern w:val="0"/>
                <w:szCs w:val="21"/>
              </w:rPr>
            </m:ctrlPr>
          </m:sSubPr>
          <m:e>
            <m:r>
              <m:rPr/>
              <w:rPr>
                <w:rFonts w:ascii="Cambria Math" w:hAnsi="Cambria Math" w:eastAsiaTheme="minorEastAsia"/>
                <w:kern w:val="0"/>
                <w:szCs w:val="21"/>
              </w:rPr>
              <m:t>E</m:t>
            </m:r>
            <m:ctrlPr>
              <w:rPr>
                <w:rFonts w:ascii="Cambria Math" w:hAnsi="Cambria Math" w:eastAsiaTheme="minorEastAsia"/>
                <w:kern w:val="0"/>
                <w:szCs w:val="21"/>
              </w:rPr>
            </m:ctrlPr>
          </m:e>
          <m:sub>
            <m:r>
              <m:rPr/>
              <w:rPr>
                <w:rFonts w:ascii="Cambria Math" w:hAnsi="Cambria Math" w:eastAsiaTheme="minorEastAsia"/>
                <w:kern w:val="0"/>
                <w:szCs w:val="21"/>
              </w:rPr>
              <m:t>ℎ</m:t>
            </m:r>
            <m:ctrlPr>
              <w:rPr>
                <w:rFonts w:ascii="Cambria Math" w:hAnsi="Cambria Math" w:eastAsiaTheme="minorEastAsia"/>
                <w:kern w:val="0"/>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外购蒸汽和热水的数量</w:t>
      </w:r>
      <w:r>
        <w:rPr>
          <w:rFonts w:asciiTheme="minorEastAsia" w:hAnsiTheme="minorEastAsia" w:eastAsiaTheme="minorEastAsia"/>
          <w:szCs w:val="21"/>
        </w:rPr>
        <w:t>，</w:t>
      </w:r>
      <w:r>
        <w:rPr>
          <w:rFonts w:hint="eastAsia" w:cs="仿宋_GB2312" w:asciiTheme="minorEastAsia" w:hAnsiTheme="minorEastAsia" w:eastAsiaTheme="minorEastAsia"/>
          <w:szCs w:val="21"/>
        </w:rPr>
        <w:t>单位：</w:t>
      </w:r>
      <w:r>
        <w:rPr>
          <w:rFonts w:hint="eastAsia" w:asciiTheme="minorEastAsia" w:hAnsiTheme="minorEastAsia" w:eastAsiaTheme="minorEastAsia"/>
          <w:i/>
          <w:iCs/>
          <w:szCs w:val="21"/>
        </w:rPr>
        <w:t>GJ</w:t>
      </w:r>
    </w:p>
    <w:p w14:paraId="264CBFD7">
      <w:pPr>
        <w:overflowPunct w:val="0"/>
        <w:ind w:firstLine="420" w:firstLineChars="200"/>
        <w:rPr>
          <w:rFonts w:asciiTheme="minorEastAsia" w:hAnsiTheme="minorEastAsia" w:eastAsiaTheme="minorEastAsia"/>
          <w:szCs w:val="21"/>
        </w:rPr>
      </w:pPr>
      <m:oMath>
        <m:sSub>
          <m:sSubPr>
            <m:ctrlPr>
              <w:rPr>
                <w:rFonts w:ascii="Cambria Math" w:hAnsi="Cambria Math" w:eastAsiaTheme="minorEastAsia"/>
                <w:kern w:val="0"/>
                <w:szCs w:val="21"/>
              </w:rPr>
            </m:ctrlPr>
          </m:sSubPr>
          <m:e>
            <m:r>
              <m:rPr/>
              <w:rPr>
                <w:rFonts w:ascii="Cambria Math" w:hAnsi="Cambria Math" w:eastAsiaTheme="minorEastAsia"/>
                <w:szCs w:val="21"/>
              </w:rPr>
              <m:t>EF</m:t>
            </m:r>
            <m:ctrlPr>
              <w:rPr>
                <w:rFonts w:ascii="Cambria Math" w:hAnsi="Cambria Math" w:eastAsiaTheme="minorEastAsia"/>
                <w:kern w:val="0"/>
                <w:szCs w:val="21"/>
              </w:rPr>
            </m:ctrlPr>
          </m:e>
          <m:sub>
            <m:r>
              <m:rPr/>
              <w:rPr>
                <w:rFonts w:ascii="Cambria Math" w:hAnsi="Cambria Math" w:eastAsiaTheme="minorEastAsia"/>
                <w:kern w:val="0"/>
                <w:szCs w:val="21"/>
              </w:rPr>
              <m:t>ℎ</m:t>
            </m:r>
            <m:ctrlPr>
              <w:rPr>
                <w:rFonts w:ascii="Cambria Math" w:hAnsi="Cambria Math" w:eastAsiaTheme="minorEastAsia"/>
                <w:kern w:val="0"/>
                <w:szCs w:val="21"/>
              </w:rPr>
            </m:ctrlPr>
          </m:sub>
        </m:sSub>
      </m:oMath>
      <w:r>
        <w:rPr>
          <w:rFonts w:asciiTheme="minorEastAsia" w:hAnsiTheme="minorEastAsia" w:eastAsiaTheme="minorEastAsia"/>
          <w:szCs w:val="21"/>
        </w:rPr>
        <w:t>为</w:t>
      </w:r>
      <w:r>
        <w:rPr>
          <w:rFonts w:hint="eastAsia" w:asciiTheme="minorEastAsia" w:hAnsiTheme="minorEastAsia" w:eastAsiaTheme="minorEastAsia"/>
          <w:szCs w:val="21"/>
        </w:rPr>
        <w:t>外购蒸汽和热水的二氧化碳排放因子</w:t>
      </w:r>
      <w:r>
        <w:rPr>
          <w:rFonts w:asciiTheme="minorEastAsia" w:hAnsiTheme="minorEastAsia" w:eastAsiaTheme="minorEastAsia"/>
          <w:szCs w:val="21"/>
        </w:rPr>
        <w:t>，</w:t>
      </w:r>
      <w:r>
        <w:rPr>
          <w:rFonts w:hint="eastAsia" w:cs="仿宋_GB2312" w:asciiTheme="minorEastAsia" w:hAnsiTheme="minorEastAsia" w:eastAsiaTheme="minorEastAsia"/>
          <w:szCs w:val="21"/>
        </w:rPr>
        <w:t>单位：</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i/>
          <w:iCs/>
          <w:szCs w:val="21"/>
        </w:rPr>
        <w:t>/GJ，现</w:t>
      </w:r>
      <w:r>
        <w:rPr>
          <w:rFonts w:hint="eastAsia" w:asciiTheme="minorEastAsia" w:hAnsiTheme="minorEastAsia" w:eastAsiaTheme="minorEastAsia"/>
          <w:szCs w:val="21"/>
        </w:rPr>
        <w:t>采用110</w:t>
      </w:r>
      <w:r>
        <w:rPr>
          <w:rFonts w:hint="eastAsia" w:asciiTheme="minorEastAsia" w:hAnsiTheme="minorEastAsia" w:eastAsiaTheme="minorEastAsia"/>
          <w:i/>
          <w:iCs/>
          <w:szCs w:val="21"/>
        </w:rPr>
        <w:t>kg</w:t>
      </w:r>
      <w:r>
        <w:rPr>
          <w:rFonts w:asciiTheme="minorEastAsia" w:hAnsiTheme="minorEastAsia" w:eastAsiaTheme="minorEastAsia"/>
          <w:i/>
          <w:iCs/>
          <w:szCs w:val="21"/>
        </w:rPr>
        <w:t>CO</w:t>
      </w:r>
      <w:r>
        <w:rPr>
          <w:rFonts w:asciiTheme="minorEastAsia" w:hAnsiTheme="minorEastAsia" w:eastAsiaTheme="minorEastAsia"/>
          <w:i/>
          <w:iCs/>
          <w:szCs w:val="21"/>
          <w:vertAlign w:val="subscript"/>
        </w:rPr>
        <w:t>2</w:t>
      </w:r>
      <w:r>
        <w:rPr>
          <w:rFonts w:hint="eastAsia" w:asciiTheme="minorEastAsia" w:hAnsiTheme="minorEastAsia" w:eastAsiaTheme="minorEastAsia"/>
          <w:i/>
          <w:iCs/>
          <w:szCs w:val="21"/>
        </w:rPr>
        <w:t>/GJ。</w:t>
      </w:r>
    </w:p>
    <w:p w14:paraId="5565E7F8">
      <w:pPr>
        <w:pStyle w:val="539"/>
        <w:rPr>
          <w:rFonts w:cs="仿宋_GB2312"/>
          <w:b/>
          <w:bCs/>
        </w:rPr>
      </w:pPr>
      <w:bookmarkStart w:id="103" w:name="_Toc20465"/>
      <w:bookmarkStart w:id="104" w:name="_Toc177570339"/>
      <w:bookmarkStart w:id="105" w:name="_Toc8553"/>
      <w:bookmarkStart w:id="106" w:name="_Toc6862"/>
      <w:bookmarkStart w:id="107" w:name="_Toc636"/>
      <w:bookmarkStart w:id="108" w:name="_Toc8434"/>
      <w:r>
        <w:rPr>
          <w:rFonts w:hint="eastAsia" w:cs="仿宋_GB2312"/>
          <w:bCs/>
        </w:rPr>
        <w:t>6　</w:t>
      </w:r>
      <w:r>
        <w:rPr>
          <w:rFonts w:hint="eastAsia"/>
        </w:rPr>
        <w:t>分级评价</w:t>
      </w:r>
      <w:bookmarkEnd w:id="103"/>
      <w:bookmarkEnd w:id="104"/>
      <w:bookmarkEnd w:id="105"/>
      <w:bookmarkEnd w:id="106"/>
      <w:bookmarkEnd w:id="107"/>
      <w:bookmarkEnd w:id="108"/>
    </w:p>
    <w:p w14:paraId="0F489EC9">
      <w:pPr>
        <w:pStyle w:val="541"/>
      </w:pPr>
      <w:bookmarkStart w:id="109" w:name="_Toc23806"/>
      <w:bookmarkStart w:id="110" w:name="_Toc28115"/>
      <w:bookmarkStart w:id="111" w:name="_Toc31276"/>
      <w:bookmarkStart w:id="112" w:name="_Toc4153"/>
      <w:bookmarkStart w:id="113" w:name="_Toc26070"/>
      <w:r>
        <w:rPr>
          <w:rFonts w:hint="eastAsia"/>
        </w:rPr>
        <w:t>6.1　控制性要求</w:t>
      </w:r>
      <w:bookmarkEnd w:id="109"/>
      <w:bookmarkEnd w:id="110"/>
      <w:bookmarkEnd w:id="111"/>
      <w:bookmarkEnd w:id="112"/>
      <w:bookmarkEnd w:id="113"/>
    </w:p>
    <w:p w14:paraId="35EAD941">
      <w:pPr>
        <w:pStyle w:val="545"/>
      </w:pPr>
      <w:r>
        <w:rPr>
          <w:rFonts w:hint="eastAsia"/>
        </w:rPr>
        <w:t>6.1.1　</w:t>
      </w:r>
      <w:r>
        <w:rPr>
          <w:rFonts w:hint="eastAsia"/>
          <w:spacing w:val="-2"/>
        </w:rPr>
        <w:t>在评价范围内的公共建筑应符合GB 55015相关要求。</w:t>
      </w:r>
    </w:p>
    <w:p w14:paraId="0EFD1109">
      <w:pPr>
        <w:pStyle w:val="545"/>
      </w:pPr>
      <w:bookmarkStart w:id="114" w:name="_Toc32296"/>
      <w:bookmarkStart w:id="115" w:name="_Toc1205"/>
      <w:bookmarkStart w:id="116" w:name="_Toc29588"/>
      <w:bookmarkStart w:id="117" w:name="_Toc22278"/>
      <w:bookmarkStart w:id="118" w:name="_Toc30554"/>
      <w:r>
        <w:rPr>
          <w:rFonts w:hint="eastAsia"/>
        </w:rPr>
        <w:t>6.1.2　室内热湿环境参数、新风量、CO</w:t>
      </w:r>
      <w:r>
        <w:rPr>
          <w:rFonts w:hint="eastAsia"/>
          <w:vertAlign w:val="subscript"/>
        </w:rPr>
        <w:t>2</w:t>
      </w:r>
      <w:r>
        <w:rPr>
          <w:rFonts w:hint="eastAsia"/>
        </w:rPr>
        <w:t>浓度等指标应满足GB55016、GB 50736、GB/T 18883 的规定，照度值应符合GB 55015、GB 50034 的规定。</w:t>
      </w:r>
    </w:p>
    <w:p w14:paraId="54725661">
      <w:pPr>
        <w:pStyle w:val="545"/>
      </w:pPr>
      <w:r>
        <w:rPr>
          <w:rFonts w:hint="eastAsia"/>
        </w:rPr>
        <w:t>6.1.3　按要求配备、使用和管理计量器具和装置，保证采集数据的准确性。计量范围包含建筑耗电量、耗煤量、耗气量、耗油量、集中供热量、集中供冷量和可再生能源利用量。计量器具应符合</w:t>
      </w:r>
      <w:r>
        <w:t>GB 17167</w:t>
      </w:r>
      <w:r>
        <w:rPr>
          <w:rFonts w:hint="eastAsia"/>
        </w:rPr>
        <w:t>相关要求。</w:t>
      </w:r>
    </w:p>
    <w:p w14:paraId="5AACD8BC">
      <w:pPr>
        <w:pStyle w:val="541"/>
        <w:tabs>
          <w:tab w:val="left" w:pos="1620"/>
        </w:tabs>
      </w:pPr>
      <w:r>
        <w:rPr>
          <w:rFonts w:hint="eastAsia"/>
        </w:rPr>
        <w:t>6.2　评分标准</w:t>
      </w:r>
      <w:bookmarkEnd w:id="114"/>
      <w:bookmarkEnd w:id="115"/>
      <w:bookmarkEnd w:id="116"/>
      <w:bookmarkEnd w:id="117"/>
      <w:bookmarkEnd w:id="118"/>
    </w:p>
    <w:p w14:paraId="4CE6B263">
      <w:pPr>
        <w:pStyle w:val="260"/>
        <w:widowControl w:val="0"/>
        <w:numPr>
          <w:ilvl w:val="1"/>
          <w:numId w:val="0"/>
        </w:numPr>
        <w:overflowPunct w:val="0"/>
        <w:spacing w:beforeLines="0" w:afterLines="0"/>
        <w:ind w:firstLine="420" w:firstLineChars="200"/>
        <w:jc w:val="both"/>
        <w:outlineLvl w:val="9"/>
        <w:rPr>
          <w:rFonts w:ascii="宋体" w:eastAsia="宋体"/>
          <w:szCs w:val="20"/>
        </w:rPr>
      </w:pPr>
      <w:r>
        <w:rPr>
          <w:rFonts w:hint="eastAsia" w:ascii="宋体" w:eastAsia="宋体"/>
          <w:szCs w:val="20"/>
        </w:rPr>
        <w:t>湖北省公共建筑运行阶段碳排放的评分标准按公共建筑运行阶段碳排放指标评价（</w:t>
      </w:r>
      <w:r>
        <w:rPr>
          <w:rFonts w:hint="eastAsia" w:ascii="宋体" w:eastAsia="宋体"/>
          <w:szCs w:val="20"/>
          <w:lang w:eastAsia="zh-CN"/>
        </w:rPr>
        <w:t>见</w:t>
      </w:r>
      <w:r>
        <w:rPr>
          <w:rFonts w:hint="eastAsia" w:ascii="宋体" w:eastAsia="宋体"/>
          <w:szCs w:val="20"/>
        </w:rPr>
        <w:t>表1）和运行阶段能耗管理与节能技术应用评价两方面的工作开展情况进行评价，采取打分与否决相结合的方式，总分100分，其中碳排放指标指标评价占60分，运行阶段能耗管理与节能技术应用评价占40分。最终分数在70-80分之间（不保括80分）是</w:t>
      </w:r>
      <w:r>
        <w:rPr>
          <w:rFonts w:hint="eastAsia" w:asciiTheme="minorEastAsia" w:hAnsiTheme="minorEastAsia" w:eastAsiaTheme="minorEastAsia"/>
        </w:rPr>
        <w:t>一星级为“一般碳排放建筑”，80-90分之间</w:t>
      </w:r>
      <w:r>
        <w:rPr>
          <w:rFonts w:hint="eastAsia" w:ascii="宋体" w:eastAsia="宋体"/>
          <w:szCs w:val="20"/>
        </w:rPr>
        <w:t>（不保括90分）</w:t>
      </w:r>
      <w:r>
        <w:rPr>
          <w:rFonts w:hint="eastAsia" w:asciiTheme="minorEastAsia" w:hAnsiTheme="minorEastAsia" w:eastAsiaTheme="minorEastAsia"/>
        </w:rPr>
        <w:t>是二星级为“低碳碳排放建筑”，90-100分之间（不保括100分）是三星级为“近零碳碳排放建筑”</w:t>
      </w:r>
      <w:r>
        <w:rPr>
          <w:rFonts w:hint="eastAsia" w:ascii="宋体" w:eastAsia="宋体"/>
          <w:szCs w:val="20"/>
        </w:rPr>
        <w:t>，100分是四星级为零碳排放建筑。</w:t>
      </w:r>
    </w:p>
    <w:p w14:paraId="68D2741E">
      <w:pPr>
        <w:pStyle w:val="541"/>
        <w:jc w:val="left"/>
      </w:pPr>
      <w:r>
        <w:rPr>
          <w:rFonts w:hint="eastAsia"/>
        </w:rPr>
        <w:t>6.3　碳排放指标评价</w:t>
      </w:r>
    </w:p>
    <w:p w14:paraId="0791EC56">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湖北省公共建筑运行阶段碳排放指标评价为基本要求。如出现</w:t>
      </w:r>
      <w:bookmarkStart w:id="119" w:name="_Hlk129189058"/>
      <w:r>
        <w:rPr>
          <w:rFonts w:hint="eastAsia" w:asciiTheme="minorEastAsia" w:hAnsiTheme="minorEastAsia" w:eastAsiaTheme="minorEastAsia"/>
          <w:szCs w:val="21"/>
        </w:rPr>
        <w:t>二氧化碳总排放强度指标</w:t>
      </w:r>
      <w:bookmarkEnd w:id="119"/>
      <w:r>
        <w:rPr>
          <w:rFonts w:hint="eastAsia" w:asciiTheme="minorEastAsia" w:hAnsiTheme="minorEastAsia" w:eastAsiaTheme="minorEastAsia"/>
          <w:szCs w:val="21"/>
        </w:rPr>
        <w:t>高于建筑基准碳排放强度（以下简称基准值），则评价结果直接确定为不合格，不进行评价打分，本次评价终止。如出现碳排放强度低于基准值20%（含以上）的，按照60+（1-碳排放强度/基准值）*40 计算该类建筑物碳排放指标评价得分如表1所示。</w:t>
      </w:r>
    </w:p>
    <w:p w14:paraId="6969C06F">
      <w:pPr>
        <w:pStyle w:val="258"/>
        <w:widowControl w:val="0"/>
        <w:overflowPunct w:val="0"/>
        <w:ind w:firstLine="0" w:firstLineChars="0"/>
        <w:jc w:val="left"/>
        <w:rPr>
          <w:rFonts w:asciiTheme="minorEastAsia" w:hAnsiTheme="minorEastAsia" w:eastAsiaTheme="minorEastAsia"/>
          <w:szCs w:val="21"/>
        </w:rPr>
      </w:pPr>
    </w:p>
    <w:p w14:paraId="1A102E74">
      <w:pPr>
        <w:pStyle w:val="543"/>
        <w:numPr>
          <w:ilvl w:val="1"/>
          <w:numId w:val="18"/>
        </w:numPr>
        <w:spacing w:before="156" w:afterLines="0"/>
        <w:rPr>
          <w:rFonts w:asciiTheme="minorEastAsia" w:hAnsiTheme="minorEastAsia" w:eastAsiaTheme="minorEastAsia"/>
          <w:szCs w:val="21"/>
        </w:rPr>
      </w:pPr>
      <w:r>
        <w:rPr>
          <w:rFonts w:hint="eastAsia"/>
        </w:rPr>
        <w:t>公共建筑运行阶段碳排放指标评价</w:t>
      </w:r>
    </w:p>
    <w:tbl>
      <w:tblPr>
        <w:tblStyle w:val="89"/>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1405"/>
        <w:gridCol w:w="1554"/>
        <w:gridCol w:w="1433"/>
        <w:gridCol w:w="1499"/>
        <w:gridCol w:w="1391"/>
      </w:tblGrid>
      <w:tr w14:paraId="0ECD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6EF482A5">
            <w:pPr>
              <w:jc w:val="center"/>
            </w:pPr>
            <w:r>
              <w:rPr>
                <w:rFonts w:hint="eastAsia"/>
                <w:sz w:val="18"/>
                <w:szCs w:val="18"/>
              </w:rPr>
              <w:t>建筑类型</w:t>
            </w:r>
          </w:p>
        </w:tc>
        <w:tc>
          <w:tcPr>
            <w:tcW w:w="1405" w:type="dxa"/>
          </w:tcPr>
          <w:p w14:paraId="71DB0FB8">
            <w:pPr>
              <w:jc w:val="center"/>
            </w:pPr>
            <w:r>
              <w:rPr>
                <w:rFonts w:hint="eastAsia" w:ascii="宋体" w:hAnsi="宋体"/>
                <w:kern w:val="0"/>
                <w:sz w:val="18"/>
                <w:szCs w:val="20"/>
              </w:rPr>
              <w:t>办公建筑</w:t>
            </w:r>
          </w:p>
        </w:tc>
        <w:tc>
          <w:tcPr>
            <w:tcW w:w="1554" w:type="dxa"/>
          </w:tcPr>
          <w:p w14:paraId="120007C5">
            <w:pPr>
              <w:jc w:val="center"/>
            </w:pPr>
            <w:r>
              <w:rPr>
                <w:rFonts w:hint="eastAsia" w:ascii="宋体" w:hAnsi="宋体"/>
                <w:kern w:val="0"/>
                <w:sz w:val="18"/>
                <w:szCs w:val="20"/>
              </w:rPr>
              <w:t>旅游饭店建筑</w:t>
            </w:r>
          </w:p>
        </w:tc>
        <w:tc>
          <w:tcPr>
            <w:tcW w:w="1433" w:type="dxa"/>
          </w:tcPr>
          <w:p w14:paraId="653386FD">
            <w:pPr>
              <w:jc w:val="center"/>
            </w:pPr>
            <w:r>
              <w:rPr>
                <w:rFonts w:hint="eastAsia" w:ascii="宋体" w:hAnsi="宋体"/>
                <w:kern w:val="0"/>
                <w:sz w:val="18"/>
                <w:szCs w:val="20"/>
              </w:rPr>
              <w:t>商业建筑</w:t>
            </w:r>
          </w:p>
        </w:tc>
        <w:tc>
          <w:tcPr>
            <w:tcW w:w="1499" w:type="dxa"/>
          </w:tcPr>
          <w:p w14:paraId="05C1F47A">
            <w:pPr>
              <w:jc w:val="center"/>
            </w:pPr>
            <w:r>
              <w:rPr>
                <w:rFonts w:hint="eastAsia" w:ascii="宋体" w:hAnsi="宋体"/>
                <w:kern w:val="0"/>
                <w:sz w:val="18"/>
                <w:szCs w:val="20"/>
              </w:rPr>
              <w:t>医疗卫生建筑</w:t>
            </w:r>
          </w:p>
        </w:tc>
        <w:tc>
          <w:tcPr>
            <w:tcW w:w="1391" w:type="dxa"/>
          </w:tcPr>
          <w:p w14:paraId="56712B76">
            <w:pPr>
              <w:jc w:val="center"/>
              <w:rPr>
                <w:rFonts w:ascii="宋体" w:hAnsi="宋体"/>
                <w:kern w:val="0"/>
                <w:sz w:val="18"/>
                <w:szCs w:val="20"/>
              </w:rPr>
            </w:pPr>
            <w:r>
              <w:rPr>
                <w:rFonts w:hint="eastAsia" w:ascii="宋体" w:hAnsi="宋体"/>
                <w:kern w:val="0"/>
                <w:sz w:val="18"/>
                <w:szCs w:val="20"/>
              </w:rPr>
              <w:t>会展建筑</w:t>
            </w:r>
          </w:p>
        </w:tc>
      </w:tr>
      <w:tr w14:paraId="7180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tcPr>
          <w:p w14:paraId="42FB6A83">
            <w:pPr>
              <w:jc w:val="center"/>
              <w:rPr>
                <w:rFonts w:eastAsiaTheme="minorEastAsia"/>
              </w:rPr>
            </w:pPr>
            <w:r>
              <w:rPr>
                <w:rFonts w:hint="eastAsia" w:asciiTheme="minorEastAsia" w:hAnsiTheme="minorEastAsia" w:eastAsiaTheme="minorEastAsia" w:cstheme="minorEastAsia"/>
                <w:kern w:val="0"/>
                <w:sz w:val="18"/>
                <w:szCs w:val="18"/>
              </w:rPr>
              <w:t>基准值</w:t>
            </w:r>
            <w:r>
              <w:rPr>
                <w:rFonts w:hint="eastAsia" w:asciiTheme="minorEastAsia" w:hAnsiTheme="minorEastAsia" w:eastAsiaTheme="minorEastAsia" w:cstheme="minorEastAsia"/>
                <w:sz w:val="18"/>
                <w:szCs w:val="18"/>
              </w:rPr>
              <w:t>（kgCO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/m</w:t>
            </w:r>
            <w:r>
              <w:rPr>
                <w:rFonts w:hint="eastAsia"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w:t>
            </w:r>
          </w:p>
        </w:tc>
        <w:tc>
          <w:tcPr>
            <w:tcW w:w="1405" w:type="dxa"/>
          </w:tcPr>
          <w:p w14:paraId="6E4A61B4">
            <w:pPr>
              <w:jc w:val="center"/>
              <w:rPr>
                <w:sz w:val="18"/>
                <w:szCs w:val="18"/>
              </w:rPr>
            </w:pPr>
            <w:r>
              <w:rPr>
                <w:rFonts w:hint="eastAsia" w:ascii="宋体"/>
                <w:kern w:val="0"/>
                <w:sz w:val="18"/>
                <w:szCs w:val="18"/>
              </w:rPr>
              <w:t>40</w:t>
            </w:r>
          </w:p>
        </w:tc>
        <w:tc>
          <w:tcPr>
            <w:tcW w:w="1554" w:type="dxa"/>
          </w:tcPr>
          <w:p w14:paraId="64702D2E">
            <w:pPr>
              <w:jc w:val="center"/>
              <w:rPr>
                <w:rFonts w:ascii="宋体"/>
                <w:kern w:val="0"/>
                <w:sz w:val="18"/>
                <w:szCs w:val="18"/>
              </w:rPr>
            </w:pPr>
            <w:r>
              <w:rPr>
                <w:rFonts w:hint="eastAsia" w:ascii="宋体"/>
                <w:kern w:val="0"/>
                <w:sz w:val="18"/>
                <w:szCs w:val="18"/>
              </w:rPr>
              <w:t>65</w:t>
            </w:r>
          </w:p>
        </w:tc>
        <w:tc>
          <w:tcPr>
            <w:tcW w:w="1433" w:type="dxa"/>
          </w:tcPr>
          <w:p w14:paraId="353795EB">
            <w:pPr>
              <w:jc w:val="center"/>
              <w:rPr>
                <w:rFonts w:ascii="宋体"/>
                <w:kern w:val="0"/>
                <w:sz w:val="18"/>
                <w:szCs w:val="18"/>
              </w:rPr>
            </w:pPr>
            <w:r>
              <w:rPr>
                <w:rFonts w:hint="eastAsia" w:ascii="宋体"/>
                <w:kern w:val="0"/>
                <w:sz w:val="18"/>
                <w:szCs w:val="18"/>
              </w:rPr>
              <w:t>72</w:t>
            </w:r>
          </w:p>
        </w:tc>
        <w:tc>
          <w:tcPr>
            <w:tcW w:w="1499" w:type="dxa"/>
          </w:tcPr>
          <w:p w14:paraId="08B8FE91">
            <w:pPr>
              <w:jc w:val="center"/>
              <w:rPr>
                <w:sz w:val="18"/>
                <w:szCs w:val="18"/>
              </w:rPr>
            </w:pPr>
            <w:r>
              <w:rPr>
                <w:rFonts w:hint="eastAsia" w:ascii="宋体"/>
                <w:kern w:val="0"/>
                <w:sz w:val="18"/>
                <w:szCs w:val="18"/>
              </w:rPr>
              <w:t>80</w:t>
            </w:r>
          </w:p>
        </w:tc>
        <w:tc>
          <w:tcPr>
            <w:tcW w:w="1391" w:type="dxa"/>
          </w:tcPr>
          <w:p w14:paraId="50EE61DB">
            <w:pPr>
              <w:jc w:val="center"/>
              <w:rPr>
                <w:rFonts w:ascii="宋体"/>
                <w:kern w:val="0"/>
                <w:sz w:val="18"/>
                <w:szCs w:val="18"/>
              </w:rPr>
            </w:pPr>
            <w:r>
              <w:rPr>
                <w:rFonts w:hint="eastAsia" w:ascii="宋体"/>
                <w:kern w:val="0"/>
                <w:sz w:val="18"/>
                <w:szCs w:val="18"/>
              </w:rPr>
              <w:t>25</w:t>
            </w:r>
          </w:p>
        </w:tc>
      </w:tr>
    </w:tbl>
    <w:p w14:paraId="497C6251">
      <w:pPr>
        <w:rPr>
          <w:rFonts w:asciiTheme="minorEastAsia" w:hAnsiTheme="minorEastAsia" w:eastAsiaTheme="minorEastAsia"/>
          <w:szCs w:val="21"/>
        </w:rPr>
      </w:pPr>
    </w:p>
    <w:p w14:paraId="51CBCA70">
      <w:pPr>
        <w:pStyle w:val="258"/>
        <w:widowControl w:val="0"/>
        <w:overflowPunct w:val="0"/>
        <w:ind w:firstLine="420"/>
        <w:rPr>
          <w:rFonts w:asciiTheme="minorEastAsia" w:hAnsiTheme="minorEastAsia" w:eastAsiaTheme="minorEastAsia"/>
          <w:szCs w:val="21"/>
        </w:rPr>
      </w:pPr>
      <w:r>
        <w:rPr>
          <w:rFonts w:hint="eastAsia" w:asciiTheme="minorEastAsia" w:hAnsiTheme="minorEastAsia" w:eastAsiaTheme="minorEastAsia"/>
          <w:szCs w:val="21"/>
        </w:rPr>
        <w:t>公共建筑运营过程的二氧化碳总排放强度按照公式(6)计算：</w:t>
      </w:r>
    </w:p>
    <w:p w14:paraId="62A38C06">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w:r>
        <w:rPr>
          <w:rFonts w:ascii="Times New Roman" w:eastAsiaTheme="minorEastAsia"/>
          <w:i/>
          <w:szCs w:val="21"/>
        </w:rPr>
        <w:t>C</w:t>
      </w:r>
      <w:r>
        <w:rPr>
          <w:rFonts w:ascii="Times New Roman" w:eastAsiaTheme="minorEastAsia"/>
          <w:szCs w:val="21"/>
          <w:vertAlign w:val="subscript"/>
        </w:rPr>
        <w:t>强</w:t>
      </w:r>
      <w:r>
        <w:rPr>
          <w:rFonts w:ascii="Times New Roman" w:eastAsiaTheme="minorEastAsia"/>
          <w:szCs w:val="21"/>
        </w:rPr>
        <w:t>=</w:t>
      </w:r>
      <w:r>
        <w:rPr>
          <w:rFonts w:ascii="Times New Roman" w:eastAsiaTheme="minorEastAsia"/>
          <w:i/>
          <w:szCs w:val="21"/>
        </w:rPr>
        <w:t>E</w:t>
      </w:r>
      <w:r>
        <w:rPr>
          <w:rFonts w:ascii="Times New Roman" w:eastAsiaTheme="minorEastAsia"/>
          <w:szCs w:val="21"/>
          <w:vertAlign w:val="subscript"/>
        </w:rPr>
        <w:t>总</w:t>
      </w:r>
      <w:r>
        <w:rPr>
          <w:rFonts w:ascii="Times New Roman" w:eastAsiaTheme="minorEastAsia"/>
          <w:szCs w:val="21"/>
        </w:rPr>
        <w:t>/</w:t>
      </w:r>
      <w:r>
        <w:rPr>
          <w:rFonts w:ascii="Times New Roman" w:eastAsiaTheme="minorEastAsia"/>
          <w:i/>
          <w:szCs w:val="21"/>
        </w:rPr>
        <w:t>A</w:t>
      </w:r>
      <w:r>
        <w:rPr>
          <w:rFonts w:ascii="Times New Roman" w:eastAsia="微软雅黑"/>
          <w:szCs w:val="21"/>
        </w:rPr>
        <w:t>……</w:t>
      </w:r>
      <w:r>
        <w:rPr>
          <w:rFonts w:ascii="Times New Roman"/>
          <w:szCs w:val="21"/>
          <w:vertAlign w:val="subscript"/>
        </w:rPr>
        <w:tab/>
      </w:r>
      <w:r>
        <w:rPr>
          <w:rFonts w:hint="eastAsia" w:cs="Times New Roman" w:asciiTheme="minorEastAsia" w:hAnsiTheme="minorEastAsia" w:eastAsiaTheme="minorEastAsia"/>
          <w:kern w:val="0"/>
          <w:sz w:val="21"/>
          <w:szCs w:val="21"/>
          <w:lang w:val="en-US" w:eastAsia="zh-CN" w:bidi="ar-SA"/>
        </w:rPr>
        <w:t>(6)</w:t>
      </w:r>
    </w:p>
    <w:p w14:paraId="3D58047F">
      <w:pPr>
        <w:pStyle w:val="258"/>
        <w:widowControl w:val="0"/>
        <w:overflowPunct w:val="0"/>
        <w:ind w:firstLine="420"/>
        <w:jc w:val="left"/>
        <w:rPr>
          <w:rFonts w:asciiTheme="minorEastAsia" w:hAnsiTheme="minorEastAsia" w:eastAsiaTheme="minorEastAsia"/>
          <w:szCs w:val="21"/>
        </w:rPr>
      </w:pPr>
      <w:r>
        <w:rPr>
          <w:rFonts w:hint="eastAsia" w:asciiTheme="minorEastAsia" w:hAnsiTheme="minorEastAsia" w:eastAsiaTheme="minorEastAsia"/>
          <w:szCs w:val="21"/>
        </w:rPr>
        <w:t>式中：</w:t>
      </w:r>
    </w:p>
    <w:p w14:paraId="04A8F7A1">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i/>
          <w:iCs/>
          <w:szCs w:val="21"/>
        </w:rPr>
        <w:t>C</w:t>
      </w:r>
      <w:r>
        <w:rPr>
          <w:rFonts w:hint="eastAsia" w:asciiTheme="minorEastAsia" w:hAnsiTheme="minorEastAsia" w:eastAsiaTheme="minorEastAsia"/>
          <w:szCs w:val="21"/>
          <w:vertAlign w:val="subscript"/>
        </w:rPr>
        <w:t>强</w:t>
      </w:r>
      <w:r>
        <w:rPr>
          <w:rFonts w:hint="eastAsia" w:asciiTheme="minorEastAsia" w:hAnsiTheme="minorEastAsia" w:eastAsiaTheme="minorEastAsia"/>
          <w:szCs w:val="21"/>
        </w:rPr>
        <w:t>—运营过程的CO</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排放强度，单位：</w:t>
      </w:r>
      <w:r>
        <w:rPr>
          <w:rFonts w:hint="eastAsia" w:asciiTheme="minorEastAsia" w:hAnsiTheme="minorEastAsia" w:eastAsiaTheme="minorEastAsia"/>
          <w:i/>
          <w:iCs/>
          <w:szCs w:val="21"/>
        </w:rPr>
        <w:t>kgCO</w:t>
      </w:r>
      <w:r>
        <w:rPr>
          <w:rFonts w:hint="eastAsia" w:asciiTheme="minorEastAsia" w:hAnsiTheme="minorEastAsia" w:eastAsiaTheme="minorEastAsia"/>
          <w:i/>
          <w:iCs/>
          <w:szCs w:val="21"/>
          <w:vertAlign w:val="subscript"/>
        </w:rPr>
        <w:t>2</w:t>
      </w:r>
      <w:r>
        <w:rPr>
          <w:rFonts w:hint="eastAsia" w:asciiTheme="minorEastAsia" w:hAnsiTheme="minorEastAsia" w:eastAsiaTheme="minorEastAsia"/>
          <w:i/>
          <w:iCs/>
          <w:szCs w:val="21"/>
        </w:rPr>
        <w:t>/m</w:t>
      </w:r>
      <w:r>
        <w:rPr>
          <w:rFonts w:hint="eastAsia" w:asciiTheme="minorEastAsia" w:hAnsiTheme="minorEastAsia" w:eastAsiaTheme="minorEastAsia"/>
          <w:i/>
          <w:iCs/>
          <w:szCs w:val="21"/>
          <w:vertAlign w:val="superscript"/>
        </w:rPr>
        <w:t>2</w:t>
      </w:r>
    </w:p>
    <w:p w14:paraId="3806F30D">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szCs w:val="21"/>
        </w:rPr>
        <w:t>E</w:t>
      </w:r>
      <w:r>
        <w:rPr>
          <w:rFonts w:hint="eastAsia" w:asciiTheme="minorEastAsia" w:hAnsiTheme="minorEastAsia" w:eastAsiaTheme="minorEastAsia"/>
          <w:szCs w:val="21"/>
          <w:vertAlign w:val="subscript"/>
        </w:rPr>
        <w:t>总</w:t>
      </w:r>
      <w:r>
        <w:rPr>
          <w:rFonts w:hint="eastAsia" w:asciiTheme="minorEastAsia" w:hAnsiTheme="minorEastAsia" w:eastAsiaTheme="minorEastAsia"/>
          <w:szCs w:val="21"/>
        </w:rPr>
        <w:t>—运营过程的CO</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排放总量，单位：</w:t>
      </w:r>
      <w:r>
        <w:rPr>
          <w:rFonts w:hint="eastAsia" w:asciiTheme="minorEastAsia" w:hAnsiTheme="minorEastAsia" w:eastAsiaTheme="minorEastAsia"/>
          <w:i/>
          <w:iCs/>
          <w:szCs w:val="21"/>
        </w:rPr>
        <w:t>kgCO</w:t>
      </w:r>
      <w:r>
        <w:rPr>
          <w:rFonts w:hint="eastAsia" w:asciiTheme="minorEastAsia" w:hAnsiTheme="minorEastAsia" w:eastAsiaTheme="minorEastAsia"/>
          <w:i/>
          <w:iCs/>
          <w:szCs w:val="21"/>
          <w:vertAlign w:val="subscript"/>
        </w:rPr>
        <w:t>2</w:t>
      </w:r>
      <w:r>
        <w:rPr>
          <w:rFonts w:hint="eastAsia" w:asciiTheme="minorEastAsia" w:hAnsiTheme="minorEastAsia" w:eastAsiaTheme="minorEastAsia"/>
          <w:szCs w:val="21"/>
        </w:rPr>
        <w:t>；</w:t>
      </w:r>
    </w:p>
    <w:p w14:paraId="5CC1B44A">
      <w:pPr>
        <w:pStyle w:val="258"/>
        <w:widowControl w:val="0"/>
        <w:overflowPunct w:val="0"/>
        <w:ind w:firstLine="420"/>
        <w:jc w:val="center"/>
        <w:rPr>
          <w:rFonts w:asciiTheme="minorEastAsia" w:hAnsiTheme="minorEastAsia" w:eastAsiaTheme="minorEastAsia"/>
          <w:szCs w:val="21"/>
        </w:rPr>
      </w:pPr>
      <w:r>
        <w:rPr>
          <w:rFonts w:hint="eastAsia" w:asciiTheme="minorEastAsia" w:hAnsiTheme="minorEastAsia" w:eastAsiaTheme="minorEastAsia"/>
          <w:szCs w:val="21"/>
        </w:rPr>
        <w:t>A—建筑面积，单位：m</w:t>
      </w:r>
      <w:r>
        <w:rPr>
          <w:rFonts w:hint="eastAsia" w:asciiTheme="minorEastAsia" w:hAnsiTheme="minorEastAsia" w:eastAsiaTheme="minorEastAsia"/>
          <w:szCs w:val="21"/>
          <w:vertAlign w:val="superscript"/>
        </w:rPr>
        <w:t>2</w:t>
      </w:r>
      <w:r>
        <w:rPr>
          <w:rFonts w:hint="eastAsia" w:asciiTheme="minorEastAsia" w:hAnsiTheme="minorEastAsia" w:eastAsiaTheme="minorEastAsia"/>
          <w:szCs w:val="21"/>
        </w:rPr>
        <w:t>；</w:t>
      </w:r>
    </w:p>
    <w:p w14:paraId="393B8719">
      <w:pPr>
        <w:pStyle w:val="541"/>
        <w:tabs>
          <w:tab w:val="left" w:pos="1620"/>
        </w:tabs>
        <w:jc w:val="left"/>
        <w:rPr>
          <w:rFonts w:asciiTheme="minorEastAsia" w:hAnsiTheme="minorEastAsia" w:eastAsiaTheme="minorEastAsia"/>
          <w:b/>
          <w:bCs/>
          <w:szCs w:val="21"/>
        </w:rPr>
      </w:pPr>
      <w:r>
        <w:rPr>
          <w:rFonts w:hint="eastAsia"/>
        </w:rPr>
        <w:t>6.4　运行阶段能耗应用评价</w:t>
      </w:r>
    </w:p>
    <w:p w14:paraId="4EC79020">
      <w:pPr>
        <w:pStyle w:val="545"/>
        <w:tabs>
          <w:tab w:val="left" w:pos="1620"/>
        </w:tabs>
      </w:pPr>
      <w:r>
        <w:rPr>
          <w:rFonts w:hint="eastAsia"/>
        </w:rPr>
        <w:t>6.4.1　可再生能源电力是指水力、风力、生物质能、太阳能、海洋能以及地热能等可再生能源产生的电力。其中，可再生能源电力替代率应按照公式</w:t>
      </w:r>
      <w:r>
        <w:rPr>
          <w:rFonts w:hint="eastAsia" w:asciiTheme="minorEastAsia" w:hAnsiTheme="minorEastAsia" w:eastAsiaTheme="minorEastAsia"/>
          <w:szCs w:val="21"/>
        </w:rPr>
        <w:t>(7)</w:t>
      </w:r>
      <w:r>
        <w:rPr>
          <w:rFonts w:hint="eastAsia"/>
        </w:rPr>
        <w:t>计算：</w:t>
      </w:r>
    </w:p>
    <w:p w14:paraId="2E80FEEB">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m:oMath>
        <m:sSub>
          <m:sSubPr>
            <m:ctrlPr>
              <w:rPr>
                <w:rFonts w:ascii="Cambria Math" w:hAnsi="Cambria Math" w:eastAsiaTheme="minorEastAsia"/>
                <w:i/>
                <w:szCs w:val="21"/>
              </w:rPr>
            </m:ctrlPr>
          </m:sSubPr>
          <m:e>
            <m:r>
              <m:rPr>
                <m:nor/>
              </m:rPr>
              <w:rPr>
                <w:rFonts w:ascii="Cambria Math" w:hAnsi="Cambria Math" w:eastAsiaTheme="minorEastAsia"/>
                <w:i/>
                <w:szCs w:val="21"/>
              </w:rPr>
              <m:t>EA</m:t>
            </m:r>
            <m:ctrlPr>
              <w:rPr>
                <w:rFonts w:ascii="Cambria Math" w:hAnsi="Cambria Math" w:eastAsiaTheme="minorEastAsia"/>
                <w:szCs w:val="21"/>
              </w:rPr>
            </m:ctrlPr>
          </m:e>
          <m:sub>
            <m:r>
              <m:rPr>
                <m:nor/>
                <m:sty m:val="p"/>
              </m:rPr>
              <w:rPr>
                <w:rFonts w:ascii="Cambria Math" w:hAnsi="Cambria Math" w:eastAsiaTheme="minorEastAsia"/>
                <w:b w:val="0"/>
                <w:i w:val="0"/>
                <w:sz w:val="18"/>
                <w:szCs w:val="18"/>
              </w:rPr>
              <m:t>可再生电力替代率</m:t>
            </m:r>
            <m:ctrlPr>
              <w:rPr>
                <w:rFonts w:ascii="Cambria Math" w:hAnsi="Cambria Math" w:eastAsiaTheme="minorEastAsia"/>
                <w:i/>
                <w:szCs w:val="21"/>
              </w:rPr>
            </m:ctrlPr>
          </m:sub>
        </m:sSub>
        <m:r>
          <m:rPr>
            <m:nor/>
            <m:sty m:val="p"/>
          </m:rPr>
          <w:rPr>
            <w:rFonts w:ascii="Cambria Math" w:hAnsi="Cambria Math" w:eastAsiaTheme="minorEastAsia"/>
            <w:b w:val="0"/>
            <w:i w:val="0"/>
            <w:szCs w:val="21"/>
          </w:rPr>
          <m:t>=</m:t>
        </m:r>
        <m:f>
          <m:fPr>
            <m:ctrlPr>
              <w:rPr>
                <w:rFonts w:ascii="Cambria Math" w:hAnsi="Cambria Math" w:eastAsiaTheme="minorEastAsia"/>
                <w:i/>
                <w:szCs w:val="21"/>
              </w:rPr>
            </m:ctrlPr>
          </m:fPr>
          <m:num>
            <m:r>
              <m:rPr>
                <m:nor/>
              </m:rPr>
              <w:rPr>
                <w:rFonts w:ascii="Cambria Math" w:hAnsi="Cambria Math" w:eastAsiaTheme="minorEastAsia"/>
                <w:i/>
                <w:szCs w:val="21"/>
              </w:rPr>
              <m:t>E</m:t>
            </m:r>
            <m:sSub>
              <m:sSubPr>
                <m:ctrlPr>
                  <w:rPr>
                    <w:rFonts w:ascii="Cambria Math" w:hAnsi="Cambria Math" w:eastAsiaTheme="minorEastAsia"/>
                    <w:i/>
                    <w:szCs w:val="21"/>
                  </w:rPr>
                </m:ctrlPr>
              </m:sSubPr>
              <m:e>
                <m:r>
                  <m:rPr>
                    <m:nor/>
                  </m:rPr>
                  <w:rPr>
                    <w:rFonts w:ascii="Cambria Math" w:hAnsi="Cambria Math" w:eastAsiaTheme="minorEastAsia"/>
                    <w:i/>
                    <w:szCs w:val="21"/>
                  </w:rPr>
                  <m:t>B</m:t>
                </m:r>
                <m:ctrlPr>
                  <w:rPr>
                    <w:rFonts w:ascii="Cambria Math" w:hAnsi="Cambria Math" w:eastAsiaTheme="minorEastAsia"/>
                    <w:i/>
                    <w:szCs w:val="21"/>
                  </w:rPr>
                </m:ctrlPr>
              </m:e>
              <m:sub>
                <m:r>
                  <m:rPr>
                    <m:nor/>
                    <m:sty m:val="p"/>
                  </m:rPr>
                  <w:rPr>
                    <w:rFonts w:ascii="Cambria Math" w:hAnsi="Cambria Math" w:eastAsiaTheme="minorEastAsia"/>
                    <w:b w:val="0"/>
                    <w:i w:val="0"/>
                    <w:szCs w:val="21"/>
                  </w:rPr>
                  <m:t>可再生电力用量</m:t>
                </m:r>
                <m:ctrlPr>
                  <w:rPr>
                    <w:rFonts w:ascii="Cambria Math" w:hAnsi="Cambria Math" w:eastAsiaTheme="minorEastAsia"/>
                    <w:i/>
                    <w:szCs w:val="21"/>
                  </w:rPr>
                </m:ctrlPr>
              </m:sub>
            </m:sSub>
            <m:ctrlPr>
              <w:rPr>
                <w:rFonts w:ascii="Cambria Math" w:hAnsi="Cambria Math" w:eastAsiaTheme="minorEastAsia"/>
                <w:i/>
                <w:szCs w:val="21"/>
              </w:rPr>
            </m:ctrlPr>
          </m:num>
          <m:den>
            <m:sSub>
              <m:sSubPr>
                <m:ctrlPr>
                  <w:rPr>
                    <w:rFonts w:ascii="Cambria Math" w:hAnsi="Cambria Math" w:eastAsiaTheme="minorEastAsia"/>
                    <w:i/>
                    <w:szCs w:val="21"/>
                  </w:rPr>
                </m:ctrlPr>
              </m:sSubPr>
              <m:e>
                <m:r>
                  <m:rPr>
                    <m:nor/>
                  </m:rPr>
                  <w:rPr>
                    <w:rFonts w:ascii="Cambria Math" w:hAnsi="Cambria Math" w:eastAsiaTheme="minorEastAsia"/>
                    <w:i/>
                    <w:szCs w:val="21"/>
                  </w:rPr>
                  <m:t>EC</m:t>
                </m:r>
                <m:ctrlPr>
                  <w:rPr>
                    <w:rFonts w:ascii="Cambria Math" w:hAnsi="Cambria Math" w:eastAsiaTheme="minorEastAsia"/>
                    <w:i/>
                    <w:szCs w:val="21"/>
                  </w:rPr>
                </m:ctrlPr>
              </m:e>
              <m:sub>
                <m:r>
                  <m:rPr>
                    <m:nor/>
                    <m:sty m:val="p"/>
                  </m:rPr>
                  <w:rPr>
                    <w:rFonts w:ascii="Cambria Math" w:hAnsi="Cambria Math" w:eastAsiaTheme="minorEastAsia"/>
                    <w:b w:val="0"/>
                    <w:i w:val="0"/>
                    <w:szCs w:val="21"/>
                  </w:rPr>
                  <m:t>总用电量</m:t>
                </m:r>
                <m:ctrlPr>
                  <w:rPr>
                    <w:rFonts w:ascii="Cambria Math" w:hAnsi="Cambria Math" w:eastAsiaTheme="minorEastAsia"/>
                    <w:i/>
                    <w:szCs w:val="21"/>
                  </w:rPr>
                </m:ctrlPr>
              </m:sub>
            </m:sSub>
            <m:ctrlPr>
              <w:rPr>
                <w:rFonts w:ascii="Cambria Math" w:hAnsi="Cambria Math" w:eastAsiaTheme="minorEastAsia"/>
                <w:i/>
                <w:szCs w:val="21"/>
              </w:rPr>
            </m:ctrlPr>
          </m:den>
        </m:f>
        <m:r>
          <m:rPr>
            <m:nor/>
            <m:sty m:val="p"/>
          </m:rPr>
          <w:rPr>
            <w:rFonts w:ascii="Cambria Math" w:hAnsi="Cambria Math" w:eastAsiaTheme="minorEastAsia"/>
            <w:b w:val="0"/>
            <w:i w:val="0"/>
            <w:szCs w:val="21"/>
          </w:rPr>
          <m:t>×100%</m:t>
        </m:r>
      </m:oMath>
      <w:r>
        <w:rPr>
          <w:rFonts w:ascii="Times New Roman"/>
          <w:szCs w:val="21"/>
          <w:vertAlign w:val="subscript"/>
        </w:rPr>
        <w:tab/>
      </w:r>
      <w:r>
        <w:rPr>
          <w:rFonts w:hint="eastAsia" w:ascii="宋体" w:hAnsi="Times New Roman" w:eastAsia="宋体" w:cs="Times New Roman"/>
          <w:kern w:val="0"/>
          <w:sz w:val="21"/>
          <w:szCs w:val="20"/>
          <w:lang w:val="en-US" w:eastAsia="zh-CN" w:bidi="ar-SA"/>
        </w:rPr>
        <w:t>(7)</w:t>
      </w:r>
    </w:p>
    <w:p w14:paraId="3A142608">
      <w:pPr>
        <w:pStyle w:val="258"/>
        <w:widowControl w:val="0"/>
        <w:overflowPunct w:val="0"/>
        <w:ind w:left="420" w:leftChars="200" w:firstLine="0" w:firstLineChars="0"/>
        <w:rPr>
          <w:rFonts w:asciiTheme="minorEastAsia" w:hAnsiTheme="minorEastAsia" w:eastAsiaTheme="minorEastAsia"/>
          <w:szCs w:val="21"/>
        </w:rPr>
      </w:pPr>
      <w:r>
        <w:rPr>
          <w:rFonts w:hint="eastAsia"/>
        </w:rPr>
        <w:t>a) 可再生能源电力替代率≥2%，满足现行国家建筑节能标准要求</w:t>
      </w:r>
      <w:r>
        <w:rPr>
          <w:rFonts w:hint="eastAsia" w:asciiTheme="minorEastAsia" w:hAnsiTheme="minorEastAsia" w:eastAsiaTheme="minorEastAsia"/>
          <w:szCs w:val="21"/>
        </w:rPr>
        <w:t>，得1分；</w:t>
      </w:r>
    </w:p>
    <w:p w14:paraId="5E9E3CE1">
      <w:pPr>
        <w:pStyle w:val="258"/>
        <w:widowControl w:val="0"/>
        <w:overflowPunct w:val="0"/>
        <w:ind w:left="420" w:leftChars="200" w:firstLine="0" w:firstLineChars="0"/>
        <w:rPr>
          <w:rFonts w:asciiTheme="minorEastAsia" w:hAnsiTheme="minorEastAsia" w:eastAsiaTheme="minorEastAsia"/>
          <w:szCs w:val="21"/>
        </w:rPr>
      </w:pPr>
      <w:r>
        <w:rPr>
          <w:rFonts w:hint="eastAsia"/>
        </w:rPr>
        <w:t>b) 可再生能源电力替代率≥4%，相比现行国家建筑节能标准要求降低20%以上</w:t>
      </w:r>
      <w:r>
        <w:rPr>
          <w:rFonts w:hint="eastAsia" w:asciiTheme="minorEastAsia" w:hAnsiTheme="minorEastAsia" w:eastAsiaTheme="minorEastAsia"/>
          <w:szCs w:val="21"/>
        </w:rPr>
        <w:t>，得2分；</w:t>
      </w:r>
    </w:p>
    <w:p w14:paraId="4565E553">
      <w:pPr>
        <w:pStyle w:val="258"/>
        <w:widowControl w:val="0"/>
        <w:overflowPunct w:val="0"/>
        <w:ind w:left="420" w:leftChars="200" w:firstLine="0" w:firstLineChars="0"/>
        <w:rPr>
          <w:rFonts w:asciiTheme="minorEastAsia" w:hAnsiTheme="minorEastAsia" w:eastAsiaTheme="minorEastAsia"/>
          <w:szCs w:val="21"/>
        </w:rPr>
      </w:pPr>
      <w:r>
        <w:rPr>
          <w:rFonts w:hint="eastAsia"/>
        </w:rPr>
        <w:t>c) 可再生能源电力替代率≥8%，相比现行国家建筑节能标准要求降低25%以上</w:t>
      </w:r>
      <w:r>
        <w:rPr>
          <w:rFonts w:hint="eastAsia" w:asciiTheme="minorEastAsia" w:hAnsiTheme="minorEastAsia" w:eastAsiaTheme="minorEastAsia"/>
          <w:szCs w:val="21"/>
        </w:rPr>
        <w:t>，得3分；</w:t>
      </w:r>
    </w:p>
    <w:p w14:paraId="6F96C789">
      <w:pPr>
        <w:pStyle w:val="258"/>
        <w:widowControl w:val="0"/>
        <w:overflowPunct w:val="0"/>
        <w:ind w:left="420" w:leftChars="200" w:firstLine="0" w:firstLineChars="0"/>
        <w:rPr>
          <w:rFonts w:asciiTheme="minorEastAsia" w:hAnsiTheme="minorEastAsia" w:eastAsiaTheme="minorEastAsia"/>
          <w:szCs w:val="21"/>
        </w:rPr>
      </w:pPr>
      <w:r>
        <w:rPr>
          <w:rFonts w:hint="eastAsia"/>
        </w:rPr>
        <w:t>d) 可再生能源电力替代率≥15%，相比现行国家建筑节能标准要求降低30%以上</w:t>
      </w:r>
      <w:r>
        <w:rPr>
          <w:rFonts w:hint="eastAsia" w:asciiTheme="minorEastAsia" w:hAnsiTheme="minorEastAsia" w:eastAsiaTheme="minorEastAsia"/>
          <w:szCs w:val="21"/>
        </w:rPr>
        <w:t>，得4分。</w:t>
      </w:r>
    </w:p>
    <w:p w14:paraId="29A558CE">
      <w:pPr>
        <w:pStyle w:val="545"/>
        <w:tabs>
          <w:tab w:val="left" w:pos="1620"/>
        </w:tabs>
      </w:pPr>
      <w:r>
        <w:rPr>
          <w:rFonts w:hint="eastAsia"/>
        </w:rPr>
        <w:t>6.4.2　建筑电气化是指将建筑内部电器、设备、控制系统等电气技术应用到建筑内。其中，建筑电气化率应按照公式</w:t>
      </w:r>
      <w:r>
        <w:rPr>
          <w:rFonts w:hint="eastAsia" w:asciiTheme="minorEastAsia" w:hAnsiTheme="minorEastAsia" w:eastAsiaTheme="minorEastAsia"/>
          <w:szCs w:val="21"/>
        </w:rPr>
        <w:t>(8)</w:t>
      </w:r>
      <w:r>
        <w:rPr>
          <w:rFonts w:hint="eastAsia"/>
        </w:rPr>
        <w:t>计算：</w:t>
      </w:r>
    </w:p>
    <w:p w14:paraId="3FF443FA">
      <w:pPr>
        <w:pStyle w:val="350"/>
        <w:widowControl w:val="0"/>
        <w:overflowPunct w:val="0"/>
        <w:autoSpaceDE/>
        <w:autoSpaceDN/>
        <w:ind w:firstLine="420" w:firstLineChars="200"/>
        <w:rPr>
          <w:rFonts w:asciiTheme="minorEastAsia" w:hAnsiTheme="minorEastAsia" w:eastAsiaTheme="minorEastAsia"/>
          <w:szCs w:val="21"/>
        </w:rPr>
      </w:pPr>
      <w:r>
        <w:rPr>
          <w:rFonts w:asciiTheme="minorEastAsia" w:hAnsiTheme="minorEastAsia" w:eastAsiaTheme="minorEastAsia"/>
          <w:szCs w:val="21"/>
        </w:rPr>
        <w:tab/>
      </w:r>
      <m:oMath>
        <m:sSub>
          <m:sSubPr>
            <m:ctrlPr>
              <w:rPr>
                <w:rFonts w:ascii="Cambria Math" w:hAnsi="Cambria Math" w:eastAsiaTheme="minorEastAsia"/>
                <w:i/>
                <w:szCs w:val="21"/>
              </w:rPr>
            </m:ctrlPr>
          </m:sSubPr>
          <m:e>
            <m:r>
              <m:rPr>
                <m:nor/>
              </m:rPr>
              <w:rPr>
                <w:rFonts w:ascii="Cambria Math" w:hAnsi="Cambria Math" w:eastAsiaTheme="minorEastAsia"/>
                <w:i/>
                <w:szCs w:val="21"/>
              </w:rPr>
              <m:t>EA</m:t>
            </m:r>
            <m:ctrlPr>
              <w:rPr>
                <w:rFonts w:ascii="Cambria Math" w:hAnsi="Cambria Math" w:eastAsiaTheme="minorEastAsia"/>
                <w:i/>
                <w:szCs w:val="21"/>
              </w:rPr>
            </m:ctrlPr>
          </m:e>
          <m:sub>
            <m:r>
              <m:rPr>
                <m:nor/>
                <m:sty m:val="p"/>
              </m:rPr>
              <w:rPr>
                <w:rFonts w:hint="eastAsia" w:ascii="Cambria Math" w:hAnsi="Cambria Math" w:eastAsiaTheme="minorEastAsia"/>
                <w:b w:val="0"/>
                <w:i w:val="0"/>
                <w:sz w:val="18"/>
                <w:szCs w:val="18"/>
              </w:rPr>
              <m:t>电气</m:t>
            </m:r>
            <m:r>
              <m:rPr>
                <m:nor/>
                <m:sty m:val="p"/>
              </m:rPr>
              <w:rPr>
                <w:rFonts w:ascii="Cambria Math" w:hAnsi="Cambria Math" w:eastAsiaTheme="minorEastAsia"/>
                <w:b w:val="0"/>
                <w:i w:val="0"/>
                <w:sz w:val="18"/>
                <w:szCs w:val="18"/>
              </w:rPr>
              <m:t>化率</m:t>
            </m:r>
            <m:ctrlPr>
              <w:rPr>
                <w:rFonts w:ascii="Cambria Math" w:hAnsi="Cambria Math" w:eastAsiaTheme="minorEastAsia"/>
                <w:i/>
                <w:szCs w:val="21"/>
              </w:rPr>
            </m:ctrlPr>
          </m:sub>
        </m:sSub>
        <m:r>
          <m:rPr>
            <m:nor/>
          </m:rPr>
          <w:rPr>
            <w:rFonts w:ascii="Cambria Math" w:hAnsi="Cambria Math" w:eastAsiaTheme="minorEastAsia"/>
            <w:i/>
            <w:szCs w:val="21"/>
          </w:rPr>
          <m:t>=</m:t>
        </m:r>
        <m:f>
          <m:fPr>
            <m:ctrlPr>
              <w:rPr>
                <w:rFonts w:ascii="Cambria Math" w:hAnsi="Cambria Math" w:eastAsiaTheme="minorEastAsia"/>
                <w:i/>
                <w:szCs w:val="21"/>
              </w:rPr>
            </m:ctrlPr>
          </m:fPr>
          <m:num>
            <m:r>
              <m:rPr>
                <m:nor/>
              </m:rPr>
              <w:rPr>
                <w:rFonts w:ascii="Cambria Math" w:hAnsi="Cambria Math" w:eastAsiaTheme="minorEastAsia"/>
                <w:i/>
                <w:szCs w:val="21"/>
              </w:rPr>
              <m:t>E</m:t>
            </m:r>
            <m:sSub>
              <m:sSubPr>
                <m:ctrlPr>
                  <w:rPr>
                    <w:rFonts w:ascii="Cambria Math" w:hAnsi="Cambria Math" w:eastAsiaTheme="minorEastAsia"/>
                    <w:i/>
                    <w:szCs w:val="21"/>
                  </w:rPr>
                </m:ctrlPr>
              </m:sSubPr>
              <m:e>
                <m:r>
                  <m:rPr>
                    <m:nor/>
                  </m:rPr>
                  <w:rPr>
                    <w:rFonts w:ascii="Cambria Math" w:hAnsi="Cambria Math" w:eastAsiaTheme="minorEastAsia"/>
                    <w:i/>
                    <w:szCs w:val="21"/>
                  </w:rPr>
                  <m:t>B</m:t>
                </m:r>
                <m:ctrlPr>
                  <w:rPr>
                    <w:rFonts w:ascii="Cambria Math" w:hAnsi="Cambria Math" w:eastAsiaTheme="minorEastAsia"/>
                    <w:i/>
                    <w:szCs w:val="21"/>
                  </w:rPr>
                </m:ctrlPr>
              </m:e>
              <m:sub>
                <m:r>
                  <m:rPr>
                    <m:nor/>
                    <m:sty m:val="p"/>
                  </m:rPr>
                  <w:rPr>
                    <w:rFonts w:ascii="Cambria Math" w:hAnsi="Cambria Math" w:eastAsiaTheme="minorEastAsia"/>
                    <w:b w:val="0"/>
                    <w:i w:val="0"/>
                    <w:szCs w:val="21"/>
                  </w:rPr>
                  <m:t>总用电量</m:t>
                </m:r>
                <m:ctrlPr>
                  <w:rPr>
                    <w:rFonts w:ascii="Cambria Math" w:hAnsi="Cambria Math" w:eastAsiaTheme="minorEastAsia"/>
                    <w:i/>
                    <w:szCs w:val="21"/>
                  </w:rPr>
                </m:ctrlPr>
              </m:sub>
            </m:sSub>
            <m:ctrlPr>
              <w:rPr>
                <w:rFonts w:ascii="Cambria Math" w:hAnsi="Cambria Math" w:eastAsiaTheme="minorEastAsia"/>
                <w:i/>
                <w:szCs w:val="21"/>
              </w:rPr>
            </m:ctrlPr>
          </m:num>
          <m:den>
            <m:sSub>
              <m:sSubPr>
                <m:ctrlPr>
                  <w:rPr>
                    <w:rFonts w:ascii="Cambria Math" w:hAnsi="Cambria Math" w:eastAsiaTheme="minorEastAsia"/>
                    <w:i/>
                    <w:szCs w:val="21"/>
                  </w:rPr>
                </m:ctrlPr>
              </m:sSubPr>
              <m:e>
                <m:r>
                  <m:rPr>
                    <m:nor/>
                  </m:rPr>
                  <w:rPr>
                    <w:rFonts w:ascii="Cambria Math" w:hAnsi="Cambria Math" w:eastAsiaTheme="minorEastAsia"/>
                    <w:i/>
                    <w:szCs w:val="21"/>
                  </w:rPr>
                  <m:t>EC</m:t>
                </m:r>
                <m:ctrlPr>
                  <w:rPr>
                    <w:rFonts w:ascii="Cambria Math" w:hAnsi="Cambria Math" w:eastAsiaTheme="minorEastAsia"/>
                    <w:i/>
                    <w:szCs w:val="21"/>
                  </w:rPr>
                </m:ctrlPr>
              </m:e>
              <m:sub>
                <m:r>
                  <m:rPr>
                    <m:nor/>
                    <m:sty m:val="p"/>
                  </m:rPr>
                  <w:rPr>
                    <w:rFonts w:ascii="Cambria Math" w:hAnsi="Cambria Math" w:eastAsiaTheme="minorEastAsia"/>
                    <w:b w:val="0"/>
                    <w:i w:val="0"/>
                    <w:szCs w:val="21"/>
                  </w:rPr>
                  <m:t>总能耗</m:t>
                </m:r>
                <m:ctrlPr>
                  <w:rPr>
                    <w:rFonts w:ascii="Cambria Math" w:hAnsi="Cambria Math" w:eastAsiaTheme="minorEastAsia"/>
                    <w:i/>
                    <w:szCs w:val="21"/>
                  </w:rPr>
                </m:ctrlPr>
              </m:sub>
            </m:sSub>
            <m:ctrlPr>
              <w:rPr>
                <w:rFonts w:ascii="Cambria Math" w:hAnsi="Cambria Math" w:eastAsiaTheme="minorEastAsia"/>
                <w:i/>
                <w:szCs w:val="21"/>
              </w:rPr>
            </m:ctrlPr>
          </m:den>
        </m:f>
        <m:r>
          <m:rPr>
            <m:nor/>
            <m:sty m:val="p"/>
          </m:rPr>
          <w:rPr>
            <w:rFonts w:ascii="Cambria Math" w:hAnsi="Cambria Math" w:eastAsiaTheme="minorEastAsia"/>
            <w:b w:val="0"/>
            <w:i w:val="0"/>
            <w:szCs w:val="21"/>
          </w:rPr>
          <m:t>×100%</m:t>
        </m:r>
      </m:oMath>
      <w:r>
        <w:rPr>
          <w:rFonts w:ascii="Times New Roman"/>
          <w:szCs w:val="21"/>
          <w:vertAlign w:val="subscript"/>
        </w:rPr>
        <w:tab/>
      </w:r>
      <w:r>
        <w:rPr>
          <w:rFonts w:hint="eastAsia" w:ascii="宋体" w:hAnsi="Times New Roman" w:eastAsia="宋体" w:cs="Times New Roman"/>
          <w:kern w:val="0"/>
          <w:sz w:val="21"/>
          <w:szCs w:val="20"/>
          <w:lang w:val="en-US" w:eastAsia="zh-CN" w:bidi="ar-SA"/>
        </w:rPr>
        <w:t>(8)</w:t>
      </w:r>
    </w:p>
    <w:p w14:paraId="0571D61F">
      <w:pPr>
        <w:pStyle w:val="320"/>
        <w:widowControl w:val="0"/>
        <w:overflowPunct w:val="0"/>
        <w:ind w:left="0" w:leftChars="0" w:firstLine="420" w:firstLineChars="200"/>
        <w:jc w:val="both"/>
        <w:rPr>
          <w:rFonts w:asciiTheme="minorEastAsia" w:hAnsiTheme="minorEastAsia" w:eastAsiaTheme="minorEastAsia"/>
          <w:i/>
          <w:iCs/>
          <w:szCs w:val="21"/>
        </w:rPr>
      </w:pPr>
      <w:r>
        <w:rPr>
          <w:rFonts w:hint="eastAsia" w:asciiTheme="minorEastAsia" w:hAnsiTheme="minorEastAsia" w:eastAsiaTheme="minorEastAsia"/>
          <w:i/>
          <w:iCs/>
          <w:szCs w:val="21"/>
        </w:rPr>
        <w:t>式中：</w:t>
      </w:r>
    </w:p>
    <w:p w14:paraId="46A3BB97">
      <w:pPr>
        <w:overflowPunct w:val="0"/>
        <w:ind w:firstLine="420" w:firstLineChars="200"/>
        <w:rPr>
          <w:rFonts w:cs="仿宋_GB2312" w:asciiTheme="minorEastAsia" w:hAnsiTheme="minorEastAsia" w:eastAsiaTheme="minorEastAsia"/>
          <w:i/>
          <w:iCs/>
          <w:szCs w:val="21"/>
        </w:rPr>
      </w:pPr>
      <w:r>
        <w:rPr>
          <w:rFonts w:hint="eastAsia" w:cs="仿宋_GB2312" w:asciiTheme="minorEastAsia" w:hAnsiTheme="minorEastAsia" w:eastAsiaTheme="minorEastAsia"/>
          <w:i/>
          <w:iCs/>
          <w:szCs w:val="21"/>
        </w:rPr>
        <w:t>EA</w:t>
      </w:r>
      <w:r>
        <w:rPr>
          <w:rFonts w:hint="eastAsia" w:cs="仿宋_GB2312" w:asciiTheme="minorEastAsia" w:hAnsiTheme="minorEastAsia" w:eastAsiaTheme="minorEastAsia"/>
          <w:i/>
          <w:iCs/>
          <w:szCs w:val="21"/>
          <w:vertAlign w:val="subscript"/>
        </w:rPr>
        <w:t>电气化率</w:t>
      </w:r>
      <w:r>
        <w:rPr>
          <w:rFonts w:hint="eastAsia" w:cs="仿宋_GB2312" w:asciiTheme="minorEastAsia" w:hAnsiTheme="minorEastAsia" w:eastAsiaTheme="minorEastAsia"/>
          <w:i/>
          <w:iCs/>
          <w:szCs w:val="21"/>
        </w:rPr>
        <w:t>：建筑的电气化水平，%；</w:t>
      </w:r>
    </w:p>
    <w:p w14:paraId="118AF893">
      <w:pPr>
        <w:overflowPunct w:val="0"/>
        <w:ind w:firstLine="420" w:firstLineChars="200"/>
        <w:rPr>
          <w:rFonts w:asciiTheme="minorEastAsia" w:hAnsiTheme="minorEastAsia" w:eastAsiaTheme="minorEastAsia"/>
          <w:i/>
          <w:iCs/>
          <w:szCs w:val="21"/>
        </w:rPr>
      </w:pPr>
      <w:r>
        <w:rPr>
          <w:rFonts w:hint="eastAsia" w:cs="仿宋_GB2312" w:asciiTheme="minorEastAsia" w:hAnsiTheme="minorEastAsia" w:eastAsiaTheme="minorEastAsia"/>
          <w:i/>
          <w:iCs/>
          <w:szCs w:val="21"/>
        </w:rPr>
        <w:t>EB</w:t>
      </w:r>
      <w:r>
        <w:rPr>
          <w:rFonts w:hint="eastAsia" w:cs="仿宋_GB2312" w:asciiTheme="minorEastAsia" w:hAnsiTheme="minorEastAsia" w:eastAsiaTheme="minorEastAsia"/>
          <w:i/>
          <w:iCs/>
          <w:szCs w:val="21"/>
          <w:vertAlign w:val="subscript"/>
        </w:rPr>
        <w:t>总用电量</w:t>
      </w:r>
      <w:r>
        <w:rPr>
          <w:rFonts w:hint="eastAsia" w:cs="仿宋_GB2312" w:asciiTheme="minorEastAsia" w:hAnsiTheme="minorEastAsia" w:eastAsiaTheme="minorEastAsia"/>
          <w:i/>
          <w:iCs/>
          <w:szCs w:val="21"/>
        </w:rPr>
        <w:t>：建筑的总用电量，tce；</w:t>
      </w:r>
    </w:p>
    <w:p w14:paraId="4DA20E02">
      <w:pPr>
        <w:ind w:firstLine="420" w:firstLineChars="200"/>
        <w:rPr>
          <w:rFonts w:hint="eastAsia" w:hAnsi="Cambria Math" w:cs="Cambria Math" w:eastAsiaTheme="minorEastAsia"/>
          <w:szCs w:val="21"/>
        </w:rPr>
      </w:pPr>
      <w:r>
        <w:rPr>
          <w:rFonts w:hint="eastAsia" w:cs="仿宋_GB2312" w:asciiTheme="minorEastAsia" w:hAnsiTheme="minorEastAsia" w:eastAsiaTheme="minorEastAsia"/>
          <w:i/>
          <w:iCs/>
          <w:szCs w:val="21"/>
        </w:rPr>
        <w:t>EC</w:t>
      </w:r>
      <w:r>
        <w:rPr>
          <w:rFonts w:hint="eastAsia" w:cs="仿宋_GB2312" w:asciiTheme="minorEastAsia" w:hAnsiTheme="minorEastAsia" w:eastAsiaTheme="minorEastAsia"/>
          <w:i/>
          <w:iCs/>
          <w:szCs w:val="21"/>
          <w:vertAlign w:val="subscript"/>
        </w:rPr>
        <w:t>总装机容量</w:t>
      </w:r>
      <w:r>
        <w:rPr>
          <w:rFonts w:hint="eastAsia" w:cs="仿宋_GB2312" w:asciiTheme="minorEastAsia" w:hAnsiTheme="minorEastAsia" w:eastAsiaTheme="minorEastAsia"/>
          <w:i/>
          <w:iCs/>
          <w:szCs w:val="21"/>
        </w:rPr>
        <w:t>：建筑的总能耗，tce；</w:t>
      </w:r>
    </w:p>
    <w:p w14:paraId="1EF73EA5">
      <w:pPr>
        <w:pStyle w:val="258"/>
        <w:widowControl w:val="0"/>
        <w:overflowPunct w:val="0"/>
        <w:ind w:left="420" w:leftChars="200" w:firstLine="0" w:firstLineChars="0"/>
        <w:rPr>
          <w:rFonts w:asciiTheme="minorEastAsia" w:hAnsiTheme="minorEastAsia" w:eastAsiaTheme="minorEastAsia"/>
          <w:szCs w:val="21"/>
        </w:rPr>
      </w:pPr>
      <w:r>
        <w:rPr>
          <w:rFonts w:hint="eastAsia"/>
        </w:rPr>
        <w:t>a) 建筑电气化率≥30%，满足现行国家建筑节能标准要求</w:t>
      </w:r>
      <w:r>
        <w:rPr>
          <w:rFonts w:hint="eastAsia" w:asciiTheme="minorEastAsia" w:hAnsiTheme="minorEastAsia" w:eastAsiaTheme="minorEastAsia"/>
          <w:szCs w:val="21"/>
        </w:rPr>
        <w:t>，得1分；</w:t>
      </w:r>
    </w:p>
    <w:p w14:paraId="533C5ECA">
      <w:pPr>
        <w:pStyle w:val="258"/>
        <w:widowControl w:val="0"/>
        <w:overflowPunct w:val="0"/>
        <w:ind w:left="420" w:leftChars="200" w:firstLine="0" w:firstLineChars="0"/>
        <w:rPr>
          <w:rFonts w:asciiTheme="minorEastAsia" w:hAnsiTheme="minorEastAsia" w:eastAsiaTheme="minorEastAsia"/>
          <w:szCs w:val="21"/>
        </w:rPr>
      </w:pPr>
      <w:r>
        <w:rPr>
          <w:rFonts w:hint="eastAsia"/>
        </w:rPr>
        <w:t>建筑电气化率≥50%，相比现行国家建筑节能标准要求降低20%以上</w:t>
      </w:r>
      <w:r>
        <w:rPr>
          <w:rFonts w:hint="eastAsia" w:asciiTheme="minorEastAsia" w:hAnsiTheme="minorEastAsia" w:eastAsiaTheme="minorEastAsia"/>
          <w:szCs w:val="21"/>
        </w:rPr>
        <w:t>，得1.5分；</w:t>
      </w:r>
    </w:p>
    <w:p w14:paraId="00AC450B">
      <w:pPr>
        <w:pStyle w:val="258"/>
        <w:widowControl w:val="0"/>
        <w:overflowPunct w:val="0"/>
        <w:ind w:left="420" w:leftChars="200" w:firstLine="0" w:firstLineChars="0"/>
        <w:rPr>
          <w:rFonts w:asciiTheme="minorEastAsia" w:hAnsiTheme="minorEastAsia" w:eastAsiaTheme="minorEastAsia"/>
          <w:szCs w:val="21"/>
        </w:rPr>
      </w:pPr>
      <w:r>
        <w:rPr>
          <w:rFonts w:hint="eastAsia"/>
        </w:rPr>
        <w:t>b) 建筑电气化率≥70%，相比现行国家建筑节能标准要求降低25%以上</w:t>
      </w:r>
      <w:r>
        <w:rPr>
          <w:rFonts w:hint="eastAsia" w:asciiTheme="minorEastAsia" w:hAnsiTheme="minorEastAsia" w:eastAsiaTheme="minorEastAsia"/>
          <w:szCs w:val="21"/>
        </w:rPr>
        <w:t>，得2分；</w:t>
      </w:r>
    </w:p>
    <w:p w14:paraId="4627D322">
      <w:pPr>
        <w:pStyle w:val="258"/>
        <w:widowControl w:val="0"/>
        <w:overflowPunct w:val="0"/>
        <w:ind w:left="420" w:leftChars="200" w:firstLine="0" w:firstLineChars="0"/>
        <w:rPr>
          <w:rFonts w:eastAsiaTheme="minorEastAsia"/>
        </w:rPr>
      </w:pPr>
      <w:r>
        <w:rPr>
          <w:rFonts w:hint="eastAsia"/>
        </w:rPr>
        <w:t>c) 建筑电气化率≥85%，相比现行国家建筑节能标准要求降低30%以上</w:t>
      </w:r>
      <w:r>
        <w:rPr>
          <w:rFonts w:hint="eastAsia" w:asciiTheme="minorEastAsia" w:hAnsiTheme="minorEastAsia" w:eastAsiaTheme="minorEastAsia"/>
          <w:szCs w:val="21"/>
        </w:rPr>
        <w:t>，得3分。</w:t>
      </w:r>
    </w:p>
    <w:p w14:paraId="5966071E">
      <w:pPr>
        <w:pStyle w:val="545"/>
        <w:tabs>
          <w:tab w:val="left" w:pos="1620"/>
        </w:tabs>
      </w:pPr>
      <w:r>
        <w:rPr>
          <w:rFonts w:hint="eastAsia"/>
        </w:rPr>
        <w:t>6.4.3　建筑电气照明系统,是指为建筑物内部以及周围的公共场所提供照明的设施。建筑电气照明节电设备指的是</w:t>
      </w:r>
      <w:r>
        <w:rPr>
          <w:rFonts w:ascii="Helvetica" w:hAnsi="Helvetica" w:eastAsia="Helvetica" w:cs="Helvetica"/>
          <w:color w:val="333333"/>
          <w:szCs w:val="21"/>
          <w:shd w:val="clear" w:color="auto" w:fill="FFFFFF"/>
        </w:rPr>
        <w:t>实现公共照明系统的工作电流与亮度需求的理想结合，达到节电和优化供电目的</w:t>
      </w:r>
      <w:r>
        <w:rPr>
          <w:rFonts w:hint="eastAsia" w:ascii="Helvetica" w:hAnsi="Helvetica" w:cs="Helvetica"/>
          <w:color w:val="333333"/>
          <w:szCs w:val="21"/>
          <w:shd w:val="clear" w:color="auto" w:fill="FFFFFF"/>
        </w:rPr>
        <w:t>。</w:t>
      </w:r>
    </w:p>
    <w:p w14:paraId="64777712">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灯具选用LED等高效节能光源作为主要的光源，得1分；</w:t>
      </w:r>
    </w:p>
    <w:p w14:paraId="31BAEFF0">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采用分区、定时、感应、智能照明控制等节能控制措施，充分利用室外自然光，得1分；</w:t>
      </w:r>
    </w:p>
    <w:p w14:paraId="55600451">
      <w:pPr>
        <w:pStyle w:val="545"/>
        <w:tabs>
          <w:tab w:val="left" w:pos="1620"/>
        </w:tabs>
      </w:pPr>
      <w:r>
        <w:rPr>
          <w:rFonts w:hint="eastAsia"/>
        </w:rPr>
        <w:t>6.4.4　建筑节水设备是指符合质量、</w:t>
      </w:r>
      <w:r>
        <w:fldChar w:fldCharType="begin"/>
      </w:r>
      <w:r>
        <w:instrText xml:space="preserve"> HYPERLINK "https://baike.baidu.com/item/%E5%AE%89%E5%85%A8/5573311?fromModule=lemma_inlink" \t "https://baike.baidu.com/item/%E8%8A%82%E6%B0%B4%E8%AE%BE%E5%A4%87/_blank" </w:instrText>
      </w:r>
      <w:r>
        <w:fldChar w:fldCharType="separate"/>
      </w:r>
      <w:r>
        <w:t>安全</w:t>
      </w:r>
      <w:r>
        <w:fldChar w:fldCharType="end"/>
      </w:r>
      <w:r>
        <w:t>和环保要求，提高用水效率，减少水使用量的机械设备和储存设备</w:t>
      </w:r>
      <w:r>
        <w:rPr>
          <w:rFonts w:hint="eastAsia"/>
        </w:rPr>
        <w:t>。</w:t>
      </w:r>
    </w:p>
    <w:p w14:paraId="0F315235">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用水器具符合GB/T 18870要求和列入政府采购清单的节能产品和节水产品，得1分；</w:t>
      </w:r>
    </w:p>
    <w:p w14:paraId="284973BC">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对空调系统、卫生间、景观以及绿化、非传统水源等分别设置用水计量装置，统计用水量，得1分。</w:t>
      </w:r>
    </w:p>
    <w:p w14:paraId="4ACC28CD">
      <w:pPr>
        <w:pStyle w:val="545"/>
        <w:tabs>
          <w:tab w:val="left" w:pos="1620"/>
        </w:tabs>
      </w:pPr>
      <w:r>
        <w:rPr>
          <w:rFonts w:hint="eastAsia"/>
        </w:rPr>
        <w:t>6.4.5　建筑空调设备节能减排是指：</w:t>
      </w:r>
    </w:p>
    <w:p w14:paraId="22B556CD">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空调分区：针对不同区域的需求进行分区管控，各个风口的送风量合理调节，得0.5分；</w:t>
      </w:r>
    </w:p>
    <w:p w14:paraId="62E0F363">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气流组织：采用精确送风或者冷热通道封闭技术（如：通道封闭、封堵、强制送风地板等），使送风和回风隔离，得0.5分；</w:t>
      </w:r>
    </w:p>
    <w:p w14:paraId="1309E371">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新风系统：采用单元式空调机的空调系统，能采用新风制冷，得0.5分;</w:t>
      </w:r>
    </w:p>
    <w:p w14:paraId="50E5B4BA">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d) </w:t>
      </w:r>
      <w:r>
        <w:rPr>
          <w:rFonts w:hint="eastAsia" w:asciiTheme="minorEastAsia" w:hAnsiTheme="minorEastAsia" w:eastAsiaTheme="minorEastAsia"/>
          <w:szCs w:val="21"/>
        </w:rPr>
        <w:t>自然冷源：采用氟泵、热管、间接蒸发等自然冷源利用措施，得0.5分。</w:t>
      </w:r>
    </w:p>
    <w:p w14:paraId="72B4F527">
      <w:pPr>
        <w:pStyle w:val="541"/>
        <w:jc w:val="left"/>
      </w:pPr>
      <w:r>
        <w:rPr>
          <w:rFonts w:hint="eastAsia"/>
        </w:rPr>
        <w:t>6.5  废弃物及冷媒排放处置评价</w:t>
      </w:r>
    </w:p>
    <w:p w14:paraId="0AFF4630">
      <w:pPr>
        <w:pStyle w:val="545"/>
      </w:pPr>
      <w:r>
        <w:rPr>
          <w:rFonts w:hint="eastAsia"/>
        </w:rPr>
        <w:t>6.5.1　废油及废弃物不得随意丢弃。柴油发电机房设有废油收集装置，得0.5分。</w:t>
      </w:r>
    </w:p>
    <w:p w14:paraId="0F632732">
      <w:pPr>
        <w:pStyle w:val="545"/>
      </w:pPr>
      <w:r>
        <w:rPr>
          <w:rFonts w:hint="eastAsia"/>
        </w:rPr>
        <w:t>6.5.2　使用柴油发电机时，与加油站有储存柴油更换协议，得0.5分。</w:t>
      </w:r>
    </w:p>
    <w:p w14:paraId="00168A82">
      <w:pPr>
        <w:pStyle w:val="545"/>
      </w:pPr>
      <w:r>
        <w:rPr>
          <w:rFonts w:hint="eastAsia"/>
        </w:rPr>
        <w:t>6.5.3　配备冷媒紧急放散系统，现场具备冷媒收集条件，冷媒回收规模满足单系统冷媒最大充罐量，得1分。</w:t>
      </w:r>
    </w:p>
    <w:p w14:paraId="5B933862">
      <w:pPr>
        <w:pStyle w:val="541"/>
        <w:jc w:val="left"/>
      </w:pPr>
      <w:r>
        <w:rPr>
          <w:rFonts w:hint="eastAsia"/>
        </w:rPr>
        <w:t>6.6  运维制度与管理评价</w:t>
      </w:r>
    </w:p>
    <w:p w14:paraId="42C3E61A">
      <w:pPr>
        <w:pStyle w:val="545"/>
        <w:tabs>
          <w:tab w:val="left" w:pos="1620"/>
        </w:tabs>
      </w:pPr>
      <w:r>
        <w:rPr>
          <w:rFonts w:hint="eastAsia"/>
        </w:rPr>
        <w:t>6.6.1  建立能源管理制度，包括：建立组织机构、明确职责，制定年度能源管理目标、重点任务、能源管理资金安排、能源管理考核责任等内容。</w:t>
      </w:r>
    </w:p>
    <w:p w14:paraId="37440571">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设置明确的能源管理部门，得1分；</w:t>
      </w:r>
    </w:p>
    <w:p w14:paraId="5711B7EF">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b) </w:t>
      </w:r>
      <w:r>
        <w:rPr>
          <w:rFonts w:hint="eastAsia" w:asciiTheme="minorEastAsia" w:hAnsiTheme="minorEastAsia" w:eastAsiaTheme="minorEastAsia"/>
          <w:szCs w:val="21"/>
        </w:rPr>
        <w:t>制定能源管理计划，得1分；</w:t>
      </w:r>
    </w:p>
    <w:p w14:paraId="1013C4BB">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开展能源分析，编制能源分析报告，报告包含能源总量分析 、能源结构分析、能源费用分析、能耗强度分析等内容，得2分；</w:t>
      </w:r>
    </w:p>
    <w:p w14:paraId="477BE84B">
      <w:pPr>
        <w:pStyle w:val="258"/>
        <w:widowControl w:val="0"/>
        <w:overflowPunct w:val="0"/>
        <w:ind w:left="420" w:leftChars="200" w:firstLine="0" w:firstLineChars="0"/>
        <w:rPr>
          <w:rFonts w:eastAsiaTheme="minorEastAsia"/>
        </w:rPr>
      </w:pPr>
      <w:r>
        <w:rPr>
          <w:rFonts w:hint="eastAsia"/>
        </w:rPr>
        <w:t xml:space="preserve">d) </w:t>
      </w:r>
      <w:r>
        <w:rPr>
          <w:rFonts w:hint="eastAsia" w:asciiTheme="minorEastAsia" w:hAnsiTheme="minorEastAsia" w:eastAsiaTheme="minorEastAsia"/>
          <w:szCs w:val="21"/>
        </w:rPr>
        <w:t>能源分析报告中提出节能减排减排建议2分。</w:t>
      </w:r>
    </w:p>
    <w:p w14:paraId="170CE1F4">
      <w:pPr>
        <w:pStyle w:val="545"/>
        <w:tabs>
          <w:tab w:val="left" w:pos="1620"/>
        </w:tabs>
      </w:pPr>
      <w:r>
        <w:rPr>
          <w:rFonts w:hint="eastAsia"/>
        </w:rPr>
        <w:t>6.6.2　建立碳排放计量制度，明确碳排放相关的计量点位、管理办法、排放和监测报告编制等事宜；</w:t>
      </w:r>
    </w:p>
    <w:p w14:paraId="3025960C">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有专人负责碳排放计量管理工作，得1分；</w:t>
      </w:r>
    </w:p>
    <w:p w14:paraId="263219F5">
      <w:pPr>
        <w:pStyle w:val="258"/>
        <w:widowControl w:val="0"/>
        <w:overflowPunct w:val="0"/>
        <w:ind w:left="420" w:leftChars="200" w:firstLine="0" w:firstLineChars="0"/>
      </w:pPr>
      <w:r>
        <w:rPr>
          <w:rFonts w:hint="eastAsia"/>
        </w:rPr>
        <w:t>b) 实现建筑内碳排放源及碳排放量的分类、分区、分项计量</w:t>
      </w:r>
      <w:r>
        <w:rPr>
          <w:rFonts w:hint="eastAsia" w:asciiTheme="minorEastAsia" w:hAnsiTheme="minorEastAsia" w:eastAsiaTheme="minorEastAsia"/>
          <w:szCs w:val="21"/>
        </w:rPr>
        <w:t>，得1分；</w:t>
      </w:r>
    </w:p>
    <w:p w14:paraId="12718C83">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c) </w:t>
      </w:r>
      <w:r>
        <w:rPr>
          <w:rFonts w:hint="eastAsia" w:asciiTheme="minorEastAsia" w:hAnsiTheme="minorEastAsia" w:eastAsiaTheme="minorEastAsia"/>
          <w:szCs w:val="21"/>
        </w:rPr>
        <w:t>具备</w:t>
      </w:r>
      <w:r>
        <w:rPr>
          <w:rFonts w:hint="eastAsia"/>
        </w:rPr>
        <w:t>碳排放监测系统，实现在线监测、自动远传、数据统计得2分；</w:t>
      </w:r>
    </w:p>
    <w:p w14:paraId="0EECF082">
      <w:pPr>
        <w:pStyle w:val="258"/>
        <w:widowControl w:val="0"/>
        <w:overflowPunct w:val="0"/>
        <w:ind w:left="420" w:leftChars="200" w:firstLine="0" w:firstLineChars="0"/>
        <w:rPr>
          <w:rFonts w:asciiTheme="minorEastAsia" w:hAnsiTheme="minorEastAsia"/>
          <w:szCs w:val="21"/>
        </w:rPr>
      </w:pPr>
      <w:r>
        <w:rPr>
          <w:rFonts w:hint="eastAsia"/>
        </w:rPr>
        <w:t>d) 定期检查、维护公共设施设备器具，具有设施设备器具的检查、调试、运行、标定记录，且记录完整，得1分。</w:t>
      </w:r>
    </w:p>
    <w:p w14:paraId="7687D6BB">
      <w:pPr>
        <w:pStyle w:val="545"/>
        <w:tabs>
          <w:tab w:val="left" w:pos="1620"/>
        </w:tabs>
      </w:pPr>
      <w:r>
        <w:rPr>
          <w:rFonts w:hint="eastAsia"/>
        </w:rPr>
        <w:t>6.6.3　建立碳排放核算管理相关制度，包括数据质量、人员管理、碳排放报告等内容；</w:t>
      </w:r>
    </w:p>
    <w:p w14:paraId="150FD685">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有专人负责碳排放统计核算分析工作，得1分；</w:t>
      </w:r>
    </w:p>
    <w:p w14:paraId="21354367">
      <w:pPr>
        <w:pStyle w:val="258"/>
        <w:widowControl w:val="0"/>
        <w:overflowPunct w:val="0"/>
        <w:ind w:left="420" w:leftChars="200" w:firstLine="0" w:firstLineChars="0"/>
        <w:rPr>
          <w:rFonts w:asciiTheme="minorEastAsia" w:hAnsiTheme="minorEastAsia" w:eastAsiaTheme="minorEastAsia"/>
          <w:szCs w:val="21"/>
        </w:rPr>
      </w:pPr>
      <w:r>
        <w:rPr>
          <w:rFonts w:hint="eastAsia"/>
        </w:rPr>
        <w:t>b) 建立碳排放重点设备管理台账，台账中对设备数量、参数、位置等进行管理，得1分；</w:t>
      </w:r>
    </w:p>
    <w:p w14:paraId="09131B88">
      <w:pPr>
        <w:pStyle w:val="258"/>
        <w:widowControl w:val="0"/>
        <w:overflowPunct w:val="0"/>
        <w:ind w:left="420" w:leftChars="200" w:firstLine="0" w:firstLineChars="0"/>
        <w:rPr>
          <w:rFonts w:asciiTheme="minorEastAsia" w:hAnsiTheme="minorEastAsia" w:eastAsiaTheme="minorEastAsia"/>
          <w:szCs w:val="21"/>
        </w:rPr>
      </w:pPr>
      <w:r>
        <w:rPr>
          <w:rFonts w:hint="eastAsia"/>
        </w:rPr>
        <w:t>c) 定期进行并披露碳排放数据，得1分；</w:t>
      </w:r>
    </w:p>
    <w:p w14:paraId="110176FD">
      <w:pPr>
        <w:pStyle w:val="258"/>
        <w:widowControl w:val="0"/>
        <w:overflowPunct w:val="0"/>
        <w:ind w:left="420" w:leftChars="200" w:firstLine="0" w:firstLineChars="0"/>
      </w:pPr>
      <w:r>
        <w:rPr>
          <w:rFonts w:hint="eastAsia"/>
        </w:rPr>
        <w:t>d) 委托具备相关资质的第三方核查机构对所属建筑进行年度碳排放核查，出具核查报告，并提交近三年数据，得2分；</w:t>
      </w:r>
    </w:p>
    <w:p w14:paraId="3E014521">
      <w:pPr>
        <w:pStyle w:val="258"/>
        <w:widowControl w:val="0"/>
        <w:overflowPunct w:val="0"/>
        <w:ind w:left="420" w:leftChars="200" w:firstLine="0" w:firstLineChars="0"/>
      </w:pPr>
      <w:r>
        <w:rPr>
          <w:rFonts w:hint="eastAsia"/>
        </w:rPr>
        <w:t>e) 积极参与由主管部门、行业协会、设备厂家等组织的绿色低碳主题研讨会、进行交流学习并提供参会证明材料，参加一场得1分，最多得2分；</w:t>
      </w:r>
    </w:p>
    <w:p w14:paraId="2B0CB9F2">
      <w:pPr>
        <w:pStyle w:val="258"/>
        <w:widowControl w:val="0"/>
        <w:overflowPunct w:val="0"/>
        <w:ind w:firstLine="420"/>
        <w:rPr>
          <w:rFonts w:asciiTheme="minorEastAsia" w:hAnsiTheme="minorEastAsia" w:eastAsiaTheme="minorEastAsia"/>
          <w:szCs w:val="21"/>
        </w:rPr>
      </w:pPr>
      <w:r>
        <w:rPr>
          <w:rFonts w:hint="eastAsia"/>
        </w:rPr>
        <w:t xml:space="preserve">f) </w:t>
      </w:r>
      <w:r>
        <w:rPr>
          <w:rFonts w:hint="eastAsia" w:asciiTheme="minorEastAsia" w:hAnsiTheme="minorEastAsia" w:eastAsiaTheme="minorEastAsia"/>
          <w:szCs w:val="21"/>
        </w:rPr>
        <w:t>总碳排放量强度近三年连续下降，得1分。</w:t>
      </w:r>
    </w:p>
    <w:p w14:paraId="23725E11">
      <w:pPr>
        <w:pStyle w:val="545"/>
        <w:tabs>
          <w:tab w:val="left" w:pos="1620"/>
        </w:tabs>
      </w:pPr>
      <w:r>
        <w:rPr>
          <w:rFonts w:hint="eastAsia"/>
        </w:rPr>
        <w:t>6.6.4　建立建立低碳教育宣传机制；</w:t>
      </w:r>
    </w:p>
    <w:p w14:paraId="3D0DDB38">
      <w:pPr>
        <w:pStyle w:val="258"/>
        <w:widowControl w:val="0"/>
        <w:overflowPunct w:val="0"/>
        <w:ind w:left="420" w:leftChars="200" w:firstLine="0" w:firstLineChars="0"/>
        <w:rPr>
          <w:rFonts w:asciiTheme="minorEastAsia" w:hAnsiTheme="minorEastAsia" w:eastAsiaTheme="minorEastAsia"/>
          <w:szCs w:val="21"/>
        </w:rPr>
      </w:pPr>
      <w:r>
        <w:rPr>
          <w:rFonts w:hint="eastAsia"/>
        </w:rPr>
        <w:t xml:space="preserve">a) </w:t>
      </w:r>
      <w:r>
        <w:rPr>
          <w:rFonts w:hint="eastAsia" w:asciiTheme="minorEastAsia" w:hAnsiTheme="minorEastAsia" w:eastAsiaTheme="minorEastAsia"/>
          <w:szCs w:val="21"/>
        </w:rPr>
        <w:t>编制低碳设施使用手册，得1分;</w:t>
      </w:r>
    </w:p>
    <w:p w14:paraId="18606407">
      <w:pPr>
        <w:pStyle w:val="258"/>
        <w:widowControl w:val="0"/>
        <w:overflowPunct w:val="0"/>
        <w:ind w:left="420" w:leftChars="200" w:firstLine="0" w:firstLineChars="0"/>
        <w:rPr>
          <w:rFonts w:asciiTheme="minorEastAsia" w:hAnsiTheme="minorEastAsia"/>
          <w:szCs w:val="21"/>
        </w:rPr>
      </w:pPr>
      <w:r>
        <w:rPr>
          <w:rFonts w:hint="eastAsia"/>
        </w:rPr>
        <w:t xml:space="preserve">b) </w:t>
      </w:r>
      <w:r>
        <w:rPr>
          <w:rFonts w:hint="eastAsia" w:asciiTheme="minorEastAsia" w:hAnsiTheme="minorEastAsia" w:eastAsiaTheme="minorEastAsia"/>
          <w:szCs w:val="21"/>
        </w:rPr>
        <w:t>开展节能降碳宣传，如借助建筑公共区域、平台公众号、网站等进行宣传</w:t>
      </w:r>
      <w:r>
        <w:rPr>
          <w:rFonts w:hint="eastAsia"/>
        </w:rPr>
        <w:t>，得1分;</w:t>
      </w:r>
    </w:p>
    <w:p w14:paraId="545E43B1">
      <w:pPr>
        <w:pStyle w:val="258"/>
        <w:widowControl w:val="0"/>
        <w:overflowPunct w:val="0"/>
        <w:ind w:left="420" w:leftChars="200" w:firstLine="0" w:firstLineChars="0"/>
        <w:rPr>
          <w:rFonts w:eastAsiaTheme="minorEastAsia"/>
        </w:rPr>
      </w:pPr>
      <w:r>
        <w:rPr>
          <w:rFonts w:hint="eastAsia"/>
        </w:rPr>
        <w:t xml:space="preserve">c) </w:t>
      </w:r>
      <w:r>
        <w:rPr>
          <w:rFonts w:hint="eastAsia" w:asciiTheme="minorEastAsia" w:hAnsiTheme="minorEastAsia" w:eastAsiaTheme="minorEastAsia"/>
          <w:szCs w:val="21"/>
        </w:rPr>
        <w:t>向业界公开绿色节能实践，促进建筑节能技术的推广，得1分。</w:t>
      </w:r>
    </w:p>
    <w:p w14:paraId="2A5D5EF0">
      <w:pPr>
        <w:pStyle w:val="545"/>
        <w:tabs>
          <w:tab w:val="left" w:pos="1620"/>
        </w:tabs>
      </w:pPr>
      <w:r>
        <w:rPr>
          <w:rFonts w:hint="eastAsia"/>
        </w:rPr>
        <w:t>6.6.5　近两年内有由专业人员根据运行检测数据进行设备系统的运行优化。运行优化应该结合自身能源分析、能源审计、碳核查等工作发现的薄弱环节，有针对性的开展专项节能减碳改造或优化，从而进一步提升建筑的能源管理水平，得3分。</w:t>
      </w:r>
    </w:p>
    <w:p w14:paraId="19164198">
      <w:pPr>
        <w:pStyle w:val="541"/>
        <w:jc w:val="left"/>
      </w:pPr>
      <w:r>
        <w:rPr>
          <w:rFonts w:hint="eastAsia"/>
        </w:rPr>
        <w:t>6.7  创新项评分</w:t>
      </w:r>
    </w:p>
    <w:p w14:paraId="358E7F9C">
      <w:pPr>
        <w:pStyle w:val="545"/>
        <w:tabs>
          <w:tab w:val="left" w:pos="1620"/>
        </w:tabs>
      </w:pPr>
      <w:r>
        <w:rPr>
          <w:rFonts w:hint="eastAsia"/>
        </w:rPr>
        <w:t>6.7.1　参与过碳普惠或者CCER开发,得1分；</w:t>
      </w:r>
    </w:p>
    <w:p w14:paraId="550F914F">
      <w:pPr>
        <w:pStyle w:val="545"/>
        <w:tabs>
          <w:tab w:val="left" w:pos="1620"/>
        </w:tabs>
      </w:pPr>
      <w:r>
        <w:rPr>
          <w:rFonts w:hint="eastAsia"/>
        </w:rPr>
        <w:t>6.7.2　开展双碳路径规划研究。结合碳达峰研究结果、自身发展总规、技术发展等情况，开展碳中和研究，对自身实现碳中和提出了明确的技术路径和反向，得2分。</w:t>
      </w:r>
    </w:p>
    <w:p w14:paraId="6E1ACFCD">
      <w:pPr>
        <w:pStyle w:val="545"/>
        <w:tabs>
          <w:tab w:val="left" w:pos="1620"/>
        </w:tabs>
      </w:pPr>
      <w:r>
        <w:rPr>
          <w:rFonts w:hint="eastAsia"/>
        </w:rPr>
        <w:t>6.7.3　建设碳资产管理平台，得1分。</w:t>
      </w:r>
    </w:p>
    <w:p w14:paraId="01243093">
      <w:pPr>
        <w:pStyle w:val="258"/>
        <w:widowControl w:val="0"/>
        <w:overflowPunct w:val="0"/>
        <w:ind w:firstLine="420"/>
        <w:rPr>
          <w:rFonts w:asciiTheme="minorEastAsia" w:hAnsiTheme="minorEastAsia" w:eastAsiaTheme="minorEastAsia"/>
          <w:szCs w:val="21"/>
        </w:rPr>
      </w:pPr>
    </w:p>
    <w:p w14:paraId="77B9F608">
      <w:pPr>
        <w:rPr>
          <w:rFonts w:asciiTheme="minorEastAsia" w:hAnsiTheme="minorEastAsia" w:eastAsiaTheme="minorEastAsia"/>
          <w:kern w:val="0"/>
          <w:szCs w:val="21"/>
        </w:rPr>
      </w:pPr>
      <w:r>
        <w:rPr>
          <w:rFonts w:asciiTheme="minorEastAsia" w:hAnsiTheme="minorEastAsia" w:eastAsiaTheme="minorEastAsia"/>
          <w:kern w:val="0"/>
          <w:szCs w:val="21"/>
        </w:rPr>
        <w:br w:type="page"/>
      </w:r>
    </w:p>
    <w:p w14:paraId="44B08E3A">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rPr>
          <w:rFonts w:hint="eastAsia"/>
        </w:rPr>
      </w:pPr>
      <w:r>
        <w:rPr>
          <w:rFonts w:hint="eastAsia"/>
        </w:rPr>
        <w:t xml:space="preserve">附录A </w:t>
      </w:r>
    </w:p>
    <w:p w14:paraId="00A1662C">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rPr>
          <w:rFonts w:hint="eastAsia" w:eastAsia="黑体"/>
          <w:lang w:val="en-US" w:eastAsia="zh-CN"/>
        </w:rPr>
      </w:pPr>
      <w:r>
        <w:rPr>
          <w:rFonts w:hint="eastAsia"/>
          <w:lang w:eastAsia="zh-CN"/>
        </w:rPr>
        <w:t>（</w:t>
      </w:r>
      <w:r>
        <w:rPr>
          <w:rFonts w:hint="eastAsia"/>
        </w:rPr>
        <w:t>资料性</w:t>
      </w:r>
      <w:r>
        <w:rPr>
          <w:rFonts w:hint="eastAsia"/>
          <w:lang w:eastAsia="zh-CN"/>
        </w:rPr>
        <w:t>）</w:t>
      </w:r>
    </w:p>
    <w:p w14:paraId="0A94398E">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240" w:lineRule="exact"/>
        <w:ind w:left="397" w:hanging="397"/>
        <w:jc w:val="center"/>
        <w:textAlignment w:val="auto"/>
      </w:pPr>
      <w:r>
        <w:rPr>
          <w:rFonts w:hint="eastAsia"/>
        </w:rPr>
        <w:t>主要能源碳排放因子</w:t>
      </w:r>
    </w:p>
    <w:p w14:paraId="39F60D88">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15" w:lineRule="auto"/>
        <w:ind w:left="567" w:leftChars="100" w:hanging="357" w:hangingChars="170"/>
        <w:jc w:val="left"/>
        <w:textAlignment w:val="auto"/>
      </w:pPr>
      <w:r>
        <w:rPr>
          <w:rFonts w:hint="eastAsia"/>
        </w:rPr>
        <w:t>主要能源碳排放因子见表A.1.</w:t>
      </w:r>
    </w:p>
    <w:p w14:paraId="69FA1861">
      <w:pPr>
        <w:pStyle w:val="541"/>
        <w:keepNext w:val="0"/>
        <w:keepLines w:val="0"/>
        <w:pageBreakBefore w:val="0"/>
        <w:widowControl/>
        <w:tabs>
          <w:tab w:val="left" w:pos="1620"/>
        </w:tabs>
        <w:kinsoku/>
        <w:wordWrap/>
        <w:overflowPunct/>
        <w:topLinePunct w:val="0"/>
        <w:autoSpaceDE/>
        <w:autoSpaceDN/>
        <w:bidi w:val="0"/>
        <w:adjustRightInd/>
        <w:snapToGrid/>
        <w:spacing w:before="0" w:beforeLines="0" w:after="0" w:afterLines="0" w:line="15" w:lineRule="auto"/>
        <w:jc w:val="center"/>
        <w:textAlignment w:val="auto"/>
      </w:pPr>
      <w:r>
        <w:rPr>
          <w:rFonts w:hint="eastAsia"/>
        </w:rPr>
        <w:t>表A.1 主要能源碳排放因子</w:t>
      </w:r>
    </w:p>
    <w:tbl>
      <w:tblPr>
        <w:tblStyle w:val="548"/>
        <w:tblW w:w="88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1745"/>
        <w:gridCol w:w="1864"/>
        <w:gridCol w:w="1181"/>
        <w:gridCol w:w="2275"/>
      </w:tblGrid>
      <w:tr w14:paraId="085F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773" w:type="dxa"/>
            <w:vAlign w:val="center"/>
          </w:tcPr>
          <w:p w14:paraId="04D372F3">
            <w:pPr>
              <w:pStyle w:val="547"/>
              <w:spacing w:before="108" w:line="219" w:lineRule="auto"/>
              <w:ind w:left="44"/>
              <w:jc w:val="center"/>
              <w:rPr>
                <w:sz w:val="21"/>
                <w:szCs w:val="21"/>
              </w:rPr>
            </w:pPr>
            <w:r>
              <w:rPr>
                <w:spacing w:val="-2"/>
                <w:sz w:val="21"/>
                <w:szCs w:val="21"/>
              </w:rPr>
              <w:t>分类</w:t>
            </w:r>
          </w:p>
        </w:tc>
        <w:tc>
          <w:tcPr>
            <w:tcW w:w="1745" w:type="dxa"/>
            <w:vAlign w:val="center"/>
          </w:tcPr>
          <w:p w14:paraId="6B1395BC">
            <w:pPr>
              <w:pStyle w:val="547"/>
              <w:spacing w:before="108" w:line="219" w:lineRule="auto"/>
              <w:ind w:left="42"/>
              <w:jc w:val="center"/>
              <w:rPr>
                <w:sz w:val="21"/>
                <w:szCs w:val="21"/>
              </w:rPr>
            </w:pPr>
            <w:r>
              <w:rPr>
                <w:spacing w:val="-1"/>
                <w:sz w:val="21"/>
                <w:szCs w:val="21"/>
              </w:rPr>
              <w:t>燃料类型</w:t>
            </w:r>
          </w:p>
        </w:tc>
        <w:tc>
          <w:tcPr>
            <w:tcW w:w="1864" w:type="dxa"/>
            <w:vAlign w:val="center"/>
          </w:tcPr>
          <w:p w14:paraId="2D96A471">
            <w:pPr>
              <w:pStyle w:val="547"/>
              <w:spacing w:before="38" w:line="219" w:lineRule="auto"/>
              <w:ind w:left="154"/>
              <w:jc w:val="center"/>
              <w:rPr>
                <w:sz w:val="21"/>
                <w:szCs w:val="21"/>
                <w:lang w:eastAsia="zh-CN"/>
              </w:rPr>
            </w:pPr>
            <w:r>
              <w:rPr>
                <w:spacing w:val="-1"/>
                <w:sz w:val="21"/>
                <w:szCs w:val="21"/>
                <w:lang w:eastAsia="zh-CN"/>
              </w:rPr>
              <w:t>单位热值含碳量</w:t>
            </w:r>
          </w:p>
          <w:p w14:paraId="060F1EC1">
            <w:pPr>
              <w:pStyle w:val="547"/>
              <w:spacing w:before="52" w:line="197" w:lineRule="auto"/>
              <w:ind w:left="354"/>
              <w:jc w:val="center"/>
              <w:rPr>
                <w:sz w:val="21"/>
                <w:szCs w:val="21"/>
                <w:lang w:eastAsia="zh-CN"/>
              </w:rPr>
            </w:pPr>
            <w:r>
              <w:rPr>
                <w:rFonts w:hint="eastAsia"/>
                <w:spacing w:val="-1"/>
                <w:sz w:val="21"/>
                <w:szCs w:val="21"/>
                <w:lang w:eastAsia="zh-CN"/>
              </w:rPr>
              <w:t>（tC/TJ）</w:t>
            </w:r>
          </w:p>
        </w:tc>
        <w:tc>
          <w:tcPr>
            <w:tcW w:w="1181" w:type="dxa"/>
            <w:vAlign w:val="center"/>
          </w:tcPr>
          <w:p w14:paraId="5D895615">
            <w:pPr>
              <w:pStyle w:val="547"/>
              <w:spacing w:before="18" w:line="219" w:lineRule="auto"/>
              <w:jc w:val="center"/>
              <w:rPr>
                <w:spacing w:val="-1"/>
                <w:sz w:val="21"/>
                <w:szCs w:val="21"/>
              </w:rPr>
            </w:pPr>
            <w:r>
              <w:rPr>
                <w:spacing w:val="-1"/>
                <w:sz w:val="21"/>
                <w:szCs w:val="21"/>
              </w:rPr>
              <w:t>碳氧化率</w:t>
            </w:r>
          </w:p>
          <w:p w14:paraId="0207269E">
            <w:pPr>
              <w:pStyle w:val="547"/>
              <w:spacing w:before="18" w:line="219" w:lineRule="auto"/>
              <w:jc w:val="center"/>
              <w:rPr>
                <w:sz w:val="21"/>
                <w:szCs w:val="21"/>
              </w:rPr>
            </w:pPr>
            <w:r>
              <w:rPr>
                <w:spacing w:val="-5"/>
                <w:sz w:val="21"/>
                <w:szCs w:val="21"/>
              </w:rPr>
              <w:t>(%)</w:t>
            </w:r>
          </w:p>
        </w:tc>
        <w:tc>
          <w:tcPr>
            <w:tcW w:w="2275" w:type="dxa"/>
            <w:vAlign w:val="center"/>
          </w:tcPr>
          <w:p w14:paraId="449A4ABC">
            <w:pPr>
              <w:pStyle w:val="547"/>
              <w:spacing w:before="18" w:line="219" w:lineRule="auto"/>
              <w:ind w:left="78"/>
              <w:jc w:val="center"/>
              <w:rPr>
                <w:sz w:val="21"/>
                <w:szCs w:val="21"/>
              </w:rPr>
            </w:pPr>
            <w:r>
              <w:rPr>
                <w:spacing w:val="-1"/>
                <w:sz w:val="21"/>
                <w:szCs w:val="21"/>
              </w:rPr>
              <w:t>单位热值CO</w:t>
            </w:r>
            <w:r>
              <w:rPr>
                <w:rFonts w:hint="eastAsia"/>
                <w:spacing w:val="-1"/>
                <w:sz w:val="21"/>
                <w:szCs w:val="21"/>
                <w:vertAlign w:val="subscript"/>
                <w:lang w:eastAsia="zh-CN"/>
              </w:rPr>
              <w:t>2</w:t>
            </w:r>
            <w:r>
              <w:rPr>
                <w:spacing w:val="-1"/>
                <w:sz w:val="21"/>
                <w:szCs w:val="21"/>
              </w:rPr>
              <w:t>排放因</w:t>
            </w:r>
            <w:r>
              <w:rPr>
                <w:spacing w:val="10"/>
                <w:sz w:val="21"/>
                <w:szCs w:val="21"/>
              </w:rPr>
              <w:t>子(tCO</w:t>
            </w:r>
            <w:r>
              <w:rPr>
                <w:rFonts w:hint="eastAsia"/>
                <w:spacing w:val="10"/>
                <w:sz w:val="21"/>
                <w:szCs w:val="21"/>
                <w:vertAlign w:val="subscript"/>
                <w:lang w:eastAsia="zh-CN"/>
              </w:rPr>
              <w:t>2</w:t>
            </w:r>
            <w:r>
              <w:rPr>
                <w:rFonts w:hint="eastAsia"/>
                <w:spacing w:val="10"/>
                <w:sz w:val="21"/>
                <w:szCs w:val="21"/>
                <w:lang w:eastAsia="zh-CN"/>
              </w:rPr>
              <w:t>/</w:t>
            </w:r>
            <w:r>
              <w:rPr>
                <w:spacing w:val="10"/>
                <w:sz w:val="21"/>
                <w:szCs w:val="21"/>
              </w:rPr>
              <w:t>TJ)</w:t>
            </w:r>
          </w:p>
        </w:tc>
      </w:tr>
      <w:tr w14:paraId="1145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773" w:type="dxa"/>
            <w:vMerge w:val="restart"/>
            <w:tcBorders>
              <w:bottom w:val="nil"/>
            </w:tcBorders>
            <w:vAlign w:val="center"/>
          </w:tcPr>
          <w:p w14:paraId="10959E73">
            <w:pPr>
              <w:spacing w:line="340" w:lineRule="auto"/>
              <w:jc w:val="center"/>
              <w:rPr>
                <w:rFonts w:ascii="Arial"/>
                <w:szCs w:val="21"/>
              </w:rPr>
            </w:pPr>
          </w:p>
          <w:p w14:paraId="60602B82">
            <w:pPr>
              <w:spacing w:line="341" w:lineRule="auto"/>
              <w:jc w:val="center"/>
              <w:rPr>
                <w:rFonts w:ascii="Arial"/>
                <w:szCs w:val="21"/>
              </w:rPr>
            </w:pPr>
          </w:p>
          <w:p w14:paraId="75252320">
            <w:pPr>
              <w:pStyle w:val="547"/>
              <w:spacing w:before="29" w:line="220" w:lineRule="auto"/>
              <w:ind w:left="44"/>
              <w:jc w:val="center"/>
              <w:rPr>
                <w:sz w:val="21"/>
                <w:szCs w:val="21"/>
                <w:lang w:eastAsia="zh-CN"/>
              </w:rPr>
            </w:pPr>
            <w:r>
              <w:rPr>
                <w:spacing w:val="-3"/>
                <w:sz w:val="21"/>
                <w:szCs w:val="21"/>
              </w:rPr>
              <w:t>固体</w:t>
            </w:r>
            <w:r>
              <w:rPr>
                <w:rFonts w:hint="eastAsia"/>
                <w:spacing w:val="-3"/>
                <w:sz w:val="21"/>
                <w:szCs w:val="21"/>
                <w:lang w:eastAsia="zh-CN"/>
              </w:rPr>
              <w:t>燃料</w:t>
            </w:r>
          </w:p>
        </w:tc>
        <w:tc>
          <w:tcPr>
            <w:tcW w:w="1745" w:type="dxa"/>
            <w:vAlign w:val="center"/>
          </w:tcPr>
          <w:p w14:paraId="62E3AE37">
            <w:pPr>
              <w:pStyle w:val="547"/>
              <w:spacing w:before="64" w:line="220" w:lineRule="auto"/>
              <w:ind w:left="42"/>
              <w:jc w:val="center"/>
              <w:rPr>
                <w:sz w:val="21"/>
                <w:szCs w:val="21"/>
              </w:rPr>
            </w:pPr>
            <w:r>
              <w:rPr>
                <w:spacing w:val="-1"/>
                <w:sz w:val="21"/>
                <w:szCs w:val="21"/>
              </w:rPr>
              <w:t>无烟煤</w:t>
            </w:r>
          </w:p>
        </w:tc>
        <w:tc>
          <w:tcPr>
            <w:tcW w:w="1864" w:type="dxa"/>
            <w:vAlign w:val="center"/>
          </w:tcPr>
          <w:p w14:paraId="0526BCA9">
            <w:pPr>
              <w:pStyle w:val="547"/>
              <w:spacing w:before="87" w:line="183" w:lineRule="auto"/>
              <w:jc w:val="center"/>
              <w:rPr>
                <w:sz w:val="21"/>
                <w:szCs w:val="21"/>
              </w:rPr>
            </w:pPr>
            <w:r>
              <w:rPr>
                <w:spacing w:val="-1"/>
                <w:sz w:val="21"/>
                <w:szCs w:val="21"/>
              </w:rPr>
              <w:t>27.4</w:t>
            </w:r>
          </w:p>
        </w:tc>
        <w:tc>
          <w:tcPr>
            <w:tcW w:w="1181" w:type="dxa"/>
            <w:vAlign w:val="center"/>
          </w:tcPr>
          <w:p w14:paraId="6461A6A9">
            <w:pPr>
              <w:pStyle w:val="547"/>
              <w:spacing w:before="87" w:line="183" w:lineRule="auto"/>
              <w:jc w:val="center"/>
              <w:rPr>
                <w:sz w:val="21"/>
                <w:szCs w:val="21"/>
              </w:rPr>
            </w:pPr>
            <w:r>
              <w:rPr>
                <w:spacing w:val="-1"/>
                <w:sz w:val="21"/>
                <w:szCs w:val="21"/>
              </w:rPr>
              <w:t>94</w:t>
            </w:r>
          </w:p>
        </w:tc>
        <w:tc>
          <w:tcPr>
            <w:tcW w:w="2275" w:type="dxa"/>
            <w:vAlign w:val="center"/>
          </w:tcPr>
          <w:p w14:paraId="6FC4E66B">
            <w:pPr>
              <w:pStyle w:val="547"/>
              <w:spacing w:before="87" w:line="183" w:lineRule="auto"/>
              <w:jc w:val="center"/>
              <w:rPr>
                <w:sz w:val="21"/>
                <w:szCs w:val="21"/>
              </w:rPr>
            </w:pPr>
            <w:r>
              <w:rPr>
                <w:spacing w:val="-1"/>
                <w:sz w:val="21"/>
                <w:szCs w:val="21"/>
              </w:rPr>
              <w:t>94.44</w:t>
            </w:r>
          </w:p>
        </w:tc>
      </w:tr>
      <w:tr w14:paraId="3A54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773" w:type="dxa"/>
            <w:vMerge w:val="continue"/>
            <w:tcBorders>
              <w:top w:val="nil"/>
              <w:bottom w:val="nil"/>
            </w:tcBorders>
            <w:vAlign w:val="center"/>
          </w:tcPr>
          <w:p w14:paraId="7ED0E483">
            <w:pPr>
              <w:jc w:val="center"/>
              <w:rPr>
                <w:rFonts w:ascii="Arial"/>
                <w:szCs w:val="21"/>
              </w:rPr>
            </w:pPr>
          </w:p>
        </w:tc>
        <w:tc>
          <w:tcPr>
            <w:tcW w:w="1745" w:type="dxa"/>
            <w:vAlign w:val="center"/>
          </w:tcPr>
          <w:p w14:paraId="5CDA449D">
            <w:pPr>
              <w:pStyle w:val="547"/>
              <w:spacing w:before="55" w:line="220" w:lineRule="auto"/>
              <w:ind w:left="42"/>
              <w:jc w:val="center"/>
              <w:rPr>
                <w:sz w:val="21"/>
                <w:szCs w:val="21"/>
              </w:rPr>
            </w:pPr>
            <w:r>
              <w:rPr>
                <w:spacing w:val="-1"/>
                <w:sz w:val="21"/>
                <w:szCs w:val="21"/>
              </w:rPr>
              <w:t>烟煤</w:t>
            </w:r>
          </w:p>
        </w:tc>
        <w:tc>
          <w:tcPr>
            <w:tcW w:w="1864" w:type="dxa"/>
            <w:vAlign w:val="center"/>
          </w:tcPr>
          <w:p w14:paraId="4AD470D1">
            <w:pPr>
              <w:pStyle w:val="547"/>
              <w:spacing w:before="78" w:line="184" w:lineRule="auto"/>
              <w:jc w:val="center"/>
              <w:rPr>
                <w:sz w:val="21"/>
                <w:szCs w:val="21"/>
              </w:rPr>
            </w:pPr>
            <w:r>
              <w:rPr>
                <w:spacing w:val="-1"/>
                <w:sz w:val="21"/>
                <w:szCs w:val="21"/>
              </w:rPr>
              <w:t>26.1</w:t>
            </w:r>
          </w:p>
        </w:tc>
        <w:tc>
          <w:tcPr>
            <w:tcW w:w="1181" w:type="dxa"/>
            <w:vAlign w:val="center"/>
          </w:tcPr>
          <w:p w14:paraId="3FC752BA">
            <w:pPr>
              <w:pStyle w:val="547"/>
              <w:spacing w:before="78" w:line="183" w:lineRule="auto"/>
              <w:jc w:val="center"/>
              <w:rPr>
                <w:sz w:val="21"/>
                <w:szCs w:val="21"/>
              </w:rPr>
            </w:pPr>
            <w:r>
              <w:rPr>
                <w:spacing w:val="-1"/>
                <w:sz w:val="21"/>
                <w:szCs w:val="21"/>
              </w:rPr>
              <w:t>93</w:t>
            </w:r>
          </w:p>
        </w:tc>
        <w:tc>
          <w:tcPr>
            <w:tcW w:w="2275" w:type="dxa"/>
            <w:vAlign w:val="center"/>
          </w:tcPr>
          <w:p w14:paraId="371DC3C4">
            <w:pPr>
              <w:pStyle w:val="547"/>
              <w:spacing w:before="78" w:line="183" w:lineRule="auto"/>
              <w:jc w:val="center"/>
              <w:rPr>
                <w:sz w:val="21"/>
                <w:szCs w:val="21"/>
              </w:rPr>
            </w:pPr>
            <w:r>
              <w:rPr>
                <w:spacing w:val="-1"/>
                <w:sz w:val="21"/>
                <w:szCs w:val="21"/>
              </w:rPr>
              <w:t>89.00</w:t>
            </w:r>
          </w:p>
        </w:tc>
      </w:tr>
      <w:tr w14:paraId="793B7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773" w:type="dxa"/>
            <w:vMerge w:val="continue"/>
            <w:tcBorders>
              <w:top w:val="nil"/>
              <w:bottom w:val="nil"/>
            </w:tcBorders>
            <w:vAlign w:val="center"/>
          </w:tcPr>
          <w:p w14:paraId="55CE8A1A">
            <w:pPr>
              <w:jc w:val="center"/>
              <w:rPr>
                <w:rFonts w:ascii="Arial"/>
                <w:szCs w:val="21"/>
              </w:rPr>
            </w:pPr>
          </w:p>
        </w:tc>
        <w:tc>
          <w:tcPr>
            <w:tcW w:w="1745" w:type="dxa"/>
            <w:vAlign w:val="center"/>
          </w:tcPr>
          <w:p w14:paraId="146B8828">
            <w:pPr>
              <w:pStyle w:val="547"/>
              <w:spacing w:before="65" w:line="219" w:lineRule="auto"/>
              <w:ind w:left="42"/>
              <w:jc w:val="center"/>
              <w:rPr>
                <w:sz w:val="21"/>
                <w:szCs w:val="21"/>
              </w:rPr>
            </w:pPr>
            <w:r>
              <w:rPr>
                <w:spacing w:val="-1"/>
                <w:sz w:val="21"/>
                <w:szCs w:val="21"/>
              </w:rPr>
              <w:t>褐煤</w:t>
            </w:r>
          </w:p>
        </w:tc>
        <w:tc>
          <w:tcPr>
            <w:tcW w:w="1864" w:type="dxa"/>
            <w:vAlign w:val="center"/>
          </w:tcPr>
          <w:p w14:paraId="2C0D76D9">
            <w:pPr>
              <w:pStyle w:val="547"/>
              <w:spacing w:before="88" w:line="183" w:lineRule="auto"/>
              <w:jc w:val="center"/>
              <w:rPr>
                <w:sz w:val="21"/>
                <w:szCs w:val="21"/>
              </w:rPr>
            </w:pPr>
            <w:r>
              <w:rPr>
                <w:spacing w:val="-1"/>
                <w:sz w:val="21"/>
                <w:szCs w:val="21"/>
              </w:rPr>
              <w:t>28.0</w:t>
            </w:r>
          </w:p>
        </w:tc>
        <w:tc>
          <w:tcPr>
            <w:tcW w:w="1181" w:type="dxa"/>
            <w:vAlign w:val="center"/>
          </w:tcPr>
          <w:p w14:paraId="318E63D7">
            <w:pPr>
              <w:pStyle w:val="547"/>
              <w:spacing w:before="88" w:line="183" w:lineRule="auto"/>
              <w:jc w:val="center"/>
              <w:rPr>
                <w:sz w:val="21"/>
                <w:szCs w:val="21"/>
              </w:rPr>
            </w:pPr>
            <w:r>
              <w:rPr>
                <w:spacing w:val="-1"/>
                <w:sz w:val="21"/>
                <w:szCs w:val="21"/>
              </w:rPr>
              <w:t>96</w:t>
            </w:r>
          </w:p>
        </w:tc>
        <w:tc>
          <w:tcPr>
            <w:tcW w:w="2275" w:type="dxa"/>
            <w:vAlign w:val="center"/>
          </w:tcPr>
          <w:p w14:paraId="41C437E0">
            <w:pPr>
              <w:pStyle w:val="547"/>
              <w:spacing w:before="88" w:line="183" w:lineRule="auto"/>
              <w:jc w:val="center"/>
              <w:rPr>
                <w:sz w:val="21"/>
                <w:szCs w:val="21"/>
              </w:rPr>
            </w:pPr>
            <w:r>
              <w:rPr>
                <w:spacing w:val="-1"/>
                <w:sz w:val="21"/>
                <w:szCs w:val="21"/>
              </w:rPr>
              <w:t>98.56</w:t>
            </w:r>
          </w:p>
        </w:tc>
      </w:tr>
      <w:tr w14:paraId="08CC1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773" w:type="dxa"/>
            <w:vMerge w:val="continue"/>
            <w:tcBorders>
              <w:top w:val="nil"/>
              <w:bottom w:val="nil"/>
            </w:tcBorders>
            <w:vAlign w:val="center"/>
          </w:tcPr>
          <w:p w14:paraId="3EE0D165">
            <w:pPr>
              <w:jc w:val="center"/>
              <w:rPr>
                <w:rFonts w:ascii="Arial"/>
                <w:szCs w:val="21"/>
              </w:rPr>
            </w:pPr>
          </w:p>
        </w:tc>
        <w:tc>
          <w:tcPr>
            <w:tcW w:w="1745" w:type="dxa"/>
            <w:vAlign w:val="center"/>
          </w:tcPr>
          <w:p w14:paraId="15426B84">
            <w:pPr>
              <w:pStyle w:val="547"/>
              <w:spacing w:before="56" w:line="220" w:lineRule="auto"/>
              <w:ind w:left="42"/>
              <w:jc w:val="center"/>
              <w:rPr>
                <w:sz w:val="21"/>
                <w:szCs w:val="21"/>
              </w:rPr>
            </w:pPr>
            <w:r>
              <w:rPr>
                <w:spacing w:val="-1"/>
                <w:sz w:val="21"/>
                <w:szCs w:val="21"/>
              </w:rPr>
              <w:t>炼焦煤</w:t>
            </w:r>
          </w:p>
        </w:tc>
        <w:tc>
          <w:tcPr>
            <w:tcW w:w="1864" w:type="dxa"/>
            <w:vAlign w:val="center"/>
          </w:tcPr>
          <w:p w14:paraId="587FD4FE">
            <w:pPr>
              <w:pStyle w:val="547"/>
              <w:spacing w:before="79" w:line="183" w:lineRule="auto"/>
              <w:jc w:val="center"/>
              <w:rPr>
                <w:sz w:val="21"/>
                <w:szCs w:val="21"/>
              </w:rPr>
            </w:pPr>
            <w:r>
              <w:rPr>
                <w:spacing w:val="-1"/>
                <w:sz w:val="21"/>
                <w:szCs w:val="21"/>
              </w:rPr>
              <w:t>25.4</w:t>
            </w:r>
          </w:p>
        </w:tc>
        <w:tc>
          <w:tcPr>
            <w:tcW w:w="1181" w:type="dxa"/>
            <w:vAlign w:val="center"/>
          </w:tcPr>
          <w:p w14:paraId="07DD8F66">
            <w:pPr>
              <w:pStyle w:val="547"/>
              <w:spacing w:before="79" w:line="183" w:lineRule="auto"/>
              <w:jc w:val="center"/>
              <w:rPr>
                <w:sz w:val="21"/>
                <w:szCs w:val="21"/>
              </w:rPr>
            </w:pPr>
            <w:r>
              <w:rPr>
                <w:spacing w:val="-1"/>
                <w:sz w:val="21"/>
                <w:szCs w:val="21"/>
              </w:rPr>
              <w:t>98</w:t>
            </w:r>
          </w:p>
        </w:tc>
        <w:tc>
          <w:tcPr>
            <w:tcW w:w="2275" w:type="dxa"/>
            <w:vAlign w:val="center"/>
          </w:tcPr>
          <w:p w14:paraId="58AA23E3">
            <w:pPr>
              <w:pStyle w:val="547"/>
              <w:spacing w:before="79" w:line="184" w:lineRule="auto"/>
              <w:jc w:val="center"/>
              <w:rPr>
                <w:sz w:val="21"/>
                <w:szCs w:val="21"/>
              </w:rPr>
            </w:pPr>
            <w:r>
              <w:rPr>
                <w:spacing w:val="-1"/>
                <w:sz w:val="21"/>
                <w:szCs w:val="21"/>
              </w:rPr>
              <w:t>91.27</w:t>
            </w:r>
          </w:p>
        </w:tc>
      </w:tr>
      <w:tr w14:paraId="71DE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bottom w:val="nil"/>
            </w:tcBorders>
            <w:vAlign w:val="center"/>
          </w:tcPr>
          <w:p w14:paraId="00C5C049">
            <w:pPr>
              <w:jc w:val="center"/>
              <w:rPr>
                <w:rFonts w:ascii="Arial"/>
                <w:szCs w:val="21"/>
              </w:rPr>
            </w:pPr>
          </w:p>
        </w:tc>
        <w:tc>
          <w:tcPr>
            <w:tcW w:w="1745" w:type="dxa"/>
            <w:vAlign w:val="center"/>
          </w:tcPr>
          <w:p w14:paraId="64E513BA">
            <w:pPr>
              <w:pStyle w:val="547"/>
              <w:spacing w:before="57" w:line="220" w:lineRule="auto"/>
              <w:ind w:left="42"/>
              <w:jc w:val="center"/>
              <w:rPr>
                <w:sz w:val="21"/>
                <w:szCs w:val="21"/>
              </w:rPr>
            </w:pPr>
            <w:r>
              <w:rPr>
                <w:spacing w:val="-2"/>
                <w:sz w:val="21"/>
                <w:szCs w:val="21"/>
              </w:rPr>
              <w:t>型煤</w:t>
            </w:r>
          </w:p>
        </w:tc>
        <w:tc>
          <w:tcPr>
            <w:tcW w:w="1864" w:type="dxa"/>
            <w:vAlign w:val="center"/>
          </w:tcPr>
          <w:p w14:paraId="6FE9A409">
            <w:pPr>
              <w:pStyle w:val="547"/>
              <w:spacing w:before="80" w:line="183" w:lineRule="auto"/>
              <w:jc w:val="center"/>
              <w:rPr>
                <w:sz w:val="21"/>
                <w:szCs w:val="21"/>
              </w:rPr>
            </w:pPr>
            <w:r>
              <w:rPr>
                <w:spacing w:val="-1"/>
                <w:sz w:val="21"/>
                <w:szCs w:val="21"/>
              </w:rPr>
              <w:t>33.6</w:t>
            </w:r>
          </w:p>
        </w:tc>
        <w:tc>
          <w:tcPr>
            <w:tcW w:w="1181" w:type="dxa"/>
            <w:vAlign w:val="center"/>
          </w:tcPr>
          <w:p w14:paraId="3C01F303">
            <w:pPr>
              <w:pStyle w:val="547"/>
              <w:spacing w:before="80" w:line="183" w:lineRule="auto"/>
              <w:jc w:val="center"/>
              <w:rPr>
                <w:sz w:val="21"/>
                <w:szCs w:val="21"/>
              </w:rPr>
            </w:pPr>
            <w:r>
              <w:rPr>
                <w:spacing w:val="-1"/>
                <w:sz w:val="21"/>
                <w:szCs w:val="21"/>
              </w:rPr>
              <w:t>90</w:t>
            </w:r>
          </w:p>
        </w:tc>
        <w:tc>
          <w:tcPr>
            <w:tcW w:w="2275" w:type="dxa"/>
            <w:vAlign w:val="center"/>
          </w:tcPr>
          <w:p w14:paraId="6EB5996E">
            <w:pPr>
              <w:pStyle w:val="547"/>
              <w:spacing w:before="80" w:line="184" w:lineRule="auto"/>
              <w:jc w:val="center"/>
              <w:rPr>
                <w:sz w:val="21"/>
                <w:szCs w:val="21"/>
              </w:rPr>
            </w:pPr>
            <w:r>
              <w:rPr>
                <w:spacing w:val="-2"/>
                <w:sz w:val="21"/>
                <w:szCs w:val="21"/>
              </w:rPr>
              <w:t>110.88</w:t>
            </w:r>
          </w:p>
        </w:tc>
      </w:tr>
      <w:tr w14:paraId="5910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bottom w:val="nil"/>
            </w:tcBorders>
            <w:vAlign w:val="center"/>
          </w:tcPr>
          <w:p w14:paraId="788D5B1A">
            <w:pPr>
              <w:jc w:val="center"/>
              <w:rPr>
                <w:rFonts w:ascii="Arial"/>
                <w:szCs w:val="21"/>
              </w:rPr>
            </w:pPr>
          </w:p>
        </w:tc>
        <w:tc>
          <w:tcPr>
            <w:tcW w:w="1745" w:type="dxa"/>
            <w:vAlign w:val="center"/>
          </w:tcPr>
          <w:p w14:paraId="55CE343A">
            <w:pPr>
              <w:pStyle w:val="547"/>
              <w:spacing w:before="58" w:line="221" w:lineRule="auto"/>
              <w:ind w:left="42"/>
              <w:jc w:val="center"/>
              <w:rPr>
                <w:sz w:val="21"/>
                <w:szCs w:val="21"/>
              </w:rPr>
            </w:pPr>
            <w:r>
              <w:rPr>
                <w:spacing w:val="-1"/>
                <w:sz w:val="21"/>
                <w:szCs w:val="21"/>
              </w:rPr>
              <w:t>焦炭</w:t>
            </w:r>
          </w:p>
        </w:tc>
        <w:tc>
          <w:tcPr>
            <w:tcW w:w="1864" w:type="dxa"/>
            <w:vAlign w:val="center"/>
          </w:tcPr>
          <w:p w14:paraId="39FC5B67">
            <w:pPr>
              <w:pStyle w:val="547"/>
              <w:spacing w:before="80" w:line="183" w:lineRule="auto"/>
              <w:jc w:val="center"/>
              <w:rPr>
                <w:sz w:val="21"/>
                <w:szCs w:val="21"/>
              </w:rPr>
            </w:pPr>
            <w:r>
              <w:rPr>
                <w:spacing w:val="-1"/>
                <w:sz w:val="21"/>
                <w:szCs w:val="21"/>
              </w:rPr>
              <w:t>29.5</w:t>
            </w:r>
          </w:p>
        </w:tc>
        <w:tc>
          <w:tcPr>
            <w:tcW w:w="1181" w:type="dxa"/>
            <w:vAlign w:val="center"/>
          </w:tcPr>
          <w:p w14:paraId="67B79DB5">
            <w:pPr>
              <w:pStyle w:val="547"/>
              <w:spacing w:before="80" w:line="183" w:lineRule="auto"/>
              <w:jc w:val="center"/>
              <w:rPr>
                <w:sz w:val="21"/>
                <w:szCs w:val="21"/>
              </w:rPr>
            </w:pPr>
            <w:r>
              <w:rPr>
                <w:spacing w:val="-1"/>
                <w:sz w:val="21"/>
                <w:szCs w:val="21"/>
              </w:rPr>
              <w:t>93</w:t>
            </w:r>
          </w:p>
        </w:tc>
        <w:tc>
          <w:tcPr>
            <w:tcW w:w="2275" w:type="dxa"/>
            <w:vAlign w:val="center"/>
          </w:tcPr>
          <w:p w14:paraId="4073F4F6">
            <w:pPr>
              <w:pStyle w:val="547"/>
              <w:spacing w:before="80" w:line="184" w:lineRule="auto"/>
              <w:jc w:val="center"/>
              <w:rPr>
                <w:sz w:val="21"/>
                <w:szCs w:val="21"/>
              </w:rPr>
            </w:pPr>
            <w:r>
              <w:rPr>
                <w:spacing w:val="-2"/>
                <w:sz w:val="21"/>
                <w:szCs w:val="21"/>
              </w:rPr>
              <w:t>100.60</w:t>
            </w:r>
          </w:p>
        </w:tc>
      </w:tr>
      <w:tr w14:paraId="7A4C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73" w:type="dxa"/>
            <w:vMerge w:val="continue"/>
            <w:tcBorders>
              <w:top w:val="nil"/>
            </w:tcBorders>
            <w:vAlign w:val="center"/>
          </w:tcPr>
          <w:p w14:paraId="350D7F6B">
            <w:pPr>
              <w:jc w:val="center"/>
              <w:rPr>
                <w:rFonts w:ascii="Arial"/>
                <w:szCs w:val="21"/>
              </w:rPr>
            </w:pPr>
          </w:p>
        </w:tc>
        <w:tc>
          <w:tcPr>
            <w:tcW w:w="1745" w:type="dxa"/>
            <w:vAlign w:val="center"/>
          </w:tcPr>
          <w:p w14:paraId="47FE2902">
            <w:pPr>
              <w:pStyle w:val="547"/>
              <w:spacing w:before="57" w:line="219" w:lineRule="auto"/>
              <w:ind w:left="42"/>
              <w:jc w:val="center"/>
              <w:rPr>
                <w:sz w:val="21"/>
                <w:szCs w:val="21"/>
              </w:rPr>
            </w:pPr>
            <w:r>
              <w:rPr>
                <w:spacing w:val="-1"/>
                <w:sz w:val="21"/>
                <w:szCs w:val="21"/>
              </w:rPr>
              <w:t>其他焦化产品</w:t>
            </w:r>
          </w:p>
        </w:tc>
        <w:tc>
          <w:tcPr>
            <w:tcW w:w="1864" w:type="dxa"/>
            <w:vAlign w:val="center"/>
          </w:tcPr>
          <w:p w14:paraId="6D747EDD">
            <w:pPr>
              <w:pStyle w:val="547"/>
              <w:spacing w:before="80" w:line="183" w:lineRule="auto"/>
              <w:jc w:val="center"/>
              <w:rPr>
                <w:sz w:val="21"/>
                <w:szCs w:val="21"/>
              </w:rPr>
            </w:pPr>
            <w:r>
              <w:rPr>
                <w:spacing w:val="-1"/>
                <w:sz w:val="21"/>
                <w:szCs w:val="21"/>
              </w:rPr>
              <w:t>29.5</w:t>
            </w:r>
          </w:p>
        </w:tc>
        <w:tc>
          <w:tcPr>
            <w:tcW w:w="1181" w:type="dxa"/>
            <w:vAlign w:val="center"/>
          </w:tcPr>
          <w:p w14:paraId="7D3D52C0">
            <w:pPr>
              <w:pStyle w:val="547"/>
              <w:spacing w:before="80" w:line="183" w:lineRule="auto"/>
              <w:jc w:val="center"/>
              <w:rPr>
                <w:sz w:val="21"/>
                <w:szCs w:val="21"/>
              </w:rPr>
            </w:pPr>
            <w:r>
              <w:rPr>
                <w:spacing w:val="-1"/>
                <w:sz w:val="21"/>
                <w:szCs w:val="21"/>
              </w:rPr>
              <w:t>93</w:t>
            </w:r>
          </w:p>
        </w:tc>
        <w:tc>
          <w:tcPr>
            <w:tcW w:w="2275" w:type="dxa"/>
            <w:vAlign w:val="center"/>
          </w:tcPr>
          <w:p w14:paraId="015B230D">
            <w:pPr>
              <w:pStyle w:val="547"/>
              <w:spacing w:before="80" w:line="184" w:lineRule="auto"/>
              <w:jc w:val="center"/>
              <w:rPr>
                <w:sz w:val="21"/>
                <w:szCs w:val="21"/>
              </w:rPr>
            </w:pPr>
            <w:r>
              <w:rPr>
                <w:spacing w:val="-2"/>
                <w:sz w:val="21"/>
                <w:szCs w:val="21"/>
              </w:rPr>
              <w:t>100.60</w:t>
            </w:r>
          </w:p>
        </w:tc>
      </w:tr>
      <w:tr w14:paraId="7151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773" w:type="dxa"/>
            <w:vMerge w:val="restart"/>
            <w:tcBorders>
              <w:bottom w:val="nil"/>
            </w:tcBorders>
            <w:vAlign w:val="center"/>
          </w:tcPr>
          <w:p w14:paraId="1BC41E68">
            <w:pPr>
              <w:spacing w:line="261" w:lineRule="auto"/>
              <w:jc w:val="center"/>
              <w:rPr>
                <w:rFonts w:ascii="Arial"/>
                <w:szCs w:val="21"/>
              </w:rPr>
            </w:pPr>
          </w:p>
          <w:p w14:paraId="08AE2DE5">
            <w:pPr>
              <w:spacing w:line="261" w:lineRule="auto"/>
              <w:jc w:val="center"/>
              <w:rPr>
                <w:rFonts w:ascii="Arial"/>
                <w:szCs w:val="21"/>
              </w:rPr>
            </w:pPr>
          </w:p>
          <w:p w14:paraId="27548B80">
            <w:pPr>
              <w:spacing w:line="262" w:lineRule="auto"/>
              <w:jc w:val="center"/>
              <w:rPr>
                <w:rFonts w:ascii="Arial"/>
                <w:szCs w:val="21"/>
              </w:rPr>
            </w:pPr>
          </w:p>
          <w:p w14:paraId="132957A2">
            <w:pPr>
              <w:spacing w:line="262" w:lineRule="auto"/>
              <w:jc w:val="center"/>
              <w:rPr>
                <w:rFonts w:ascii="Arial"/>
                <w:szCs w:val="21"/>
              </w:rPr>
            </w:pPr>
          </w:p>
          <w:p w14:paraId="3300DA49">
            <w:pPr>
              <w:spacing w:line="262" w:lineRule="auto"/>
              <w:jc w:val="center"/>
              <w:rPr>
                <w:rFonts w:ascii="Arial"/>
                <w:szCs w:val="21"/>
              </w:rPr>
            </w:pPr>
          </w:p>
          <w:p w14:paraId="099AA157">
            <w:pPr>
              <w:spacing w:line="262" w:lineRule="auto"/>
              <w:jc w:val="center"/>
              <w:rPr>
                <w:rFonts w:ascii="Arial"/>
                <w:szCs w:val="21"/>
              </w:rPr>
            </w:pPr>
          </w:p>
          <w:p w14:paraId="344515D7">
            <w:pPr>
              <w:pStyle w:val="547"/>
              <w:spacing w:before="29" w:line="220" w:lineRule="auto"/>
              <w:ind w:left="44"/>
              <w:jc w:val="center"/>
              <w:rPr>
                <w:sz w:val="21"/>
                <w:szCs w:val="21"/>
              </w:rPr>
            </w:pPr>
            <w:r>
              <w:rPr>
                <w:spacing w:val="-1"/>
                <w:sz w:val="21"/>
                <w:szCs w:val="21"/>
              </w:rPr>
              <w:t>液体</w:t>
            </w:r>
            <w:r>
              <w:rPr>
                <w:rFonts w:hint="eastAsia"/>
                <w:spacing w:val="-3"/>
                <w:sz w:val="21"/>
                <w:szCs w:val="21"/>
                <w:lang w:eastAsia="zh-CN"/>
              </w:rPr>
              <w:t>燃料</w:t>
            </w:r>
          </w:p>
        </w:tc>
        <w:tc>
          <w:tcPr>
            <w:tcW w:w="1745" w:type="dxa"/>
            <w:vAlign w:val="center"/>
          </w:tcPr>
          <w:p w14:paraId="644ADC92">
            <w:pPr>
              <w:pStyle w:val="547"/>
              <w:spacing w:before="70" w:line="224" w:lineRule="auto"/>
              <w:ind w:left="42"/>
              <w:jc w:val="center"/>
              <w:rPr>
                <w:sz w:val="21"/>
                <w:szCs w:val="21"/>
              </w:rPr>
            </w:pPr>
            <w:r>
              <w:rPr>
                <w:spacing w:val="-2"/>
                <w:sz w:val="21"/>
                <w:szCs w:val="21"/>
              </w:rPr>
              <w:t>原油</w:t>
            </w:r>
          </w:p>
        </w:tc>
        <w:tc>
          <w:tcPr>
            <w:tcW w:w="1864" w:type="dxa"/>
            <w:vAlign w:val="center"/>
          </w:tcPr>
          <w:p w14:paraId="719EDA78">
            <w:pPr>
              <w:pStyle w:val="547"/>
              <w:spacing w:before="91" w:line="184" w:lineRule="auto"/>
              <w:jc w:val="center"/>
              <w:rPr>
                <w:sz w:val="21"/>
                <w:szCs w:val="21"/>
              </w:rPr>
            </w:pPr>
            <w:r>
              <w:rPr>
                <w:spacing w:val="-1"/>
                <w:sz w:val="21"/>
                <w:szCs w:val="21"/>
              </w:rPr>
              <w:t>20.1</w:t>
            </w:r>
          </w:p>
        </w:tc>
        <w:tc>
          <w:tcPr>
            <w:tcW w:w="1181" w:type="dxa"/>
            <w:vAlign w:val="center"/>
          </w:tcPr>
          <w:p w14:paraId="0A57E38D">
            <w:pPr>
              <w:pStyle w:val="547"/>
              <w:spacing w:before="91" w:line="183" w:lineRule="auto"/>
              <w:jc w:val="center"/>
              <w:rPr>
                <w:sz w:val="21"/>
                <w:szCs w:val="21"/>
              </w:rPr>
            </w:pPr>
            <w:r>
              <w:rPr>
                <w:spacing w:val="-1"/>
                <w:sz w:val="21"/>
                <w:szCs w:val="21"/>
              </w:rPr>
              <w:t>98</w:t>
            </w:r>
          </w:p>
        </w:tc>
        <w:tc>
          <w:tcPr>
            <w:tcW w:w="2275" w:type="dxa"/>
            <w:vAlign w:val="center"/>
          </w:tcPr>
          <w:p w14:paraId="02A2B04D">
            <w:pPr>
              <w:pStyle w:val="547"/>
              <w:spacing w:before="91" w:line="183" w:lineRule="auto"/>
              <w:jc w:val="center"/>
              <w:rPr>
                <w:sz w:val="21"/>
                <w:szCs w:val="21"/>
              </w:rPr>
            </w:pPr>
            <w:r>
              <w:rPr>
                <w:spacing w:val="-1"/>
                <w:sz w:val="21"/>
                <w:szCs w:val="21"/>
              </w:rPr>
              <w:t>72.23</w:t>
            </w:r>
          </w:p>
        </w:tc>
      </w:tr>
      <w:tr w14:paraId="79C3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773" w:type="dxa"/>
            <w:vMerge w:val="continue"/>
            <w:tcBorders>
              <w:top w:val="nil"/>
              <w:bottom w:val="nil"/>
            </w:tcBorders>
            <w:vAlign w:val="center"/>
          </w:tcPr>
          <w:p w14:paraId="75936458">
            <w:pPr>
              <w:jc w:val="center"/>
              <w:rPr>
                <w:rFonts w:ascii="Arial"/>
                <w:szCs w:val="21"/>
              </w:rPr>
            </w:pPr>
          </w:p>
        </w:tc>
        <w:tc>
          <w:tcPr>
            <w:tcW w:w="1745" w:type="dxa"/>
            <w:vAlign w:val="center"/>
          </w:tcPr>
          <w:p w14:paraId="6A3B11AE">
            <w:pPr>
              <w:pStyle w:val="547"/>
              <w:spacing w:before="58" w:line="220" w:lineRule="auto"/>
              <w:ind w:left="42"/>
              <w:jc w:val="center"/>
              <w:rPr>
                <w:sz w:val="21"/>
                <w:szCs w:val="21"/>
              </w:rPr>
            </w:pPr>
            <w:r>
              <w:rPr>
                <w:spacing w:val="-1"/>
                <w:sz w:val="21"/>
                <w:szCs w:val="21"/>
              </w:rPr>
              <w:t>燃料油</w:t>
            </w:r>
          </w:p>
        </w:tc>
        <w:tc>
          <w:tcPr>
            <w:tcW w:w="1864" w:type="dxa"/>
            <w:vAlign w:val="center"/>
          </w:tcPr>
          <w:p w14:paraId="0DAC5898">
            <w:pPr>
              <w:pStyle w:val="547"/>
              <w:spacing w:before="81" w:line="184" w:lineRule="auto"/>
              <w:jc w:val="center"/>
              <w:rPr>
                <w:sz w:val="21"/>
                <w:szCs w:val="21"/>
              </w:rPr>
            </w:pPr>
            <w:r>
              <w:rPr>
                <w:spacing w:val="-1"/>
                <w:sz w:val="21"/>
                <w:szCs w:val="21"/>
              </w:rPr>
              <w:t>21.1</w:t>
            </w:r>
          </w:p>
        </w:tc>
        <w:tc>
          <w:tcPr>
            <w:tcW w:w="1181" w:type="dxa"/>
            <w:vAlign w:val="center"/>
          </w:tcPr>
          <w:p w14:paraId="6E60DC37">
            <w:pPr>
              <w:pStyle w:val="547"/>
              <w:spacing w:before="81" w:line="183" w:lineRule="auto"/>
              <w:jc w:val="center"/>
              <w:rPr>
                <w:sz w:val="21"/>
                <w:szCs w:val="21"/>
              </w:rPr>
            </w:pPr>
            <w:r>
              <w:rPr>
                <w:spacing w:val="-1"/>
                <w:sz w:val="21"/>
                <w:szCs w:val="21"/>
              </w:rPr>
              <w:t>98</w:t>
            </w:r>
          </w:p>
        </w:tc>
        <w:tc>
          <w:tcPr>
            <w:tcW w:w="2275" w:type="dxa"/>
            <w:vAlign w:val="center"/>
          </w:tcPr>
          <w:p w14:paraId="59B605F0">
            <w:pPr>
              <w:pStyle w:val="547"/>
              <w:spacing w:before="81" w:line="183" w:lineRule="auto"/>
              <w:jc w:val="center"/>
              <w:rPr>
                <w:sz w:val="21"/>
                <w:szCs w:val="21"/>
              </w:rPr>
            </w:pPr>
            <w:r>
              <w:rPr>
                <w:spacing w:val="-1"/>
                <w:sz w:val="21"/>
                <w:szCs w:val="21"/>
              </w:rPr>
              <w:t>75.82</w:t>
            </w:r>
          </w:p>
        </w:tc>
      </w:tr>
      <w:tr w14:paraId="3B475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14:paraId="0795A065">
            <w:pPr>
              <w:jc w:val="center"/>
              <w:rPr>
                <w:rFonts w:ascii="Arial"/>
                <w:szCs w:val="21"/>
              </w:rPr>
            </w:pPr>
          </w:p>
        </w:tc>
        <w:tc>
          <w:tcPr>
            <w:tcW w:w="1745" w:type="dxa"/>
            <w:vAlign w:val="center"/>
          </w:tcPr>
          <w:p w14:paraId="59327367">
            <w:pPr>
              <w:pStyle w:val="547"/>
              <w:spacing w:before="61" w:line="223" w:lineRule="auto"/>
              <w:ind w:left="42"/>
              <w:jc w:val="center"/>
              <w:rPr>
                <w:sz w:val="21"/>
                <w:szCs w:val="21"/>
              </w:rPr>
            </w:pPr>
            <w:r>
              <w:rPr>
                <w:spacing w:val="-1"/>
                <w:sz w:val="21"/>
                <w:szCs w:val="21"/>
              </w:rPr>
              <w:t>汽油</w:t>
            </w:r>
          </w:p>
        </w:tc>
        <w:tc>
          <w:tcPr>
            <w:tcW w:w="1864" w:type="dxa"/>
            <w:vAlign w:val="center"/>
          </w:tcPr>
          <w:p w14:paraId="0C6D1C75">
            <w:pPr>
              <w:pStyle w:val="547"/>
              <w:spacing w:before="82" w:line="184" w:lineRule="auto"/>
              <w:jc w:val="center"/>
              <w:rPr>
                <w:sz w:val="21"/>
                <w:szCs w:val="21"/>
              </w:rPr>
            </w:pPr>
            <w:r>
              <w:rPr>
                <w:spacing w:val="-2"/>
                <w:sz w:val="21"/>
                <w:szCs w:val="21"/>
              </w:rPr>
              <w:t>18.9</w:t>
            </w:r>
          </w:p>
        </w:tc>
        <w:tc>
          <w:tcPr>
            <w:tcW w:w="1181" w:type="dxa"/>
            <w:vAlign w:val="center"/>
          </w:tcPr>
          <w:p w14:paraId="5DF94EDD">
            <w:pPr>
              <w:pStyle w:val="547"/>
              <w:spacing w:before="82" w:line="183" w:lineRule="auto"/>
              <w:jc w:val="center"/>
              <w:rPr>
                <w:sz w:val="21"/>
                <w:szCs w:val="21"/>
              </w:rPr>
            </w:pPr>
            <w:r>
              <w:rPr>
                <w:spacing w:val="-1"/>
                <w:sz w:val="21"/>
                <w:szCs w:val="21"/>
              </w:rPr>
              <w:t>98</w:t>
            </w:r>
          </w:p>
        </w:tc>
        <w:tc>
          <w:tcPr>
            <w:tcW w:w="2275" w:type="dxa"/>
            <w:vAlign w:val="center"/>
          </w:tcPr>
          <w:p w14:paraId="60D40361">
            <w:pPr>
              <w:pStyle w:val="547"/>
              <w:spacing w:before="82" w:line="184" w:lineRule="auto"/>
              <w:jc w:val="center"/>
              <w:rPr>
                <w:sz w:val="21"/>
                <w:szCs w:val="21"/>
              </w:rPr>
            </w:pPr>
            <w:r>
              <w:rPr>
                <w:spacing w:val="-1"/>
                <w:sz w:val="21"/>
                <w:szCs w:val="21"/>
              </w:rPr>
              <w:t>67.91</w:t>
            </w:r>
          </w:p>
        </w:tc>
      </w:tr>
      <w:tr w14:paraId="1F92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14:paraId="41D58B17">
            <w:pPr>
              <w:jc w:val="center"/>
              <w:rPr>
                <w:rFonts w:ascii="Arial"/>
                <w:szCs w:val="21"/>
              </w:rPr>
            </w:pPr>
          </w:p>
        </w:tc>
        <w:tc>
          <w:tcPr>
            <w:tcW w:w="1745" w:type="dxa"/>
            <w:vAlign w:val="center"/>
          </w:tcPr>
          <w:p w14:paraId="1212DC7C">
            <w:pPr>
              <w:pStyle w:val="547"/>
              <w:spacing w:before="59" w:line="219" w:lineRule="auto"/>
              <w:ind w:left="42"/>
              <w:jc w:val="center"/>
              <w:rPr>
                <w:sz w:val="21"/>
                <w:szCs w:val="21"/>
              </w:rPr>
            </w:pPr>
            <w:r>
              <w:rPr>
                <w:rFonts w:hint="eastAsia"/>
                <w:spacing w:val="-1"/>
                <w:sz w:val="21"/>
                <w:szCs w:val="21"/>
                <w:lang w:eastAsia="zh-CN"/>
              </w:rPr>
              <w:t>柴</w:t>
            </w:r>
            <w:r>
              <w:rPr>
                <w:spacing w:val="-1"/>
                <w:sz w:val="21"/>
                <w:szCs w:val="21"/>
              </w:rPr>
              <w:t>油</w:t>
            </w:r>
          </w:p>
        </w:tc>
        <w:tc>
          <w:tcPr>
            <w:tcW w:w="1864" w:type="dxa"/>
            <w:vAlign w:val="center"/>
          </w:tcPr>
          <w:p w14:paraId="5BABC42F">
            <w:pPr>
              <w:pStyle w:val="547"/>
              <w:spacing w:before="82" w:line="183" w:lineRule="auto"/>
              <w:jc w:val="center"/>
              <w:rPr>
                <w:sz w:val="21"/>
                <w:szCs w:val="21"/>
              </w:rPr>
            </w:pPr>
            <w:r>
              <w:rPr>
                <w:spacing w:val="-1"/>
                <w:sz w:val="21"/>
                <w:szCs w:val="21"/>
              </w:rPr>
              <w:t>20.2</w:t>
            </w:r>
          </w:p>
        </w:tc>
        <w:tc>
          <w:tcPr>
            <w:tcW w:w="1181" w:type="dxa"/>
            <w:vAlign w:val="center"/>
          </w:tcPr>
          <w:p w14:paraId="5C2E7677">
            <w:pPr>
              <w:pStyle w:val="547"/>
              <w:spacing w:before="82" w:line="183" w:lineRule="auto"/>
              <w:jc w:val="center"/>
              <w:rPr>
                <w:sz w:val="21"/>
                <w:szCs w:val="21"/>
              </w:rPr>
            </w:pPr>
            <w:r>
              <w:rPr>
                <w:spacing w:val="-1"/>
                <w:sz w:val="21"/>
                <w:szCs w:val="21"/>
              </w:rPr>
              <w:t>98</w:t>
            </w:r>
          </w:p>
        </w:tc>
        <w:tc>
          <w:tcPr>
            <w:tcW w:w="2275" w:type="dxa"/>
            <w:vAlign w:val="center"/>
          </w:tcPr>
          <w:p w14:paraId="5ABE1424">
            <w:pPr>
              <w:pStyle w:val="547"/>
              <w:spacing w:before="82" w:line="183" w:lineRule="auto"/>
              <w:jc w:val="center"/>
              <w:rPr>
                <w:sz w:val="21"/>
                <w:szCs w:val="21"/>
              </w:rPr>
            </w:pPr>
            <w:r>
              <w:rPr>
                <w:spacing w:val="-1"/>
                <w:sz w:val="21"/>
                <w:szCs w:val="21"/>
              </w:rPr>
              <w:t>72.59</w:t>
            </w:r>
          </w:p>
        </w:tc>
      </w:tr>
      <w:tr w14:paraId="4E1C2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773" w:type="dxa"/>
            <w:vMerge w:val="continue"/>
            <w:tcBorders>
              <w:top w:val="nil"/>
              <w:bottom w:val="nil"/>
            </w:tcBorders>
            <w:vAlign w:val="center"/>
          </w:tcPr>
          <w:p w14:paraId="511A966E">
            <w:pPr>
              <w:jc w:val="center"/>
              <w:rPr>
                <w:rFonts w:ascii="Arial"/>
                <w:szCs w:val="21"/>
              </w:rPr>
            </w:pPr>
          </w:p>
        </w:tc>
        <w:tc>
          <w:tcPr>
            <w:tcW w:w="1745" w:type="dxa"/>
            <w:vAlign w:val="center"/>
          </w:tcPr>
          <w:p w14:paraId="321062B2">
            <w:pPr>
              <w:pStyle w:val="547"/>
              <w:spacing w:before="60" w:line="220" w:lineRule="auto"/>
              <w:ind w:left="42"/>
              <w:jc w:val="center"/>
              <w:rPr>
                <w:sz w:val="21"/>
                <w:szCs w:val="21"/>
              </w:rPr>
            </w:pPr>
            <w:r>
              <w:rPr>
                <w:spacing w:val="-2"/>
                <w:sz w:val="21"/>
                <w:szCs w:val="21"/>
              </w:rPr>
              <w:t>喷气煤油</w:t>
            </w:r>
          </w:p>
        </w:tc>
        <w:tc>
          <w:tcPr>
            <w:tcW w:w="1864" w:type="dxa"/>
            <w:vAlign w:val="center"/>
          </w:tcPr>
          <w:p w14:paraId="08C1D970">
            <w:pPr>
              <w:pStyle w:val="547"/>
              <w:spacing w:before="82" w:line="184" w:lineRule="auto"/>
              <w:jc w:val="center"/>
              <w:rPr>
                <w:sz w:val="21"/>
                <w:szCs w:val="21"/>
              </w:rPr>
            </w:pPr>
            <w:r>
              <w:rPr>
                <w:spacing w:val="-2"/>
                <w:sz w:val="21"/>
                <w:szCs w:val="21"/>
              </w:rPr>
              <w:t>19.5</w:t>
            </w:r>
          </w:p>
        </w:tc>
        <w:tc>
          <w:tcPr>
            <w:tcW w:w="1181" w:type="dxa"/>
            <w:vAlign w:val="center"/>
          </w:tcPr>
          <w:p w14:paraId="6A37EDF3">
            <w:pPr>
              <w:pStyle w:val="547"/>
              <w:spacing w:before="82" w:line="183" w:lineRule="auto"/>
              <w:jc w:val="center"/>
              <w:rPr>
                <w:sz w:val="21"/>
                <w:szCs w:val="21"/>
              </w:rPr>
            </w:pPr>
            <w:r>
              <w:rPr>
                <w:spacing w:val="-1"/>
                <w:sz w:val="21"/>
                <w:szCs w:val="21"/>
              </w:rPr>
              <w:t>98</w:t>
            </w:r>
          </w:p>
        </w:tc>
        <w:tc>
          <w:tcPr>
            <w:tcW w:w="2275" w:type="dxa"/>
            <w:vAlign w:val="center"/>
          </w:tcPr>
          <w:p w14:paraId="65162F03">
            <w:pPr>
              <w:pStyle w:val="547"/>
              <w:spacing w:before="82" w:line="183" w:lineRule="auto"/>
              <w:jc w:val="center"/>
              <w:rPr>
                <w:sz w:val="21"/>
                <w:szCs w:val="21"/>
              </w:rPr>
            </w:pPr>
            <w:r>
              <w:rPr>
                <w:spacing w:val="-1"/>
                <w:sz w:val="21"/>
                <w:szCs w:val="21"/>
              </w:rPr>
              <w:t>70.07</w:t>
            </w:r>
          </w:p>
        </w:tc>
      </w:tr>
      <w:tr w14:paraId="2A13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773" w:type="dxa"/>
            <w:vMerge w:val="continue"/>
            <w:tcBorders>
              <w:top w:val="nil"/>
              <w:bottom w:val="nil"/>
            </w:tcBorders>
            <w:vAlign w:val="center"/>
          </w:tcPr>
          <w:p w14:paraId="21F63204">
            <w:pPr>
              <w:jc w:val="center"/>
              <w:rPr>
                <w:rFonts w:ascii="Arial"/>
                <w:szCs w:val="21"/>
              </w:rPr>
            </w:pPr>
          </w:p>
        </w:tc>
        <w:tc>
          <w:tcPr>
            <w:tcW w:w="1745" w:type="dxa"/>
            <w:vAlign w:val="center"/>
          </w:tcPr>
          <w:p w14:paraId="08C3803E">
            <w:pPr>
              <w:pStyle w:val="547"/>
              <w:spacing w:before="70" w:line="220" w:lineRule="auto"/>
              <w:ind w:left="42"/>
              <w:jc w:val="center"/>
              <w:rPr>
                <w:sz w:val="21"/>
                <w:szCs w:val="21"/>
              </w:rPr>
            </w:pPr>
            <w:r>
              <w:rPr>
                <w:spacing w:val="-2"/>
                <w:sz w:val="21"/>
                <w:szCs w:val="21"/>
              </w:rPr>
              <w:t>一般煤油</w:t>
            </w:r>
          </w:p>
        </w:tc>
        <w:tc>
          <w:tcPr>
            <w:tcW w:w="1864" w:type="dxa"/>
            <w:vAlign w:val="center"/>
          </w:tcPr>
          <w:p w14:paraId="67B405B1">
            <w:pPr>
              <w:pStyle w:val="547"/>
              <w:spacing w:before="92" w:line="184" w:lineRule="auto"/>
              <w:jc w:val="center"/>
              <w:rPr>
                <w:sz w:val="21"/>
                <w:szCs w:val="21"/>
              </w:rPr>
            </w:pPr>
            <w:r>
              <w:rPr>
                <w:spacing w:val="-2"/>
                <w:sz w:val="21"/>
                <w:szCs w:val="21"/>
              </w:rPr>
              <w:t>19.6</w:t>
            </w:r>
          </w:p>
        </w:tc>
        <w:tc>
          <w:tcPr>
            <w:tcW w:w="1181" w:type="dxa"/>
            <w:vAlign w:val="center"/>
          </w:tcPr>
          <w:p w14:paraId="1554A0CB">
            <w:pPr>
              <w:pStyle w:val="547"/>
              <w:spacing w:before="92" w:line="183" w:lineRule="auto"/>
              <w:jc w:val="center"/>
              <w:rPr>
                <w:sz w:val="21"/>
                <w:szCs w:val="21"/>
              </w:rPr>
            </w:pPr>
            <w:r>
              <w:rPr>
                <w:spacing w:val="-1"/>
                <w:sz w:val="21"/>
                <w:szCs w:val="21"/>
              </w:rPr>
              <w:t>98</w:t>
            </w:r>
          </w:p>
        </w:tc>
        <w:tc>
          <w:tcPr>
            <w:tcW w:w="2275" w:type="dxa"/>
            <w:vAlign w:val="center"/>
          </w:tcPr>
          <w:p w14:paraId="1BD0A66E">
            <w:pPr>
              <w:pStyle w:val="547"/>
              <w:spacing w:before="92" w:line="183" w:lineRule="auto"/>
              <w:jc w:val="center"/>
              <w:rPr>
                <w:sz w:val="21"/>
                <w:szCs w:val="21"/>
              </w:rPr>
            </w:pPr>
            <w:r>
              <w:rPr>
                <w:spacing w:val="-1"/>
                <w:sz w:val="21"/>
                <w:szCs w:val="21"/>
              </w:rPr>
              <w:t>70.43</w:t>
            </w:r>
          </w:p>
        </w:tc>
      </w:tr>
      <w:tr w14:paraId="0800B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773" w:type="dxa"/>
            <w:vMerge w:val="continue"/>
            <w:tcBorders>
              <w:top w:val="nil"/>
              <w:bottom w:val="nil"/>
            </w:tcBorders>
            <w:vAlign w:val="center"/>
          </w:tcPr>
          <w:p w14:paraId="4F3F7FD9">
            <w:pPr>
              <w:jc w:val="center"/>
              <w:rPr>
                <w:rFonts w:ascii="Arial"/>
                <w:szCs w:val="21"/>
              </w:rPr>
            </w:pPr>
          </w:p>
        </w:tc>
        <w:tc>
          <w:tcPr>
            <w:tcW w:w="1745" w:type="dxa"/>
            <w:vAlign w:val="center"/>
          </w:tcPr>
          <w:p w14:paraId="0D80FD67">
            <w:pPr>
              <w:pStyle w:val="547"/>
              <w:spacing w:before="61" w:line="220" w:lineRule="auto"/>
              <w:ind w:left="42"/>
              <w:jc w:val="center"/>
              <w:rPr>
                <w:sz w:val="21"/>
                <w:szCs w:val="21"/>
                <w:lang w:eastAsia="zh-CN"/>
              </w:rPr>
            </w:pPr>
            <w:r>
              <w:rPr>
                <w:rFonts w:hint="eastAsia"/>
                <w:spacing w:val="-8"/>
                <w:sz w:val="21"/>
                <w:szCs w:val="21"/>
                <w:lang w:eastAsia="zh-CN"/>
              </w:rPr>
              <w:t>NGL</w:t>
            </w:r>
            <w:r>
              <w:rPr>
                <w:spacing w:val="-8"/>
                <w:sz w:val="21"/>
                <w:szCs w:val="21"/>
              </w:rPr>
              <w:t xml:space="preserve"> </w:t>
            </w:r>
            <w:r>
              <w:rPr>
                <w:spacing w:val="-3"/>
                <w:sz w:val="21"/>
                <w:szCs w:val="21"/>
              </w:rPr>
              <w:t>天然气疑</w:t>
            </w:r>
            <w:r>
              <w:rPr>
                <w:rFonts w:hint="eastAsia"/>
                <w:spacing w:val="-3"/>
                <w:sz w:val="21"/>
                <w:szCs w:val="21"/>
                <w:lang w:eastAsia="zh-CN"/>
              </w:rPr>
              <w:t>液</w:t>
            </w:r>
          </w:p>
        </w:tc>
        <w:tc>
          <w:tcPr>
            <w:tcW w:w="1864" w:type="dxa"/>
            <w:vAlign w:val="center"/>
          </w:tcPr>
          <w:p w14:paraId="1DCDA1AB">
            <w:pPr>
              <w:pStyle w:val="547"/>
              <w:spacing w:before="83" w:line="184" w:lineRule="auto"/>
              <w:jc w:val="center"/>
              <w:rPr>
                <w:sz w:val="21"/>
                <w:szCs w:val="21"/>
              </w:rPr>
            </w:pPr>
            <w:r>
              <w:rPr>
                <w:spacing w:val="-2"/>
                <w:sz w:val="21"/>
                <w:szCs w:val="21"/>
              </w:rPr>
              <w:t>17.2</w:t>
            </w:r>
          </w:p>
        </w:tc>
        <w:tc>
          <w:tcPr>
            <w:tcW w:w="1181" w:type="dxa"/>
            <w:vAlign w:val="center"/>
          </w:tcPr>
          <w:p w14:paraId="2B1D063E">
            <w:pPr>
              <w:pStyle w:val="547"/>
              <w:spacing w:before="83" w:line="183" w:lineRule="auto"/>
              <w:jc w:val="center"/>
              <w:rPr>
                <w:sz w:val="21"/>
                <w:szCs w:val="21"/>
              </w:rPr>
            </w:pPr>
            <w:r>
              <w:rPr>
                <w:spacing w:val="-1"/>
                <w:sz w:val="21"/>
                <w:szCs w:val="21"/>
              </w:rPr>
              <w:t>98</w:t>
            </w:r>
          </w:p>
        </w:tc>
        <w:tc>
          <w:tcPr>
            <w:tcW w:w="2275" w:type="dxa"/>
            <w:vAlign w:val="center"/>
          </w:tcPr>
          <w:p w14:paraId="18A6BC1E">
            <w:pPr>
              <w:pStyle w:val="547"/>
              <w:spacing w:before="83" w:line="184" w:lineRule="auto"/>
              <w:jc w:val="center"/>
              <w:rPr>
                <w:sz w:val="21"/>
                <w:szCs w:val="21"/>
              </w:rPr>
            </w:pPr>
            <w:r>
              <w:rPr>
                <w:spacing w:val="-1"/>
                <w:sz w:val="21"/>
                <w:szCs w:val="21"/>
              </w:rPr>
              <w:t>61.81</w:t>
            </w:r>
          </w:p>
        </w:tc>
      </w:tr>
      <w:tr w14:paraId="35A5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773" w:type="dxa"/>
            <w:vMerge w:val="continue"/>
            <w:tcBorders>
              <w:top w:val="nil"/>
              <w:bottom w:val="nil"/>
            </w:tcBorders>
            <w:vAlign w:val="center"/>
          </w:tcPr>
          <w:p w14:paraId="591AD877">
            <w:pPr>
              <w:jc w:val="center"/>
              <w:rPr>
                <w:rFonts w:ascii="Arial"/>
                <w:szCs w:val="21"/>
              </w:rPr>
            </w:pPr>
          </w:p>
        </w:tc>
        <w:tc>
          <w:tcPr>
            <w:tcW w:w="1745" w:type="dxa"/>
            <w:vAlign w:val="center"/>
          </w:tcPr>
          <w:p w14:paraId="4BB8F6E5">
            <w:pPr>
              <w:pStyle w:val="547"/>
              <w:spacing w:before="70" w:line="220" w:lineRule="auto"/>
              <w:ind w:left="42"/>
              <w:jc w:val="center"/>
              <w:rPr>
                <w:sz w:val="21"/>
                <w:szCs w:val="21"/>
              </w:rPr>
            </w:pPr>
            <w:r>
              <w:rPr>
                <w:spacing w:val="-1"/>
                <w:sz w:val="21"/>
                <w:szCs w:val="21"/>
              </w:rPr>
              <w:t>LPG液化石油气</w:t>
            </w:r>
          </w:p>
        </w:tc>
        <w:tc>
          <w:tcPr>
            <w:tcW w:w="1864" w:type="dxa"/>
            <w:vAlign w:val="center"/>
          </w:tcPr>
          <w:p w14:paraId="2F5932B7">
            <w:pPr>
              <w:pStyle w:val="547"/>
              <w:spacing w:before="93" w:line="184" w:lineRule="auto"/>
              <w:jc w:val="center"/>
              <w:rPr>
                <w:sz w:val="21"/>
                <w:szCs w:val="21"/>
              </w:rPr>
            </w:pPr>
            <w:r>
              <w:rPr>
                <w:spacing w:val="-2"/>
                <w:sz w:val="21"/>
                <w:szCs w:val="21"/>
              </w:rPr>
              <w:t>17.2</w:t>
            </w:r>
          </w:p>
        </w:tc>
        <w:tc>
          <w:tcPr>
            <w:tcW w:w="1181" w:type="dxa"/>
            <w:vAlign w:val="center"/>
          </w:tcPr>
          <w:p w14:paraId="64AD8849">
            <w:pPr>
              <w:pStyle w:val="547"/>
              <w:spacing w:before="93" w:line="183" w:lineRule="auto"/>
              <w:jc w:val="center"/>
              <w:rPr>
                <w:sz w:val="21"/>
                <w:szCs w:val="21"/>
              </w:rPr>
            </w:pPr>
            <w:r>
              <w:rPr>
                <w:spacing w:val="-1"/>
                <w:sz w:val="21"/>
                <w:szCs w:val="21"/>
              </w:rPr>
              <w:t>98</w:t>
            </w:r>
          </w:p>
        </w:tc>
        <w:tc>
          <w:tcPr>
            <w:tcW w:w="2275" w:type="dxa"/>
            <w:vAlign w:val="center"/>
          </w:tcPr>
          <w:p w14:paraId="223019A2">
            <w:pPr>
              <w:pStyle w:val="547"/>
              <w:spacing w:before="93" w:line="184" w:lineRule="auto"/>
              <w:jc w:val="center"/>
              <w:rPr>
                <w:sz w:val="21"/>
                <w:szCs w:val="21"/>
              </w:rPr>
            </w:pPr>
            <w:r>
              <w:rPr>
                <w:spacing w:val="-1"/>
                <w:sz w:val="21"/>
                <w:szCs w:val="21"/>
              </w:rPr>
              <w:t>61.81</w:t>
            </w:r>
          </w:p>
        </w:tc>
      </w:tr>
      <w:tr w14:paraId="3E6C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73" w:type="dxa"/>
            <w:vMerge w:val="continue"/>
            <w:tcBorders>
              <w:top w:val="nil"/>
              <w:bottom w:val="nil"/>
            </w:tcBorders>
            <w:vAlign w:val="center"/>
          </w:tcPr>
          <w:p w14:paraId="67D73D35">
            <w:pPr>
              <w:jc w:val="center"/>
              <w:rPr>
                <w:rFonts w:ascii="Arial"/>
                <w:szCs w:val="21"/>
              </w:rPr>
            </w:pPr>
          </w:p>
        </w:tc>
        <w:tc>
          <w:tcPr>
            <w:tcW w:w="1745" w:type="dxa"/>
            <w:vAlign w:val="center"/>
          </w:tcPr>
          <w:p w14:paraId="69856E01">
            <w:pPr>
              <w:pStyle w:val="547"/>
              <w:spacing w:before="61" w:line="219" w:lineRule="auto"/>
              <w:ind w:left="42"/>
              <w:jc w:val="center"/>
              <w:rPr>
                <w:sz w:val="21"/>
                <w:szCs w:val="21"/>
              </w:rPr>
            </w:pPr>
            <w:r>
              <w:rPr>
                <w:spacing w:val="-1"/>
                <w:sz w:val="21"/>
                <w:szCs w:val="21"/>
              </w:rPr>
              <w:t>炼厂干气</w:t>
            </w:r>
          </w:p>
        </w:tc>
        <w:tc>
          <w:tcPr>
            <w:tcW w:w="1864" w:type="dxa"/>
            <w:vAlign w:val="center"/>
          </w:tcPr>
          <w:p w14:paraId="3685B439">
            <w:pPr>
              <w:pStyle w:val="547"/>
              <w:spacing w:before="84" w:line="184" w:lineRule="auto"/>
              <w:jc w:val="center"/>
              <w:rPr>
                <w:sz w:val="21"/>
                <w:szCs w:val="21"/>
              </w:rPr>
            </w:pPr>
            <w:r>
              <w:rPr>
                <w:spacing w:val="-2"/>
                <w:sz w:val="21"/>
                <w:szCs w:val="21"/>
              </w:rPr>
              <w:t>18.2</w:t>
            </w:r>
          </w:p>
        </w:tc>
        <w:tc>
          <w:tcPr>
            <w:tcW w:w="1181" w:type="dxa"/>
            <w:vAlign w:val="center"/>
          </w:tcPr>
          <w:p w14:paraId="5F4D3F04">
            <w:pPr>
              <w:pStyle w:val="547"/>
              <w:spacing w:before="84" w:line="183" w:lineRule="auto"/>
              <w:jc w:val="center"/>
              <w:rPr>
                <w:sz w:val="21"/>
                <w:szCs w:val="21"/>
              </w:rPr>
            </w:pPr>
            <w:r>
              <w:rPr>
                <w:spacing w:val="-1"/>
                <w:sz w:val="21"/>
                <w:szCs w:val="21"/>
              </w:rPr>
              <w:t>98</w:t>
            </w:r>
          </w:p>
        </w:tc>
        <w:tc>
          <w:tcPr>
            <w:tcW w:w="2275" w:type="dxa"/>
            <w:vAlign w:val="center"/>
          </w:tcPr>
          <w:p w14:paraId="3500790B">
            <w:pPr>
              <w:pStyle w:val="547"/>
              <w:spacing w:before="84" w:line="183" w:lineRule="auto"/>
              <w:jc w:val="center"/>
              <w:rPr>
                <w:sz w:val="21"/>
                <w:szCs w:val="21"/>
              </w:rPr>
            </w:pPr>
            <w:r>
              <w:rPr>
                <w:spacing w:val="-1"/>
                <w:sz w:val="21"/>
                <w:szCs w:val="21"/>
              </w:rPr>
              <w:t>65.40</w:t>
            </w:r>
          </w:p>
        </w:tc>
      </w:tr>
      <w:tr w14:paraId="6B78E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73" w:type="dxa"/>
            <w:vMerge w:val="continue"/>
            <w:tcBorders>
              <w:top w:val="nil"/>
              <w:bottom w:val="nil"/>
            </w:tcBorders>
            <w:vAlign w:val="center"/>
          </w:tcPr>
          <w:p w14:paraId="2C49E248">
            <w:pPr>
              <w:jc w:val="center"/>
              <w:rPr>
                <w:rFonts w:ascii="Arial"/>
                <w:szCs w:val="21"/>
              </w:rPr>
            </w:pPr>
          </w:p>
        </w:tc>
        <w:tc>
          <w:tcPr>
            <w:tcW w:w="1745" w:type="dxa"/>
            <w:vAlign w:val="center"/>
          </w:tcPr>
          <w:p w14:paraId="3050E017">
            <w:pPr>
              <w:pStyle w:val="547"/>
              <w:spacing w:before="62" w:line="221" w:lineRule="auto"/>
              <w:ind w:left="42"/>
              <w:jc w:val="center"/>
              <w:rPr>
                <w:sz w:val="21"/>
                <w:szCs w:val="21"/>
              </w:rPr>
            </w:pPr>
            <w:r>
              <w:rPr>
                <w:spacing w:val="-1"/>
                <w:sz w:val="21"/>
                <w:szCs w:val="21"/>
              </w:rPr>
              <w:t>石脑油</w:t>
            </w:r>
          </w:p>
        </w:tc>
        <w:tc>
          <w:tcPr>
            <w:tcW w:w="1864" w:type="dxa"/>
            <w:vAlign w:val="center"/>
          </w:tcPr>
          <w:p w14:paraId="3A632914">
            <w:pPr>
              <w:pStyle w:val="547"/>
              <w:spacing w:before="84" w:line="183" w:lineRule="auto"/>
              <w:jc w:val="center"/>
              <w:rPr>
                <w:sz w:val="21"/>
                <w:szCs w:val="21"/>
              </w:rPr>
            </w:pPr>
            <w:r>
              <w:rPr>
                <w:spacing w:val="-1"/>
                <w:sz w:val="21"/>
                <w:szCs w:val="21"/>
              </w:rPr>
              <w:t>20.0</w:t>
            </w:r>
          </w:p>
        </w:tc>
        <w:tc>
          <w:tcPr>
            <w:tcW w:w="1181" w:type="dxa"/>
            <w:vAlign w:val="center"/>
          </w:tcPr>
          <w:p w14:paraId="01A73A23">
            <w:pPr>
              <w:pStyle w:val="547"/>
              <w:spacing w:before="84" w:line="183" w:lineRule="auto"/>
              <w:jc w:val="center"/>
              <w:rPr>
                <w:sz w:val="21"/>
                <w:szCs w:val="21"/>
              </w:rPr>
            </w:pPr>
            <w:r>
              <w:rPr>
                <w:spacing w:val="-1"/>
                <w:sz w:val="21"/>
                <w:szCs w:val="21"/>
              </w:rPr>
              <w:t>98</w:t>
            </w:r>
          </w:p>
        </w:tc>
        <w:tc>
          <w:tcPr>
            <w:tcW w:w="2275" w:type="dxa"/>
            <w:vAlign w:val="center"/>
          </w:tcPr>
          <w:p w14:paraId="74B69DF0">
            <w:pPr>
              <w:pStyle w:val="547"/>
              <w:spacing w:before="84" w:line="184" w:lineRule="auto"/>
              <w:jc w:val="center"/>
              <w:rPr>
                <w:sz w:val="21"/>
                <w:szCs w:val="21"/>
              </w:rPr>
            </w:pPr>
            <w:r>
              <w:rPr>
                <w:spacing w:val="-1"/>
                <w:sz w:val="21"/>
                <w:szCs w:val="21"/>
              </w:rPr>
              <w:t>71.87</w:t>
            </w:r>
          </w:p>
        </w:tc>
      </w:tr>
      <w:tr w14:paraId="3D5E9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773" w:type="dxa"/>
            <w:vMerge w:val="continue"/>
            <w:tcBorders>
              <w:top w:val="nil"/>
              <w:bottom w:val="nil"/>
            </w:tcBorders>
            <w:vAlign w:val="center"/>
          </w:tcPr>
          <w:p w14:paraId="2F4476CA">
            <w:pPr>
              <w:jc w:val="center"/>
              <w:rPr>
                <w:rFonts w:ascii="Arial"/>
                <w:szCs w:val="21"/>
              </w:rPr>
            </w:pPr>
          </w:p>
        </w:tc>
        <w:tc>
          <w:tcPr>
            <w:tcW w:w="1745" w:type="dxa"/>
            <w:vAlign w:val="center"/>
          </w:tcPr>
          <w:p w14:paraId="088FEC79">
            <w:pPr>
              <w:pStyle w:val="547"/>
              <w:spacing w:before="71" w:line="219" w:lineRule="auto"/>
              <w:ind w:left="42"/>
              <w:jc w:val="center"/>
              <w:rPr>
                <w:sz w:val="21"/>
                <w:szCs w:val="21"/>
              </w:rPr>
            </w:pPr>
            <w:r>
              <w:rPr>
                <w:spacing w:val="-1"/>
                <w:sz w:val="21"/>
                <w:szCs w:val="21"/>
              </w:rPr>
              <w:t>沥青</w:t>
            </w:r>
          </w:p>
        </w:tc>
        <w:tc>
          <w:tcPr>
            <w:tcW w:w="1864" w:type="dxa"/>
            <w:vAlign w:val="center"/>
          </w:tcPr>
          <w:p w14:paraId="1C2356A2">
            <w:pPr>
              <w:pStyle w:val="547"/>
              <w:spacing w:before="94" w:line="183" w:lineRule="auto"/>
              <w:jc w:val="center"/>
              <w:rPr>
                <w:sz w:val="21"/>
                <w:szCs w:val="21"/>
              </w:rPr>
            </w:pPr>
            <w:r>
              <w:rPr>
                <w:spacing w:val="-1"/>
                <w:sz w:val="21"/>
                <w:szCs w:val="21"/>
              </w:rPr>
              <w:t>22.0</w:t>
            </w:r>
          </w:p>
        </w:tc>
        <w:tc>
          <w:tcPr>
            <w:tcW w:w="1181" w:type="dxa"/>
            <w:vAlign w:val="center"/>
          </w:tcPr>
          <w:p w14:paraId="79696074">
            <w:pPr>
              <w:pStyle w:val="547"/>
              <w:spacing w:before="94" w:line="183" w:lineRule="auto"/>
              <w:jc w:val="center"/>
              <w:rPr>
                <w:sz w:val="21"/>
                <w:szCs w:val="21"/>
              </w:rPr>
            </w:pPr>
            <w:r>
              <w:rPr>
                <w:spacing w:val="-1"/>
                <w:sz w:val="21"/>
                <w:szCs w:val="21"/>
              </w:rPr>
              <w:t>98</w:t>
            </w:r>
          </w:p>
        </w:tc>
        <w:tc>
          <w:tcPr>
            <w:tcW w:w="2275" w:type="dxa"/>
            <w:vAlign w:val="center"/>
          </w:tcPr>
          <w:p w14:paraId="192B05DE">
            <w:pPr>
              <w:pStyle w:val="547"/>
              <w:spacing w:before="94" w:line="183" w:lineRule="auto"/>
              <w:jc w:val="center"/>
              <w:rPr>
                <w:sz w:val="21"/>
                <w:szCs w:val="21"/>
              </w:rPr>
            </w:pPr>
            <w:r>
              <w:rPr>
                <w:spacing w:val="-1"/>
                <w:sz w:val="21"/>
                <w:szCs w:val="21"/>
              </w:rPr>
              <w:t>79.05</w:t>
            </w:r>
          </w:p>
        </w:tc>
      </w:tr>
      <w:tr w14:paraId="36070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773" w:type="dxa"/>
            <w:vMerge w:val="continue"/>
            <w:tcBorders>
              <w:top w:val="nil"/>
              <w:bottom w:val="nil"/>
            </w:tcBorders>
            <w:vAlign w:val="center"/>
          </w:tcPr>
          <w:p w14:paraId="1274E3F3">
            <w:pPr>
              <w:jc w:val="center"/>
              <w:rPr>
                <w:rFonts w:ascii="Arial"/>
                <w:szCs w:val="21"/>
              </w:rPr>
            </w:pPr>
          </w:p>
        </w:tc>
        <w:tc>
          <w:tcPr>
            <w:tcW w:w="1745" w:type="dxa"/>
            <w:vAlign w:val="center"/>
          </w:tcPr>
          <w:p w14:paraId="1B4F27E2">
            <w:pPr>
              <w:pStyle w:val="547"/>
              <w:spacing w:before="62" w:line="220" w:lineRule="auto"/>
              <w:ind w:left="42"/>
              <w:jc w:val="center"/>
              <w:rPr>
                <w:sz w:val="21"/>
                <w:szCs w:val="21"/>
              </w:rPr>
            </w:pPr>
            <w:r>
              <w:rPr>
                <w:spacing w:val="-1"/>
                <w:sz w:val="21"/>
                <w:szCs w:val="21"/>
              </w:rPr>
              <w:t>润滑油</w:t>
            </w:r>
          </w:p>
        </w:tc>
        <w:tc>
          <w:tcPr>
            <w:tcW w:w="1864" w:type="dxa"/>
            <w:vAlign w:val="center"/>
          </w:tcPr>
          <w:p w14:paraId="55783B5A">
            <w:pPr>
              <w:pStyle w:val="547"/>
              <w:spacing w:before="85" w:line="183" w:lineRule="auto"/>
              <w:jc w:val="center"/>
              <w:rPr>
                <w:sz w:val="21"/>
                <w:szCs w:val="21"/>
              </w:rPr>
            </w:pPr>
            <w:r>
              <w:rPr>
                <w:spacing w:val="-1"/>
                <w:sz w:val="21"/>
                <w:szCs w:val="21"/>
              </w:rPr>
              <w:t>20.0</w:t>
            </w:r>
          </w:p>
        </w:tc>
        <w:tc>
          <w:tcPr>
            <w:tcW w:w="1181" w:type="dxa"/>
            <w:vAlign w:val="center"/>
          </w:tcPr>
          <w:p w14:paraId="6AB68E29">
            <w:pPr>
              <w:pStyle w:val="547"/>
              <w:spacing w:before="85" w:line="183" w:lineRule="auto"/>
              <w:jc w:val="center"/>
              <w:rPr>
                <w:sz w:val="21"/>
                <w:szCs w:val="21"/>
              </w:rPr>
            </w:pPr>
            <w:r>
              <w:rPr>
                <w:spacing w:val="-1"/>
                <w:sz w:val="21"/>
                <w:szCs w:val="21"/>
              </w:rPr>
              <w:t>98</w:t>
            </w:r>
          </w:p>
        </w:tc>
        <w:tc>
          <w:tcPr>
            <w:tcW w:w="2275" w:type="dxa"/>
            <w:vAlign w:val="center"/>
          </w:tcPr>
          <w:p w14:paraId="2B59E1A0">
            <w:pPr>
              <w:pStyle w:val="547"/>
              <w:spacing w:before="85" w:line="184" w:lineRule="auto"/>
              <w:jc w:val="center"/>
              <w:rPr>
                <w:sz w:val="21"/>
                <w:szCs w:val="21"/>
              </w:rPr>
            </w:pPr>
            <w:r>
              <w:rPr>
                <w:spacing w:val="-1"/>
                <w:sz w:val="21"/>
                <w:szCs w:val="21"/>
              </w:rPr>
              <w:t>71.87</w:t>
            </w:r>
          </w:p>
        </w:tc>
      </w:tr>
      <w:tr w14:paraId="6929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773" w:type="dxa"/>
            <w:vMerge w:val="continue"/>
            <w:tcBorders>
              <w:top w:val="nil"/>
              <w:bottom w:val="nil"/>
            </w:tcBorders>
            <w:vAlign w:val="center"/>
          </w:tcPr>
          <w:p w14:paraId="6A98BB25">
            <w:pPr>
              <w:jc w:val="center"/>
              <w:rPr>
                <w:rFonts w:ascii="Arial"/>
                <w:szCs w:val="21"/>
              </w:rPr>
            </w:pPr>
          </w:p>
        </w:tc>
        <w:tc>
          <w:tcPr>
            <w:tcW w:w="1745" w:type="dxa"/>
            <w:vAlign w:val="center"/>
          </w:tcPr>
          <w:p w14:paraId="2924F701">
            <w:pPr>
              <w:pStyle w:val="547"/>
              <w:spacing w:before="73" w:line="221" w:lineRule="auto"/>
              <w:ind w:left="42"/>
              <w:jc w:val="center"/>
              <w:rPr>
                <w:sz w:val="21"/>
                <w:szCs w:val="21"/>
              </w:rPr>
            </w:pPr>
            <w:r>
              <w:rPr>
                <w:spacing w:val="-1"/>
                <w:sz w:val="21"/>
                <w:szCs w:val="21"/>
              </w:rPr>
              <w:t>石油焦</w:t>
            </w:r>
          </w:p>
        </w:tc>
        <w:tc>
          <w:tcPr>
            <w:tcW w:w="1864" w:type="dxa"/>
            <w:vAlign w:val="center"/>
          </w:tcPr>
          <w:p w14:paraId="0712C3E6">
            <w:pPr>
              <w:pStyle w:val="547"/>
              <w:spacing w:before="95" w:line="183" w:lineRule="auto"/>
              <w:jc w:val="center"/>
              <w:rPr>
                <w:sz w:val="21"/>
                <w:szCs w:val="21"/>
              </w:rPr>
            </w:pPr>
            <w:r>
              <w:rPr>
                <w:spacing w:val="-1"/>
                <w:sz w:val="21"/>
                <w:szCs w:val="21"/>
              </w:rPr>
              <w:t>27.5</w:t>
            </w:r>
          </w:p>
        </w:tc>
        <w:tc>
          <w:tcPr>
            <w:tcW w:w="1181" w:type="dxa"/>
            <w:vAlign w:val="center"/>
          </w:tcPr>
          <w:p w14:paraId="5C07F91A">
            <w:pPr>
              <w:pStyle w:val="547"/>
              <w:spacing w:before="95" w:line="183" w:lineRule="auto"/>
              <w:jc w:val="center"/>
              <w:rPr>
                <w:sz w:val="21"/>
                <w:szCs w:val="21"/>
              </w:rPr>
            </w:pPr>
            <w:r>
              <w:rPr>
                <w:spacing w:val="-1"/>
                <w:sz w:val="21"/>
                <w:szCs w:val="21"/>
              </w:rPr>
              <w:t>98</w:t>
            </w:r>
          </w:p>
        </w:tc>
        <w:tc>
          <w:tcPr>
            <w:tcW w:w="2275" w:type="dxa"/>
            <w:vAlign w:val="center"/>
          </w:tcPr>
          <w:p w14:paraId="25FE22A5">
            <w:pPr>
              <w:pStyle w:val="547"/>
              <w:spacing w:before="95" w:line="183" w:lineRule="auto"/>
              <w:jc w:val="center"/>
              <w:rPr>
                <w:sz w:val="21"/>
                <w:szCs w:val="21"/>
              </w:rPr>
            </w:pPr>
            <w:r>
              <w:rPr>
                <w:spacing w:val="-1"/>
                <w:sz w:val="21"/>
                <w:szCs w:val="21"/>
              </w:rPr>
              <w:t>98.82</w:t>
            </w:r>
          </w:p>
        </w:tc>
      </w:tr>
      <w:tr w14:paraId="6EB1E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Merge w:val="continue"/>
            <w:tcBorders>
              <w:top w:val="nil"/>
              <w:bottom w:val="nil"/>
            </w:tcBorders>
            <w:vAlign w:val="center"/>
          </w:tcPr>
          <w:p w14:paraId="5E919372">
            <w:pPr>
              <w:jc w:val="center"/>
              <w:rPr>
                <w:rFonts w:ascii="Arial"/>
                <w:szCs w:val="21"/>
              </w:rPr>
            </w:pPr>
          </w:p>
        </w:tc>
        <w:tc>
          <w:tcPr>
            <w:tcW w:w="1745" w:type="dxa"/>
            <w:vAlign w:val="center"/>
          </w:tcPr>
          <w:p w14:paraId="0661D75F">
            <w:pPr>
              <w:pStyle w:val="547"/>
              <w:spacing w:before="63" w:line="220" w:lineRule="auto"/>
              <w:ind w:left="42"/>
              <w:jc w:val="center"/>
              <w:rPr>
                <w:sz w:val="21"/>
                <w:szCs w:val="21"/>
              </w:rPr>
            </w:pPr>
            <w:r>
              <w:rPr>
                <w:spacing w:val="-1"/>
                <w:sz w:val="21"/>
                <w:szCs w:val="21"/>
              </w:rPr>
              <w:t>石化原料油</w:t>
            </w:r>
          </w:p>
        </w:tc>
        <w:tc>
          <w:tcPr>
            <w:tcW w:w="1864" w:type="dxa"/>
            <w:vAlign w:val="center"/>
          </w:tcPr>
          <w:p w14:paraId="206AF627">
            <w:pPr>
              <w:pStyle w:val="547"/>
              <w:spacing w:before="86" w:line="183" w:lineRule="auto"/>
              <w:jc w:val="center"/>
              <w:rPr>
                <w:sz w:val="21"/>
                <w:szCs w:val="21"/>
              </w:rPr>
            </w:pPr>
            <w:r>
              <w:rPr>
                <w:spacing w:val="-1"/>
                <w:sz w:val="21"/>
                <w:szCs w:val="21"/>
              </w:rPr>
              <w:t>20.0</w:t>
            </w:r>
          </w:p>
        </w:tc>
        <w:tc>
          <w:tcPr>
            <w:tcW w:w="1181" w:type="dxa"/>
            <w:vAlign w:val="center"/>
          </w:tcPr>
          <w:p w14:paraId="06BC816D">
            <w:pPr>
              <w:pStyle w:val="547"/>
              <w:spacing w:before="86" w:line="183" w:lineRule="auto"/>
              <w:jc w:val="center"/>
              <w:rPr>
                <w:sz w:val="21"/>
                <w:szCs w:val="21"/>
              </w:rPr>
            </w:pPr>
            <w:r>
              <w:rPr>
                <w:spacing w:val="-1"/>
                <w:sz w:val="21"/>
                <w:szCs w:val="21"/>
              </w:rPr>
              <w:t>98</w:t>
            </w:r>
          </w:p>
        </w:tc>
        <w:tc>
          <w:tcPr>
            <w:tcW w:w="2275" w:type="dxa"/>
            <w:vAlign w:val="center"/>
          </w:tcPr>
          <w:p w14:paraId="64F7B563">
            <w:pPr>
              <w:pStyle w:val="547"/>
              <w:spacing w:before="86" w:line="184" w:lineRule="auto"/>
              <w:jc w:val="center"/>
              <w:rPr>
                <w:sz w:val="21"/>
                <w:szCs w:val="21"/>
              </w:rPr>
            </w:pPr>
            <w:r>
              <w:rPr>
                <w:spacing w:val="-1"/>
                <w:sz w:val="21"/>
                <w:szCs w:val="21"/>
              </w:rPr>
              <w:t>71.87</w:t>
            </w:r>
          </w:p>
        </w:tc>
      </w:tr>
      <w:tr w14:paraId="1080C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Merge w:val="continue"/>
            <w:tcBorders>
              <w:top w:val="nil"/>
            </w:tcBorders>
            <w:vAlign w:val="center"/>
          </w:tcPr>
          <w:p w14:paraId="317FB679">
            <w:pPr>
              <w:jc w:val="center"/>
              <w:rPr>
                <w:rFonts w:ascii="Arial"/>
                <w:szCs w:val="21"/>
              </w:rPr>
            </w:pPr>
          </w:p>
        </w:tc>
        <w:tc>
          <w:tcPr>
            <w:tcW w:w="1745" w:type="dxa"/>
            <w:vAlign w:val="center"/>
          </w:tcPr>
          <w:p w14:paraId="220A338B">
            <w:pPr>
              <w:pStyle w:val="547"/>
              <w:spacing w:before="63" w:line="220" w:lineRule="auto"/>
              <w:ind w:left="42"/>
              <w:jc w:val="center"/>
              <w:rPr>
                <w:sz w:val="21"/>
                <w:szCs w:val="21"/>
              </w:rPr>
            </w:pPr>
            <w:r>
              <w:rPr>
                <w:spacing w:val="-1"/>
                <w:sz w:val="21"/>
                <w:szCs w:val="21"/>
              </w:rPr>
              <w:t>其他油品</w:t>
            </w:r>
          </w:p>
        </w:tc>
        <w:tc>
          <w:tcPr>
            <w:tcW w:w="1864" w:type="dxa"/>
            <w:vAlign w:val="center"/>
          </w:tcPr>
          <w:p w14:paraId="6842E75B">
            <w:pPr>
              <w:pStyle w:val="547"/>
              <w:spacing w:before="86" w:line="183" w:lineRule="auto"/>
              <w:jc w:val="center"/>
              <w:rPr>
                <w:sz w:val="21"/>
                <w:szCs w:val="21"/>
              </w:rPr>
            </w:pPr>
            <w:r>
              <w:rPr>
                <w:spacing w:val="-1"/>
                <w:sz w:val="21"/>
                <w:szCs w:val="21"/>
              </w:rPr>
              <w:t>20.0</w:t>
            </w:r>
          </w:p>
        </w:tc>
        <w:tc>
          <w:tcPr>
            <w:tcW w:w="1181" w:type="dxa"/>
            <w:vAlign w:val="center"/>
          </w:tcPr>
          <w:p w14:paraId="5329988B">
            <w:pPr>
              <w:pStyle w:val="547"/>
              <w:spacing w:before="86" w:line="183" w:lineRule="auto"/>
              <w:jc w:val="center"/>
              <w:rPr>
                <w:sz w:val="21"/>
                <w:szCs w:val="21"/>
              </w:rPr>
            </w:pPr>
            <w:r>
              <w:rPr>
                <w:spacing w:val="-1"/>
                <w:sz w:val="21"/>
                <w:szCs w:val="21"/>
              </w:rPr>
              <w:t>98</w:t>
            </w:r>
          </w:p>
        </w:tc>
        <w:tc>
          <w:tcPr>
            <w:tcW w:w="2275" w:type="dxa"/>
            <w:vAlign w:val="center"/>
          </w:tcPr>
          <w:p w14:paraId="4CEA8562">
            <w:pPr>
              <w:pStyle w:val="547"/>
              <w:spacing w:before="86" w:line="184" w:lineRule="auto"/>
              <w:jc w:val="center"/>
              <w:rPr>
                <w:sz w:val="21"/>
                <w:szCs w:val="21"/>
              </w:rPr>
            </w:pPr>
            <w:r>
              <w:rPr>
                <w:spacing w:val="-1"/>
                <w:sz w:val="21"/>
                <w:szCs w:val="21"/>
              </w:rPr>
              <w:t>71.87</w:t>
            </w:r>
          </w:p>
        </w:tc>
      </w:tr>
      <w:tr w14:paraId="5E16C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73" w:type="dxa"/>
            <w:vAlign w:val="center"/>
          </w:tcPr>
          <w:p w14:paraId="5A123165">
            <w:pPr>
              <w:pStyle w:val="547"/>
              <w:spacing w:before="63" w:line="220" w:lineRule="auto"/>
              <w:ind w:left="44"/>
              <w:jc w:val="center"/>
              <w:rPr>
                <w:sz w:val="21"/>
                <w:szCs w:val="21"/>
              </w:rPr>
            </w:pPr>
            <w:r>
              <w:rPr>
                <w:spacing w:val="-1"/>
                <w:sz w:val="21"/>
                <w:szCs w:val="21"/>
              </w:rPr>
              <w:t>气体</w:t>
            </w:r>
            <w:r>
              <w:rPr>
                <w:rFonts w:hint="eastAsia"/>
                <w:spacing w:val="-3"/>
                <w:sz w:val="21"/>
                <w:szCs w:val="21"/>
                <w:lang w:eastAsia="zh-CN"/>
              </w:rPr>
              <w:t>燃料</w:t>
            </w:r>
          </w:p>
        </w:tc>
        <w:tc>
          <w:tcPr>
            <w:tcW w:w="1745" w:type="dxa"/>
            <w:vAlign w:val="center"/>
          </w:tcPr>
          <w:p w14:paraId="70254E44">
            <w:pPr>
              <w:pStyle w:val="547"/>
              <w:spacing w:before="63" w:line="220" w:lineRule="auto"/>
              <w:ind w:left="42"/>
              <w:jc w:val="center"/>
              <w:rPr>
                <w:sz w:val="21"/>
                <w:szCs w:val="21"/>
              </w:rPr>
            </w:pPr>
            <w:r>
              <w:rPr>
                <w:spacing w:val="-2"/>
                <w:sz w:val="21"/>
                <w:szCs w:val="21"/>
              </w:rPr>
              <w:t>天然气</w:t>
            </w:r>
          </w:p>
        </w:tc>
        <w:tc>
          <w:tcPr>
            <w:tcW w:w="1864" w:type="dxa"/>
            <w:vAlign w:val="center"/>
          </w:tcPr>
          <w:p w14:paraId="7F8588DB">
            <w:pPr>
              <w:pStyle w:val="547"/>
              <w:spacing w:before="86" w:line="184" w:lineRule="auto"/>
              <w:jc w:val="center"/>
              <w:rPr>
                <w:sz w:val="21"/>
                <w:szCs w:val="21"/>
              </w:rPr>
            </w:pPr>
            <w:r>
              <w:rPr>
                <w:spacing w:val="-2"/>
                <w:sz w:val="21"/>
                <w:szCs w:val="21"/>
              </w:rPr>
              <w:t>15.3</w:t>
            </w:r>
          </w:p>
        </w:tc>
        <w:tc>
          <w:tcPr>
            <w:tcW w:w="1181" w:type="dxa"/>
            <w:vAlign w:val="center"/>
          </w:tcPr>
          <w:p w14:paraId="3EED39EE">
            <w:pPr>
              <w:pStyle w:val="547"/>
              <w:spacing w:before="86" w:line="183" w:lineRule="auto"/>
              <w:jc w:val="center"/>
              <w:rPr>
                <w:sz w:val="21"/>
                <w:szCs w:val="21"/>
              </w:rPr>
            </w:pPr>
            <w:r>
              <w:rPr>
                <w:spacing w:val="-1"/>
                <w:sz w:val="21"/>
                <w:szCs w:val="21"/>
              </w:rPr>
              <w:t>99</w:t>
            </w:r>
          </w:p>
        </w:tc>
        <w:tc>
          <w:tcPr>
            <w:tcW w:w="2275" w:type="dxa"/>
            <w:vAlign w:val="center"/>
          </w:tcPr>
          <w:p w14:paraId="186B1E8B">
            <w:pPr>
              <w:pStyle w:val="547"/>
              <w:spacing w:before="86" w:line="183" w:lineRule="auto"/>
              <w:jc w:val="center"/>
              <w:rPr>
                <w:sz w:val="21"/>
                <w:szCs w:val="21"/>
              </w:rPr>
            </w:pPr>
            <w:r>
              <w:rPr>
                <w:spacing w:val="-1"/>
                <w:sz w:val="21"/>
                <w:szCs w:val="21"/>
              </w:rPr>
              <w:t>55.54</w:t>
            </w:r>
          </w:p>
        </w:tc>
      </w:tr>
    </w:tbl>
    <w:p w14:paraId="1FA79590">
      <w:pPr>
        <w:pStyle w:val="541"/>
        <w:tabs>
          <w:tab w:val="left" w:pos="1620"/>
        </w:tabs>
        <w:ind w:left="0" w:firstLine="0"/>
        <w:jc w:val="left"/>
        <w:rPr>
          <w:rFonts w:hint="eastAsia" w:asciiTheme="minorEastAsia" w:hAnsiTheme="minorEastAsia" w:eastAsiaTheme="minorEastAsia" w:cstheme="minorEastAsia"/>
          <w:spacing w:val="-1"/>
          <w:sz w:val="18"/>
          <w:szCs w:val="16"/>
          <w:lang w:eastAsia="zh-CN"/>
        </w:rPr>
      </w:pPr>
      <w:r>
        <w:rPr>
          <w:rFonts w:hint="eastAsia" w:asciiTheme="minorEastAsia" w:hAnsiTheme="minorEastAsia" w:eastAsiaTheme="minorEastAsia" w:cstheme="minorEastAsia"/>
          <w:sz w:val="18"/>
          <w:szCs w:val="16"/>
        </w:rPr>
        <w:t>注：数据来源于GB/T 51366-2019建筑碳排</w:t>
      </w:r>
      <w:r>
        <w:rPr>
          <w:rFonts w:hint="eastAsia" w:asciiTheme="minorEastAsia" w:hAnsiTheme="minorEastAsia" w:eastAsiaTheme="minorEastAsia" w:cstheme="minorEastAsia"/>
          <w:spacing w:val="-1"/>
          <w:sz w:val="18"/>
          <w:szCs w:val="16"/>
        </w:rPr>
        <w:t>放计算标准</w:t>
      </w:r>
      <w:r>
        <w:rPr>
          <w:rFonts w:hint="eastAsia" w:asciiTheme="minorEastAsia" w:hAnsiTheme="minorEastAsia" w:eastAsiaTheme="minorEastAsia" w:cstheme="minorEastAsia"/>
          <w:spacing w:val="-1"/>
          <w:sz w:val="18"/>
          <w:szCs w:val="16"/>
          <w:lang w:eastAsia="zh-CN"/>
        </w:rPr>
        <w:t>。</w:t>
      </w:r>
    </w:p>
    <w:p w14:paraId="4FAF4751">
      <w:pPr>
        <w:pStyle w:val="541"/>
        <w:tabs>
          <w:tab w:val="left" w:pos="1620"/>
        </w:tabs>
        <w:ind w:left="0" w:firstLine="0"/>
        <w:jc w:val="left"/>
        <w:rPr>
          <w:rFonts w:hint="default" w:asciiTheme="minorEastAsia" w:hAnsiTheme="minorEastAsia" w:eastAsiaTheme="minorEastAsia" w:cstheme="minorEastAsia"/>
          <w:spacing w:val="-1"/>
          <w:sz w:val="18"/>
          <w:szCs w:val="16"/>
          <w:u w:val="single"/>
          <w:lang w:val="en-US" w:eastAsia="zh-CN"/>
        </w:rPr>
      </w:pPr>
      <w:r>
        <w:rPr>
          <w:rFonts w:hint="eastAsia" w:asciiTheme="minorEastAsia" w:hAnsiTheme="minorEastAsia" w:eastAsiaTheme="minorEastAsia" w:cstheme="minorEastAsia"/>
          <w:spacing w:val="-1"/>
          <w:sz w:val="18"/>
          <w:szCs w:val="16"/>
          <w:lang w:val="en-US" w:eastAsia="zh-CN"/>
        </w:rPr>
        <w:t xml:space="preserve">                                    </w:t>
      </w:r>
      <w:r>
        <w:rPr>
          <w:rFonts w:hint="eastAsia" w:asciiTheme="minorEastAsia" w:hAnsiTheme="minorEastAsia" w:eastAsiaTheme="minorEastAsia" w:cstheme="minorEastAsia"/>
          <w:spacing w:val="-1"/>
          <w:sz w:val="18"/>
          <w:szCs w:val="16"/>
          <w:u w:val="single"/>
          <w:lang w:val="en-US" w:eastAsia="zh-CN"/>
        </w:rPr>
        <w:t xml:space="preserve">                                       </w:t>
      </w:r>
    </w:p>
    <w:sectPr>
      <w:headerReference r:id="rId17" w:type="first"/>
      <w:footerReference r:id="rId20" w:type="first"/>
      <w:footerReference r:id="rId18" w:type="default"/>
      <w:footerReference r:id="rId19" w:type="even"/>
      <w:pgSz w:w="11907" w:h="16839"/>
      <w:pgMar w:top="1814" w:right="1134" w:bottom="1134" w:left="1134" w:header="1134" w:footer="1134" w:gutter="284"/>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Noto Music">
    <w:altName w:val="NumberOnly"/>
    <w:panose1 w:val="020B0502040504020204"/>
    <w:charset w:val="00"/>
    <w:family w:val="auto"/>
    <w:pitch w:val="default"/>
    <w:sig w:usb0="00000000" w:usb1="00000000" w:usb2="01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F03F">
    <w:pPr>
      <w:pStyle w:val="252"/>
      <w:spacing w:before="0"/>
      <w:ind w:right="360" w:firstLine="360"/>
      <w:rPr>
        <w:rStyle w:val="23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CA4C4DA">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S6rNN8BAAC7AwAADgAAAAAA&#10;AAABACAAAAAeAQAAZHJzL2Uyb0RvYy54bWxQSwUGAAAAAAYABgBZAQAAbwUAAAAA&#10;">
              <v:fill on="f" focussize="0,0"/>
              <v:stroke on="f"/>
              <v:imagedata o:title=""/>
              <o:lock v:ext="edit" aspectratio="f"/>
              <v:textbox inset="0mm,0mm,0mm,0mm" style="mso-fit-shape-to-text:t;">
                <w:txbxContent>
                  <w:p w14:paraId="2CA4C4DA">
                    <w:pPr>
                      <w:pStyle w:val="252"/>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p w14:paraId="12CD286F">
    <w:pPr>
      <w:pStyle w:val="252"/>
      <w:spacing w:before="0"/>
      <w:rPr>
        <w:sz w:val="10"/>
        <w:szCs w:val="1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6D09B">
    <w:pPr>
      <w:pStyle w:val="59"/>
      <w:spacing w:before="60" w:after="60"/>
      <w:ind w:left="210"/>
      <w:jc w:val="left"/>
    </w:pPr>
    <w:r>
      <w:fldChar w:fldCharType="begin"/>
    </w:r>
    <w:r>
      <w:instrText xml:space="preserve">PAGE   \* MERGEFORMAT</w:instrText>
    </w:r>
    <w:r>
      <w:fldChar w:fldCharType="separate"/>
    </w:r>
    <w:r>
      <w:rPr>
        <w:lang w:val="zh-CN"/>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9881">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2A99A459">
    <w:pPr>
      <w:pStyle w:val="5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75E86">
    <w:pPr>
      <w:pStyle w:val="59"/>
      <w:spacing w:before="60" w:after="60"/>
      <w:ind w:left="210"/>
      <w:jc w:val="left"/>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96C3">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F62F4">
    <w:pPr>
      <w:pStyle w:val="59"/>
      <w:framePr w:wrap="around" w:vAnchor="text" w:hAnchor="margin" w:xAlign="outside" w:y="1"/>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33E02119">
    <w:pPr>
      <w:pStyle w:val="5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9D98">
    <w:pPr>
      <w:pStyle w:val="53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3036">
    <w:pPr>
      <w:pStyle w:val="553"/>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DC16">
    <w:pPr>
      <w:pStyle w:val="535"/>
      <w:snapToGrid w:val="0"/>
      <w:ind w:left="1680" w:hanging="420"/>
    </w:pPr>
    <w:r>
      <w:fldChar w:fldCharType="begin"/>
    </w:r>
    <w:r>
      <w:instrText xml:space="preserve">PAGE   \* MERGEFORMAT</w:instrText>
    </w:r>
    <w:r>
      <w:fldChar w:fldCharType="separate"/>
    </w:r>
    <w:r>
      <w:rPr>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3F266">
    <w:pPr>
      <w:pStyle w:val="59"/>
      <w:spacing w:before="60" w:after="60"/>
      <w:ind w:left="210"/>
      <w:jc w:val="left"/>
    </w:pPr>
    <w:r>
      <w:fldChar w:fldCharType="begin"/>
    </w:r>
    <w:r>
      <w:instrText xml:space="preserve">PAGE   \* MERGEFORMAT</w:instrText>
    </w:r>
    <w:r>
      <w:fldChar w:fldCharType="separate"/>
    </w:r>
    <w:r>
      <w:rPr>
        <w:lang w:val="zh-CN"/>
      </w:rP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417D">
    <w:pPr>
      <w:pStyle w:val="535"/>
      <w:snapToGrid w:val="0"/>
      <w:ind w:left="1680" w:hanging="420"/>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2250">
    <w:pPr>
      <w:pStyle w:val="253"/>
    </w:pPr>
    <w:r>
      <w:rPr>
        <w:rFonts w:hint="eastAsia"/>
      </w:rPr>
      <w:t>DB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68C03">
    <w:pPr>
      <w:pStyle w:val="253"/>
      <w:jc w:val="left"/>
    </w:pPr>
    <w:r>
      <w:rPr>
        <w:rFonts w:hint="eastAsia"/>
      </w:rP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C8BE">
    <w:pPr>
      <w:pStyle w:val="253"/>
    </w:pPr>
    <w:r>
      <w:rPr>
        <w:rFonts w:hint="eastAsia"/>
      </w:rPr>
      <w:t>DB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7B61">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10334">
    <w:pPr>
      <w:pStyle w:val="551"/>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18754">
    <w:pPr>
      <w:pStyle w:val="55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301B">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pStyle w:val="549"/>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EAA1992"/>
    <w:multiLevelType w:val="multilevel"/>
    <w:tmpl w:val="1EAA1992"/>
    <w:lvl w:ilvl="0" w:tentative="0">
      <w:start w:val="1"/>
      <w:numFmt w:val="none"/>
      <w:pStyle w:val="5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647"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asciiTheme="minorEastAsia" w:hAnsiTheme="minorEastAsia" w:eastAsiaTheme="minor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9"/>
  </w:num>
  <w:num w:numId="4">
    <w:abstractNumId w:val="6"/>
  </w:num>
  <w:num w:numId="5">
    <w:abstractNumId w:val="2"/>
  </w:num>
  <w:num w:numId="6">
    <w:abstractNumId w:val="7"/>
  </w:num>
  <w:num w:numId="7">
    <w:abstractNumId w:val="4"/>
  </w:num>
  <w:num w:numId="8">
    <w:abstractNumId w:val="1"/>
  </w:num>
  <w:num w:numId="9">
    <w:abstractNumId w:val="0"/>
  </w:num>
  <w:num w:numId="10">
    <w:abstractNumId w:val="16"/>
  </w:num>
  <w:num w:numId="11">
    <w:abstractNumId w:val="26"/>
  </w:num>
  <w:num w:numId="12">
    <w:abstractNumId w:val="25"/>
  </w:num>
  <w:num w:numId="13">
    <w:abstractNumId w:val="17"/>
  </w:num>
  <w:num w:numId="14">
    <w:abstractNumId w:val="29"/>
  </w:num>
  <w:num w:numId="15">
    <w:abstractNumId w:val="13"/>
  </w:num>
  <w:num w:numId="16">
    <w:abstractNumId w:val="20"/>
  </w:num>
  <w:num w:numId="17">
    <w:abstractNumId w:val="24"/>
  </w:num>
  <w:num w:numId="18">
    <w:abstractNumId w:val="12"/>
  </w:num>
  <w:num w:numId="19">
    <w:abstractNumId w:val="22"/>
  </w:num>
  <w:num w:numId="20">
    <w:abstractNumId w:val="27"/>
  </w:num>
  <w:num w:numId="21">
    <w:abstractNumId w:val="10"/>
  </w:num>
  <w:num w:numId="22">
    <w:abstractNumId w:val="21"/>
  </w:num>
  <w:num w:numId="23">
    <w:abstractNumId w:val="28"/>
  </w:num>
  <w:num w:numId="24">
    <w:abstractNumId w:val="14"/>
  </w:num>
  <w:num w:numId="25">
    <w:abstractNumId w:val="19"/>
  </w:num>
  <w:num w:numId="26">
    <w:abstractNumId w:val="11"/>
  </w:num>
  <w:num w:numId="27">
    <w:abstractNumId w:val="23"/>
  </w:num>
  <w:num w:numId="28">
    <w:abstractNumId w:val="18"/>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1050"/>
  <w:evenAndOddHeaders w:val="1"/>
  <w:drawingGridHorizontalSpacing w:val="105"/>
  <w:drawingGridVerticalSpacing w:val="156"/>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NzY4NWU5MTEyNzQzZWFkMmQxNzk2MWJkMGQ4NmIifQ=="/>
  </w:docVars>
  <w:rsids>
    <w:rsidRoot w:val="46A620F4"/>
    <w:rsid w:val="00006548"/>
    <w:rsid w:val="000264AD"/>
    <w:rsid w:val="00027BD3"/>
    <w:rsid w:val="00031EEE"/>
    <w:rsid w:val="000326CC"/>
    <w:rsid w:val="00036B39"/>
    <w:rsid w:val="000372EA"/>
    <w:rsid w:val="00040BBF"/>
    <w:rsid w:val="00043421"/>
    <w:rsid w:val="000454A9"/>
    <w:rsid w:val="00050E91"/>
    <w:rsid w:val="00053FB5"/>
    <w:rsid w:val="00075DD9"/>
    <w:rsid w:val="00076F59"/>
    <w:rsid w:val="0009271F"/>
    <w:rsid w:val="0009648F"/>
    <w:rsid w:val="000A23AE"/>
    <w:rsid w:val="000A568D"/>
    <w:rsid w:val="000A6E5F"/>
    <w:rsid w:val="000B494B"/>
    <w:rsid w:val="000B4AB5"/>
    <w:rsid w:val="000B562B"/>
    <w:rsid w:val="000B6ECB"/>
    <w:rsid w:val="000C21DC"/>
    <w:rsid w:val="000C2EFF"/>
    <w:rsid w:val="000D2D03"/>
    <w:rsid w:val="000E2B29"/>
    <w:rsid w:val="000E735C"/>
    <w:rsid w:val="000E7B1D"/>
    <w:rsid w:val="000F1341"/>
    <w:rsid w:val="00100A19"/>
    <w:rsid w:val="00123BF9"/>
    <w:rsid w:val="00127602"/>
    <w:rsid w:val="001344D3"/>
    <w:rsid w:val="00144633"/>
    <w:rsid w:val="001517CF"/>
    <w:rsid w:val="00164C6D"/>
    <w:rsid w:val="001656AB"/>
    <w:rsid w:val="00170B1F"/>
    <w:rsid w:val="00172236"/>
    <w:rsid w:val="001748CC"/>
    <w:rsid w:val="0017737E"/>
    <w:rsid w:val="001830DE"/>
    <w:rsid w:val="001864AA"/>
    <w:rsid w:val="001A5BF9"/>
    <w:rsid w:val="001B0DE6"/>
    <w:rsid w:val="001B2E94"/>
    <w:rsid w:val="001B3E0E"/>
    <w:rsid w:val="001C2054"/>
    <w:rsid w:val="001D5AA4"/>
    <w:rsid w:val="001D71BA"/>
    <w:rsid w:val="001E5A95"/>
    <w:rsid w:val="001F0E09"/>
    <w:rsid w:val="001F724D"/>
    <w:rsid w:val="00205D37"/>
    <w:rsid w:val="00216264"/>
    <w:rsid w:val="00227E52"/>
    <w:rsid w:val="002310FD"/>
    <w:rsid w:val="00235BDA"/>
    <w:rsid w:val="00235CB0"/>
    <w:rsid w:val="00245A17"/>
    <w:rsid w:val="00247E6D"/>
    <w:rsid w:val="00267674"/>
    <w:rsid w:val="002705FB"/>
    <w:rsid w:val="002726E9"/>
    <w:rsid w:val="00274FA4"/>
    <w:rsid w:val="00275DE1"/>
    <w:rsid w:val="00277D91"/>
    <w:rsid w:val="002814A6"/>
    <w:rsid w:val="00282FBE"/>
    <w:rsid w:val="0028373A"/>
    <w:rsid w:val="00287C9E"/>
    <w:rsid w:val="00287FD8"/>
    <w:rsid w:val="00290905"/>
    <w:rsid w:val="002917C0"/>
    <w:rsid w:val="002930F2"/>
    <w:rsid w:val="002948A0"/>
    <w:rsid w:val="002A3BE2"/>
    <w:rsid w:val="002A4DD0"/>
    <w:rsid w:val="002A6433"/>
    <w:rsid w:val="002A6B18"/>
    <w:rsid w:val="002B778D"/>
    <w:rsid w:val="002C3522"/>
    <w:rsid w:val="002C6C4A"/>
    <w:rsid w:val="002C7BDF"/>
    <w:rsid w:val="002E08C1"/>
    <w:rsid w:val="002E5F3F"/>
    <w:rsid w:val="002F1862"/>
    <w:rsid w:val="00303CA5"/>
    <w:rsid w:val="00304278"/>
    <w:rsid w:val="00316CBA"/>
    <w:rsid w:val="00324802"/>
    <w:rsid w:val="00334D08"/>
    <w:rsid w:val="00337CA1"/>
    <w:rsid w:val="00343300"/>
    <w:rsid w:val="00362218"/>
    <w:rsid w:val="0036666A"/>
    <w:rsid w:val="00366B99"/>
    <w:rsid w:val="00374FD0"/>
    <w:rsid w:val="00393774"/>
    <w:rsid w:val="00397925"/>
    <w:rsid w:val="003A101E"/>
    <w:rsid w:val="003A4F7B"/>
    <w:rsid w:val="003A62A2"/>
    <w:rsid w:val="003B65E2"/>
    <w:rsid w:val="003C1A70"/>
    <w:rsid w:val="003C2478"/>
    <w:rsid w:val="003C468C"/>
    <w:rsid w:val="003C5C82"/>
    <w:rsid w:val="003D636C"/>
    <w:rsid w:val="003E1440"/>
    <w:rsid w:val="003E7CE2"/>
    <w:rsid w:val="003F2DA8"/>
    <w:rsid w:val="003F603C"/>
    <w:rsid w:val="003F764E"/>
    <w:rsid w:val="00405B77"/>
    <w:rsid w:val="00406CC1"/>
    <w:rsid w:val="00407D23"/>
    <w:rsid w:val="0041207A"/>
    <w:rsid w:val="00423275"/>
    <w:rsid w:val="00423A61"/>
    <w:rsid w:val="0042415A"/>
    <w:rsid w:val="004314E7"/>
    <w:rsid w:val="004360F1"/>
    <w:rsid w:val="00436ECC"/>
    <w:rsid w:val="004414E6"/>
    <w:rsid w:val="00447DDB"/>
    <w:rsid w:val="004548A9"/>
    <w:rsid w:val="0046160C"/>
    <w:rsid w:val="004619AC"/>
    <w:rsid w:val="00461A9D"/>
    <w:rsid w:val="00463A10"/>
    <w:rsid w:val="00465B7B"/>
    <w:rsid w:val="00466FF2"/>
    <w:rsid w:val="00467339"/>
    <w:rsid w:val="004826C9"/>
    <w:rsid w:val="0048668C"/>
    <w:rsid w:val="00490088"/>
    <w:rsid w:val="00492B9F"/>
    <w:rsid w:val="004A3243"/>
    <w:rsid w:val="004A3833"/>
    <w:rsid w:val="004C4C4E"/>
    <w:rsid w:val="004C7107"/>
    <w:rsid w:val="004D0182"/>
    <w:rsid w:val="004D5BF2"/>
    <w:rsid w:val="004E18D3"/>
    <w:rsid w:val="004F28C5"/>
    <w:rsid w:val="0050545B"/>
    <w:rsid w:val="00505493"/>
    <w:rsid w:val="005134E3"/>
    <w:rsid w:val="00515AC9"/>
    <w:rsid w:val="00516EB5"/>
    <w:rsid w:val="005175BF"/>
    <w:rsid w:val="00517D40"/>
    <w:rsid w:val="00520DEA"/>
    <w:rsid w:val="00521E61"/>
    <w:rsid w:val="005272AE"/>
    <w:rsid w:val="005322CC"/>
    <w:rsid w:val="00532D32"/>
    <w:rsid w:val="0053303D"/>
    <w:rsid w:val="00534928"/>
    <w:rsid w:val="005556BD"/>
    <w:rsid w:val="00562526"/>
    <w:rsid w:val="00573966"/>
    <w:rsid w:val="00573CAA"/>
    <w:rsid w:val="00585A3A"/>
    <w:rsid w:val="00596BBE"/>
    <w:rsid w:val="005A1C92"/>
    <w:rsid w:val="005A35D5"/>
    <w:rsid w:val="005A406C"/>
    <w:rsid w:val="005B4758"/>
    <w:rsid w:val="005C19E3"/>
    <w:rsid w:val="005C5899"/>
    <w:rsid w:val="005D203A"/>
    <w:rsid w:val="005D5966"/>
    <w:rsid w:val="005E5813"/>
    <w:rsid w:val="005F3A1D"/>
    <w:rsid w:val="00601445"/>
    <w:rsid w:val="00603182"/>
    <w:rsid w:val="00611BD0"/>
    <w:rsid w:val="0061695B"/>
    <w:rsid w:val="00630366"/>
    <w:rsid w:val="00630CDF"/>
    <w:rsid w:val="00630EC5"/>
    <w:rsid w:val="0065094C"/>
    <w:rsid w:val="00665467"/>
    <w:rsid w:val="00674639"/>
    <w:rsid w:val="00677E34"/>
    <w:rsid w:val="00681844"/>
    <w:rsid w:val="00691448"/>
    <w:rsid w:val="006A01D7"/>
    <w:rsid w:val="006B643E"/>
    <w:rsid w:val="006C2F82"/>
    <w:rsid w:val="006D01CE"/>
    <w:rsid w:val="006D12A2"/>
    <w:rsid w:val="006D6D2B"/>
    <w:rsid w:val="006E740A"/>
    <w:rsid w:val="006E7E4F"/>
    <w:rsid w:val="006F1E5C"/>
    <w:rsid w:val="006F1FF9"/>
    <w:rsid w:val="006F20D7"/>
    <w:rsid w:val="007064A5"/>
    <w:rsid w:val="007141B1"/>
    <w:rsid w:val="00715BD0"/>
    <w:rsid w:val="0071797A"/>
    <w:rsid w:val="00727842"/>
    <w:rsid w:val="0073641E"/>
    <w:rsid w:val="00741090"/>
    <w:rsid w:val="00743CC7"/>
    <w:rsid w:val="0074732A"/>
    <w:rsid w:val="00767B2F"/>
    <w:rsid w:val="00770A8B"/>
    <w:rsid w:val="00773A5E"/>
    <w:rsid w:val="00776408"/>
    <w:rsid w:val="0078233D"/>
    <w:rsid w:val="00784CEC"/>
    <w:rsid w:val="00792486"/>
    <w:rsid w:val="00792DBE"/>
    <w:rsid w:val="00795048"/>
    <w:rsid w:val="00795E45"/>
    <w:rsid w:val="00797660"/>
    <w:rsid w:val="007A3C60"/>
    <w:rsid w:val="007A771A"/>
    <w:rsid w:val="007B12C3"/>
    <w:rsid w:val="007B2279"/>
    <w:rsid w:val="007B5A45"/>
    <w:rsid w:val="007D0199"/>
    <w:rsid w:val="007D2FAA"/>
    <w:rsid w:val="007E0206"/>
    <w:rsid w:val="007E3F4F"/>
    <w:rsid w:val="007E6A52"/>
    <w:rsid w:val="007F126A"/>
    <w:rsid w:val="007F69B9"/>
    <w:rsid w:val="00800A29"/>
    <w:rsid w:val="00811C33"/>
    <w:rsid w:val="00813AEF"/>
    <w:rsid w:val="00814F0A"/>
    <w:rsid w:val="00816A35"/>
    <w:rsid w:val="008174D3"/>
    <w:rsid w:val="0082253F"/>
    <w:rsid w:val="008243EE"/>
    <w:rsid w:val="00836D8D"/>
    <w:rsid w:val="00840CF5"/>
    <w:rsid w:val="00842E5D"/>
    <w:rsid w:val="00846D16"/>
    <w:rsid w:val="00852FD6"/>
    <w:rsid w:val="00853648"/>
    <w:rsid w:val="00862997"/>
    <w:rsid w:val="00862FB2"/>
    <w:rsid w:val="00863677"/>
    <w:rsid w:val="008671B4"/>
    <w:rsid w:val="0086798F"/>
    <w:rsid w:val="00867C2D"/>
    <w:rsid w:val="008708FD"/>
    <w:rsid w:val="00870C20"/>
    <w:rsid w:val="008A0FE2"/>
    <w:rsid w:val="008A559E"/>
    <w:rsid w:val="008B5964"/>
    <w:rsid w:val="008C0296"/>
    <w:rsid w:val="008C5347"/>
    <w:rsid w:val="008D2560"/>
    <w:rsid w:val="008D383F"/>
    <w:rsid w:val="008D58AB"/>
    <w:rsid w:val="008E1AE0"/>
    <w:rsid w:val="008E351F"/>
    <w:rsid w:val="008F4365"/>
    <w:rsid w:val="00900E71"/>
    <w:rsid w:val="00901DA3"/>
    <w:rsid w:val="00913A7B"/>
    <w:rsid w:val="0091784D"/>
    <w:rsid w:val="00927193"/>
    <w:rsid w:val="009535DF"/>
    <w:rsid w:val="0095659D"/>
    <w:rsid w:val="00956E82"/>
    <w:rsid w:val="00960DC2"/>
    <w:rsid w:val="00963E8D"/>
    <w:rsid w:val="00964AC8"/>
    <w:rsid w:val="009676B1"/>
    <w:rsid w:val="00967B35"/>
    <w:rsid w:val="0097216B"/>
    <w:rsid w:val="009721AF"/>
    <w:rsid w:val="00972954"/>
    <w:rsid w:val="00984705"/>
    <w:rsid w:val="00995610"/>
    <w:rsid w:val="009A2C2B"/>
    <w:rsid w:val="009C0704"/>
    <w:rsid w:val="009C682F"/>
    <w:rsid w:val="009C6B9B"/>
    <w:rsid w:val="009D19E4"/>
    <w:rsid w:val="009E0625"/>
    <w:rsid w:val="009E723F"/>
    <w:rsid w:val="009F5F06"/>
    <w:rsid w:val="009F7CDF"/>
    <w:rsid w:val="00A0031D"/>
    <w:rsid w:val="00A1510C"/>
    <w:rsid w:val="00A26082"/>
    <w:rsid w:val="00A329C9"/>
    <w:rsid w:val="00A342E2"/>
    <w:rsid w:val="00A34F5C"/>
    <w:rsid w:val="00A35C5B"/>
    <w:rsid w:val="00A40CF5"/>
    <w:rsid w:val="00A461D0"/>
    <w:rsid w:val="00A46A0B"/>
    <w:rsid w:val="00A470A7"/>
    <w:rsid w:val="00A473CC"/>
    <w:rsid w:val="00A50F12"/>
    <w:rsid w:val="00A52102"/>
    <w:rsid w:val="00A62D80"/>
    <w:rsid w:val="00A804FE"/>
    <w:rsid w:val="00A812FC"/>
    <w:rsid w:val="00A81D43"/>
    <w:rsid w:val="00A8297F"/>
    <w:rsid w:val="00A832D8"/>
    <w:rsid w:val="00A87239"/>
    <w:rsid w:val="00A94542"/>
    <w:rsid w:val="00AA4903"/>
    <w:rsid w:val="00AA4BDA"/>
    <w:rsid w:val="00AB12B4"/>
    <w:rsid w:val="00AB4206"/>
    <w:rsid w:val="00AB4D20"/>
    <w:rsid w:val="00AC06BB"/>
    <w:rsid w:val="00AC3ACC"/>
    <w:rsid w:val="00AC739D"/>
    <w:rsid w:val="00AD7ECC"/>
    <w:rsid w:val="00AE108D"/>
    <w:rsid w:val="00AE3FF9"/>
    <w:rsid w:val="00AE547B"/>
    <w:rsid w:val="00AE5722"/>
    <w:rsid w:val="00AF2B0D"/>
    <w:rsid w:val="00AF2DD6"/>
    <w:rsid w:val="00AF4B94"/>
    <w:rsid w:val="00B01D8B"/>
    <w:rsid w:val="00B0338D"/>
    <w:rsid w:val="00B0682B"/>
    <w:rsid w:val="00B06B22"/>
    <w:rsid w:val="00B06F9F"/>
    <w:rsid w:val="00B13E76"/>
    <w:rsid w:val="00B20450"/>
    <w:rsid w:val="00B221DC"/>
    <w:rsid w:val="00B226E1"/>
    <w:rsid w:val="00B23075"/>
    <w:rsid w:val="00B3477C"/>
    <w:rsid w:val="00B37C0E"/>
    <w:rsid w:val="00B454CA"/>
    <w:rsid w:val="00B55871"/>
    <w:rsid w:val="00B565EB"/>
    <w:rsid w:val="00B614B1"/>
    <w:rsid w:val="00B673E8"/>
    <w:rsid w:val="00B74D02"/>
    <w:rsid w:val="00B807AF"/>
    <w:rsid w:val="00B90349"/>
    <w:rsid w:val="00BB2086"/>
    <w:rsid w:val="00BB5BF7"/>
    <w:rsid w:val="00BB7D15"/>
    <w:rsid w:val="00BC6C4C"/>
    <w:rsid w:val="00BD5AB0"/>
    <w:rsid w:val="00BE027D"/>
    <w:rsid w:val="00BE4321"/>
    <w:rsid w:val="00BF3DB8"/>
    <w:rsid w:val="00BF533F"/>
    <w:rsid w:val="00BF5A38"/>
    <w:rsid w:val="00C013F5"/>
    <w:rsid w:val="00C01946"/>
    <w:rsid w:val="00C0414F"/>
    <w:rsid w:val="00C12F1C"/>
    <w:rsid w:val="00C22264"/>
    <w:rsid w:val="00C22436"/>
    <w:rsid w:val="00C231D9"/>
    <w:rsid w:val="00C266FA"/>
    <w:rsid w:val="00C26FF1"/>
    <w:rsid w:val="00C2754A"/>
    <w:rsid w:val="00C30CAE"/>
    <w:rsid w:val="00C31ACF"/>
    <w:rsid w:val="00C32AB7"/>
    <w:rsid w:val="00C5130A"/>
    <w:rsid w:val="00C549F5"/>
    <w:rsid w:val="00C7294C"/>
    <w:rsid w:val="00C7721B"/>
    <w:rsid w:val="00C80B64"/>
    <w:rsid w:val="00C825D9"/>
    <w:rsid w:val="00C82D66"/>
    <w:rsid w:val="00CA1496"/>
    <w:rsid w:val="00CA470E"/>
    <w:rsid w:val="00CA612B"/>
    <w:rsid w:val="00CA6A4E"/>
    <w:rsid w:val="00CB5BB7"/>
    <w:rsid w:val="00CC19EC"/>
    <w:rsid w:val="00CE0378"/>
    <w:rsid w:val="00CE0AAF"/>
    <w:rsid w:val="00CE4A4A"/>
    <w:rsid w:val="00CE5930"/>
    <w:rsid w:val="00CF740D"/>
    <w:rsid w:val="00D03AB0"/>
    <w:rsid w:val="00D05D7F"/>
    <w:rsid w:val="00D10F52"/>
    <w:rsid w:val="00D20260"/>
    <w:rsid w:val="00D32102"/>
    <w:rsid w:val="00D431FE"/>
    <w:rsid w:val="00D530D3"/>
    <w:rsid w:val="00D57726"/>
    <w:rsid w:val="00D62DA9"/>
    <w:rsid w:val="00D66DCB"/>
    <w:rsid w:val="00D679FB"/>
    <w:rsid w:val="00D743EB"/>
    <w:rsid w:val="00D77681"/>
    <w:rsid w:val="00D93580"/>
    <w:rsid w:val="00DA6082"/>
    <w:rsid w:val="00DB79A4"/>
    <w:rsid w:val="00DC300E"/>
    <w:rsid w:val="00DC5920"/>
    <w:rsid w:val="00DD42C1"/>
    <w:rsid w:val="00DD5CE5"/>
    <w:rsid w:val="00DE269A"/>
    <w:rsid w:val="00DE6C5C"/>
    <w:rsid w:val="00DE79D1"/>
    <w:rsid w:val="00DF3719"/>
    <w:rsid w:val="00E05C6A"/>
    <w:rsid w:val="00E05E73"/>
    <w:rsid w:val="00E12E32"/>
    <w:rsid w:val="00E12E4B"/>
    <w:rsid w:val="00E155F9"/>
    <w:rsid w:val="00E245C7"/>
    <w:rsid w:val="00E307EE"/>
    <w:rsid w:val="00E30917"/>
    <w:rsid w:val="00E33A22"/>
    <w:rsid w:val="00E35BE3"/>
    <w:rsid w:val="00E376DF"/>
    <w:rsid w:val="00E558DE"/>
    <w:rsid w:val="00E6055B"/>
    <w:rsid w:val="00E638E4"/>
    <w:rsid w:val="00E63B60"/>
    <w:rsid w:val="00E72EF6"/>
    <w:rsid w:val="00E73319"/>
    <w:rsid w:val="00E75447"/>
    <w:rsid w:val="00E766DD"/>
    <w:rsid w:val="00E83142"/>
    <w:rsid w:val="00E87A23"/>
    <w:rsid w:val="00E90107"/>
    <w:rsid w:val="00E93446"/>
    <w:rsid w:val="00E96E93"/>
    <w:rsid w:val="00EB16CE"/>
    <w:rsid w:val="00EB37EF"/>
    <w:rsid w:val="00EB3AFF"/>
    <w:rsid w:val="00EB7134"/>
    <w:rsid w:val="00EB7EB6"/>
    <w:rsid w:val="00ED1474"/>
    <w:rsid w:val="00ED3A94"/>
    <w:rsid w:val="00ED7098"/>
    <w:rsid w:val="00EE4858"/>
    <w:rsid w:val="00EE4A1A"/>
    <w:rsid w:val="00EF4350"/>
    <w:rsid w:val="00EF4B27"/>
    <w:rsid w:val="00F1229A"/>
    <w:rsid w:val="00F172FB"/>
    <w:rsid w:val="00F17B6A"/>
    <w:rsid w:val="00F252F0"/>
    <w:rsid w:val="00F25CA4"/>
    <w:rsid w:val="00F3590F"/>
    <w:rsid w:val="00F3742C"/>
    <w:rsid w:val="00F50381"/>
    <w:rsid w:val="00F63444"/>
    <w:rsid w:val="00F66499"/>
    <w:rsid w:val="00F73EF2"/>
    <w:rsid w:val="00F8041E"/>
    <w:rsid w:val="00F863B5"/>
    <w:rsid w:val="00F87D07"/>
    <w:rsid w:val="00FA2BE1"/>
    <w:rsid w:val="00FB0E08"/>
    <w:rsid w:val="00FC3596"/>
    <w:rsid w:val="00FD74B3"/>
    <w:rsid w:val="00FE15CE"/>
    <w:rsid w:val="05AA6EFC"/>
    <w:rsid w:val="06753A20"/>
    <w:rsid w:val="0B552AA6"/>
    <w:rsid w:val="0C8C072A"/>
    <w:rsid w:val="0DD51C7C"/>
    <w:rsid w:val="10E50428"/>
    <w:rsid w:val="11477335"/>
    <w:rsid w:val="13CA27CF"/>
    <w:rsid w:val="13F56BD4"/>
    <w:rsid w:val="18047D2E"/>
    <w:rsid w:val="18650077"/>
    <w:rsid w:val="18DB1BC2"/>
    <w:rsid w:val="1C016836"/>
    <w:rsid w:val="1F983BF3"/>
    <w:rsid w:val="2032210A"/>
    <w:rsid w:val="21192919"/>
    <w:rsid w:val="236E69A3"/>
    <w:rsid w:val="24020188"/>
    <w:rsid w:val="2481468F"/>
    <w:rsid w:val="2AF279AB"/>
    <w:rsid w:val="2AF96262"/>
    <w:rsid w:val="30265E5D"/>
    <w:rsid w:val="30E03740"/>
    <w:rsid w:val="31E1113C"/>
    <w:rsid w:val="328037CD"/>
    <w:rsid w:val="347F7FCE"/>
    <w:rsid w:val="3AA6527B"/>
    <w:rsid w:val="40E37C31"/>
    <w:rsid w:val="431E7B66"/>
    <w:rsid w:val="44F71B16"/>
    <w:rsid w:val="46A620F4"/>
    <w:rsid w:val="49747DB6"/>
    <w:rsid w:val="49A745F9"/>
    <w:rsid w:val="4C4D68A6"/>
    <w:rsid w:val="513F470C"/>
    <w:rsid w:val="51DC0DF8"/>
    <w:rsid w:val="542B2326"/>
    <w:rsid w:val="56E85B49"/>
    <w:rsid w:val="5B256A07"/>
    <w:rsid w:val="5B6F2781"/>
    <w:rsid w:val="5BCA340B"/>
    <w:rsid w:val="5BF46D3E"/>
    <w:rsid w:val="5CAA564F"/>
    <w:rsid w:val="5CCE2509"/>
    <w:rsid w:val="5E9278EA"/>
    <w:rsid w:val="5F582978"/>
    <w:rsid w:val="615838CB"/>
    <w:rsid w:val="61975FEF"/>
    <w:rsid w:val="62693E1C"/>
    <w:rsid w:val="63EA386F"/>
    <w:rsid w:val="72547631"/>
    <w:rsid w:val="727608D5"/>
    <w:rsid w:val="74392AF7"/>
    <w:rsid w:val="766F54E7"/>
    <w:rsid w:val="77F20DC9"/>
    <w:rsid w:val="78BE1375"/>
    <w:rsid w:val="7D744552"/>
    <w:rsid w:val="7DFB2CE9"/>
    <w:rsid w:val="7E6671D0"/>
    <w:rsid w:val="7E6D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99" w:semiHidden="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next w:val="1"/>
    <w:qFormat/>
    <w:uiPriority w:val="39"/>
    <w:pPr>
      <w:spacing w:beforeLines="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tabs>
        <w:tab w:val="left" w:pos="1620"/>
      </w:tabs>
      <w:ind w:left="1620" w:leftChars="600" w:hanging="360" w:hangingChars="200"/>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2"/>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3"/>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4"/>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5"/>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6"/>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7"/>
      </w:numPr>
      <w:contextualSpacing/>
    </w:pPr>
  </w:style>
  <w:style w:type="paragraph" w:styleId="51">
    <w:name w:val="List Number 4"/>
    <w:basedOn w:val="1"/>
    <w:semiHidden/>
    <w:unhideWhenUsed/>
    <w:qFormat/>
    <w:uiPriority w:val="99"/>
    <w:pPr>
      <w:numPr>
        <w:ilvl w:val="0"/>
        <w:numId w:val="8"/>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link w:val="537"/>
    <w:qFormat/>
    <w:uiPriority w:val="99"/>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Lines="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9"/>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0"/>
      </w:numPr>
      <w:spacing w:beforeLines="100"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2"/>
      </w:numPr>
      <w:spacing w:beforeLines="50" w:afterLines="50"/>
      <w:jc w:val="center"/>
    </w:pPr>
    <w:rPr>
      <w:rFonts w:ascii="黑体" w:eastAsia="黑体"/>
      <w:szCs w:val="21"/>
    </w:rPr>
  </w:style>
  <w:style w:type="paragraph" w:customStyle="1" w:styleId="276">
    <w:name w:val="附录章标题"/>
    <w:next w:val="258"/>
    <w:qFormat/>
    <w:uiPriority w:val="0"/>
    <w:pPr>
      <w:numPr>
        <w:ilvl w:val="1"/>
        <w:numId w:val="11"/>
      </w:numPr>
      <w:wordWrap w:val="0"/>
      <w:overflowPunct w:val="0"/>
      <w:autoSpaceDE w:val="0"/>
      <w:spacing w:beforeLines="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1"/>
      </w:numPr>
      <w:wordWrap w:val="0"/>
      <w:overflowPunct w:val="0"/>
      <w:autoSpaceDE w:val="0"/>
      <w:autoSpaceDN w:val="0"/>
      <w:spacing w:beforeLines="50" w:afterLines="50"/>
      <w:textAlignment w:val="baseline"/>
      <w:outlineLvl w:val="2"/>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3"/>
      </w:numPr>
      <w:spacing w:beforeLines="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4"/>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7"/>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8"/>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19"/>
      </w:numPr>
      <w:tabs>
        <w:tab w:val="clear" w:pos="360"/>
      </w:tabs>
    </w:pPr>
  </w:style>
  <w:style w:type="paragraph" w:customStyle="1" w:styleId="303">
    <w:name w:val="注："/>
    <w:next w:val="1"/>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1"/>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6"/>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2"/>
      </w:numPr>
    </w:pPr>
    <w:rPr>
      <w:rFonts w:ascii="宋体"/>
      <w:kern w:val="0"/>
      <w:sz w:val="18"/>
      <w:szCs w:val="18"/>
    </w:rPr>
  </w:style>
  <w:style w:type="paragraph" w:customStyle="1" w:styleId="307">
    <w:name w:val="工程建设章标题"/>
    <w:next w:val="258"/>
    <w:qFormat/>
    <w:uiPriority w:val="0"/>
    <w:pPr>
      <w:numPr>
        <w:ilvl w:val="1"/>
        <w:numId w:val="23"/>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3"/>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Lines="0" w:afterLines="0"/>
      <w:outlineLvl w:val="9"/>
    </w:pPr>
  </w:style>
  <w:style w:type="paragraph" w:customStyle="1" w:styleId="319">
    <w:name w:val="术语定义三级条标题"/>
    <w:basedOn w:val="290"/>
    <w:next w:val="258"/>
    <w:qFormat/>
    <w:uiPriority w:val="0"/>
    <w:pPr>
      <w:spacing w:beforeLines="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Lines="0" w:afterLines="0"/>
      <w:outlineLvl w:val="9"/>
    </w:pPr>
  </w:style>
  <w:style w:type="paragraph" w:customStyle="1" w:styleId="322">
    <w:name w:val="术语定义五级条标题"/>
    <w:basedOn w:val="300"/>
    <w:next w:val="258"/>
    <w:qFormat/>
    <w:uiPriority w:val="0"/>
    <w:pPr>
      <w:spacing w:beforeLines="0" w:afterLines="0"/>
      <w:outlineLvl w:val="9"/>
    </w:pPr>
  </w:style>
  <w:style w:type="paragraph" w:customStyle="1" w:styleId="323">
    <w:name w:val="术语定义一级条标题"/>
    <w:basedOn w:val="260"/>
    <w:next w:val="258"/>
    <w:qFormat/>
    <w:uiPriority w:val="0"/>
    <w:pPr>
      <w:spacing w:beforeLines="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4"/>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Lines="0" w:afterLines="0"/>
      <w:jc w:val="both"/>
      <w:outlineLvl w:val="9"/>
    </w:pPr>
    <w:rPr>
      <w:rFonts w:asciiTheme="majorEastAsia" w:eastAsiaTheme="majorEastAsia"/>
    </w:rPr>
  </w:style>
  <w:style w:type="paragraph" w:customStyle="1" w:styleId="327">
    <w:name w:val="三级无标题条"/>
    <w:basedOn w:val="290"/>
    <w:qFormat/>
    <w:uiPriority w:val="0"/>
    <w:pPr>
      <w:spacing w:beforeLines="0" w:afterLines="0"/>
      <w:jc w:val="both"/>
      <w:outlineLvl w:val="9"/>
    </w:pPr>
    <w:rPr>
      <w:rFonts w:asciiTheme="majorEastAsia" w:eastAsiaTheme="majorEastAsia"/>
    </w:rPr>
  </w:style>
  <w:style w:type="paragraph" w:customStyle="1" w:styleId="328">
    <w:name w:val="四级无标题条"/>
    <w:basedOn w:val="295"/>
    <w:qFormat/>
    <w:uiPriority w:val="0"/>
    <w:pPr>
      <w:spacing w:beforeLines="0" w:afterLines="0"/>
      <w:jc w:val="both"/>
      <w:outlineLvl w:val="9"/>
    </w:pPr>
    <w:rPr>
      <w:rFonts w:asciiTheme="majorEastAsia" w:eastAsiaTheme="majorEastAsia"/>
    </w:rPr>
  </w:style>
  <w:style w:type="paragraph" w:customStyle="1" w:styleId="329">
    <w:name w:val="五级无标题条"/>
    <w:basedOn w:val="300"/>
    <w:qFormat/>
    <w:uiPriority w:val="0"/>
    <w:pPr>
      <w:spacing w:beforeLines="0" w:afterLines="0"/>
      <w:jc w:val="both"/>
      <w:outlineLvl w:val="9"/>
    </w:pPr>
    <w:rPr>
      <w:rFonts w:asciiTheme="majorEastAsia" w:eastAsiaTheme="majorEastAsia"/>
    </w:rPr>
  </w:style>
  <w:style w:type="paragraph" w:customStyle="1" w:styleId="330">
    <w:name w:val="一级无标题条"/>
    <w:basedOn w:val="260"/>
    <w:qFormat/>
    <w:uiPriority w:val="0"/>
    <w:pPr>
      <w:spacing w:beforeLines="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52"/>
      <w:lang w:val="en-US" w:eastAsia="zh-CN" w:bidi="ar-SA"/>
    </w:rPr>
  </w:style>
  <w:style w:type="character" w:customStyle="1" w:styleId="337">
    <w:name w:val="标准称谓DB Char"/>
    <w:basedOn w:val="231"/>
    <w:link w:val="336"/>
    <w:qFormat/>
    <w:uiPriority w:val="0"/>
    <w:rPr>
      <w:rFonts w:hint="eastAsia" w:ascii="黑体" w:hAnsi="黑体" w:eastAsia="黑体" w:cs="黑体"/>
      <w:b/>
      <w:bCs/>
      <w:w w:val="135"/>
      <w:sz w:val="52"/>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Times New Roman"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2"/>
      </w:numPr>
      <w:snapToGrid w:val="0"/>
      <w:spacing w:line="14" w:lineRule="exact"/>
      <w:jc w:val="center"/>
    </w:pPr>
    <w:rPr>
      <w:color w:val="FFFFFF"/>
    </w:rPr>
  </w:style>
  <w:style w:type="paragraph" w:customStyle="1" w:styleId="348">
    <w:name w:val="附录图标号"/>
    <w:basedOn w:val="1"/>
    <w:next w:val="258"/>
    <w:qFormat/>
    <w:uiPriority w:val="0"/>
    <w:pPr>
      <w:numPr>
        <w:ilvl w:val="0"/>
        <w:numId w:val="13"/>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标题1"/>
    <w:basedOn w:val="3"/>
    <w:next w:val="1"/>
    <w:semiHidden/>
    <w:unhideWhenUsed/>
    <w:qFormat/>
    <w:uiPriority w:val="39"/>
    <w:pPr>
      <w:outlineLvl w:val="9"/>
    </w:pPr>
  </w:style>
  <w:style w:type="character" w:customStyle="1" w:styleId="352">
    <w:name w:val="不明显参考1"/>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不明显强调1"/>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明显参考1"/>
    <w:basedOn w:val="231"/>
    <w:qFormat/>
    <w:uiPriority w:val="32"/>
    <w:rPr>
      <w:b/>
      <w:bCs/>
      <w:smallCaps/>
      <w:color w:val="5B9BD5" w:themeColor="accent1"/>
      <w:spacing w:val="5"/>
      <w14:textFill>
        <w14:solidFill>
          <w14:schemeClr w14:val="accent1"/>
        </w14:solidFill>
      </w14:textFill>
    </w:rPr>
  </w:style>
  <w:style w:type="character" w:customStyle="1" w:styleId="362">
    <w:name w:val="明显强调1"/>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清单表 1 浅色1"/>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清单表 1 浅色 - 着色 1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清单表 1 浅色 - 着色 21"/>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清单表 1 浅色 - 着色 31"/>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清单表 1 浅色 - 着色 41"/>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清单表 1 浅色 - 着色 51"/>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清单表 1 浅色 - 着色 61"/>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清单表 21"/>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清单表 2 - 着色 1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清单表 2 - 着色 21"/>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清单表 2 - 着色 31"/>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清单表 3 - 着色 41"/>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清单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清单表 7 彩色1"/>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清单表 7 彩色 - 着色 1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清单表 7 彩色 - 着色 21"/>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31"/>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41"/>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51"/>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61"/>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书籍标题1"/>
    <w:basedOn w:val="231"/>
    <w:qFormat/>
    <w:uiPriority w:val="33"/>
    <w:rPr>
      <w:b/>
      <w:bCs/>
      <w:i/>
      <w:iCs/>
      <w:spacing w:val="5"/>
    </w:rPr>
  </w:style>
  <w:style w:type="paragraph" w:customStyle="1" w:styleId="420">
    <w:name w:val="书目1"/>
    <w:basedOn w:val="1"/>
    <w:next w:val="1"/>
    <w:semiHidden/>
    <w:unhideWhenUsed/>
    <w:qFormat/>
    <w:uiPriority w:val="37"/>
  </w:style>
  <w:style w:type="table" w:customStyle="1" w:styleId="421">
    <w:name w:val="网格表 1 浅色1"/>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网格表 1 浅色 - 着色 1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网格表 1 浅色 - 着色 21"/>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网格表 1 浅色 - 着色 31"/>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网格表 1 浅色 - 着色 41"/>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网格表 1 浅色 - 着色 51"/>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网格表 2 - 着色 1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网格表 2 - 着色 31"/>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网格表 2 - 着色 61"/>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网格表 31"/>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网格表 3 - 着色 1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网格表 3 - 着色 21"/>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网格表 3 - 着色 31"/>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网格表 3 - 着色 41"/>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网格表 3 - 着色 51"/>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网格表 3 - 着色 61"/>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网格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网格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无格式表格 21"/>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无格式表格 31"/>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无格式表格 41"/>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无格式表格 51"/>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Lines="0" w:afterLines="0"/>
      <w:outlineLvl w:val="9"/>
    </w:pPr>
    <w:rPr>
      <w:rFonts w:asciiTheme="majorEastAsia" w:eastAsiaTheme="majorEastAsia"/>
    </w:rPr>
  </w:style>
  <w:style w:type="paragraph" w:customStyle="1" w:styleId="492">
    <w:name w:val="附录一级无标题条"/>
    <w:basedOn w:val="277"/>
    <w:qFormat/>
    <w:uiPriority w:val="0"/>
    <w:pPr>
      <w:spacing w:beforeLines="0" w:afterLines="0"/>
      <w:outlineLvl w:val="9"/>
    </w:pPr>
    <w:rPr>
      <w:rFonts w:asciiTheme="majorEastAsia" w:eastAsiaTheme="majorEastAsia"/>
    </w:rPr>
  </w:style>
  <w:style w:type="paragraph" w:customStyle="1" w:styleId="493">
    <w:name w:val="附录二级无标题条"/>
    <w:basedOn w:val="278"/>
    <w:qFormat/>
    <w:uiPriority w:val="0"/>
    <w:pPr>
      <w:spacing w:beforeLines="0" w:afterLines="0"/>
      <w:outlineLvl w:val="9"/>
    </w:pPr>
    <w:rPr>
      <w:rFonts w:asciiTheme="majorEastAsia" w:eastAsiaTheme="majorEastAsia"/>
    </w:rPr>
  </w:style>
  <w:style w:type="paragraph" w:customStyle="1" w:styleId="494">
    <w:name w:val="附录三级无标题条"/>
    <w:basedOn w:val="279"/>
    <w:qFormat/>
    <w:uiPriority w:val="0"/>
    <w:pPr>
      <w:spacing w:beforeLines="0" w:afterLines="0"/>
      <w:outlineLvl w:val="9"/>
    </w:pPr>
    <w:rPr>
      <w:rFonts w:asciiTheme="majorEastAsia" w:eastAsiaTheme="majorEastAsia"/>
    </w:rPr>
  </w:style>
  <w:style w:type="paragraph" w:customStyle="1" w:styleId="495">
    <w:name w:val="附录四级无标题条"/>
    <w:basedOn w:val="280"/>
    <w:qFormat/>
    <w:uiPriority w:val="0"/>
    <w:pPr>
      <w:spacing w:beforeLines="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Arial Black" w:hAnsi="Britannic Bold" w:eastAsia="Arial Unicode MS"/>
      <w:b/>
      <w:w w:val="11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ascii="Arial Black" w:hAnsi="Arial Black" w:eastAsia="黑体"/>
      <w:bCs/>
      <w:w w:val="135"/>
      <w:kern w:val="0"/>
      <w:sz w:val="44"/>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ascii="宋体"/>
      <w:b/>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5"/>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5"/>
      </w:numPr>
    </w:pPr>
  </w:style>
  <w:style w:type="paragraph" w:customStyle="1" w:styleId="511">
    <w:name w:val="引言二级条标题"/>
    <w:basedOn w:val="1"/>
    <w:next w:val="258"/>
    <w:qFormat/>
    <w:uiPriority w:val="0"/>
    <w:pPr>
      <w:widowControl/>
      <w:numPr>
        <w:ilvl w:val="2"/>
        <w:numId w:val="26"/>
      </w:numPr>
      <w:autoSpaceDE w:val="0"/>
      <w:autoSpaceDN w:val="0"/>
      <w:spacing w:beforeLines="50" w:afterLines="50"/>
    </w:pPr>
    <w:rPr>
      <w:rFonts w:ascii="黑体" w:eastAsia="黑体"/>
      <w:kern w:val="0"/>
      <w:szCs w:val="20"/>
    </w:rPr>
  </w:style>
  <w:style w:type="paragraph" w:customStyle="1" w:styleId="512">
    <w:name w:val="引言二级无标题条"/>
    <w:basedOn w:val="511"/>
    <w:next w:val="258"/>
    <w:qFormat/>
    <w:uiPriority w:val="0"/>
    <w:pPr>
      <w:spacing w:beforeLines="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6"/>
      </w:numPr>
      <w:autoSpaceDE w:val="0"/>
      <w:autoSpaceDN w:val="0"/>
      <w:spacing w:beforeLines="50" w:afterLines="50"/>
    </w:pPr>
    <w:rPr>
      <w:rFonts w:ascii="黑体" w:eastAsia="黑体"/>
      <w:kern w:val="0"/>
      <w:szCs w:val="20"/>
    </w:rPr>
  </w:style>
  <w:style w:type="paragraph" w:customStyle="1" w:styleId="514">
    <w:name w:val="引言三级无标题条"/>
    <w:basedOn w:val="513"/>
    <w:next w:val="258"/>
    <w:qFormat/>
    <w:uiPriority w:val="0"/>
    <w:pPr>
      <w:spacing w:beforeLines="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6"/>
      </w:numPr>
      <w:autoSpaceDE w:val="0"/>
      <w:autoSpaceDN w:val="0"/>
      <w:spacing w:beforeLines="50" w:afterLines="50"/>
    </w:pPr>
    <w:rPr>
      <w:rFonts w:ascii="黑体" w:eastAsia="黑体"/>
      <w:kern w:val="0"/>
      <w:szCs w:val="20"/>
    </w:rPr>
  </w:style>
  <w:style w:type="paragraph" w:customStyle="1" w:styleId="516">
    <w:name w:val="引言四级无标题条"/>
    <w:basedOn w:val="515"/>
    <w:next w:val="258"/>
    <w:qFormat/>
    <w:uiPriority w:val="0"/>
    <w:pPr>
      <w:spacing w:beforeLines="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6"/>
      </w:numPr>
      <w:autoSpaceDE w:val="0"/>
      <w:autoSpaceDN w:val="0"/>
      <w:spacing w:beforeLines="50" w:afterLines="50"/>
    </w:pPr>
    <w:rPr>
      <w:rFonts w:ascii="黑体" w:eastAsia="黑体"/>
      <w:kern w:val="0"/>
      <w:szCs w:val="20"/>
    </w:rPr>
  </w:style>
  <w:style w:type="paragraph" w:customStyle="1" w:styleId="518">
    <w:name w:val="引言五级无标题条"/>
    <w:basedOn w:val="517"/>
    <w:next w:val="258"/>
    <w:qFormat/>
    <w:uiPriority w:val="0"/>
    <w:pPr>
      <w:spacing w:beforeLines="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6"/>
      </w:numPr>
      <w:autoSpaceDE w:val="0"/>
      <w:autoSpaceDN w:val="0"/>
      <w:spacing w:beforeLines="50" w:afterLines="50"/>
    </w:pPr>
    <w:rPr>
      <w:rFonts w:ascii="黑体" w:eastAsia="黑体"/>
      <w:kern w:val="0"/>
      <w:szCs w:val="20"/>
    </w:rPr>
  </w:style>
  <w:style w:type="paragraph" w:customStyle="1" w:styleId="520">
    <w:name w:val="引言一级无标题条"/>
    <w:basedOn w:val="519"/>
    <w:next w:val="258"/>
    <w:qFormat/>
    <w:uiPriority w:val="0"/>
    <w:pPr>
      <w:spacing w:beforeLines="0" w:afterLines="0" w:line="276" w:lineRule="auto"/>
    </w:pPr>
    <w:rPr>
      <w:rFonts w:ascii="宋体" w:eastAsia="宋体"/>
    </w:rPr>
  </w:style>
  <w:style w:type="paragraph" w:customStyle="1" w:styleId="52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7"/>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28"/>
      </w:numPr>
      <w:adjustRightInd w:val="0"/>
      <w:jc w:val="left"/>
    </w:pPr>
    <w:rPr>
      <w:rFonts w:hAnsi="宋体"/>
      <w:szCs w:val="21"/>
    </w:rPr>
  </w:style>
  <w:style w:type="paragraph" w:customStyle="1" w:styleId="5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29">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3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1">
    <w:name w:val="标准文件_文件编号"/>
    <w:basedOn w:val="1"/>
    <w:qFormat/>
    <w:uiPriority w:val="0"/>
    <w:pPr>
      <w:framePr w:w="9356" w:h="624" w:hRule="exact" w:hSpace="181" w:vSpace="181" w:wrap="around"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532">
    <w:name w:val="标准文件_文件名称"/>
    <w:basedOn w:val="1"/>
    <w:next w:val="1"/>
    <w:qFormat/>
    <w:uiPriority w:val="0"/>
    <w:pPr>
      <w:framePr w:w="9639" w:h="6976" w:hRule="exact" w:wrap="around" w:vAnchor="page" w:hAnchor="page" w:y="6408"/>
      <w:widowControl/>
      <w:spacing w:line="700" w:lineRule="exact"/>
      <w:jc w:val="center"/>
    </w:pPr>
    <w:rPr>
      <w:rFonts w:ascii="黑体" w:hAnsi="黑体" w:eastAsia="黑体"/>
      <w:bCs/>
      <w:kern w:val="0"/>
      <w:sz w:val="52"/>
      <w:szCs w:val="20"/>
    </w:rPr>
  </w:style>
  <w:style w:type="paragraph" w:customStyle="1" w:styleId="533">
    <w:name w:val="其他发布日期"/>
    <w:basedOn w:val="264"/>
    <w:qFormat/>
    <w:uiPriority w:val="0"/>
    <w:pPr>
      <w:framePr w:w="3997" w:h="471" w:hRule="exact" w:vSpace="181" w:wrap="around" w:vAnchor="page" w:hAnchor="page" w:x="1419" w:y="14097" w:anchorLock="1"/>
    </w:pPr>
    <w:rPr>
      <w:rFonts w:ascii="Times New Roman" w:hAnsi="Times New Roman"/>
    </w:rPr>
  </w:style>
  <w:style w:type="paragraph" w:customStyle="1" w:styleId="534">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53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6">
    <w:name w:val="标准文件_破折号列项"/>
    <w:qFormat/>
    <w:uiPriority w:val="0"/>
    <w:pPr>
      <w:numPr>
        <w:ilvl w:val="0"/>
        <w:numId w:val="29"/>
      </w:numPr>
      <w:adjustRightInd w:val="0"/>
      <w:snapToGrid w:val="0"/>
      <w:ind w:left="0" w:firstLine="200" w:firstLineChars="200"/>
    </w:pPr>
    <w:rPr>
      <w:rFonts w:ascii="Times New Roman" w:hAnsi="Times New Roman" w:eastAsia="宋体" w:cs="Times New Roman"/>
      <w:sz w:val="21"/>
      <w:lang w:val="en-US" w:eastAsia="zh-CN" w:bidi="ar-SA"/>
    </w:rPr>
  </w:style>
  <w:style w:type="character" w:customStyle="1" w:styleId="537">
    <w:name w:val="页脚 Char"/>
    <w:link w:val="59"/>
    <w:qFormat/>
    <w:uiPriority w:val="99"/>
    <w:rPr>
      <w:kern w:val="2"/>
      <w:sz w:val="18"/>
      <w:szCs w:val="18"/>
    </w:rPr>
  </w:style>
  <w:style w:type="paragraph" w:customStyle="1" w:styleId="538">
    <w:name w:val="标准文件_章标题"/>
    <w:next w:val="1"/>
    <w:qFormat/>
    <w:uiPriority w:val="0"/>
    <w:pPr>
      <w:tabs>
        <w:tab w:val="left" w:pos="1620"/>
      </w:tabs>
      <w:spacing w:beforeLines="100" w:afterLines="100"/>
      <w:jc w:val="both"/>
      <w:outlineLvl w:val="0"/>
    </w:pPr>
    <w:rPr>
      <w:rFonts w:ascii="黑体" w:hAnsi="Times New Roman" w:eastAsia="黑体" w:cs="Times New Roman"/>
      <w:sz w:val="21"/>
      <w:lang w:val="en-US" w:eastAsia="zh-CN" w:bidi="ar-SA"/>
    </w:rPr>
  </w:style>
  <w:style w:type="paragraph" w:customStyle="1" w:styleId="539">
    <w:name w:val="1级标"/>
    <w:basedOn w:val="538"/>
    <w:qFormat/>
    <w:uiPriority w:val="0"/>
    <w:pPr>
      <w:tabs>
        <w:tab w:val="clear" w:pos="1620"/>
      </w:tabs>
      <w:spacing w:before="468" w:beforeLines="150" w:after="312"/>
    </w:pPr>
  </w:style>
  <w:style w:type="paragraph" w:customStyle="1" w:styleId="540">
    <w:name w:val="标准文件_一级条标题"/>
    <w:basedOn w:val="538"/>
    <w:next w:val="1"/>
    <w:qFormat/>
    <w:uiPriority w:val="0"/>
    <w:pPr>
      <w:tabs>
        <w:tab w:val="clear" w:pos="1620"/>
      </w:tabs>
      <w:spacing w:beforeLines="50" w:afterLines="50"/>
      <w:ind w:left="567" w:hanging="567"/>
      <w:outlineLvl w:val="1"/>
    </w:pPr>
  </w:style>
  <w:style w:type="paragraph" w:customStyle="1" w:styleId="541">
    <w:name w:val="2级标"/>
    <w:basedOn w:val="540"/>
    <w:qFormat/>
    <w:uiPriority w:val="0"/>
    <w:pPr>
      <w:spacing w:before="312" w:beforeLines="100" w:after="156"/>
    </w:pPr>
  </w:style>
  <w:style w:type="paragraph" w:customStyle="1" w:styleId="542">
    <w:name w:val="标准文件_二级无标题"/>
    <w:basedOn w:val="1"/>
    <w:qFormat/>
    <w:uiPriority w:val="0"/>
    <w:pPr>
      <w:numPr>
        <w:ilvl w:val="3"/>
        <w:numId w:val="30"/>
      </w:numPr>
      <w:tabs>
        <w:tab w:val="left" w:pos="1620"/>
      </w:tabs>
    </w:pPr>
    <w:rPr>
      <w:rFonts w:ascii="宋体"/>
      <w:kern w:val="0"/>
      <w:szCs w:val="20"/>
    </w:rPr>
  </w:style>
  <w:style w:type="paragraph" w:customStyle="1" w:styleId="543">
    <w:name w:val="标准文件_正文表标题"/>
    <w:next w:val="1"/>
    <w:qFormat/>
    <w:uiPriority w:val="0"/>
    <w:pPr>
      <w:tabs>
        <w:tab w:val="left" w:pos="0"/>
      </w:tabs>
      <w:spacing w:beforeLines="50" w:afterLines="50"/>
      <w:ind w:left="3827"/>
      <w:jc w:val="center"/>
    </w:pPr>
    <w:rPr>
      <w:rFonts w:ascii="黑体" w:hAnsi="Times New Roman" w:eastAsia="黑体" w:cs="Times New Roman"/>
      <w:sz w:val="21"/>
      <w:lang w:val="en-US" w:eastAsia="zh-CN" w:bidi="ar-SA"/>
    </w:rPr>
  </w:style>
  <w:style w:type="paragraph" w:customStyle="1" w:styleId="544">
    <w:name w:val="标准文件_表格"/>
    <w:basedOn w:val="1"/>
    <w:qFormat/>
    <w:uiPriority w:val="0"/>
    <w:pPr>
      <w:widowControl/>
      <w:autoSpaceDE w:val="0"/>
      <w:autoSpaceDN w:val="0"/>
      <w:jc w:val="center"/>
    </w:pPr>
    <w:rPr>
      <w:rFonts w:ascii="宋体"/>
      <w:kern w:val="0"/>
      <w:sz w:val="18"/>
      <w:szCs w:val="20"/>
    </w:rPr>
  </w:style>
  <w:style w:type="paragraph" w:customStyle="1" w:styleId="545">
    <w:name w:val="3级标"/>
    <w:basedOn w:val="542"/>
    <w:qFormat/>
    <w:uiPriority w:val="0"/>
    <w:pPr>
      <w:numPr>
        <w:ilvl w:val="2"/>
        <w:numId w:val="0"/>
      </w:numPr>
      <w:tabs>
        <w:tab w:val="clear" w:pos="1620"/>
      </w:tabs>
      <w:overflowPunct w:val="0"/>
    </w:pPr>
  </w:style>
  <w:style w:type="paragraph" w:customStyle="1" w:styleId="54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7">
    <w:name w:val="Table Text"/>
    <w:basedOn w:val="1"/>
    <w:semiHidden/>
    <w:qFormat/>
    <w:uiPriority w:val="0"/>
    <w:rPr>
      <w:rFonts w:ascii="宋体" w:hAnsi="宋体" w:cs="宋体"/>
      <w:sz w:val="9"/>
      <w:szCs w:val="9"/>
      <w:lang w:eastAsia="en-US"/>
    </w:rPr>
  </w:style>
  <w:style w:type="table" w:customStyle="1" w:styleId="548">
    <w:name w:val="Table Normal"/>
    <w:semiHidden/>
    <w:unhideWhenUsed/>
    <w:qFormat/>
    <w:uiPriority w:val="0"/>
    <w:tblPr>
      <w:tblCellMar>
        <w:top w:w="0" w:type="dxa"/>
        <w:left w:w="0" w:type="dxa"/>
        <w:bottom w:w="0" w:type="dxa"/>
        <w:right w:w="0" w:type="dxa"/>
      </w:tblCellMar>
    </w:tblPr>
  </w:style>
  <w:style w:type="paragraph" w:customStyle="1" w:styleId="549">
    <w:name w:val="标准文件_前言、引言标题"/>
    <w:next w:val="1"/>
    <w:qFormat/>
    <w:uiPriority w:val="0"/>
    <w:pPr>
      <w:numPr>
        <w:ilvl w:val="0"/>
        <w:numId w:val="26"/>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55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52">
    <w:name w:val="标准文件_页眉偶数页"/>
    <w:basedOn w:val="551"/>
    <w:next w:val="1"/>
    <w:qFormat/>
    <w:uiPriority w:val="0"/>
    <w:pPr>
      <w:jc w:val="left"/>
    </w:pPr>
  </w:style>
  <w:style w:type="paragraph" w:customStyle="1" w:styleId="553">
    <w:name w:val="标准文件_页脚偶数页"/>
    <w:qFormat/>
    <w:uiPriority w:val="0"/>
    <w:pPr>
      <w:ind w:left="198"/>
      <w:jc w:val="both"/>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SoftWare\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14:paraId="570DED23">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0238F9"/>
    <w:rsid w:val="00077BCF"/>
    <w:rsid w:val="003F664C"/>
    <w:rsid w:val="004363ED"/>
    <w:rsid w:val="00516E6A"/>
    <w:rsid w:val="006D6BC2"/>
    <w:rsid w:val="00730FF9"/>
    <w:rsid w:val="00732A59"/>
    <w:rsid w:val="007B2279"/>
    <w:rsid w:val="00806D70"/>
    <w:rsid w:val="009047E8"/>
    <w:rsid w:val="009C6B9B"/>
    <w:rsid w:val="009D2287"/>
    <w:rsid w:val="009F6678"/>
    <w:rsid w:val="00A07426"/>
    <w:rsid w:val="00A50166"/>
    <w:rsid w:val="00AB3E05"/>
    <w:rsid w:val="00AB4464"/>
    <w:rsid w:val="00AC2139"/>
    <w:rsid w:val="00B94507"/>
    <w:rsid w:val="00CF4780"/>
    <w:rsid w:val="00D218BC"/>
    <w:rsid w:val="00D55AD2"/>
    <w:rsid w:val="00DE6AB1"/>
    <w:rsid w:val="00E442F0"/>
    <w:rsid w:val="00E66E00"/>
    <w:rsid w:val="00E74E5F"/>
    <w:rsid w:val="00EF3FAD"/>
    <w:rsid w:val="00FA70B0"/>
    <w:rsid w:val="00FD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Company>微软中国</Company>
  <Pages>16</Pages>
  <Words>2116</Words>
  <Characters>2541</Characters>
  <Lines>56</Lines>
  <Paragraphs>15</Paragraphs>
  <TotalTime>8</TotalTime>
  <ScaleCrop>false</ScaleCrop>
  <LinksUpToDate>false</LinksUpToDate>
  <CharactersWithSpaces>2637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2024-11-26T14:14:00Z</dcterms:created>
  <dc:creator>海上@_@星尘</dc:creator>
  <cp:lastModifiedBy>lenovo</cp:lastModifiedBy>
  <cp:lastPrinted>2024-11-26T10:39:00Z</cp:lastPrinted>
  <dcterms:modified xsi:type="dcterms:W3CDTF">2024-12-23T03:40:01Z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DD5DB9A84D364ECFAEF841F2FA2F8BBD_13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湖北省地方标准</vt:lpwstr>
  </property>
  <property fmtid="{D5CDD505-2E9C-101B-9397-08002B2CF9AE}" pid="10" name="BZBH" linkTarget="BZBH">
    <vt:lpwstr>DB</vt:lpwstr>
  </property>
  <property fmtid="{D5CDD505-2E9C-101B-9397-08002B2CF9AE}" pid="11" name="TDBH" linkTarget="TDBH">
    <vt:lpwstr>代替 DB</vt:lpwstr>
  </property>
  <property fmtid="{D5CDD505-2E9C-101B-9397-08002B2CF9AE}" pid="12" name="BZMC" linkTarget="BZMC">
    <vt:lpwstr>湖北省大型公共建筑碳排放分级评价标准</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DB</vt:lpwstr>
  </property>
  <property fmtid="{D5CDD505-2E9C-101B-9397-08002B2CF9AE}" pid="19" name="标准类型" linkTarget="标准类型">
    <vt:lpwstr>DB</vt:lpwstr>
  </property>
  <property fmtid="{D5CDD505-2E9C-101B-9397-08002B2CF9AE}" pid="20" name="FBDW" linkTarget="FBDW">
    <vt:lpwstr>湖北碳排放权交易中心</vt:lpwstr>
  </property>
  <property fmtid="{D5CDD505-2E9C-101B-9397-08002B2CF9AE}" pid="21" name="IMAGE" linkTarget="IMAGE">
    <vt:lpwstr/>
  </property>
  <property fmtid="{D5CDD505-2E9C-101B-9397-08002B2CF9AE}" pid="22" name="KSOProductBuildVer">
    <vt:lpwstr>2052-12.1.0.19302</vt:lpwstr>
  </property>
</Properties>
</file>