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5DDBC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14:paraId="7B909219">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23804EC7">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0"/>
            <w:r>
              <w:rPr>
                <w:rFonts w:ascii="黑体" w:hAnsi="黑体" w:eastAsia="黑体"/>
                <w:sz w:val="21"/>
                <w:szCs w:val="21"/>
              </w:rPr>
              <w:t>91.040.10</w:t>
            </w:r>
          </w:p>
        </w:tc>
      </w:tr>
      <w:tr w14:paraId="03AE7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981644A">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01B20752">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P50"/>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P50</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375F8F2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6407" w:type="dxa"/>
          </w:tcPr>
          <w:p w14:paraId="18FB8C39">
            <w:pPr>
              <w:pStyle w:val="49"/>
              <w:framePr w:w="0" w:hRule="auto" w:wrap="auto" w:vAnchor="margin" w:hAnchor="text" w:xAlign="left" w:yAlign="inline"/>
              <w:rPr>
                <w:rFonts w:hint="eastAsia"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42</w:t>
            </w:r>
            <w:r>
              <w:fldChar w:fldCharType="end"/>
            </w:r>
            <w:bookmarkEnd w:id="3"/>
          </w:p>
        </w:tc>
      </w:tr>
    </w:tbl>
    <w:p w14:paraId="59FE56ED">
      <w:pPr>
        <w:pStyle w:val="50"/>
        <w:framePr w:w="9639" w:h="624" w:hRule="exact" w:hSpace="181" w:vSpace="181"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4DB010DE">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42/T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5A3C8F3A">
      <w:pPr>
        <w:pStyle w:val="196"/>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1BE5C124">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D615EC8">
      <w:pPr>
        <w:pStyle w:val="50"/>
        <w:framePr w:w="9639" w:h="6976" w:hRule="exact" w:hSpace="0" w:vSpace="0" w:hAnchor="page" w:y="6408"/>
        <w:jc w:val="center"/>
        <w:rPr>
          <w:rFonts w:hint="eastAsia" w:ascii="黑体" w:hAnsi="黑体" w:eastAsia="黑体"/>
          <w:b w:val="0"/>
          <w:bCs w:val="0"/>
          <w:w w:val="100"/>
        </w:rPr>
      </w:pPr>
    </w:p>
    <w:p w14:paraId="369C80D8">
      <w:pPr>
        <w:pStyle w:val="19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城市道路人行道及附属设施技术规程</w:t>
      </w:r>
      <w:r>
        <w:fldChar w:fldCharType="end"/>
      </w:r>
      <w:bookmarkEnd w:id="9"/>
    </w:p>
    <w:p w14:paraId="3A9A81CB">
      <w:pPr>
        <w:framePr w:w="9639" w:h="6974" w:hRule="exact" w:wrap="around" w:vAnchor="page" w:hAnchor="page" w:x="1419" w:y="6408" w:anchorLock="1"/>
        <w:ind w:left="-1418"/>
      </w:pPr>
    </w:p>
    <w:p w14:paraId="799BA248">
      <w:pPr>
        <w:pStyle w:val="125"/>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ascii="黑体" w:hAnsi="黑体" w:eastAsia="黑体"/>
          <w:szCs w:val="28"/>
        </w:rPr>
        <w:t xml:space="preserve">Technical specification for sidewalks and ancillary </w:t>
      </w:r>
    </w:p>
    <w:p w14:paraId="5A6F75FC">
      <w:pPr>
        <w:pStyle w:val="125"/>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t>facilities of urban roads</w:t>
      </w:r>
      <w:r>
        <w:rPr>
          <w:rFonts w:ascii="黑体" w:hAnsi="黑体" w:eastAsia="黑体"/>
          <w:szCs w:val="28"/>
        </w:rPr>
        <w:fldChar w:fldCharType="end"/>
      </w:r>
      <w:bookmarkEnd w:id="10"/>
    </w:p>
    <w:p w14:paraId="5956D37E">
      <w:pPr>
        <w:framePr w:w="9639" w:h="6974" w:hRule="exact" w:wrap="around" w:vAnchor="page" w:hAnchor="page" w:x="1419" w:y="6408" w:anchorLock="1"/>
        <w:spacing w:line="760" w:lineRule="exact"/>
        <w:ind w:left="-1418"/>
      </w:pPr>
    </w:p>
    <w:p w14:paraId="6596C91E">
      <w:pPr>
        <w:pStyle w:val="125"/>
        <w:framePr w:w="9639" w:h="6974" w:hRule="exact" w:wrap="around" w:vAnchor="page" w:hAnchor="page" w:x="1419" w:y="6408" w:anchorLock="1"/>
        <w:textAlignment w:val="bottom"/>
        <w:rPr>
          <w:rFonts w:eastAsia="黑体"/>
          <w:szCs w:val="28"/>
        </w:rPr>
      </w:pPr>
    </w:p>
    <w:p w14:paraId="71867A66">
      <w:pPr>
        <w:pStyle w:val="125"/>
        <w:framePr w:w="9639" w:h="6974" w:hRule="exact" w:wrap="around" w:vAnchor="page" w:hAnchor="page" w:x="1419" w:y="6408" w:anchorLock="1"/>
        <w:spacing w:before="440" w:after="160"/>
        <w:textAlignment w:val="bottom"/>
        <w:rPr>
          <w:sz w:val="24"/>
          <w:szCs w:val="28"/>
        </w:rPr>
      </w:pPr>
      <w:r>
        <w:rPr>
          <w:sz w:val="24"/>
          <w:szCs w:val="28"/>
        </w:rPr>
        <w:t>征求意见稿</w:t>
      </w:r>
    </w:p>
    <w:p w14:paraId="47DE02F4">
      <w:pPr>
        <w:pStyle w:val="125"/>
        <w:framePr w:w="9639" w:h="6974" w:hRule="exact" w:wrap="around" w:vAnchor="page" w:hAnchor="page" w:x="1419" w:y="6408" w:anchorLock="1"/>
        <w:spacing w:before="180" w:line="240" w:lineRule="atLeast"/>
        <w:textAlignment w:val="bottom"/>
        <w:rPr>
          <w:sz w:val="21"/>
          <w:szCs w:val="28"/>
        </w:rPr>
      </w:pPr>
    </w:p>
    <w:p w14:paraId="348EA7B4">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Pr>
          <w:b/>
          <w:sz w:val="21"/>
          <w:szCs w:val="28"/>
        </w:rPr>
        <w:fldChar w:fldCharType="separate"/>
      </w:r>
      <w:r>
        <w:rPr>
          <w:b/>
          <w:sz w:val="21"/>
          <w:szCs w:val="28"/>
        </w:rPr>
        <w:fldChar w:fldCharType="end"/>
      </w:r>
      <w:bookmarkEnd w:id="11"/>
    </w:p>
    <w:p w14:paraId="508C1659">
      <w:pPr>
        <w:pStyle w:val="193"/>
        <w:framePr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2024</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14:paraId="136F37B1">
      <w:pPr>
        <w:pStyle w:val="194"/>
        <w:framePr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20xx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tbl>
      <w:tblPr>
        <w:tblStyle w:val="26"/>
        <w:tblW w:w="8472" w:type="dxa"/>
        <w:tblInd w:w="0" w:type="dxa"/>
        <w:tblLayout w:type="fixed"/>
        <w:tblCellMar>
          <w:top w:w="0" w:type="dxa"/>
          <w:left w:w="108" w:type="dxa"/>
          <w:bottom w:w="0" w:type="dxa"/>
          <w:right w:w="108" w:type="dxa"/>
        </w:tblCellMar>
      </w:tblPr>
      <w:tblGrid>
        <w:gridCol w:w="5019"/>
        <w:gridCol w:w="3453"/>
      </w:tblGrid>
      <w:tr w14:paraId="25015C95">
        <w:tblPrEx>
          <w:tblCellMar>
            <w:top w:w="0" w:type="dxa"/>
            <w:left w:w="108" w:type="dxa"/>
            <w:bottom w:w="0" w:type="dxa"/>
            <w:right w:w="108" w:type="dxa"/>
          </w:tblCellMar>
        </w:tblPrEx>
        <w:tc>
          <w:tcPr>
            <w:tcW w:w="5019" w:type="dxa"/>
          </w:tcPr>
          <w:p w14:paraId="07612834">
            <w:pPr>
              <w:framePr w:w="7953" w:h="946" w:hRule="exact" w:hSpace="181" w:vSpace="181" w:wrap="around" w:vAnchor="page" w:hAnchor="page" w:x="2115" w:y="15106" w:anchorLock="1"/>
              <w:widowControl/>
              <w:spacing w:line="0" w:lineRule="atLeast"/>
              <w:jc w:val="distribute"/>
              <w:rPr>
                <w:rFonts w:ascii="Times New Roman" w:hAnsi="Times New Roman" w:eastAsia="黑体"/>
                <w:w w:val="135"/>
                <w:sz w:val="28"/>
                <w:szCs w:val="16"/>
              </w:rPr>
            </w:pPr>
            <w:r>
              <w:rPr>
                <w:rFonts w:ascii="Times New Roman" w:hAnsi="Times New Roman" w:eastAsia="黑体"/>
                <w:w w:val="135"/>
                <w:sz w:val="28"/>
                <w:szCs w:val="16"/>
              </w:rPr>
              <w:t>湖北省住房和城乡建设厅</w:t>
            </w:r>
          </w:p>
        </w:tc>
        <w:tc>
          <w:tcPr>
            <w:tcW w:w="3453" w:type="dxa"/>
            <w:vMerge w:val="restart"/>
            <w:vAlign w:val="center"/>
          </w:tcPr>
          <w:p w14:paraId="6A5BA091">
            <w:pPr>
              <w:framePr w:w="7953" w:h="946" w:hRule="exact" w:hSpace="181" w:vSpace="181" w:wrap="around" w:vAnchor="page" w:hAnchor="page" w:x="2115" w:y="15106" w:anchorLock="1"/>
              <w:widowControl/>
              <w:spacing w:line="0" w:lineRule="atLeast"/>
              <w:jc w:val="center"/>
              <w:rPr>
                <w:rFonts w:ascii="Times New Roman" w:hAnsi="Times New Roman" w:eastAsia="黑体"/>
                <w:w w:val="135"/>
                <w:sz w:val="36"/>
                <w:szCs w:val="20"/>
              </w:rPr>
            </w:pPr>
            <w:r>
              <w:rPr>
                <w:rFonts w:ascii="Times New Roman" w:hAnsi="Times New Roman" w:eastAsia="黑体"/>
                <w:spacing w:val="85"/>
                <w:position w:val="3"/>
                <w:sz w:val="28"/>
                <w:szCs w:val="28"/>
              </w:rPr>
              <w:t>联合发布</w:t>
            </w:r>
          </w:p>
        </w:tc>
      </w:tr>
      <w:tr w14:paraId="1925A914">
        <w:tblPrEx>
          <w:tblCellMar>
            <w:top w:w="0" w:type="dxa"/>
            <w:left w:w="108" w:type="dxa"/>
            <w:bottom w:w="0" w:type="dxa"/>
            <w:right w:w="108" w:type="dxa"/>
          </w:tblCellMar>
        </w:tblPrEx>
        <w:tc>
          <w:tcPr>
            <w:tcW w:w="5019" w:type="dxa"/>
          </w:tcPr>
          <w:p w14:paraId="782D52B2">
            <w:pPr>
              <w:framePr w:w="7953" w:h="946" w:hRule="exact" w:hSpace="181" w:vSpace="181" w:wrap="around" w:vAnchor="page" w:hAnchor="page" w:x="2115" w:y="15106" w:anchorLock="1"/>
              <w:widowControl/>
              <w:spacing w:line="0" w:lineRule="atLeast"/>
              <w:jc w:val="distribute"/>
              <w:rPr>
                <w:rFonts w:ascii="Times New Roman" w:hAnsi="Times New Roman" w:eastAsia="黑体"/>
                <w:w w:val="135"/>
                <w:sz w:val="28"/>
                <w:szCs w:val="16"/>
              </w:rPr>
            </w:pPr>
            <w:r>
              <w:rPr>
                <w:rFonts w:ascii="Times New Roman" w:hAnsi="Times New Roman" w:eastAsia="黑体"/>
                <w:w w:val="135"/>
                <w:sz w:val="28"/>
                <w:szCs w:val="16"/>
              </w:rPr>
              <w:t xml:space="preserve">湖北省市场监督管理局    </w:t>
            </w:r>
          </w:p>
        </w:tc>
        <w:tc>
          <w:tcPr>
            <w:tcW w:w="3453" w:type="dxa"/>
            <w:vMerge w:val="continue"/>
          </w:tcPr>
          <w:p w14:paraId="03907DBF">
            <w:pPr>
              <w:framePr w:w="7953" w:h="946" w:hRule="exact" w:hSpace="181" w:vSpace="181" w:wrap="around" w:vAnchor="page" w:hAnchor="page" w:x="2115" w:y="15106" w:anchorLock="1"/>
              <w:widowControl/>
              <w:spacing w:line="0" w:lineRule="atLeast"/>
              <w:rPr>
                <w:rFonts w:ascii="Times New Roman" w:hAnsi="Times New Roman" w:eastAsia="黑体"/>
                <w:w w:val="135"/>
                <w:sz w:val="36"/>
                <w:szCs w:val="20"/>
              </w:rPr>
            </w:pPr>
          </w:p>
        </w:tc>
      </w:tr>
    </w:tbl>
    <w:p w14:paraId="5DEF5A45">
      <w:pPr>
        <w:pStyle w:val="151"/>
        <w:framePr w:w="7953" w:h="946" w:hRule="exact" w:hSpace="181" w:vSpace="181" w:vAnchor="page" w:hAnchor="page" w:x="2115" w:y="15106"/>
        <w:jc w:val="both"/>
        <w:rPr>
          <w:rFonts w:hint="eastAsia" w:hAnsi="黑体"/>
        </w:rPr>
      </w:pPr>
    </w:p>
    <w:p w14:paraId="5C39A2A6">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40E503C0">
      <w:pPr>
        <w:pStyle w:val="91"/>
        <w:spacing w:after="468"/>
      </w:pPr>
      <w:bookmarkStart w:id="18" w:name="BookMark1"/>
      <w:bookmarkStart w:id="19" w:name="_Toc177647686"/>
      <w:bookmarkStart w:id="20" w:name="_Toc177736912"/>
      <w:bookmarkStart w:id="21" w:name="_Toc177634217"/>
      <w:bookmarkStart w:id="22" w:name="_Toc177645316"/>
      <w:bookmarkStart w:id="23" w:name="_Toc177723421"/>
      <w:bookmarkStart w:id="24" w:name="_Toc177734848"/>
      <w:bookmarkStart w:id="25" w:name="_Toc177981343"/>
      <w:bookmarkStart w:id="26" w:name="_Toc177627010"/>
      <w:bookmarkStart w:id="27" w:name="_Toc177626076"/>
      <w:r>
        <w:rPr>
          <w:rFonts w:hint="eastAsia"/>
          <w:spacing w:val="320"/>
        </w:rPr>
        <w:t>目</w:t>
      </w:r>
      <w:r>
        <w:rPr>
          <w:rFonts w:hint="eastAsia"/>
        </w:rPr>
        <w:t>次</w:t>
      </w:r>
    </w:p>
    <w:p w14:paraId="6714A2B6">
      <w:pPr>
        <w:pStyle w:val="19"/>
        <w:tabs>
          <w:tab w:val="right" w:leader="dot" w:pos="9344"/>
        </w:tabs>
        <w:rPr>
          <w:rFonts w:hint="eastAsia"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"_Toc178324987" </w:instrText>
      </w:r>
      <w:r>
        <w:fldChar w:fldCharType="separate"/>
      </w:r>
      <w:r>
        <w:rPr>
          <w:rStyle w:val="32"/>
          <w:rFonts w:hint="eastAsia"/>
        </w:rPr>
        <w:t>前言</w:t>
      </w:r>
      <w:r>
        <w:tab/>
      </w:r>
      <w:r>
        <w:fldChar w:fldCharType="begin"/>
      </w:r>
      <w:r>
        <w:instrText xml:space="preserve"> PAGEREF _Toc178324987 \h </w:instrText>
      </w:r>
      <w:r>
        <w:fldChar w:fldCharType="separate"/>
      </w:r>
      <w:r>
        <w:t>III</w:t>
      </w:r>
      <w:r>
        <w:fldChar w:fldCharType="end"/>
      </w:r>
      <w:r>
        <w:fldChar w:fldCharType="end"/>
      </w:r>
    </w:p>
    <w:p w14:paraId="779B1F11">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"_Toc178324988" </w:instrText>
      </w:r>
      <w:r>
        <w:fldChar w:fldCharType="separate"/>
      </w:r>
      <w:r>
        <w:rPr>
          <w:rStyle w:val="32"/>
        </w:rPr>
        <w:t xml:space="preserve">1 </w:t>
      </w:r>
      <w:r>
        <w:rPr>
          <w:rStyle w:val="32"/>
          <w:rFonts w:hint="eastAsia"/>
        </w:rPr>
        <w:t xml:space="preserve"> 范围</w:t>
      </w:r>
      <w:r>
        <w:tab/>
      </w:r>
      <w:r>
        <w:fldChar w:fldCharType="begin"/>
      </w:r>
      <w:r>
        <w:instrText xml:space="preserve"> PAGEREF _Toc178324988 \h </w:instrText>
      </w:r>
      <w:r>
        <w:fldChar w:fldCharType="separate"/>
      </w:r>
      <w:r>
        <w:t>1</w:t>
      </w:r>
      <w:r>
        <w:fldChar w:fldCharType="end"/>
      </w:r>
      <w:r>
        <w:fldChar w:fldCharType="end"/>
      </w:r>
    </w:p>
    <w:p w14:paraId="016C5C9C">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"_Toc178324989" </w:instrText>
      </w:r>
      <w:r>
        <w:fldChar w:fldCharType="separate"/>
      </w:r>
      <w:r>
        <w:rPr>
          <w:rStyle w:val="32"/>
        </w:rPr>
        <w:t xml:space="preserve">2 </w:t>
      </w:r>
      <w:r>
        <w:rPr>
          <w:rStyle w:val="32"/>
          <w:rFonts w:hint="eastAsia"/>
        </w:rPr>
        <w:t xml:space="preserve"> 规范性引用文件</w:t>
      </w:r>
      <w:r>
        <w:tab/>
      </w:r>
      <w:r>
        <w:fldChar w:fldCharType="begin"/>
      </w:r>
      <w:r>
        <w:instrText xml:space="preserve"> PAGEREF _Toc178324989 \h </w:instrText>
      </w:r>
      <w:r>
        <w:fldChar w:fldCharType="separate"/>
      </w:r>
      <w:r>
        <w:t>1</w:t>
      </w:r>
      <w:r>
        <w:fldChar w:fldCharType="end"/>
      </w:r>
      <w:r>
        <w:fldChar w:fldCharType="end"/>
      </w:r>
    </w:p>
    <w:p w14:paraId="5AE3A1CF">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"_Toc178324990" </w:instrText>
      </w:r>
      <w:r>
        <w:fldChar w:fldCharType="separate"/>
      </w:r>
      <w:r>
        <w:rPr>
          <w:rStyle w:val="32"/>
        </w:rPr>
        <w:t xml:space="preserve">3 </w:t>
      </w:r>
      <w:r>
        <w:rPr>
          <w:rStyle w:val="32"/>
          <w:rFonts w:hint="eastAsia"/>
        </w:rPr>
        <w:t xml:space="preserve"> 术语和定义</w:t>
      </w:r>
      <w:r>
        <w:tab/>
      </w:r>
      <w:r>
        <w:fldChar w:fldCharType="begin"/>
      </w:r>
      <w:r>
        <w:instrText xml:space="preserve"> PAGEREF _Toc178324990 \h </w:instrText>
      </w:r>
      <w:r>
        <w:fldChar w:fldCharType="separate"/>
      </w:r>
      <w:r>
        <w:t>1</w:t>
      </w:r>
      <w:r>
        <w:fldChar w:fldCharType="end"/>
      </w:r>
      <w:r>
        <w:fldChar w:fldCharType="end"/>
      </w:r>
    </w:p>
    <w:p w14:paraId="623DE8E7">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"_Toc178324991" </w:instrText>
      </w:r>
      <w:r>
        <w:fldChar w:fldCharType="separate"/>
      </w:r>
      <w:r>
        <w:rPr>
          <w:rStyle w:val="32"/>
        </w:rPr>
        <w:t xml:space="preserve">4 </w:t>
      </w:r>
      <w:r>
        <w:rPr>
          <w:rStyle w:val="32"/>
          <w:rFonts w:hint="eastAsia"/>
        </w:rPr>
        <w:t xml:space="preserve"> 基本规定</w:t>
      </w:r>
      <w:r>
        <w:tab/>
      </w:r>
      <w:r>
        <w:fldChar w:fldCharType="begin"/>
      </w:r>
      <w:r>
        <w:instrText xml:space="preserve"> PAGEREF _Toc178324991 \h </w:instrText>
      </w:r>
      <w:r>
        <w:fldChar w:fldCharType="separate"/>
      </w:r>
      <w:r>
        <w:t>2</w:t>
      </w:r>
      <w:r>
        <w:fldChar w:fldCharType="end"/>
      </w:r>
      <w:r>
        <w:fldChar w:fldCharType="end"/>
      </w:r>
    </w:p>
    <w:p w14:paraId="619CCC43">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"_Toc178324992" </w:instrText>
      </w:r>
      <w:r>
        <w:fldChar w:fldCharType="separate"/>
      </w:r>
      <w:r>
        <w:rPr>
          <w:rStyle w:val="32"/>
        </w:rPr>
        <w:t xml:space="preserve">5 </w:t>
      </w:r>
      <w:r>
        <w:rPr>
          <w:rStyle w:val="32"/>
          <w:rFonts w:hint="eastAsia"/>
        </w:rPr>
        <w:t xml:space="preserve"> 宽度</w:t>
      </w:r>
      <w:r>
        <w:tab/>
      </w:r>
      <w:r>
        <w:fldChar w:fldCharType="begin"/>
      </w:r>
      <w:r>
        <w:instrText xml:space="preserve"> PAGEREF _Toc178324992 \h </w:instrText>
      </w:r>
      <w:r>
        <w:fldChar w:fldCharType="separate"/>
      </w:r>
      <w:r>
        <w:t>3</w:t>
      </w:r>
      <w:r>
        <w:fldChar w:fldCharType="end"/>
      </w:r>
      <w:r>
        <w:fldChar w:fldCharType="end"/>
      </w:r>
    </w:p>
    <w:p w14:paraId="6B1BED03">
      <w:pPr>
        <w:pStyle w:val="24"/>
        <w:rPr>
          <w:rFonts w:hint="eastAsia" w:asciiTheme="minorHAnsi" w:hAnsiTheme="minorHAnsi" w:eastAsiaTheme="minorEastAsia" w:cstheme="minorBidi"/>
          <w:szCs w:val="22"/>
        </w:rPr>
      </w:pPr>
      <w:r>
        <w:fldChar w:fldCharType="begin"/>
      </w:r>
      <w:r>
        <w:instrText xml:space="preserve"> HYPERLINK \l "_Toc178324993" </w:instrText>
      </w:r>
      <w:r>
        <w:fldChar w:fldCharType="separate"/>
      </w:r>
      <w:r>
        <w:rPr>
          <w:rStyle w:val="32"/>
          <w14:scene3d>
            <w14:lightRig w14:rig="threePt" w14:dir="t">
              <w14:rot w14:lat="0" w14:lon="0" w14:rev="0"/>
            </w14:lightRig>
          </w14:scene3d>
        </w:rPr>
        <w:t xml:space="preserve">5.1 </w:t>
      </w:r>
      <w:r>
        <w:rPr>
          <w:rStyle w:val="32"/>
          <w:rFonts w:hint="eastAsia"/>
        </w:rPr>
        <w:t xml:space="preserve"> 一般规定</w:t>
      </w:r>
      <w:r>
        <w:tab/>
      </w:r>
      <w:r>
        <w:fldChar w:fldCharType="begin"/>
      </w:r>
      <w:r>
        <w:instrText xml:space="preserve"> PAGEREF _Toc178324993 \h </w:instrText>
      </w:r>
      <w:r>
        <w:fldChar w:fldCharType="separate"/>
      </w:r>
      <w:r>
        <w:t>3</w:t>
      </w:r>
      <w:r>
        <w:fldChar w:fldCharType="end"/>
      </w:r>
      <w:r>
        <w:fldChar w:fldCharType="end"/>
      </w:r>
    </w:p>
    <w:p w14:paraId="7633C141">
      <w:pPr>
        <w:pStyle w:val="24"/>
        <w:rPr>
          <w:rFonts w:hint="eastAsia" w:asciiTheme="minorHAnsi" w:hAnsiTheme="minorHAnsi" w:eastAsiaTheme="minorEastAsia" w:cstheme="minorBidi"/>
          <w:szCs w:val="22"/>
        </w:rPr>
      </w:pPr>
      <w:r>
        <w:fldChar w:fldCharType="begin"/>
      </w:r>
      <w:r>
        <w:instrText xml:space="preserve"> HYPERLINK \l "_Toc178324994" </w:instrText>
      </w:r>
      <w:r>
        <w:fldChar w:fldCharType="separate"/>
      </w:r>
      <w:r>
        <w:rPr>
          <w:rStyle w:val="32"/>
          <w14:scene3d>
            <w14:lightRig w14:rig="threePt" w14:dir="t">
              <w14:rot w14:lat="0" w14:lon="0" w14:rev="0"/>
            </w14:lightRig>
          </w14:scene3d>
        </w:rPr>
        <w:t xml:space="preserve">5.2 </w:t>
      </w:r>
      <w:r>
        <w:rPr>
          <w:rStyle w:val="32"/>
          <w:rFonts w:hint="eastAsia"/>
        </w:rPr>
        <w:t xml:space="preserve"> 人行道宽度</w:t>
      </w:r>
      <w:r>
        <w:tab/>
      </w:r>
      <w:r>
        <w:fldChar w:fldCharType="begin"/>
      </w:r>
      <w:r>
        <w:instrText xml:space="preserve"> PAGEREF _Toc178324994 \h </w:instrText>
      </w:r>
      <w:r>
        <w:fldChar w:fldCharType="separate"/>
      </w:r>
      <w:r>
        <w:t>3</w:t>
      </w:r>
      <w:r>
        <w:fldChar w:fldCharType="end"/>
      </w:r>
      <w:r>
        <w:fldChar w:fldCharType="end"/>
      </w:r>
    </w:p>
    <w:p w14:paraId="10CCC27B">
      <w:pPr>
        <w:pStyle w:val="24"/>
        <w:rPr>
          <w:rFonts w:hint="eastAsia" w:asciiTheme="minorHAnsi" w:hAnsiTheme="minorHAnsi" w:eastAsiaTheme="minorEastAsia" w:cstheme="minorBidi"/>
          <w:szCs w:val="22"/>
        </w:rPr>
      </w:pPr>
      <w:r>
        <w:fldChar w:fldCharType="begin"/>
      </w:r>
      <w:r>
        <w:instrText xml:space="preserve"> HYPERLINK \l "_Toc178324995" </w:instrText>
      </w:r>
      <w:r>
        <w:fldChar w:fldCharType="separate"/>
      </w:r>
      <w:r>
        <w:rPr>
          <w:rStyle w:val="32"/>
          <w14:scene3d>
            <w14:lightRig w14:rig="threePt" w14:dir="t">
              <w14:rot w14:lat="0" w14:lon="0" w14:rev="0"/>
            </w14:lightRig>
          </w14:scene3d>
        </w:rPr>
        <w:t xml:space="preserve">5.3 </w:t>
      </w:r>
      <w:r>
        <w:rPr>
          <w:rStyle w:val="32"/>
          <w:rFonts w:hint="eastAsia"/>
        </w:rPr>
        <w:t xml:space="preserve"> 设施带宽度</w:t>
      </w:r>
      <w:r>
        <w:tab/>
      </w:r>
      <w:r>
        <w:fldChar w:fldCharType="begin"/>
      </w:r>
      <w:r>
        <w:instrText xml:space="preserve"> PAGEREF _Toc178324995 \h </w:instrText>
      </w:r>
      <w:r>
        <w:fldChar w:fldCharType="separate"/>
      </w:r>
      <w:r>
        <w:t>4</w:t>
      </w:r>
      <w:r>
        <w:fldChar w:fldCharType="end"/>
      </w:r>
      <w:r>
        <w:fldChar w:fldCharType="end"/>
      </w:r>
    </w:p>
    <w:p w14:paraId="35BD652B">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"_Toc178324996" </w:instrText>
      </w:r>
      <w:r>
        <w:fldChar w:fldCharType="separate"/>
      </w:r>
      <w:r>
        <w:rPr>
          <w:rStyle w:val="32"/>
        </w:rPr>
        <w:t xml:space="preserve">6 </w:t>
      </w:r>
      <w:r>
        <w:rPr>
          <w:rStyle w:val="32"/>
          <w:rFonts w:hint="eastAsia"/>
        </w:rPr>
        <w:t xml:space="preserve"> 人行道结构</w:t>
      </w:r>
      <w:r>
        <w:tab/>
      </w:r>
      <w:r>
        <w:fldChar w:fldCharType="begin"/>
      </w:r>
      <w:r>
        <w:instrText xml:space="preserve"> PAGEREF _Toc178324996 \h </w:instrText>
      </w:r>
      <w:r>
        <w:fldChar w:fldCharType="separate"/>
      </w:r>
      <w:r>
        <w:t>4</w:t>
      </w:r>
      <w:r>
        <w:fldChar w:fldCharType="end"/>
      </w:r>
      <w:r>
        <w:fldChar w:fldCharType="end"/>
      </w:r>
    </w:p>
    <w:p w14:paraId="2B0121DB">
      <w:pPr>
        <w:pStyle w:val="24"/>
        <w:rPr>
          <w:rFonts w:hint="eastAsia" w:asciiTheme="minorHAnsi" w:hAnsiTheme="minorHAnsi" w:eastAsiaTheme="minorEastAsia" w:cstheme="minorBidi"/>
          <w:szCs w:val="22"/>
        </w:rPr>
      </w:pPr>
      <w:r>
        <w:fldChar w:fldCharType="begin"/>
      </w:r>
      <w:r>
        <w:instrText xml:space="preserve"> HYPERLINK \l "_Toc178324997" </w:instrText>
      </w:r>
      <w:r>
        <w:fldChar w:fldCharType="separate"/>
      </w:r>
      <w:r>
        <w:rPr>
          <w:rStyle w:val="32"/>
          <w14:scene3d>
            <w14:lightRig w14:rig="threePt" w14:dir="t">
              <w14:rot w14:lat="0" w14:lon="0" w14:rev="0"/>
            </w14:lightRig>
          </w14:scene3d>
        </w:rPr>
        <w:t xml:space="preserve">6.1 </w:t>
      </w:r>
      <w:r>
        <w:rPr>
          <w:rStyle w:val="32"/>
          <w:rFonts w:hint="eastAsia"/>
        </w:rPr>
        <w:t xml:space="preserve"> 人行道结构组合设计</w:t>
      </w:r>
      <w:r>
        <w:tab/>
      </w:r>
      <w:r>
        <w:fldChar w:fldCharType="begin"/>
      </w:r>
      <w:r>
        <w:instrText xml:space="preserve"> PAGEREF _Toc178324997 \h </w:instrText>
      </w:r>
      <w:r>
        <w:fldChar w:fldCharType="separate"/>
      </w:r>
      <w:r>
        <w:t>4</w:t>
      </w:r>
      <w:r>
        <w:fldChar w:fldCharType="end"/>
      </w:r>
      <w:r>
        <w:fldChar w:fldCharType="end"/>
      </w:r>
    </w:p>
    <w:p w14:paraId="032B7C6F">
      <w:pPr>
        <w:pStyle w:val="24"/>
        <w:rPr>
          <w:rFonts w:hint="eastAsia" w:asciiTheme="minorHAnsi" w:hAnsiTheme="minorHAnsi" w:eastAsiaTheme="minorEastAsia" w:cstheme="minorBidi"/>
          <w:szCs w:val="22"/>
        </w:rPr>
      </w:pPr>
      <w:r>
        <w:fldChar w:fldCharType="begin"/>
      </w:r>
      <w:r>
        <w:instrText xml:space="preserve"> HYPERLINK \l "_Toc178324998" </w:instrText>
      </w:r>
      <w:r>
        <w:fldChar w:fldCharType="separate"/>
      </w:r>
      <w:r>
        <w:rPr>
          <w:rStyle w:val="32"/>
          <w14:scene3d>
            <w14:lightRig w14:rig="threePt" w14:dir="t">
              <w14:rot w14:lat="0" w14:lon="0" w14:rev="0"/>
            </w14:lightRig>
          </w14:scene3d>
        </w:rPr>
        <w:t xml:space="preserve">6.2 </w:t>
      </w:r>
      <w:r>
        <w:rPr>
          <w:rStyle w:val="32"/>
          <w:rFonts w:hint="eastAsia"/>
        </w:rPr>
        <w:t xml:space="preserve"> 铺装面层</w:t>
      </w:r>
      <w:r>
        <w:tab/>
      </w:r>
      <w:r>
        <w:fldChar w:fldCharType="begin"/>
      </w:r>
      <w:r>
        <w:instrText xml:space="preserve"> PAGEREF _Toc178324998 \h </w:instrText>
      </w:r>
      <w:r>
        <w:fldChar w:fldCharType="separate"/>
      </w:r>
      <w:r>
        <w:t>7</w:t>
      </w:r>
      <w:r>
        <w:fldChar w:fldCharType="end"/>
      </w:r>
      <w:r>
        <w:fldChar w:fldCharType="end"/>
      </w:r>
    </w:p>
    <w:p w14:paraId="0742EA6C">
      <w:pPr>
        <w:pStyle w:val="24"/>
        <w:rPr>
          <w:rFonts w:hint="eastAsia" w:asciiTheme="minorHAnsi" w:hAnsiTheme="minorHAnsi" w:eastAsiaTheme="minorEastAsia" w:cstheme="minorBidi"/>
          <w:szCs w:val="22"/>
        </w:rPr>
      </w:pPr>
      <w:r>
        <w:fldChar w:fldCharType="begin"/>
      </w:r>
      <w:r>
        <w:instrText xml:space="preserve"> HYPERLINK \l "_Toc178324999" </w:instrText>
      </w:r>
      <w:r>
        <w:fldChar w:fldCharType="separate"/>
      </w:r>
      <w:r>
        <w:rPr>
          <w:rStyle w:val="32"/>
          <w14:scene3d>
            <w14:lightRig w14:rig="threePt" w14:dir="t">
              <w14:rot w14:lat="0" w14:lon="0" w14:rev="0"/>
            </w14:lightRig>
          </w14:scene3d>
        </w:rPr>
        <w:t xml:space="preserve">6.3 </w:t>
      </w:r>
      <w:r>
        <w:rPr>
          <w:rStyle w:val="32"/>
          <w:rFonts w:hint="eastAsia"/>
        </w:rPr>
        <w:t xml:space="preserve"> 整平层</w:t>
      </w:r>
      <w:r>
        <w:tab/>
      </w:r>
      <w:r>
        <w:fldChar w:fldCharType="begin"/>
      </w:r>
      <w:r>
        <w:instrText xml:space="preserve"> PAGEREF _Toc178324999 \h </w:instrText>
      </w:r>
      <w:r>
        <w:fldChar w:fldCharType="separate"/>
      </w:r>
      <w:r>
        <w:t>8</w:t>
      </w:r>
      <w:r>
        <w:fldChar w:fldCharType="end"/>
      </w:r>
      <w:r>
        <w:fldChar w:fldCharType="end"/>
      </w:r>
    </w:p>
    <w:p w14:paraId="563616CB">
      <w:pPr>
        <w:pStyle w:val="24"/>
        <w:rPr>
          <w:rFonts w:hint="eastAsia" w:asciiTheme="minorHAnsi" w:hAnsiTheme="minorHAnsi" w:eastAsiaTheme="minorEastAsia" w:cstheme="minorBidi"/>
          <w:szCs w:val="22"/>
        </w:rPr>
      </w:pPr>
      <w:r>
        <w:fldChar w:fldCharType="begin"/>
      </w:r>
      <w:r>
        <w:instrText xml:space="preserve"> HYPERLINK \l "_Toc178325000" </w:instrText>
      </w:r>
      <w:r>
        <w:fldChar w:fldCharType="separate"/>
      </w:r>
      <w:r>
        <w:rPr>
          <w:rStyle w:val="32"/>
          <w14:scene3d>
            <w14:lightRig w14:rig="threePt" w14:dir="t">
              <w14:rot w14:lat="0" w14:lon="0" w14:rev="0"/>
            </w14:lightRig>
          </w14:scene3d>
        </w:rPr>
        <w:t xml:space="preserve">6.4 </w:t>
      </w:r>
      <w:r>
        <w:rPr>
          <w:rStyle w:val="32"/>
          <w:rFonts w:hint="eastAsia"/>
        </w:rPr>
        <w:t xml:space="preserve"> 基层</w:t>
      </w:r>
      <w:r>
        <w:tab/>
      </w:r>
      <w:r>
        <w:fldChar w:fldCharType="begin"/>
      </w:r>
      <w:r>
        <w:instrText xml:space="preserve"> PAGEREF _Toc178325000 \h </w:instrText>
      </w:r>
      <w:r>
        <w:fldChar w:fldCharType="separate"/>
      </w:r>
      <w:r>
        <w:t>8</w:t>
      </w:r>
      <w:r>
        <w:fldChar w:fldCharType="end"/>
      </w:r>
      <w:r>
        <w:fldChar w:fldCharType="end"/>
      </w:r>
    </w:p>
    <w:p w14:paraId="6F17C08C">
      <w:pPr>
        <w:pStyle w:val="24"/>
        <w:rPr>
          <w:rFonts w:hint="eastAsia" w:asciiTheme="minorHAnsi" w:hAnsiTheme="minorHAnsi" w:eastAsiaTheme="minorEastAsia" w:cstheme="minorBidi"/>
          <w:szCs w:val="22"/>
        </w:rPr>
      </w:pPr>
      <w:r>
        <w:fldChar w:fldCharType="begin"/>
      </w:r>
      <w:r>
        <w:instrText xml:space="preserve"> HYPERLINK \l "_Toc178325001" </w:instrText>
      </w:r>
      <w:r>
        <w:fldChar w:fldCharType="separate"/>
      </w:r>
      <w:r>
        <w:rPr>
          <w:rStyle w:val="32"/>
          <w14:scene3d>
            <w14:lightRig w14:rig="threePt" w14:dir="t">
              <w14:rot w14:lat="0" w14:lon="0" w14:rev="0"/>
            </w14:lightRig>
          </w14:scene3d>
        </w:rPr>
        <w:t xml:space="preserve">6.5 </w:t>
      </w:r>
      <w:r>
        <w:rPr>
          <w:rStyle w:val="32"/>
          <w:rFonts w:hint="eastAsia"/>
        </w:rPr>
        <w:t xml:space="preserve"> 垫层</w:t>
      </w:r>
      <w:r>
        <w:tab/>
      </w:r>
      <w:r>
        <w:fldChar w:fldCharType="begin"/>
      </w:r>
      <w:r>
        <w:instrText xml:space="preserve"> PAGEREF _Toc178325001 \h </w:instrText>
      </w:r>
      <w:r>
        <w:fldChar w:fldCharType="separate"/>
      </w:r>
      <w:r>
        <w:t>10</w:t>
      </w:r>
      <w:r>
        <w:fldChar w:fldCharType="end"/>
      </w:r>
      <w:r>
        <w:fldChar w:fldCharType="end"/>
      </w:r>
    </w:p>
    <w:p w14:paraId="4ACF59F6">
      <w:pPr>
        <w:pStyle w:val="24"/>
        <w:rPr>
          <w:rFonts w:hint="eastAsia" w:asciiTheme="minorHAnsi" w:hAnsiTheme="minorHAnsi" w:eastAsiaTheme="minorEastAsia" w:cstheme="minorBidi"/>
          <w:szCs w:val="22"/>
        </w:rPr>
      </w:pPr>
      <w:r>
        <w:fldChar w:fldCharType="begin"/>
      </w:r>
      <w:r>
        <w:instrText xml:space="preserve"> HYPERLINK \l "_Toc178325002" </w:instrText>
      </w:r>
      <w:r>
        <w:fldChar w:fldCharType="separate"/>
      </w:r>
      <w:r>
        <w:rPr>
          <w:rStyle w:val="32"/>
          <w14:scene3d>
            <w14:lightRig w14:rig="threePt" w14:dir="t">
              <w14:rot w14:lat="0" w14:lon="0" w14:rev="0"/>
            </w14:lightRig>
          </w14:scene3d>
        </w:rPr>
        <w:t xml:space="preserve">6.6 </w:t>
      </w:r>
      <w:r>
        <w:rPr>
          <w:rStyle w:val="32"/>
          <w:rFonts w:hint="eastAsia"/>
        </w:rPr>
        <w:t xml:space="preserve"> 路基</w:t>
      </w:r>
      <w:r>
        <w:tab/>
      </w:r>
      <w:r>
        <w:fldChar w:fldCharType="begin"/>
      </w:r>
      <w:r>
        <w:instrText xml:space="preserve"> PAGEREF _Toc178325002 \h </w:instrText>
      </w:r>
      <w:r>
        <w:fldChar w:fldCharType="separate"/>
      </w:r>
      <w:r>
        <w:t>10</w:t>
      </w:r>
      <w:r>
        <w:fldChar w:fldCharType="end"/>
      </w:r>
      <w:r>
        <w:fldChar w:fldCharType="end"/>
      </w:r>
    </w:p>
    <w:p w14:paraId="33D40424">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"_Toc178325003" </w:instrText>
      </w:r>
      <w:r>
        <w:fldChar w:fldCharType="separate"/>
      </w:r>
      <w:r>
        <w:rPr>
          <w:rStyle w:val="32"/>
        </w:rPr>
        <w:t xml:space="preserve">7 </w:t>
      </w:r>
      <w:r>
        <w:rPr>
          <w:rStyle w:val="32"/>
          <w:rFonts w:hint="eastAsia"/>
        </w:rPr>
        <w:t xml:space="preserve"> 无障碍设施</w:t>
      </w:r>
      <w:r>
        <w:tab/>
      </w:r>
      <w:r>
        <w:fldChar w:fldCharType="begin"/>
      </w:r>
      <w:r>
        <w:instrText xml:space="preserve"> PAGEREF _Toc178325003 \h </w:instrText>
      </w:r>
      <w:r>
        <w:fldChar w:fldCharType="separate"/>
      </w:r>
      <w:r>
        <w:t>11</w:t>
      </w:r>
      <w:r>
        <w:fldChar w:fldCharType="end"/>
      </w:r>
      <w:r>
        <w:fldChar w:fldCharType="end"/>
      </w:r>
    </w:p>
    <w:p w14:paraId="7479E548">
      <w:pPr>
        <w:pStyle w:val="24"/>
        <w:rPr>
          <w:rFonts w:hint="eastAsia" w:asciiTheme="minorHAnsi" w:hAnsiTheme="minorHAnsi" w:eastAsiaTheme="minorEastAsia" w:cstheme="minorBidi"/>
          <w:szCs w:val="22"/>
        </w:rPr>
      </w:pPr>
      <w:r>
        <w:fldChar w:fldCharType="begin"/>
      </w:r>
      <w:r>
        <w:instrText xml:space="preserve"> HYPERLINK \l "_Toc178325004" </w:instrText>
      </w:r>
      <w:r>
        <w:fldChar w:fldCharType="separate"/>
      </w:r>
      <w:r>
        <w:rPr>
          <w:rStyle w:val="32"/>
          <w14:scene3d>
            <w14:lightRig w14:rig="threePt" w14:dir="t">
              <w14:rot w14:lat="0" w14:lon="0" w14:rev="0"/>
            </w14:lightRig>
          </w14:scene3d>
        </w:rPr>
        <w:t xml:space="preserve">7.1 </w:t>
      </w:r>
      <w:r>
        <w:rPr>
          <w:rStyle w:val="32"/>
          <w:rFonts w:hint="eastAsia"/>
        </w:rPr>
        <w:t xml:space="preserve"> 一般规定</w:t>
      </w:r>
      <w:r>
        <w:tab/>
      </w:r>
      <w:r>
        <w:fldChar w:fldCharType="begin"/>
      </w:r>
      <w:r>
        <w:instrText xml:space="preserve"> PAGEREF _Toc178325004 \h </w:instrText>
      </w:r>
      <w:r>
        <w:fldChar w:fldCharType="separate"/>
      </w:r>
      <w:r>
        <w:t>11</w:t>
      </w:r>
      <w:r>
        <w:fldChar w:fldCharType="end"/>
      </w:r>
      <w:r>
        <w:fldChar w:fldCharType="end"/>
      </w:r>
    </w:p>
    <w:p w14:paraId="67C74357">
      <w:pPr>
        <w:pStyle w:val="24"/>
        <w:rPr>
          <w:rFonts w:hint="eastAsia" w:asciiTheme="minorHAnsi" w:hAnsiTheme="minorHAnsi" w:eastAsiaTheme="minorEastAsia" w:cstheme="minorBidi"/>
          <w:szCs w:val="22"/>
        </w:rPr>
      </w:pPr>
      <w:r>
        <w:fldChar w:fldCharType="begin"/>
      </w:r>
      <w:r>
        <w:instrText xml:space="preserve"> HYPERLINK \l "_Toc178325005" </w:instrText>
      </w:r>
      <w:r>
        <w:fldChar w:fldCharType="separate"/>
      </w:r>
      <w:r>
        <w:rPr>
          <w:rStyle w:val="32"/>
          <w14:scene3d>
            <w14:lightRig w14:rig="threePt" w14:dir="t">
              <w14:rot w14:lat="0" w14:lon="0" w14:rev="0"/>
            </w14:lightRig>
          </w14:scene3d>
        </w:rPr>
        <w:t xml:space="preserve">7.2 </w:t>
      </w:r>
      <w:r>
        <w:rPr>
          <w:rStyle w:val="32"/>
          <w:rFonts w:hint="eastAsia"/>
        </w:rPr>
        <w:t xml:space="preserve"> 盲道</w:t>
      </w:r>
      <w:r>
        <w:tab/>
      </w:r>
      <w:r>
        <w:fldChar w:fldCharType="begin"/>
      </w:r>
      <w:r>
        <w:instrText xml:space="preserve"> PAGEREF _Toc178325005 \h </w:instrText>
      </w:r>
      <w:r>
        <w:fldChar w:fldCharType="separate"/>
      </w:r>
      <w:r>
        <w:t>11</w:t>
      </w:r>
      <w:r>
        <w:fldChar w:fldCharType="end"/>
      </w:r>
      <w:r>
        <w:fldChar w:fldCharType="end"/>
      </w:r>
    </w:p>
    <w:p w14:paraId="7040A687">
      <w:pPr>
        <w:pStyle w:val="24"/>
        <w:rPr>
          <w:rFonts w:hint="eastAsia" w:asciiTheme="minorHAnsi" w:hAnsiTheme="minorHAnsi" w:eastAsiaTheme="minorEastAsia" w:cstheme="minorBidi"/>
          <w:szCs w:val="22"/>
        </w:rPr>
      </w:pPr>
      <w:r>
        <w:fldChar w:fldCharType="begin"/>
      </w:r>
      <w:r>
        <w:instrText xml:space="preserve"> HYPERLINK \l "_Toc178325006" </w:instrText>
      </w:r>
      <w:r>
        <w:fldChar w:fldCharType="separate"/>
      </w:r>
      <w:r>
        <w:rPr>
          <w:rStyle w:val="32"/>
          <w14:scene3d>
            <w14:lightRig w14:rig="threePt" w14:dir="t">
              <w14:rot w14:lat="0" w14:lon="0" w14:rev="0"/>
            </w14:lightRig>
          </w14:scene3d>
        </w:rPr>
        <w:t xml:space="preserve">7.3 </w:t>
      </w:r>
      <w:r>
        <w:rPr>
          <w:rStyle w:val="32"/>
          <w:rFonts w:hint="eastAsia"/>
        </w:rPr>
        <w:t xml:space="preserve"> 台阶、梯道及坡道</w:t>
      </w:r>
      <w:r>
        <w:tab/>
      </w:r>
      <w:r>
        <w:fldChar w:fldCharType="begin"/>
      </w:r>
      <w:r>
        <w:instrText xml:space="preserve"> PAGEREF _Toc178325006 \h </w:instrText>
      </w:r>
      <w:r>
        <w:fldChar w:fldCharType="separate"/>
      </w:r>
      <w:r>
        <w:t>13</w:t>
      </w:r>
      <w:r>
        <w:fldChar w:fldCharType="end"/>
      </w:r>
      <w:r>
        <w:fldChar w:fldCharType="end"/>
      </w:r>
    </w:p>
    <w:p w14:paraId="52C75D63">
      <w:pPr>
        <w:pStyle w:val="24"/>
        <w:rPr>
          <w:rFonts w:hint="eastAsia" w:asciiTheme="minorHAnsi" w:hAnsiTheme="minorHAnsi" w:eastAsiaTheme="minorEastAsia" w:cstheme="minorBidi"/>
          <w:szCs w:val="22"/>
        </w:rPr>
      </w:pPr>
      <w:r>
        <w:fldChar w:fldCharType="begin"/>
      </w:r>
      <w:r>
        <w:instrText xml:space="preserve"> HYPERLINK \l "_Toc178325007" </w:instrText>
      </w:r>
      <w:r>
        <w:fldChar w:fldCharType="separate"/>
      </w:r>
      <w:r>
        <w:rPr>
          <w:rStyle w:val="32"/>
          <w14:scene3d>
            <w14:lightRig w14:rig="threePt" w14:dir="t">
              <w14:rot w14:lat="0" w14:lon="0" w14:rev="0"/>
            </w14:lightRig>
          </w14:scene3d>
        </w:rPr>
        <w:t xml:space="preserve">7.4 </w:t>
      </w:r>
      <w:r>
        <w:rPr>
          <w:rStyle w:val="32"/>
          <w:rFonts w:hint="eastAsia"/>
        </w:rPr>
        <w:t xml:space="preserve"> 缘石坡道</w:t>
      </w:r>
      <w:r>
        <w:tab/>
      </w:r>
      <w:r>
        <w:fldChar w:fldCharType="begin"/>
      </w:r>
      <w:r>
        <w:instrText xml:space="preserve"> PAGEREF _Toc178325007 \h </w:instrText>
      </w:r>
      <w:r>
        <w:fldChar w:fldCharType="separate"/>
      </w:r>
      <w:r>
        <w:t>14</w:t>
      </w:r>
      <w:r>
        <w:fldChar w:fldCharType="end"/>
      </w:r>
      <w:r>
        <w:fldChar w:fldCharType="end"/>
      </w:r>
    </w:p>
    <w:p w14:paraId="10AE4FF8">
      <w:pPr>
        <w:pStyle w:val="24"/>
        <w:rPr>
          <w:rFonts w:hint="eastAsia" w:asciiTheme="minorHAnsi" w:hAnsiTheme="minorHAnsi" w:eastAsiaTheme="minorEastAsia" w:cstheme="minorBidi"/>
          <w:szCs w:val="22"/>
        </w:rPr>
      </w:pPr>
      <w:r>
        <w:fldChar w:fldCharType="begin"/>
      </w:r>
      <w:r>
        <w:instrText xml:space="preserve"> HYPERLINK \l "_Toc178325008" </w:instrText>
      </w:r>
      <w:r>
        <w:fldChar w:fldCharType="separate"/>
      </w:r>
      <w:r>
        <w:rPr>
          <w:rStyle w:val="32"/>
          <w14:scene3d>
            <w14:lightRig w14:rig="threePt" w14:dir="t">
              <w14:rot w14:lat="0" w14:lon="0" w14:rev="0"/>
            </w14:lightRig>
          </w14:scene3d>
        </w:rPr>
        <w:t xml:space="preserve">7.5 </w:t>
      </w:r>
      <w:r>
        <w:rPr>
          <w:rStyle w:val="32"/>
          <w:rFonts w:hint="eastAsia"/>
        </w:rPr>
        <w:t xml:space="preserve"> 无障碍设施精细化</w:t>
      </w:r>
      <w:r>
        <w:tab/>
      </w:r>
      <w:r>
        <w:fldChar w:fldCharType="begin"/>
      </w:r>
      <w:r>
        <w:instrText xml:space="preserve"> PAGEREF _Toc178325008 \h </w:instrText>
      </w:r>
      <w:r>
        <w:fldChar w:fldCharType="separate"/>
      </w:r>
      <w:r>
        <w:t>17</w:t>
      </w:r>
      <w:r>
        <w:fldChar w:fldCharType="end"/>
      </w:r>
      <w:r>
        <w:fldChar w:fldCharType="end"/>
      </w:r>
    </w:p>
    <w:p w14:paraId="703A9F63">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"_Toc178325009" </w:instrText>
      </w:r>
      <w:r>
        <w:fldChar w:fldCharType="separate"/>
      </w:r>
      <w:r>
        <w:rPr>
          <w:rStyle w:val="32"/>
        </w:rPr>
        <w:t xml:space="preserve">8 </w:t>
      </w:r>
      <w:r>
        <w:rPr>
          <w:rStyle w:val="32"/>
          <w:rFonts w:hint="eastAsia"/>
        </w:rPr>
        <w:t xml:space="preserve"> 交通设施</w:t>
      </w:r>
      <w:r>
        <w:tab/>
      </w:r>
      <w:r>
        <w:fldChar w:fldCharType="begin"/>
      </w:r>
      <w:r>
        <w:instrText xml:space="preserve"> PAGEREF _Toc178325009 \h </w:instrText>
      </w:r>
      <w:r>
        <w:fldChar w:fldCharType="separate"/>
      </w:r>
      <w:r>
        <w:t>18</w:t>
      </w:r>
      <w:r>
        <w:fldChar w:fldCharType="end"/>
      </w:r>
      <w:r>
        <w:fldChar w:fldCharType="end"/>
      </w:r>
    </w:p>
    <w:p w14:paraId="06F9213B">
      <w:pPr>
        <w:pStyle w:val="24"/>
        <w:rPr>
          <w:rFonts w:hint="eastAsia" w:asciiTheme="minorHAnsi" w:hAnsiTheme="minorHAnsi" w:eastAsiaTheme="minorEastAsia" w:cstheme="minorBidi"/>
          <w:szCs w:val="22"/>
        </w:rPr>
      </w:pPr>
      <w:r>
        <w:fldChar w:fldCharType="begin"/>
      </w:r>
      <w:r>
        <w:instrText xml:space="preserve"> HYPERLINK \l "_Toc178325010" </w:instrText>
      </w:r>
      <w:r>
        <w:fldChar w:fldCharType="separate"/>
      </w:r>
      <w:r>
        <w:rPr>
          <w:rStyle w:val="32"/>
          <w14:scene3d>
            <w14:lightRig w14:rig="threePt" w14:dir="t">
              <w14:rot w14:lat="0" w14:lon="0" w14:rev="0"/>
            </w14:lightRig>
          </w14:scene3d>
        </w:rPr>
        <w:t xml:space="preserve">8.1 </w:t>
      </w:r>
      <w:r>
        <w:rPr>
          <w:rStyle w:val="32"/>
          <w:rFonts w:hint="eastAsia"/>
        </w:rPr>
        <w:t xml:space="preserve"> 一般规定</w:t>
      </w:r>
      <w:r>
        <w:tab/>
      </w:r>
      <w:r>
        <w:fldChar w:fldCharType="begin"/>
      </w:r>
      <w:r>
        <w:instrText xml:space="preserve"> PAGEREF _Toc178325010 \h </w:instrText>
      </w:r>
      <w:r>
        <w:fldChar w:fldCharType="separate"/>
      </w:r>
      <w:r>
        <w:t>18</w:t>
      </w:r>
      <w:r>
        <w:fldChar w:fldCharType="end"/>
      </w:r>
      <w:r>
        <w:fldChar w:fldCharType="end"/>
      </w:r>
    </w:p>
    <w:p w14:paraId="557DAE22">
      <w:pPr>
        <w:pStyle w:val="24"/>
        <w:rPr>
          <w:rFonts w:hint="eastAsia" w:asciiTheme="minorHAnsi" w:hAnsiTheme="minorHAnsi" w:eastAsiaTheme="minorEastAsia" w:cstheme="minorBidi"/>
          <w:szCs w:val="22"/>
        </w:rPr>
      </w:pPr>
      <w:r>
        <w:fldChar w:fldCharType="begin"/>
      </w:r>
      <w:r>
        <w:instrText xml:space="preserve"> HYPERLINK \l "_Toc178325011" </w:instrText>
      </w:r>
      <w:r>
        <w:fldChar w:fldCharType="separate"/>
      </w:r>
      <w:r>
        <w:rPr>
          <w:rStyle w:val="32"/>
          <w14:scene3d>
            <w14:lightRig w14:rig="threePt" w14:dir="t">
              <w14:rot w14:lat="0" w14:lon="0" w14:rev="0"/>
            </w14:lightRig>
          </w14:scene3d>
        </w:rPr>
        <w:t xml:space="preserve">8.2 </w:t>
      </w:r>
      <w:r>
        <w:rPr>
          <w:rStyle w:val="32"/>
          <w:rFonts w:hint="eastAsia"/>
        </w:rPr>
        <w:t xml:space="preserve"> 交通信号</w:t>
      </w:r>
      <w:r>
        <w:tab/>
      </w:r>
      <w:r>
        <w:fldChar w:fldCharType="begin"/>
      </w:r>
      <w:r>
        <w:instrText xml:space="preserve"> PAGEREF _Toc178325011 \h </w:instrText>
      </w:r>
      <w:r>
        <w:fldChar w:fldCharType="separate"/>
      </w:r>
      <w:r>
        <w:t>18</w:t>
      </w:r>
      <w:r>
        <w:fldChar w:fldCharType="end"/>
      </w:r>
      <w:r>
        <w:fldChar w:fldCharType="end"/>
      </w:r>
    </w:p>
    <w:p w14:paraId="6B393FFC">
      <w:pPr>
        <w:pStyle w:val="24"/>
        <w:rPr>
          <w:rFonts w:hint="eastAsia" w:asciiTheme="minorHAnsi" w:hAnsiTheme="minorHAnsi" w:eastAsiaTheme="minorEastAsia" w:cstheme="minorBidi"/>
          <w:szCs w:val="22"/>
        </w:rPr>
      </w:pPr>
      <w:r>
        <w:fldChar w:fldCharType="begin"/>
      </w:r>
      <w:r>
        <w:instrText xml:space="preserve"> HYPERLINK \l "_Toc178325012" </w:instrText>
      </w:r>
      <w:r>
        <w:fldChar w:fldCharType="separate"/>
      </w:r>
      <w:r>
        <w:rPr>
          <w:rStyle w:val="32"/>
          <w14:scene3d>
            <w14:lightRig w14:rig="threePt" w14:dir="t">
              <w14:rot w14:lat="0" w14:lon="0" w14:rev="0"/>
            </w14:lightRig>
          </w14:scene3d>
        </w:rPr>
        <w:t xml:space="preserve">8.3 </w:t>
      </w:r>
      <w:r>
        <w:rPr>
          <w:rStyle w:val="32"/>
          <w:rFonts w:hint="eastAsia"/>
        </w:rPr>
        <w:t xml:space="preserve"> 交通监控</w:t>
      </w:r>
      <w:r>
        <w:tab/>
      </w:r>
      <w:r>
        <w:fldChar w:fldCharType="begin"/>
      </w:r>
      <w:r>
        <w:instrText xml:space="preserve"> PAGEREF _Toc178325012 \h </w:instrText>
      </w:r>
      <w:r>
        <w:fldChar w:fldCharType="separate"/>
      </w:r>
      <w:r>
        <w:t>18</w:t>
      </w:r>
      <w:r>
        <w:fldChar w:fldCharType="end"/>
      </w:r>
      <w:r>
        <w:fldChar w:fldCharType="end"/>
      </w:r>
    </w:p>
    <w:p w14:paraId="38538E8E">
      <w:pPr>
        <w:pStyle w:val="24"/>
        <w:rPr>
          <w:rFonts w:hint="eastAsia" w:asciiTheme="minorHAnsi" w:hAnsiTheme="minorHAnsi" w:eastAsiaTheme="minorEastAsia" w:cstheme="minorBidi"/>
          <w:szCs w:val="22"/>
        </w:rPr>
      </w:pPr>
      <w:r>
        <w:fldChar w:fldCharType="begin"/>
      </w:r>
      <w:r>
        <w:instrText xml:space="preserve"> HYPERLINK \l "_Toc178325013" </w:instrText>
      </w:r>
      <w:r>
        <w:fldChar w:fldCharType="separate"/>
      </w:r>
      <w:r>
        <w:rPr>
          <w:rStyle w:val="32"/>
          <w14:scene3d>
            <w14:lightRig w14:rig="threePt" w14:dir="t">
              <w14:rot w14:lat="0" w14:lon="0" w14:rev="0"/>
            </w14:lightRig>
          </w14:scene3d>
        </w:rPr>
        <w:t xml:space="preserve">8.4 </w:t>
      </w:r>
      <w:r>
        <w:rPr>
          <w:rStyle w:val="32"/>
          <w:rFonts w:hint="eastAsia"/>
        </w:rPr>
        <w:t xml:space="preserve"> 交通标牌</w:t>
      </w:r>
      <w:r>
        <w:tab/>
      </w:r>
      <w:r>
        <w:fldChar w:fldCharType="begin"/>
      </w:r>
      <w:r>
        <w:instrText xml:space="preserve"> PAGEREF _Toc178325013 \h </w:instrText>
      </w:r>
      <w:r>
        <w:fldChar w:fldCharType="separate"/>
      </w:r>
      <w:r>
        <w:t>19</w:t>
      </w:r>
      <w:r>
        <w:fldChar w:fldCharType="end"/>
      </w:r>
      <w:r>
        <w:fldChar w:fldCharType="end"/>
      </w:r>
    </w:p>
    <w:p w14:paraId="00D10011">
      <w:pPr>
        <w:pStyle w:val="24"/>
        <w:rPr>
          <w:rFonts w:hint="eastAsia" w:asciiTheme="minorHAnsi" w:hAnsiTheme="minorHAnsi" w:eastAsiaTheme="minorEastAsia" w:cstheme="minorBidi"/>
          <w:szCs w:val="22"/>
        </w:rPr>
      </w:pPr>
      <w:r>
        <w:fldChar w:fldCharType="begin"/>
      </w:r>
      <w:r>
        <w:instrText xml:space="preserve"> HYPERLINK \l "_Toc178325014" </w:instrText>
      </w:r>
      <w:r>
        <w:fldChar w:fldCharType="separate"/>
      </w:r>
      <w:r>
        <w:rPr>
          <w:rStyle w:val="32"/>
          <w14:scene3d>
            <w14:lightRig w14:rig="threePt" w14:dir="t">
              <w14:rot w14:lat="0" w14:lon="0" w14:rev="0"/>
            </w14:lightRig>
          </w14:scene3d>
        </w:rPr>
        <w:t xml:space="preserve">8.5 </w:t>
      </w:r>
      <w:r>
        <w:rPr>
          <w:rStyle w:val="32"/>
          <w:rFonts w:hint="eastAsia"/>
        </w:rPr>
        <w:t xml:space="preserve"> 人行护栏</w:t>
      </w:r>
      <w:r>
        <w:tab/>
      </w:r>
      <w:r>
        <w:fldChar w:fldCharType="begin"/>
      </w:r>
      <w:r>
        <w:instrText xml:space="preserve"> PAGEREF _Toc178325014 \h </w:instrText>
      </w:r>
      <w:r>
        <w:fldChar w:fldCharType="separate"/>
      </w:r>
      <w:r>
        <w:t>19</w:t>
      </w:r>
      <w:r>
        <w:fldChar w:fldCharType="end"/>
      </w:r>
      <w:r>
        <w:fldChar w:fldCharType="end"/>
      </w:r>
    </w:p>
    <w:p w14:paraId="61D87EBD">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"_Toc178325015" </w:instrText>
      </w:r>
      <w:r>
        <w:fldChar w:fldCharType="separate"/>
      </w:r>
      <w:r>
        <w:rPr>
          <w:rStyle w:val="32"/>
        </w:rPr>
        <w:t xml:space="preserve">9 </w:t>
      </w:r>
      <w:r>
        <w:rPr>
          <w:rStyle w:val="32"/>
          <w:rFonts w:hint="eastAsia"/>
        </w:rPr>
        <w:t xml:space="preserve"> 附属设施</w:t>
      </w:r>
      <w:r>
        <w:tab/>
      </w:r>
      <w:r>
        <w:fldChar w:fldCharType="begin"/>
      </w:r>
      <w:r>
        <w:instrText xml:space="preserve"> PAGEREF _Toc178325015 \h </w:instrText>
      </w:r>
      <w:r>
        <w:fldChar w:fldCharType="separate"/>
      </w:r>
      <w:r>
        <w:t>19</w:t>
      </w:r>
      <w:r>
        <w:fldChar w:fldCharType="end"/>
      </w:r>
      <w:r>
        <w:fldChar w:fldCharType="end"/>
      </w:r>
    </w:p>
    <w:p w14:paraId="24B4A0A0">
      <w:pPr>
        <w:pStyle w:val="24"/>
        <w:rPr>
          <w:rFonts w:hint="eastAsia" w:asciiTheme="minorHAnsi" w:hAnsiTheme="minorHAnsi" w:eastAsiaTheme="minorEastAsia" w:cstheme="minorBidi"/>
          <w:szCs w:val="22"/>
        </w:rPr>
      </w:pPr>
      <w:r>
        <w:fldChar w:fldCharType="begin"/>
      </w:r>
      <w:r>
        <w:instrText xml:space="preserve"> HYPERLINK \l "_Toc178325016" </w:instrText>
      </w:r>
      <w:r>
        <w:fldChar w:fldCharType="separate"/>
      </w:r>
      <w:r>
        <w:rPr>
          <w:rStyle w:val="32"/>
          <w14:scene3d>
            <w14:lightRig w14:rig="threePt" w14:dir="t">
              <w14:rot w14:lat="0" w14:lon="0" w14:rev="0"/>
            </w14:lightRig>
          </w14:scene3d>
        </w:rPr>
        <w:t xml:space="preserve">9.1 </w:t>
      </w:r>
      <w:r>
        <w:rPr>
          <w:rStyle w:val="32"/>
          <w:rFonts w:hint="eastAsia" w:cs="微软雅黑"/>
        </w:rPr>
        <w:t xml:space="preserve"> 一般规定</w:t>
      </w:r>
      <w:r>
        <w:tab/>
      </w:r>
      <w:r>
        <w:fldChar w:fldCharType="begin"/>
      </w:r>
      <w:r>
        <w:instrText xml:space="preserve"> PAGEREF _Toc178325016 \h </w:instrText>
      </w:r>
      <w:r>
        <w:fldChar w:fldCharType="separate"/>
      </w:r>
      <w:r>
        <w:t>20</w:t>
      </w:r>
      <w:r>
        <w:fldChar w:fldCharType="end"/>
      </w:r>
      <w:r>
        <w:fldChar w:fldCharType="end"/>
      </w:r>
    </w:p>
    <w:p w14:paraId="5D176183">
      <w:pPr>
        <w:pStyle w:val="24"/>
        <w:rPr>
          <w:rFonts w:hint="eastAsia" w:asciiTheme="minorHAnsi" w:hAnsiTheme="minorHAnsi" w:eastAsiaTheme="minorEastAsia" w:cstheme="minorBidi"/>
          <w:szCs w:val="22"/>
        </w:rPr>
      </w:pPr>
      <w:r>
        <w:fldChar w:fldCharType="begin"/>
      </w:r>
      <w:r>
        <w:instrText xml:space="preserve"> HYPERLINK \l "_Toc178325017" </w:instrText>
      </w:r>
      <w:r>
        <w:fldChar w:fldCharType="separate"/>
      </w:r>
      <w:r>
        <w:rPr>
          <w:rStyle w:val="32"/>
          <w14:scene3d>
            <w14:lightRig w14:rig="threePt" w14:dir="t">
              <w14:rot w14:lat="0" w14:lon="0" w14:rev="0"/>
            </w14:lightRig>
          </w14:scene3d>
        </w:rPr>
        <w:t xml:space="preserve">9.2 </w:t>
      </w:r>
      <w:r>
        <w:rPr>
          <w:rStyle w:val="32"/>
          <w:rFonts w:hint="eastAsia"/>
        </w:rPr>
        <w:t xml:space="preserve"> 路缘石</w:t>
      </w:r>
      <w:r>
        <w:tab/>
      </w:r>
      <w:r>
        <w:fldChar w:fldCharType="begin"/>
      </w:r>
      <w:r>
        <w:instrText xml:space="preserve"> PAGEREF _Toc178325017 \h </w:instrText>
      </w:r>
      <w:r>
        <w:fldChar w:fldCharType="separate"/>
      </w:r>
      <w:r>
        <w:t>20</w:t>
      </w:r>
      <w:r>
        <w:fldChar w:fldCharType="end"/>
      </w:r>
      <w:r>
        <w:fldChar w:fldCharType="end"/>
      </w:r>
    </w:p>
    <w:p w14:paraId="709BD66B">
      <w:pPr>
        <w:pStyle w:val="24"/>
        <w:rPr>
          <w:rFonts w:hint="eastAsia" w:asciiTheme="minorHAnsi" w:hAnsiTheme="minorHAnsi" w:eastAsiaTheme="minorEastAsia" w:cstheme="minorBidi"/>
          <w:szCs w:val="22"/>
        </w:rPr>
      </w:pPr>
      <w:r>
        <w:fldChar w:fldCharType="begin"/>
      </w:r>
      <w:r>
        <w:instrText xml:space="preserve"> HYPERLINK \l "_Toc178325018" </w:instrText>
      </w:r>
      <w:r>
        <w:fldChar w:fldCharType="separate"/>
      </w:r>
      <w:r>
        <w:rPr>
          <w:rStyle w:val="32"/>
          <w14:scene3d>
            <w14:lightRig w14:rig="threePt" w14:dir="t">
              <w14:rot w14:lat="0" w14:lon="0" w14:rev="0"/>
            </w14:lightRig>
          </w14:scene3d>
        </w:rPr>
        <w:t xml:space="preserve">9.3 </w:t>
      </w:r>
      <w:r>
        <w:rPr>
          <w:rStyle w:val="32"/>
          <w:rFonts w:hint="eastAsia"/>
        </w:rPr>
        <w:t xml:space="preserve"> 市政管线</w:t>
      </w:r>
      <w:r>
        <w:tab/>
      </w:r>
      <w:r>
        <w:fldChar w:fldCharType="begin"/>
      </w:r>
      <w:r>
        <w:instrText xml:space="preserve"> PAGEREF _Toc178325018 \h </w:instrText>
      </w:r>
      <w:r>
        <w:fldChar w:fldCharType="separate"/>
      </w:r>
      <w:r>
        <w:t>20</w:t>
      </w:r>
      <w:r>
        <w:fldChar w:fldCharType="end"/>
      </w:r>
      <w:r>
        <w:fldChar w:fldCharType="end"/>
      </w:r>
    </w:p>
    <w:p w14:paraId="6030981D">
      <w:pPr>
        <w:pStyle w:val="24"/>
        <w:rPr>
          <w:rFonts w:hint="eastAsia" w:asciiTheme="minorHAnsi" w:hAnsiTheme="minorHAnsi" w:eastAsiaTheme="minorEastAsia" w:cstheme="minorBidi"/>
          <w:szCs w:val="22"/>
        </w:rPr>
      </w:pPr>
      <w:r>
        <w:fldChar w:fldCharType="begin"/>
      </w:r>
      <w:r>
        <w:instrText xml:space="preserve"> HYPERLINK \l "_Toc178325019" </w:instrText>
      </w:r>
      <w:r>
        <w:fldChar w:fldCharType="separate"/>
      </w:r>
      <w:r>
        <w:rPr>
          <w:rStyle w:val="32"/>
          <w14:scene3d>
            <w14:lightRig w14:rig="threePt" w14:dir="t">
              <w14:rot w14:lat="0" w14:lon="0" w14:rev="0"/>
            </w14:lightRig>
          </w14:scene3d>
        </w:rPr>
        <w:t xml:space="preserve">9.4 </w:t>
      </w:r>
      <w:r>
        <w:rPr>
          <w:rStyle w:val="32"/>
          <w:rFonts w:hint="eastAsia"/>
        </w:rPr>
        <w:t xml:space="preserve"> 市政箱体</w:t>
      </w:r>
      <w:r>
        <w:tab/>
      </w:r>
      <w:r>
        <w:fldChar w:fldCharType="begin"/>
      </w:r>
      <w:r>
        <w:instrText xml:space="preserve"> PAGEREF _Toc178325019 \h </w:instrText>
      </w:r>
      <w:r>
        <w:fldChar w:fldCharType="separate"/>
      </w:r>
      <w:r>
        <w:t>21</w:t>
      </w:r>
      <w:r>
        <w:fldChar w:fldCharType="end"/>
      </w:r>
      <w:r>
        <w:fldChar w:fldCharType="end"/>
      </w:r>
    </w:p>
    <w:p w14:paraId="699CE571">
      <w:pPr>
        <w:pStyle w:val="24"/>
        <w:rPr>
          <w:rFonts w:hint="eastAsia" w:asciiTheme="minorHAnsi" w:hAnsiTheme="minorHAnsi" w:eastAsiaTheme="minorEastAsia" w:cstheme="minorBidi"/>
          <w:szCs w:val="22"/>
        </w:rPr>
      </w:pPr>
      <w:r>
        <w:fldChar w:fldCharType="begin"/>
      </w:r>
      <w:r>
        <w:instrText xml:space="preserve"> HYPERLINK \l "_Toc178325020" </w:instrText>
      </w:r>
      <w:r>
        <w:fldChar w:fldCharType="separate"/>
      </w:r>
      <w:r>
        <w:rPr>
          <w:rStyle w:val="32"/>
          <w14:scene3d>
            <w14:lightRig w14:rig="threePt" w14:dir="t">
              <w14:rot w14:lat="0" w14:lon="0" w14:rev="0"/>
            </w14:lightRig>
          </w14:scene3d>
        </w:rPr>
        <w:t xml:space="preserve">9.5 </w:t>
      </w:r>
      <w:r>
        <w:rPr>
          <w:rStyle w:val="32"/>
          <w:rFonts w:hint="eastAsia"/>
        </w:rPr>
        <w:t xml:space="preserve"> 市政杆体</w:t>
      </w:r>
      <w:r>
        <w:tab/>
      </w:r>
      <w:r>
        <w:fldChar w:fldCharType="begin"/>
      </w:r>
      <w:r>
        <w:instrText xml:space="preserve"> PAGEREF _Toc178325020 \h </w:instrText>
      </w:r>
      <w:r>
        <w:fldChar w:fldCharType="separate"/>
      </w:r>
      <w:r>
        <w:t>21</w:t>
      </w:r>
      <w:r>
        <w:fldChar w:fldCharType="end"/>
      </w:r>
      <w:r>
        <w:fldChar w:fldCharType="end"/>
      </w:r>
    </w:p>
    <w:p w14:paraId="5E001229">
      <w:pPr>
        <w:pStyle w:val="24"/>
        <w:rPr>
          <w:rFonts w:hint="eastAsia" w:asciiTheme="minorHAnsi" w:hAnsiTheme="minorHAnsi" w:eastAsiaTheme="minorEastAsia" w:cstheme="minorBidi"/>
          <w:szCs w:val="22"/>
        </w:rPr>
      </w:pPr>
      <w:r>
        <w:fldChar w:fldCharType="begin"/>
      </w:r>
      <w:r>
        <w:instrText xml:space="preserve"> HYPERLINK \l "_Toc178325021" </w:instrText>
      </w:r>
      <w:r>
        <w:fldChar w:fldCharType="separate"/>
      </w:r>
      <w:r>
        <w:rPr>
          <w:rStyle w:val="32"/>
          <w14:scene3d>
            <w14:lightRig w14:rig="threePt" w14:dir="t">
              <w14:rot w14:lat="0" w14:lon="0" w14:rev="0"/>
            </w14:lightRig>
          </w14:scene3d>
        </w:rPr>
        <w:t xml:space="preserve">9.6 </w:t>
      </w:r>
      <w:r>
        <w:rPr>
          <w:rStyle w:val="32"/>
          <w:rFonts w:hint="eastAsia"/>
        </w:rPr>
        <w:t xml:space="preserve"> 装饰井盖</w:t>
      </w:r>
      <w:r>
        <w:tab/>
      </w:r>
      <w:r>
        <w:fldChar w:fldCharType="begin"/>
      </w:r>
      <w:r>
        <w:instrText xml:space="preserve"> PAGEREF _Toc178325021 \h </w:instrText>
      </w:r>
      <w:r>
        <w:fldChar w:fldCharType="separate"/>
      </w:r>
      <w:r>
        <w:t>22</w:t>
      </w:r>
      <w:r>
        <w:fldChar w:fldCharType="end"/>
      </w:r>
      <w:r>
        <w:fldChar w:fldCharType="end"/>
      </w:r>
    </w:p>
    <w:p w14:paraId="4D1C2589">
      <w:pPr>
        <w:pStyle w:val="24"/>
        <w:rPr>
          <w:rFonts w:hint="eastAsia" w:asciiTheme="minorHAnsi" w:hAnsiTheme="minorHAnsi" w:eastAsiaTheme="minorEastAsia" w:cstheme="minorBidi"/>
          <w:szCs w:val="22"/>
        </w:rPr>
      </w:pPr>
      <w:r>
        <w:fldChar w:fldCharType="begin"/>
      </w:r>
      <w:r>
        <w:instrText xml:space="preserve"> HYPERLINK \l "_Toc178325022" </w:instrText>
      </w:r>
      <w:r>
        <w:fldChar w:fldCharType="separate"/>
      </w:r>
      <w:r>
        <w:rPr>
          <w:rStyle w:val="32"/>
          <w14:scene3d>
            <w14:lightRig w14:rig="threePt" w14:dir="t">
              <w14:rot w14:lat="0" w14:lon="0" w14:rev="0"/>
            </w14:lightRig>
          </w14:scene3d>
        </w:rPr>
        <w:t xml:space="preserve">9.7 </w:t>
      </w:r>
      <w:r>
        <w:rPr>
          <w:rStyle w:val="32"/>
          <w:rFonts w:hint="eastAsia"/>
        </w:rPr>
        <w:t xml:space="preserve"> 阻车柱</w:t>
      </w:r>
      <w:r>
        <w:tab/>
      </w:r>
      <w:r>
        <w:fldChar w:fldCharType="begin"/>
      </w:r>
      <w:r>
        <w:instrText xml:space="preserve"> PAGEREF _Toc178325022 \h </w:instrText>
      </w:r>
      <w:r>
        <w:fldChar w:fldCharType="separate"/>
      </w:r>
      <w:r>
        <w:t>23</w:t>
      </w:r>
      <w:r>
        <w:fldChar w:fldCharType="end"/>
      </w:r>
      <w:r>
        <w:fldChar w:fldCharType="end"/>
      </w:r>
    </w:p>
    <w:p w14:paraId="0F19A7E5">
      <w:pPr>
        <w:pStyle w:val="24"/>
        <w:rPr>
          <w:rFonts w:hint="eastAsia" w:asciiTheme="minorHAnsi" w:hAnsiTheme="minorHAnsi" w:eastAsiaTheme="minorEastAsia" w:cstheme="minorBidi"/>
          <w:szCs w:val="22"/>
        </w:rPr>
      </w:pPr>
      <w:r>
        <w:fldChar w:fldCharType="begin"/>
      </w:r>
      <w:r>
        <w:instrText xml:space="preserve"> HYPERLINK \l "_Toc178325023" </w:instrText>
      </w:r>
      <w:r>
        <w:fldChar w:fldCharType="separate"/>
      </w:r>
      <w:r>
        <w:rPr>
          <w:rStyle w:val="32"/>
          <w14:scene3d>
            <w14:lightRig w14:rig="threePt" w14:dir="t">
              <w14:rot w14:lat="0" w14:lon="0" w14:rev="0"/>
            </w14:lightRig>
          </w14:scene3d>
        </w:rPr>
        <w:t xml:space="preserve">9.8 </w:t>
      </w:r>
      <w:r>
        <w:rPr>
          <w:rStyle w:val="32"/>
          <w:rFonts w:hint="eastAsia"/>
        </w:rPr>
        <w:t xml:space="preserve"> 行道树与树池</w:t>
      </w:r>
      <w:r>
        <w:tab/>
      </w:r>
      <w:r>
        <w:fldChar w:fldCharType="begin"/>
      </w:r>
      <w:r>
        <w:instrText xml:space="preserve"> PAGEREF _Toc178325023 \h </w:instrText>
      </w:r>
      <w:r>
        <w:fldChar w:fldCharType="separate"/>
      </w:r>
      <w:r>
        <w:t>23</w:t>
      </w:r>
      <w:r>
        <w:fldChar w:fldCharType="end"/>
      </w:r>
      <w:r>
        <w:fldChar w:fldCharType="end"/>
      </w:r>
    </w:p>
    <w:p w14:paraId="4F33399A">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"_Toc178325024" </w:instrText>
      </w:r>
      <w:r>
        <w:fldChar w:fldCharType="separate"/>
      </w:r>
      <w:r>
        <w:rPr>
          <w:rStyle w:val="32"/>
        </w:rPr>
        <w:t xml:space="preserve">10 </w:t>
      </w:r>
      <w:r>
        <w:rPr>
          <w:rStyle w:val="32"/>
          <w:rFonts w:hint="eastAsia"/>
        </w:rPr>
        <w:t xml:space="preserve"> 公共服务设施</w:t>
      </w:r>
      <w:r>
        <w:tab/>
      </w:r>
      <w:r>
        <w:fldChar w:fldCharType="begin"/>
      </w:r>
      <w:r>
        <w:instrText xml:space="preserve"> PAGEREF _Toc178325024 \h </w:instrText>
      </w:r>
      <w:r>
        <w:fldChar w:fldCharType="separate"/>
      </w:r>
      <w:r>
        <w:t>24</w:t>
      </w:r>
      <w:r>
        <w:fldChar w:fldCharType="end"/>
      </w:r>
      <w:r>
        <w:fldChar w:fldCharType="end"/>
      </w:r>
    </w:p>
    <w:p w14:paraId="0698F997">
      <w:pPr>
        <w:pStyle w:val="24"/>
        <w:rPr>
          <w:rFonts w:hint="eastAsia" w:asciiTheme="minorHAnsi" w:hAnsiTheme="minorHAnsi" w:eastAsiaTheme="minorEastAsia" w:cstheme="minorBidi"/>
          <w:szCs w:val="22"/>
        </w:rPr>
      </w:pPr>
      <w:r>
        <w:fldChar w:fldCharType="begin"/>
      </w:r>
      <w:r>
        <w:instrText xml:space="preserve"> HYPERLINK \l "_Toc178325025" </w:instrText>
      </w:r>
      <w:r>
        <w:fldChar w:fldCharType="separate"/>
      </w:r>
      <w:r>
        <w:rPr>
          <w:rStyle w:val="32"/>
          <w14:scene3d>
            <w14:lightRig w14:rig="threePt" w14:dir="t">
              <w14:rot w14:lat="0" w14:lon="0" w14:rev="0"/>
            </w14:lightRig>
          </w14:scene3d>
        </w:rPr>
        <w:t xml:space="preserve">10.1 </w:t>
      </w:r>
      <w:r>
        <w:rPr>
          <w:rStyle w:val="32"/>
          <w:rFonts w:hint="eastAsia" w:cs="微软雅黑"/>
        </w:rPr>
        <w:t xml:space="preserve"> 一般规定</w:t>
      </w:r>
      <w:r>
        <w:tab/>
      </w:r>
      <w:r>
        <w:fldChar w:fldCharType="begin"/>
      </w:r>
      <w:r>
        <w:instrText xml:space="preserve"> PAGEREF _Toc178325025 \h </w:instrText>
      </w:r>
      <w:r>
        <w:fldChar w:fldCharType="separate"/>
      </w:r>
      <w:r>
        <w:t>24</w:t>
      </w:r>
      <w:r>
        <w:fldChar w:fldCharType="end"/>
      </w:r>
      <w:r>
        <w:fldChar w:fldCharType="end"/>
      </w:r>
    </w:p>
    <w:p w14:paraId="3F431982">
      <w:pPr>
        <w:pStyle w:val="24"/>
        <w:rPr>
          <w:rFonts w:hint="eastAsia" w:asciiTheme="minorHAnsi" w:hAnsiTheme="minorHAnsi" w:eastAsiaTheme="minorEastAsia" w:cstheme="minorBidi"/>
          <w:szCs w:val="22"/>
        </w:rPr>
      </w:pPr>
      <w:r>
        <w:fldChar w:fldCharType="begin"/>
      </w:r>
      <w:r>
        <w:instrText xml:space="preserve"> HYPERLINK \l "_Toc178325026" </w:instrText>
      </w:r>
      <w:r>
        <w:fldChar w:fldCharType="separate"/>
      </w:r>
      <w:r>
        <w:rPr>
          <w:rStyle w:val="32"/>
          <w14:scene3d>
            <w14:lightRig w14:rig="threePt" w14:dir="t">
              <w14:rot w14:lat="0" w14:lon="0" w14:rev="0"/>
            </w14:lightRig>
          </w14:scene3d>
        </w:rPr>
        <w:t xml:space="preserve">10.2 </w:t>
      </w:r>
      <w:r>
        <w:rPr>
          <w:rStyle w:val="32"/>
          <w:rFonts w:hint="eastAsia"/>
        </w:rPr>
        <w:t xml:space="preserve"> 护围栏设施</w:t>
      </w:r>
      <w:r>
        <w:tab/>
      </w:r>
      <w:r>
        <w:fldChar w:fldCharType="begin"/>
      </w:r>
      <w:r>
        <w:instrText xml:space="preserve"> PAGEREF _Toc178325026 \h </w:instrText>
      </w:r>
      <w:r>
        <w:fldChar w:fldCharType="separate"/>
      </w:r>
      <w:r>
        <w:t>24</w:t>
      </w:r>
      <w:r>
        <w:fldChar w:fldCharType="end"/>
      </w:r>
      <w:r>
        <w:fldChar w:fldCharType="end"/>
      </w:r>
    </w:p>
    <w:p w14:paraId="17811E09">
      <w:pPr>
        <w:pStyle w:val="24"/>
        <w:rPr>
          <w:rFonts w:hint="eastAsia" w:asciiTheme="minorHAnsi" w:hAnsiTheme="minorHAnsi" w:eastAsiaTheme="minorEastAsia" w:cstheme="minorBidi"/>
          <w:szCs w:val="22"/>
        </w:rPr>
      </w:pPr>
      <w:r>
        <w:fldChar w:fldCharType="begin"/>
      </w:r>
      <w:r>
        <w:instrText xml:space="preserve"> HYPERLINK \l "_Toc178325027" </w:instrText>
      </w:r>
      <w:r>
        <w:fldChar w:fldCharType="separate"/>
      </w:r>
      <w:r>
        <w:rPr>
          <w:rStyle w:val="32"/>
          <w14:scene3d>
            <w14:lightRig w14:rig="threePt" w14:dir="t">
              <w14:rot w14:lat="0" w14:lon="0" w14:rev="0"/>
            </w14:lightRig>
          </w14:scene3d>
        </w:rPr>
        <w:t xml:space="preserve">10.3 </w:t>
      </w:r>
      <w:r>
        <w:rPr>
          <w:rStyle w:val="32"/>
          <w:rFonts w:hint="eastAsia"/>
        </w:rPr>
        <w:t xml:space="preserve"> 废物箱</w:t>
      </w:r>
      <w:r>
        <w:tab/>
      </w:r>
      <w:r>
        <w:fldChar w:fldCharType="begin"/>
      </w:r>
      <w:r>
        <w:instrText xml:space="preserve"> PAGEREF _Toc178325027 \h </w:instrText>
      </w:r>
      <w:r>
        <w:fldChar w:fldCharType="separate"/>
      </w:r>
      <w:r>
        <w:t>24</w:t>
      </w:r>
      <w:r>
        <w:fldChar w:fldCharType="end"/>
      </w:r>
      <w:r>
        <w:fldChar w:fldCharType="end"/>
      </w:r>
    </w:p>
    <w:p w14:paraId="66F885CF">
      <w:pPr>
        <w:pStyle w:val="24"/>
        <w:rPr>
          <w:rFonts w:hint="eastAsia" w:asciiTheme="minorHAnsi" w:hAnsiTheme="minorHAnsi" w:eastAsiaTheme="minorEastAsia" w:cstheme="minorBidi"/>
          <w:szCs w:val="22"/>
        </w:rPr>
      </w:pPr>
      <w:r>
        <w:fldChar w:fldCharType="begin"/>
      </w:r>
      <w:r>
        <w:instrText xml:space="preserve"> HYPERLINK \l "_Toc178325028" </w:instrText>
      </w:r>
      <w:r>
        <w:fldChar w:fldCharType="separate"/>
      </w:r>
      <w:r>
        <w:rPr>
          <w:rStyle w:val="32"/>
          <w14:scene3d>
            <w14:lightRig w14:rig="threePt" w14:dir="t">
              <w14:rot w14:lat="0" w14:lon="0" w14:rev="0"/>
            </w14:lightRig>
          </w14:scene3d>
        </w:rPr>
        <w:t xml:space="preserve">10.4 </w:t>
      </w:r>
      <w:r>
        <w:rPr>
          <w:rStyle w:val="32"/>
          <w:rFonts w:hint="eastAsia"/>
        </w:rPr>
        <w:t xml:space="preserve"> 行人导引类信息牌</w:t>
      </w:r>
      <w:r>
        <w:tab/>
      </w:r>
      <w:r>
        <w:fldChar w:fldCharType="begin"/>
      </w:r>
      <w:r>
        <w:instrText xml:space="preserve"> PAGEREF _Toc178325028 \h </w:instrText>
      </w:r>
      <w:r>
        <w:fldChar w:fldCharType="separate"/>
      </w:r>
      <w:r>
        <w:t>25</w:t>
      </w:r>
      <w:r>
        <w:fldChar w:fldCharType="end"/>
      </w:r>
      <w:r>
        <w:fldChar w:fldCharType="end"/>
      </w:r>
    </w:p>
    <w:p w14:paraId="7CA8CC0B">
      <w:pPr>
        <w:pStyle w:val="24"/>
        <w:rPr>
          <w:rFonts w:hint="eastAsia" w:asciiTheme="minorHAnsi" w:hAnsiTheme="minorHAnsi" w:eastAsiaTheme="minorEastAsia" w:cstheme="minorBidi"/>
          <w:szCs w:val="22"/>
        </w:rPr>
      </w:pPr>
      <w:r>
        <w:fldChar w:fldCharType="begin"/>
      </w:r>
      <w:r>
        <w:instrText xml:space="preserve"> HYPERLINK \l "_Toc178325029" </w:instrText>
      </w:r>
      <w:r>
        <w:fldChar w:fldCharType="separate"/>
      </w:r>
      <w:r>
        <w:rPr>
          <w:rStyle w:val="32"/>
          <w14:scene3d>
            <w14:lightRig w14:rig="threePt" w14:dir="t">
              <w14:rot w14:lat="0" w14:lon="0" w14:rev="0"/>
            </w14:lightRig>
          </w14:scene3d>
        </w:rPr>
        <w:t xml:space="preserve">10.5 </w:t>
      </w:r>
      <w:r>
        <w:rPr>
          <w:rStyle w:val="32"/>
          <w:rFonts w:hint="eastAsia"/>
        </w:rPr>
        <w:t xml:space="preserve"> 公交车站设施</w:t>
      </w:r>
      <w:r>
        <w:tab/>
      </w:r>
      <w:r>
        <w:fldChar w:fldCharType="begin"/>
      </w:r>
      <w:r>
        <w:instrText xml:space="preserve"> PAGEREF _Toc178325029 \h </w:instrText>
      </w:r>
      <w:r>
        <w:fldChar w:fldCharType="separate"/>
      </w:r>
      <w:r>
        <w:t>25</w:t>
      </w:r>
      <w:r>
        <w:fldChar w:fldCharType="end"/>
      </w:r>
      <w:r>
        <w:fldChar w:fldCharType="end"/>
      </w:r>
    </w:p>
    <w:p w14:paraId="2A78D73F">
      <w:pPr>
        <w:pStyle w:val="24"/>
        <w:rPr>
          <w:rFonts w:hint="eastAsia" w:asciiTheme="minorHAnsi" w:hAnsiTheme="minorHAnsi" w:eastAsiaTheme="minorEastAsia" w:cstheme="minorBidi"/>
          <w:szCs w:val="22"/>
        </w:rPr>
      </w:pPr>
      <w:r>
        <w:fldChar w:fldCharType="begin"/>
      </w:r>
      <w:r>
        <w:instrText xml:space="preserve"> HYPERLINK \l "_Toc178325030" </w:instrText>
      </w:r>
      <w:r>
        <w:fldChar w:fldCharType="separate"/>
      </w:r>
      <w:r>
        <w:rPr>
          <w:rStyle w:val="32"/>
          <w14:scene3d>
            <w14:lightRig w14:rig="threePt" w14:dir="t">
              <w14:rot w14:lat="0" w14:lon="0" w14:rev="0"/>
            </w14:lightRig>
          </w14:scene3d>
        </w:rPr>
        <w:t xml:space="preserve">10.6 </w:t>
      </w:r>
      <w:r>
        <w:rPr>
          <w:rStyle w:val="32"/>
          <w:rFonts w:hint="eastAsia"/>
        </w:rPr>
        <w:t xml:space="preserve"> 非机动车存车设施</w:t>
      </w:r>
      <w:r>
        <w:tab/>
      </w:r>
      <w:r>
        <w:fldChar w:fldCharType="begin"/>
      </w:r>
      <w:r>
        <w:instrText xml:space="preserve"> PAGEREF _Toc178325030 \h </w:instrText>
      </w:r>
      <w:r>
        <w:fldChar w:fldCharType="separate"/>
      </w:r>
      <w:r>
        <w:t>25</w:t>
      </w:r>
      <w:r>
        <w:fldChar w:fldCharType="end"/>
      </w:r>
      <w:r>
        <w:fldChar w:fldCharType="end"/>
      </w:r>
    </w:p>
    <w:p w14:paraId="09D91EFF">
      <w:pPr>
        <w:pStyle w:val="24"/>
        <w:rPr>
          <w:rFonts w:hint="eastAsia" w:asciiTheme="minorHAnsi" w:hAnsiTheme="minorHAnsi" w:eastAsiaTheme="minorEastAsia" w:cstheme="minorBidi"/>
          <w:szCs w:val="22"/>
        </w:rPr>
      </w:pPr>
      <w:r>
        <w:fldChar w:fldCharType="begin"/>
      </w:r>
      <w:r>
        <w:instrText xml:space="preserve"> HYPERLINK \l "_Toc178325031" </w:instrText>
      </w:r>
      <w:r>
        <w:fldChar w:fldCharType="separate"/>
      </w:r>
      <w:r>
        <w:rPr>
          <w:rStyle w:val="32"/>
          <w14:scene3d>
            <w14:lightRig w14:rig="threePt" w14:dir="t">
              <w14:rot w14:lat="0" w14:lon="0" w14:rev="0"/>
            </w14:lightRig>
          </w14:scene3d>
        </w:rPr>
        <w:t xml:space="preserve">10.7 </w:t>
      </w:r>
      <w:r>
        <w:rPr>
          <w:rStyle w:val="32"/>
          <w:rFonts w:hint="eastAsia"/>
        </w:rPr>
        <w:t xml:space="preserve"> 座椅</w:t>
      </w:r>
      <w:r>
        <w:tab/>
      </w:r>
      <w:r>
        <w:fldChar w:fldCharType="begin"/>
      </w:r>
      <w:r>
        <w:instrText xml:space="preserve"> PAGEREF _Toc178325031 \h </w:instrText>
      </w:r>
      <w:r>
        <w:fldChar w:fldCharType="separate"/>
      </w:r>
      <w:r>
        <w:t>26</w:t>
      </w:r>
      <w:r>
        <w:fldChar w:fldCharType="end"/>
      </w:r>
      <w:r>
        <w:fldChar w:fldCharType="end"/>
      </w:r>
    </w:p>
    <w:p w14:paraId="58BD1374">
      <w:pPr>
        <w:pStyle w:val="24"/>
        <w:rPr>
          <w:rFonts w:hint="eastAsia" w:asciiTheme="minorHAnsi" w:hAnsiTheme="minorHAnsi" w:eastAsiaTheme="minorEastAsia" w:cstheme="minorBidi"/>
          <w:szCs w:val="22"/>
        </w:rPr>
      </w:pPr>
      <w:r>
        <w:fldChar w:fldCharType="begin"/>
      </w:r>
      <w:r>
        <w:instrText xml:space="preserve"> HYPERLINK \l "_Toc178325032" </w:instrText>
      </w:r>
      <w:r>
        <w:fldChar w:fldCharType="separate"/>
      </w:r>
      <w:r>
        <w:rPr>
          <w:rStyle w:val="32"/>
          <w14:scene3d>
            <w14:lightRig w14:rig="threePt" w14:dir="t">
              <w14:rot w14:lat="0" w14:lon="0" w14:rev="0"/>
            </w14:lightRig>
          </w14:scene3d>
        </w:rPr>
        <w:t xml:space="preserve">10.8 </w:t>
      </w:r>
      <w:r>
        <w:rPr>
          <w:rStyle w:val="32"/>
          <w:rFonts w:hint="eastAsia"/>
        </w:rPr>
        <w:t xml:space="preserve"> 活动式公共厕所</w:t>
      </w:r>
      <w:r>
        <w:tab/>
      </w:r>
      <w:r>
        <w:fldChar w:fldCharType="begin"/>
      </w:r>
      <w:r>
        <w:instrText xml:space="preserve"> PAGEREF _Toc178325032 \h </w:instrText>
      </w:r>
      <w:r>
        <w:fldChar w:fldCharType="separate"/>
      </w:r>
      <w:r>
        <w:t>26</w:t>
      </w:r>
      <w:r>
        <w:fldChar w:fldCharType="end"/>
      </w:r>
      <w:r>
        <w:fldChar w:fldCharType="end"/>
      </w:r>
    </w:p>
    <w:p w14:paraId="1F19AD93">
      <w:pPr>
        <w:pStyle w:val="24"/>
        <w:rPr>
          <w:rFonts w:hint="eastAsia" w:asciiTheme="minorHAnsi" w:hAnsiTheme="minorHAnsi" w:eastAsiaTheme="minorEastAsia" w:cstheme="minorBidi"/>
          <w:szCs w:val="22"/>
        </w:rPr>
      </w:pPr>
      <w:r>
        <w:fldChar w:fldCharType="begin"/>
      </w:r>
      <w:r>
        <w:instrText xml:space="preserve"> HYPERLINK \l "_Toc178325033" </w:instrText>
      </w:r>
      <w:r>
        <w:fldChar w:fldCharType="separate"/>
      </w:r>
      <w:r>
        <w:rPr>
          <w:rStyle w:val="32"/>
          <w14:scene3d>
            <w14:lightRig w14:rig="threePt" w14:dir="t">
              <w14:rot w14:lat="0" w14:lon="0" w14:rev="0"/>
            </w14:lightRig>
          </w14:scene3d>
        </w:rPr>
        <w:t xml:space="preserve">10.9 </w:t>
      </w:r>
      <w:r>
        <w:rPr>
          <w:rStyle w:val="32"/>
          <w:rFonts w:hint="eastAsia"/>
        </w:rPr>
        <w:t xml:space="preserve"> 其他</w:t>
      </w:r>
      <w:r>
        <w:tab/>
      </w:r>
      <w:r>
        <w:fldChar w:fldCharType="begin"/>
      </w:r>
      <w:r>
        <w:instrText xml:space="preserve"> PAGEREF _Toc178325033 \h </w:instrText>
      </w:r>
      <w:r>
        <w:fldChar w:fldCharType="separate"/>
      </w:r>
      <w:r>
        <w:t>26</w:t>
      </w:r>
      <w:r>
        <w:fldChar w:fldCharType="end"/>
      </w:r>
      <w:r>
        <w:fldChar w:fldCharType="end"/>
      </w:r>
    </w:p>
    <w:p w14:paraId="538FFC96">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"_Toc178325034" </w:instrText>
      </w:r>
      <w:r>
        <w:fldChar w:fldCharType="separate"/>
      </w:r>
      <w:r>
        <w:rPr>
          <w:rStyle w:val="32"/>
        </w:rPr>
        <w:t xml:space="preserve">11 </w:t>
      </w:r>
      <w:r>
        <w:rPr>
          <w:rStyle w:val="32"/>
          <w:rFonts w:hint="eastAsia"/>
        </w:rPr>
        <w:t xml:space="preserve"> 标准实施及评价</w:t>
      </w:r>
      <w:r>
        <w:tab/>
      </w:r>
      <w:r>
        <w:fldChar w:fldCharType="begin"/>
      </w:r>
      <w:r>
        <w:instrText xml:space="preserve"> PAGEREF _Toc178325034 \h </w:instrText>
      </w:r>
      <w:r>
        <w:fldChar w:fldCharType="separate"/>
      </w:r>
      <w:r>
        <w:t>26</w:t>
      </w:r>
      <w:r>
        <w:fldChar w:fldCharType="end"/>
      </w:r>
      <w:r>
        <w:fldChar w:fldCharType="end"/>
      </w:r>
    </w:p>
    <w:p w14:paraId="4C6AF8A7">
      <w:pPr>
        <w:pStyle w:val="19"/>
        <w:tabs>
          <w:tab w:val="right" w:leader="dot" w:pos="9344"/>
        </w:tabs>
        <w:rPr>
          <w:rFonts w:hint="eastAsia" w:asciiTheme="minorHAnsi" w:hAnsiTheme="minorHAnsi" w:eastAsiaTheme="minorEastAsia" w:cstheme="minorBidi"/>
          <w:szCs w:val="22"/>
        </w:rPr>
      </w:pPr>
      <w:r>
        <w:fldChar w:fldCharType="begin"/>
      </w:r>
      <w:r>
        <w:instrText xml:space="preserve"> HYPERLINK \l "_Toc178325035" </w:instrText>
      </w:r>
      <w:r>
        <w:fldChar w:fldCharType="separate"/>
      </w:r>
      <w:r>
        <w:rPr>
          <w:rStyle w:val="32"/>
          <w:rFonts w:hint="eastAsia"/>
        </w:rPr>
        <w:t>附录A（资料性）</w:t>
      </w:r>
      <w:r>
        <w:rPr>
          <w:rStyle w:val="32"/>
        </w:rPr>
        <w:t xml:space="preserve">  </w:t>
      </w:r>
      <w:r>
        <w:rPr>
          <w:rStyle w:val="32"/>
          <w:rFonts w:hint="eastAsia"/>
        </w:rPr>
        <w:t>湖北省地方标准实施信息及意见反馈表</w:t>
      </w:r>
      <w:r>
        <w:tab/>
      </w:r>
      <w:r>
        <w:fldChar w:fldCharType="begin"/>
      </w:r>
      <w:r>
        <w:instrText xml:space="preserve"> PAGEREF _Toc178325035 \h </w:instrText>
      </w:r>
      <w:r>
        <w:fldChar w:fldCharType="separate"/>
      </w:r>
      <w:r>
        <w:t>28</w:t>
      </w:r>
      <w:r>
        <w:fldChar w:fldCharType="end"/>
      </w:r>
      <w:r>
        <w:fldChar w:fldCharType="end"/>
      </w:r>
    </w:p>
    <w:p w14:paraId="11B7C564">
      <w:pPr>
        <w:pStyle w:val="91"/>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18"/>
    <w:p w14:paraId="5520EF44">
      <w:pPr>
        <w:pStyle w:val="89"/>
        <w:spacing w:before="560" w:after="468"/>
      </w:pPr>
      <w:bookmarkStart w:id="28" w:name="_Toc178324987"/>
      <w:bookmarkStart w:id="29" w:name="BookMark2"/>
      <w:r>
        <w:rPr>
          <w:spacing w:val="320"/>
        </w:rPr>
        <w:t>前</w:t>
      </w:r>
      <w:r>
        <w:t>言</w:t>
      </w:r>
      <w:bookmarkEnd w:id="19"/>
      <w:bookmarkEnd w:id="20"/>
      <w:bookmarkEnd w:id="21"/>
      <w:bookmarkEnd w:id="22"/>
      <w:bookmarkEnd w:id="23"/>
      <w:bookmarkEnd w:id="24"/>
      <w:bookmarkEnd w:id="25"/>
      <w:bookmarkEnd w:id="26"/>
      <w:bookmarkEnd w:id="27"/>
      <w:bookmarkEnd w:id="28"/>
    </w:p>
    <w:p w14:paraId="5412BAF4">
      <w:pPr>
        <w:pStyle w:val="56"/>
        <w:ind w:firstLine="420"/>
      </w:pPr>
      <w:r>
        <w:rPr>
          <w:rFonts w:hint="eastAsia"/>
        </w:rPr>
        <w:t>本文件按照GB/T 1.1—2020《标准化工作导则  第1部分：标准化文件的结构和起草规则》的规定起草。</w:t>
      </w:r>
    </w:p>
    <w:p w14:paraId="55360749">
      <w:pPr>
        <w:pStyle w:val="56"/>
        <w:ind w:firstLine="420"/>
      </w:pPr>
      <w:r>
        <w:rPr>
          <w:rFonts w:hint="eastAsia"/>
        </w:rPr>
        <w:t>本文件由湖北省住房和城乡建设厅提出并归口。</w:t>
      </w:r>
    </w:p>
    <w:p w14:paraId="38DAAF22">
      <w:pPr>
        <w:pStyle w:val="56"/>
        <w:ind w:firstLine="420"/>
      </w:pPr>
      <w:r>
        <w:rPr>
          <w:rFonts w:hint="eastAsia"/>
        </w:rPr>
        <w:t>本文件主要起草单位：湖北中南标科技有限公司</w:t>
      </w:r>
      <w:r>
        <w:t>、</w:t>
      </w:r>
      <w:r>
        <w:rPr>
          <w:rFonts w:hint="eastAsia"/>
        </w:rPr>
        <w:t>湖北省建筑设计院有限公司、湖北省工业建筑集团有限公司设计研究院、武汉市汉阳市政建设集团有限公司、中铁十一局集团有限公司勘察设计院、湖北市政建设集团有限公司、中国市政工程中南设计研究总院有限公司、武汉市政工程设计研究院有限责任公司</w:t>
      </w:r>
    </w:p>
    <w:p w14:paraId="14D1221E">
      <w:pPr>
        <w:pStyle w:val="56"/>
        <w:ind w:firstLine="420"/>
      </w:pPr>
      <w:r>
        <w:rPr>
          <w:rFonts w:hint="eastAsia"/>
        </w:rPr>
        <w:t>本文件主要起草人：宋波、罗永刚、吴卫强、李勇攀、何超、杨壹帆、张绍辰、田瑜、许银行、李静、杨斌、邵金、王华、刘威、徐浩、曾马军。</w:t>
      </w:r>
    </w:p>
    <w:p w14:paraId="4838AA93">
      <w:pPr>
        <w:pStyle w:val="56"/>
        <w:ind w:firstLine="420"/>
      </w:pPr>
      <w:r>
        <w:rPr>
          <w:rFonts w:hint="eastAsia"/>
        </w:rPr>
        <w:t>本文件实施应用中的疑问，可咨询湖北省住房和城乡建设厅，联系电话：027-68873088，邮箱：</w:t>
      </w:r>
      <w:r>
        <w:t>bkc@hbszjt.cn</w:t>
      </w:r>
      <w:r>
        <w:rPr>
          <w:rFonts w:hint="eastAsia"/>
        </w:rPr>
        <w:t>。对本文件的有关修改意见请反馈至湖北中南标科技有限公司，地址：武汉市武昌区中南一路66号，电话：027-81361600， 邮编：430071，</w:t>
      </w:r>
      <w:r>
        <w:t>邮箱：109208444@qq.com</w:t>
      </w:r>
      <w:r>
        <w:rPr>
          <w:rFonts w:hint="eastAsia"/>
        </w:rPr>
        <w:t>。</w:t>
      </w:r>
    </w:p>
    <w:p w14:paraId="5115B3D1">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9"/>
    <w:p w14:paraId="7074CD31">
      <w:pPr>
        <w:spacing w:line="20" w:lineRule="exact"/>
        <w:jc w:val="center"/>
        <w:rPr>
          <w:rFonts w:hint="eastAsia" w:ascii="黑体" w:hAnsi="黑体" w:eastAsia="黑体"/>
          <w:sz w:val="32"/>
          <w:szCs w:val="32"/>
        </w:rPr>
      </w:pPr>
      <w:bookmarkStart w:id="30" w:name="BookMark4"/>
    </w:p>
    <w:p w14:paraId="38720F14">
      <w:pPr>
        <w:spacing w:line="20" w:lineRule="exact"/>
        <w:jc w:val="center"/>
        <w:rPr>
          <w:rFonts w:hint="eastAsia" w:ascii="黑体" w:hAnsi="黑体" w:eastAsia="黑体"/>
          <w:sz w:val="32"/>
          <w:szCs w:val="32"/>
        </w:rPr>
      </w:pPr>
    </w:p>
    <w:sdt>
      <w:sdtPr>
        <w:tag w:val="NEW_STAND_NAME"/>
        <w:id w:val="595910757"/>
        <w:lock w:val="sdtLocked"/>
        <w:placeholder>
          <w:docPart w:val="3148A8F5F2CE4AB7A486AADACB8AFFBF"/>
        </w:placeholder>
      </w:sdtPr>
      <w:sdtContent>
        <w:p w14:paraId="35EF69DD">
          <w:pPr>
            <w:pStyle w:val="177"/>
            <w:spacing w:before="3" w:beforeLines="1" w:after="686" w:afterLines="220"/>
            <w:rPr>
              <w:rFonts w:hint="eastAsia"/>
            </w:rPr>
          </w:pPr>
          <w:bookmarkStart w:id="31" w:name="NEW_STAND_NAME"/>
          <w:r>
            <w:rPr>
              <w:rFonts w:hint="eastAsia"/>
            </w:rPr>
            <w:t>城市道路人行道及附属设施技术规程</w:t>
          </w:r>
        </w:p>
      </w:sdtContent>
    </w:sdt>
    <w:bookmarkEnd w:id="31"/>
    <w:p w14:paraId="1C231070">
      <w:pPr>
        <w:pStyle w:val="104"/>
        <w:spacing w:before="312" w:after="312"/>
      </w:pPr>
      <w:bookmarkStart w:id="32" w:name="_Toc24884218"/>
      <w:bookmarkStart w:id="33" w:name="_Toc177634218"/>
      <w:bookmarkStart w:id="34" w:name="_Toc97191423"/>
      <w:bookmarkStart w:id="35" w:name="_Toc177736913"/>
      <w:bookmarkStart w:id="36" w:name="_Toc26986771"/>
      <w:bookmarkStart w:id="37" w:name="_Toc177645317"/>
      <w:bookmarkStart w:id="38" w:name="_Toc177981344"/>
      <w:bookmarkStart w:id="39" w:name="_Toc17233325"/>
      <w:bookmarkStart w:id="40" w:name="_Toc177627011"/>
      <w:bookmarkStart w:id="41" w:name="_Toc24884211"/>
      <w:bookmarkStart w:id="42" w:name="_Toc177647687"/>
      <w:bookmarkStart w:id="43" w:name="_Toc177734849"/>
      <w:bookmarkStart w:id="44" w:name="_Toc177723422"/>
      <w:bookmarkStart w:id="45" w:name="_Toc26718930"/>
      <w:bookmarkStart w:id="46" w:name="_Toc178324988"/>
      <w:bookmarkStart w:id="47" w:name="_Toc26648465"/>
      <w:bookmarkStart w:id="48" w:name="_Toc17233333"/>
      <w:bookmarkStart w:id="49" w:name="_Toc177626077"/>
      <w:bookmarkStart w:id="50" w:name="_Toc26986530"/>
      <w:r>
        <w:rPr>
          <w:rFonts w:hint="eastAsia"/>
        </w:rPr>
        <w:t>范围</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Start w:id="51" w:name="_Toc17233326"/>
      <w:bookmarkStart w:id="52" w:name="_Toc24884219"/>
      <w:bookmarkStart w:id="53" w:name="_Toc17233334"/>
      <w:bookmarkStart w:id="54" w:name="_Toc26648466"/>
      <w:bookmarkStart w:id="55" w:name="_Toc24884212"/>
    </w:p>
    <w:p w14:paraId="4C3C9837">
      <w:pPr>
        <w:pStyle w:val="56"/>
        <w:ind w:firstLine="420"/>
      </w:pPr>
      <w:r>
        <w:rPr>
          <w:rFonts w:hint="eastAsia"/>
        </w:rPr>
        <w:t>本文件规定了城市道路人行道及附属设施设计及施工的技术要求。</w:t>
      </w:r>
    </w:p>
    <w:p w14:paraId="6D0DCD8E">
      <w:pPr>
        <w:pStyle w:val="56"/>
        <w:ind w:firstLine="420"/>
      </w:pPr>
      <w:r>
        <w:rPr>
          <w:rFonts w:hint="eastAsia"/>
        </w:rPr>
        <w:t>本文件适用于湖北省内城市道路的新建和改扩修工程。城市范围以外的公共道路和城镇化地区的公路建设项目，亦可参照本规程执行。</w:t>
      </w:r>
    </w:p>
    <w:p w14:paraId="382C32E7">
      <w:pPr>
        <w:pStyle w:val="104"/>
        <w:spacing w:before="312" w:after="312"/>
      </w:pPr>
      <w:bookmarkStart w:id="56" w:name="_Toc177634219"/>
      <w:bookmarkStart w:id="57" w:name="_Toc178324989"/>
      <w:bookmarkStart w:id="58" w:name="_Toc177736914"/>
      <w:bookmarkStart w:id="59" w:name="_Toc26718931"/>
      <w:bookmarkStart w:id="60" w:name="_Toc177645318"/>
      <w:bookmarkStart w:id="61" w:name="_Toc97191424"/>
      <w:bookmarkStart w:id="62" w:name="_Toc177626078"/>
      <w:bookmarkStart w:id="63" w:name="_Toc26986531"/>
      <w:bookmarkStart w:id="64" w:name="_Toc177627012"/>
      <w:bookmarkStart w:id="65" w:name="_Toc177723423"/>
      <w:bookmarkStart w:id="66" w:name="_Toc177734850"/>
      <w:bookmarkStart w:id="67" w:name="_Toc177981345"/>
      <w:bookmarkStart w:id="68" w:name="_Toc177647688"/>
      <w:bookmarkStart w:id="69" w:name="_Toc26986772"/>
      <w:r>
        <w:rPr>
          <w:rFonts w:hint="eastAsia"/>
        </w:rPr>
        <w:t>规范性引用文件</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DB3D9CA">
      <w:pPr>
        <w:pStyle w:val="56"/>
        <w:ind w:firstLine="420"/>
      </w:pPr>
      <w:sdt>
        <w:sdtPr>
          <w:rPr>
            <w:rFonts w:hint="eastAsia"/>
          </w:rPr>
          <w:id w:val="715848253"/>
          <w:placeholder>
            <w:docPart w:val="6036A5734D5442AFA35D05CDD2C5513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r>
        <w:t xml:space="preserve">   </w:t>
      </w:r>
    </w:p>
    <w:p w14:paraId="781FB6C0">
      <w:pPr>
        <w:pStyle w:val="56"/>
        <w:ind w:firstLine="420"/>
      </w:pPr>
      <w:r>
        <w:t xml:space="preserve">GB 5768      </w:t>
      </w:r>
      <w:r>
        <w:rPr>
          <w:rFonts w:hint="eastAsia"/>
        </w:rPr>
        <w:t xml:space="preserve"> 道路交通标志和标线</w:t>
      </w:r>
    </w:p>
    <w:p w14:paraId="75375939">
      <w:pPr>
        <w:pStyle w:val="56"/>
        <w:ind w:firstLine="420"/>
      </w:pPr>
      <w:r>
        <w:rPr>
          <w:rFonts w:hint="eastAsia"/>
        </w:rPr>
        <w:t>GB/T 10001.1</w:t>
      </w:r>
      <w:r>
        <w:t xml:space="preserve">  </w:t>
      </w:r>
      <w:r>
        <w:rPr>
          <w:rFonts w:hint="eastAsia"/>
        </w:rPr>
        <w:t>公共信息图形符号 第1部分：通用符号</w:t>
      </w:r>
    </w:p>
    <w:p w14:paraId="21BC6186">
      <w:pPr>
        <w:pStyle w:val="56"/>
        <w:ind w:firstLine="420"/>
      </w:pPr>
      <w:r>
        <w:rPr>
          <w:rFonts w:hint="eastAsia"/>
        </w:rPr>
        <w:t>GB/T 10001.9</w:t>
      </w:r>
      <w:r>
        <w:t xml:space="preserve">  </w:t>
      </w:r>
      <w:r>
        <w:rPr>
          <w:rFonts w:hint="eastAsia"/>
        </w:rPr>
        <w:t>公共信息图形符号 第9部分：无障碍设施符号</w:t>
      </w:r>
    </w:p>
    <w:p w14:paraId="4471488E">
      <w:pPr>
        <w:pStyle w:val="56"/>
        <w:ind w:firstLine="420"/>
      </w:pPr>
      <w:r>
        <w:rPr>
          <w:rFonts w:hint="eastAsia"/>
        </w:rPr>
        <w:t>GB 14886</w:t>
      </w:r>
      <w:r>
        <w:t xml:space="preserve">      </w:t>
      </w:r>
      <w:r>
        <w:rPr>
          <w:rFonts w:hint="eastAsia"/>
        </w:rPr>
        <w:t>道路交通信号灯设置与安装规范</w:t>
      </w:r>
    </w:p>
    <w:p w14:paraId="1241B4B6">
      <w:pPr>
        <w:pStyle w:val="56"/>
        <w:ind w:firstLine="420"/>
      </w:pPr>
      <w:r>
        <w:rPr>
          <w:rFonts w:hint="eastAsia"/>
        </w:rPr>
        <w:t>GB 17733</w:t>
      </w:r>
      <w:r>
        <w:t xml:space="preserve">      </w:t>
      </w:r>
      <w:r>
        <w:rPr>
          <w:rFonts w:hint="eastAsia"/>
        </w:rPr>
        <w:t>地名标志</w:t>
      </w:r>
    </w:p>
    <w:p w14:paraId="64DC9FDB">
      <w:pPr>
        <w:pStyle w:val="56"/>
        <w:ind w:firstLine="420"/>
      </w:pPr>
      <w:r>
        <w:rPr>
          <w:rFonts w:hint="eastAsia"/>
        </w:rPr>
        <w:t>GB/T 19095</w:t>
      </w:r>
      <w:r>
        <w:t xml:space="preserve">    </w:t>
      </w:r>
      <w:r>
        <w:rPr>
          <w:rFonts w:hint="eastAsia"/>
        </w:rPr>
        <w:t>生活垃圾分类标志</w:t>
      </w:r>
    </w:p>
    <w:p w14:paraId="6F2FD96B">
      <w:pPr>
        <w:pStyle w:val="56"/>
        <w:ind w:firstLine="420"/>
      </w:pPr>
      <w:r>
        <w:rPr>
          <w:rFonts w:hint="eastAsia"/>
        </w:rPr>
        <w:t>GB</w:t>
      </w:r>
      <w:r>
        <w:t xml:space="preserve"> </w:t>
      </w:r>
      <w:r>
        <w:rPr>
          <w:rFonts w:hint="eastAsia"/>
        </w:rPr>
        <w:t>50289</w:t>
      </w:r>
      <w:r>
        <w:t xml:space="preserve">      </w:t>
      </w:r>
      <w:r>
        <w:rPr>
          <w:rFonts w:hint="eastAsia"/>
        </w:rPr>
        <w:t>城市工程管线综合规划规范</w:t>
      </w:r>
    </w:p>
    <w:p w14:paraId="3707D779">
      <w:pPr>
        <w:pStyle w:val="56"/>
        <w:ind w:firstLine="420"/>
      </w:pPr>
      <w:r>
        <w:rPr>
          <w:rFonts w:hint="eastAsia"/>
        </w:rPr>
        <w:t>GB 50688</w:t>
      </w:r>
      <w:r>
        <w:t xml:space="preserve">      </w:t>
      </w:r>
      <w:r>
        <w:rPr>
          <w:rFonts w:hint="eastAsia"/>
        </w:rPr>
        <w:t>城市道路交通设施设计规范</w:t>
      </w:r>
    </w:p>
    <w:p w14:paraId="4C8B6D56">
      <w:pPr>
        <w:pStyle w:val="56"/>
        <w:ind w:firstLine="420"/>
      </w:pPr>
      <w:r>
        <w:rPr>
          <w:rFonts w:hint="eastAsia"/>
        </w:rPr>
        <w:t>GB 50763</w:t>
      </w:r>
      <w:r>
        <w:t xml:space="preserve">      </w:t>
      </w:r>
      <w:r>
        <w:rPr>
          <w:rFonts w:hint="eastAsia"/>
        </w:rPr>
        <w:t>无障碍设计规范</w:t>
      </w:r>
    </w:p>
    <w:p w14:paraId="7440171D">
      <w:pPr>
        <w:pStyle w:val="56"/>
        <w:ind w:firstLine="420"/>
      </w:pPr>
      <w:r>
        <w:rPr>
          <w:rFonts w:hint="eastAsia"/>
        </w:rPr>
        <w:t>GB 51038</w:t>
      </w:r>
      <w:r>
        <w:t xml:space="preserve">      </w:t>
      </w:r>
      <w:r>
        <w:rPr>
          <w:rFonts w:hint="eastAsia"/>
        </w:rPr>
        <w:t>城市道路交通标志和标线设置规范</w:t>
      </w:r>
    </w:p>
    <w:p w14:paraId="07A7A26C">
      <w:pPr>
        <w:pStyle w:val="56"/>
        <w:ind w:firstLine="420"/>
      </w:pPr>
      <w:r>
        <w:rPr>
          <w:rFonts w:hint="eastAsia"/>
        </w:rPr>
        <w:t>GB/T 51439</w:t>
      </w:r>
      <w:r>
        <w:t xml:space="preserve">    </w:t>
      </w:r>
      <w:r>
        <w:rPr>
          <w:rFonts w:hint="eastAsia"/>
        </w:rPr>
        <w:t xml:space="preserve">城市步行和自行车交通系统规划标准 </w:t>
      </w:r>
    </w:p>
    <w:p w14:paraId="7813E450">
      <w:pPr>
        <w:pStyle w:val="56"/>
        <w:ind w:firstLine="420"/>
      </w:pPr>
      <w:r>
        <w:rPr>
          <w:rFonts w:hint="eastAsia"/>
        </w:rPr>
        <w:t>GB</w:t>
      </w:r>
      <w:r>
        <w:t xml:space="preserve"> </w:t>
      </w:r>
      <w:r>
        <w:rPr>
          <w:rFonts w:hint="eastAsia"/>
        </w:rPr>
        <w:t>55011</w:t>
      </w:r>
      <w:r>
        <w:t xml:space="preserve">      </w:t>
      </w:r>
      <w:r>
        <w:rPr>
          <w:rFonts w:hint="eastAsia"/>
        </w:rPr>
        <w:t>城市道路交通工程项目规范</w:t>
      </w:r>
    </w:p>
    <w:p w14:paraId="4706C0CF">
      <w:pPr>
        <w:pStyle w:val="56"/>
        <w:ind w:firstLine="409" w:firstLineChars="195"/>
      </w:pPr>
      <w:r>
        <w:rPr>
          <w:rFonts w:hint="eastAsia"/>
        </w:rPr>
        <w:t xml:space="preserve">GB 55019 </w:t>
      </w:r>
      <w:r>
        <w:t xml:space="preserve">     </w:t>
      </w:r>
      <w:r>
        <w:rPr>
          <w:rFonts w:hint="eastAsia"/>
        </w:rPr>
        <w:t>建筑与市政工程无障碍通用规范</w:t>
      </w:r>
    </w:p>
    <w:p w14:paraId="6FF35CEC">
      <w:pPr>
        <w:pStyle w:val="56"/>
        <w:ind w:firstLine="420"/>
      </w:pPr>
      <w:r>
        <w:t>CJJ 1         城镇道路工程施工与质量验收规范</w:t>
      </w:r>
      <w:r>
        <w:rPr>
          <w:rFonts w:hint="eastAsia"/>
        </w:rPr>
        <w:t xml:space="preserve">    </w:t>
      </w:r>
    </w:p>
    <w:p w14:paraId="6A9203C5">
      <w:pPr>
        <w:pStyle w:val="56"/>
        <w:ind w:firstLine="420"/>
      </w:pPr>
      <w:r>
        <w:rPr>
          <w:rFonts w:hint="eastAsia"/>
        </w:rPr>
        <w:t>CJJ 37</w:t>
      </w:r>
      <w:r>
        <w:t xml:space="preserve">        </w:t>
      </w:r>
      <w:r>
        <w:rPr>
          <w:rFonts w:hint="eastAsia"/>
        </w:rPr>
        <w:t xml:space="preserve">城市道路工程设计规范  </w:t>
      </w:r>
    </w:p>
    <w:p w14:paraId="54C08F78">
      <w:pPr>
        <w:pStyle w:val="56"/>
        <w:ind w:firstLine="420"/>
      </w:pPr>
      <w:r>
        <w:rPr>
          <w:rFonts w:hint="eastAsia"/>
        </w:rPr>
        <w:t>CJJ 45</w:t>
      </w:r>
      <w:r>
        <w:t xml:space="preserve">        </w:t>
      </w:r>
      <w:r>
        <w:rPr>
          <w:rFonts w:hint="eastAsia"/>
        </w:rPr>
        <w:t>城市道路照明设计标准</w:t>
      </w:r>
    </w:p>
    <w:p w14:paraId="2ACBA9C1">
      <w:pPr>
        <w:pStyle w:val="56"/>
        <w:ind w:firstLine="420"/>
      </w:pPr>
      <w:r>
        <w:t xml:space="preserve">CJJ/T 75      </w:t>
      </w:r>
      <w:r>
        <w:rPr>
          <w:rFonts w:hint="eastAsia"/>
        </w:rPr>
        <w:t>城市道路绿化设计标准</w:t>
      </w:r>
    </w:p>
    <w:p w14:paraId="03501C92">
      <w:pPr>
        <w:pStyle w:val="56"/>
        <w:ind w:firstLine="420"/>
      </w:pPr>
      <w:r>
        <w:rPr>
          <w:rFonts w:hint="eastAsia"/>
        </w:rPr>
        <w:t>CJJ/T 135</w:t>
      </w:r>
      <w:r>
        <w:t xml:space="preserve">     </w:t>
      </w:r>
      <w:r>
        <w:rPr>
          <w:rFonts w:hint="eastAsia"/>
        </w:rPr>
        <w:t>透水水泥混凝土路面技术规程</w:t>
      </w:r>
    </w:p>
    <w:p w14:paraId="305925A9">
      <w:pPr>
        <w:pStyle w:val="56"/>
        <w:ind w:firstLine="420"/>
      </w:pPr>
      <w:r>
        <w:rPr>
          <w:rFonts w:hint="eastAsia"/>
        </w:rPr>
        <w:t>CJJ 169</w:t>
      </w:r>
      <w:r>
        <w:t xml:space="preserve">       </w:t>
      </w:r>
      <w:r>
        <w:rPr>
          <w:rFonts w:hint="eastAsia"/>
        </w:rPr>
        <w:t xml:space="preserve">城镇道路路面设计规范  </w:t>
      </w:r>
    </w:p>
    <w:p w14:paraId="10C0EE98">
      <w:pPr>
        <w:pStyle w:val="56"/>
        <w:ind w:firstLine="420"/>
      </w:pPr>
      <w:r>
        <w:rPr>
          <w:rFonts w:hint="eastAsia"/>
        </w:rPr>
        <w:t>CJJ/T 188</w:t>
      </w:r>
      <w:r>
        <w:t xml:space="preserve">     </w:t>
      </w:r>
      <w:r>
        <w:rPr>
          <w:rFonts w:hint="eastAsia"/>
        </w:rPr>
        <w:t>透水砖路面技术规程</w:t>
      </w:r>
    </w:p>
    <w:p w14:paraId="6D96C7D0">
      <w:pPr>
        <w:pStyle w:val="56"/>
        <w:ind w:firstLine="420"/>
      </w:pPr>
      <w:r>
        <w:rPr>
          <w:rFonts w:hint="eastAsia"/>
        </w:rPr>
        <w:t>CJJ 193</w:t>
      </w:r>
      <w:r>
        <w:t xml:space="preserve">       </w:t>
      </w:r>
      <w:r>
        <w:rPr>
          <w:rFonts w:hint="eastAsia"/>
        </w:rPr>
        <w:t xml:space="preserve">城市道路路线设计规范  </w:t>
      </w:r>
    </w:p>
    <w:p w14:paraId="057C8449">
      <w:pPr>
        <w:pStyle w:val="56"/>
        <w:ind w:firstLine="420"/>
      </w:pPr>
      <w:r>
        <w:rPr>
          <w:rFonts w:hint="eastAsia"/>
        </w:rPr>
        <w:t>CJJ/T 218</w:t>
      </w:r>
      <w:r>
        <w:t xml:space="preserve">     </w:t>
      </w:r>
      <w:r>
        <w:rPr>
          <w:rFonts w:hint="eastAsia"/>
        </w:rPr>
        <w:t>城市道路彩色沥青混凝土路面技术规程</w:t>
      </w:r>
    </w:p>
    <w:p w14:paraId="290A8B22">
      <w:pPr>
        <w:pStyle w:val="104"/>
        <w:spacing w:before="312" w:after="312"/>
      </w:pPr>
      <w:bookmarkStart w:id="70" w:name="_Toc177634220"/>
      <w:bookmarkStart w:id="71" w:name="_Toc97191425"/>
      <w:bookmarkStart w:id="72" w:name="_Toc177734851"/>
      <w:bookmarkStart w:id="73" w:name="_Toc177626079"/>
      <w:bookmarkStart w:id="74" w:name="_Toc178324990"/>
      <w:bookmarkStart w:id="75" w:name="_Toc177723424"/>
      <w:bookmarkStart w:id="76" w:name="_Toc177645319"/>
      <w:bookmarkStart w:id="77" w:name="_Toc177981346"/>
      <w:bookmarkStart w:id="78" w:name="_Toc177647689"/>
      <w:bookmarkStart w:id="79" w:name="_Toc177627013"/>
      <w:bookmarkStart w:id="80" w:name="_Toc177736915"/>
      <w:r>
        <w:rPr>
          <w:rFonts w:hint="eastAsia"/>
          <w:szCs w:val="21"/>
        </w:rPr>
        <w:t>术语和定义</w:t>
      </w:r>
      <w:bookmarkEnd w:id="70"/>
      <w:bookmarkEnd w:id="71"/>
      <w:bookmarkEnd w:id="72"/>
      <w:bookmarkEnd w:id="73"/>
      <w:bookmarkEnd w:id="74"/>
      <w:bookmarkEnd w:id="75"/>
      <w:bookmarkEnd w:id="76"/>
      <w:bookmarkEnd w:id="77"/>
      <w:bookmarkEnd w:id="78"/>
      <w:bookmarkEnd w:id="79"/>
      <w:bookmarkEnd w:id="80"/>
    </w:p>
    <w:sdt>
      <w:sdtPr>
        <w:id w:val="-1909835108"/>
        <w:placeholder>
          <w:docPart w:val="F959A03B7B334695BEACED24EF3E0686"/>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37FFFBC">
          <w:pPr>
            <w:pStyle w:val="56"/>
            <w:ind w:firstLine="420"/>
          </w:pPr>
          <w:bookmarkStart w:id="81" w:name="_Toc26986532"/>
          <w:bookmarkEnd w:id="81"/>
          <w:r>
            <w:rPr>
              <w:rFonts w:hint="eastAsia"/>
            </w:rPr>
            <w:t>下列术语和定义适用于本文件。</w:t>
          </w:r>
        </w:p>
      </w:sdtContent>
    </w:sdt>
    <w:p w14:paraId="56B840A7">
      <w:pPr>
        <w:pStyle w:val="223"/>
        <w:ind w:left="420" w:hanging="420" w:hangingChars="200"/>
        <w:rPr>
          <w:rFonts w:hint="eastAsia" w:ascii="黑体" w:hAnsi="黑体" w:eastAsia="黑体"/>
        </w:rPr>
      </w:pPr>
    </w:p>
    <w:p w14:paraId="0E918C39">
      <w:pPr>
        <w:pStyle w:val="223"/>
        <w:numPr>
          <w:ilvl w:val="0"/>
          <w:numId w:val="0"/>
        </w:numPr>
        <w:ind w:left="420"/>
        <w:rPr>
          <w:rFonts w:hint="eastAsia" w:ascii="黑体" w:hAnsi="黑体" w:eastAsia="黑体"/>
        </w:rPr>
      </w:pPr>
      <w:r>
        <w:rPr>
          <w:rFonts w:hint="eastAsia" w:ascii="黑体" w:hAnsi="黑体" w:eastAsia="黑体"/>
        </w:rPr>
        <w:t>城市道路 Urban road</w:t>
      </w:r>
    </w:p>
    <w:p w14:paraId="48896887">
      <w:pPr>
        <w:pStyle w:val="56"/>
        <w:ind w:firstLine="420"/>
      </w:pPr>
      <w:r>
        <w:rPr>
          <w:rFonts w:hint="eastAsia"/>
        </w:rPr>
        <w:t>城市范围内新建和改建的各级城市道路，它们按照在道路网中的地位、交通功能以及对沿线的服务功能等，分为快速路、主干路、次干路和支路四个等级。</w:t>
      </w:r>
    </w:p>
    <w:p w14:paraId="5240B683">
      <w:pPr>
        <w:pStyle w:val="223"/>
        <w:ind w:left="420" w:hanging="420" w:hangingChars="200"/>
        <w:rPr>
          <w:rFonts w:hint="eastAsia" w:ascii="黑体" w:hAnsi="黑体" w:eastAsia="黑体"/>
        </w:rPr>
      </w:pPr>
    </w:p>
    <w:p w14:paraId="19F5536E">
      <w:pPr>
        <w:pStyle w:val="223"/>
        <w:numPr>
          <w:ilvl w:val="0"/>
          <w:numId w:val="0"/>
        </w:numPr>
        <w:ind w:left="420"/>
        <w:rPr>
          <w:rFonts w:hint="eastAsia" w:ascii="黑体" w:hAnsi="黑体" w:eastAsia="黑体"/>
        </w:rPr>
      </w:pPr>
      <w:r>
        <w:rPr>
          <w:rFonts w:hint="eastAsia" w:ascii="黑体" w:hAnsi="黑体" w:eastAsia="黑体"/>
        </w:rPr>
        <w:t>路侧带 Roadside strip</w:t>
      </w:r>
    </w:p>
    <w:p w14:paraId="2D4C7C1D">
      <w:pPr>
        <w:pStyle w:val="56"/>
        <w:ind w:firstLine="420"/>
      </w:pPr>
      <w:r>
        <w:rPr>
          <w:rFonts w:hint="eastAsia"/>
        </w:rPr>
        <w:t>车行道外侧立缘石的内缘与道路红线之间的范围，一般由人行道、绿化带和设施带等组成。</w:t>
      </w:r>
    </w:p>
    <w:p w14:paraId="0746D5A2">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人行道 Sidewalk</w:t>
      </w:r>
    </w:p>
    <w:p w14:paraId="415DA174">
      <w:pPr>
        <w:pStyle w:val="56"/>
        <w:ind w:firstLine="420"/>
      </w:pPr>
      <w:r>
        <w:rPr>
          <w:rFonts w:hint="eastAsia"/>
        </w:rPr>
        <w:t>路侧带中专供行人通行的部分，也称步行通行区或步行通行带，其宽度为行人可顺畅行走且无任何障碍物的有效通行宽度。</w:t>
      </w:r>
    </w:p>
    <w:p w14:paraId="628545B6">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设施带 Facility zone</w:t>
      </w:r>
    </w:p>
    <w:p w14:paraId="2BC32B41">
      <w:pPr>
        <w:pStyle w:val="56"/>
        <w:ind w:firstLine="420"/>
      </w:pPr>
      <w:r>
        <w:rPr>
          <w:rFonts w:hint="eastAsia"/>
        </w:rPr>
        <w:t>指路侧带中为交通、市政、绿化、环卫等设施提供的安装设置空间。为便于区分，位于非机动车道与人行道之间的设施带称为行道树设施带，位于人行道与建筑退线空间之间的设施带称为绿化设施带。</w:t>
      </w:r>
    </w:p>
    <w:p w14:paraId="45368BB5">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绿化带 Green belt</w:t>
      </w:r>
    </w:p>
    <w:p w14:paraId="4DF8B510">
      <w:pPr>
        <w:pStyle w:val="56"/>
        <w:ind w:firstLine="420"/>
      </w:pPr>
      <w:r>
        <w:rPr>
          <w:rFonts w:hint="eastAsia"/>
        </w:rPr>
        <w:t>绿化带指路侧带中为行车及行人遮阳并美化环境，保证植物正常生长的条形场地。绿化带与设施带都是城市路侧带的重要组成部分，可根据实际情况将绿化带与设施带结合设置。</w:t>
      </w:r>
    </w:p>
    <w:p w14:paraId="0494C1D2">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阻车柱 Bollard</w:t>
      </w:r>
    </w:p>
    <w:p w14:paraId="30616121">
      <w:pPr>
        <w:pStyle w:val="56"/>
        <w:ind w:firstLine="420"/>
      </w:pPr>
      <w:r>
        <w:rPr>
          <w:rFonts w:hint="eastAsia"/>
        </w:rPr>
        <w:t>用于阻止车辆进入人行道或其他禁止车辆通行区域的设施。</w:t>
      </w:r>
    </w:p>
    <w:p w14:paraId="4F8B26E4">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人行道设施 Facilities on sidewalks</w:t>
      </w:r>
    </w:p>
    <w:p w14:paraId="46AA01A4">
      <w:pPr>
        <w:pStyle w:val="56"/>
        <w:ind w:firstLine="420"/>
      </w:pPr>
      <w:r>
        <w:rPr>
          <w:rFonts w:hint="eastAsia"/>
        </w:rPr>
        <w:t>设置于城市道路中人行道范围内的设施，包括附属设施和公共服务性设施。</w:t>
      </w:r>
    </w:p>
    <w:p w14:paraId="0402097C">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附属设施 ancillary facilities</w:t>
      </w:r>
    </w:p>
    <w:p w14:paraId="4357B97A">
      <w:pPr>
        <w:pStyle w:val="56"/>
        <w:ind w:firstLine="420"/>
      </w:pPr>
      <w:r>
        <w:rPr>
          <w:rFonts w:hint="eastAsia"/>
        </w:rPr>
        <w:t>人行道附属设施是指占用人行道地上或地下空间而设置的各类配套设施，包括路缘石、设置在人行道内的各种的管网、市政箱体、市政杆体，装饰井盖、阻车柱、行道树等。</w:t>
      </w:r>
    </w:p>
    <w:p w14:paraId="259E80F6">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 xml:space="preserve">公共服务性设施 </w:t>
      </w:r>
      <w:r>
        <w:rPr>
          <w:rFonts w:ascii="黑体" w:hAnsi="黑体" w:eastAsia="黑体"/>
        </w:rPr>
        <w:t>public facilities on sidewalks</w:t>
      </w:r>
    </w:p>
    <w:p w14:paraId="2F907AF9">
      <w:pPr>
        <w:pStyle w:val="56"/>
        <w:ind w:firstLine="420"/>
      </w:pPr>
      <w:r>
        <w:rPr>
          <w:rFonts w:hint="eastAsia"/>
        </w:rPr>
        <w:t>设置于城市道路路侧带范围内直接服务于行人的设施。包括护围栏设施（含人行道护栏、公交站安全护栏、绿化设施带护栏等）、废物箱、行人导引类信息牌（含街牌、步行者导向牌、公厕指引牌、地铁指引牌、人行地道和人行天桥指引牌等）、公交车站设施（含站牌和候车亭）、非机动车存车设施（含非机动车存车架、非机动车存车围栏和公共自行车设施）、座椅、活动式公共厕所等。</w:t>
      </w:r>
    </w:p>
    <w:p w14:paraId="6C7FA5D1">
      <w:pPr>
        <w:pStyle w:val="104"/>
        <w:spacing w:before="312" w:after="312"/>
      </w:pPr>
      <w:bookmarkStart w:id="82" w:name="_Toc177734852"/>
      <w:bookmarkStart w:id="83" w:name="_Toc177645320"/>
      <w:bookmarkStart w:id="84" w:name="_Toc177647690"/>
      <w:bookmarkStart w:id="85" w:name="_Toc178324991"/>
      <w:bookmarkStart w:id="86" w:name="_Toc177723425"/>
      <w:bookmarkStart w:id="87" w:name="_Toc177981347"/>
      <w:bookmarkStart w:id="88" w:name="_Toc177736916"/>
      <w:bookmarkStart w:id="89" w:name="_Toc177634221"/>
      <w:bookmarkStart w:id="90" w:name="_Toc177627014"/>
      <w:r>
        <w:t>基本规定</w:t>
      </w:r>
      <w:bookmarkEnd w:id="82"/>
      <w:bookmarkEnd w:id="83"/>
      <w:bookmarkEnd w:id="84"/>
      <w:bookmarkEnd w:id="85"/>
      <w:bookmarkEnd w:id="86"/>
      <w:bookmarkEnd w:id="87"/>
      <w:bookmarkEnd w:id="88"/>
      <w:bookmarkEnd w:id="89"/>
      <w:bookmarkEnd w:id="90"/>
    </w:p>
    <w:p w14:paraId="19013729">
      <w:pPr>
        <w:pStyle w:val="162"/>
      </w:pPr>
      <w:r>
        <w:rPr>
          <w:rFonts w:hint="eastAsia"/>
        </w:rPr>
        <w:t>人行道应连续、平顺、便捷，并与人行天桥、通道等构成独立完整的人行系统。</w:t>
      </w:r>
    </w:p>
    <w:p w14:paraId="56C04EFF">
      <w:pPr>
        <w:pStyle w:val="162"/>
      </w:pPr>
      <w:r>
        <w:rPr>
          <w:rFonts w:hint="eastAsia"/>
        </w:rPr>
        <w:t>各类设施应统筹考虑，综合协调，适当组合，结合人流密度采取集中布置和均匀布置相结合的设置方式，减少占用公共空间，不得附设与设施功能无关的内容。</w:t>
      </w:r>
    </w:p>
    <w:p w14:paraId="2A20EB2A">
      <w:pPr>
        <w:pStyle w:val="162"/>
      </w:pPr>
      <w:r>
        <w:rPr>
          <w:rFonts w:hint="eastAsia"/>
        </w:rPr>
        <w:t>人行道应保证有足够的宽度，改扩修工程对占用人行道宽度的设施应予以拆除。</w:t>
      </w:r>
    </w:p>
    <w:p w14:paraId="2C26D987">
      <w:pPr>
        <w:pStyle w:val="162"/>
      </w:pPr>
      <w:r>
        <w:rPr>
          <w:rFonts w:hint="eastAsia"/>
        </w:rPr>
        <w:t>人行道应保证有足够的净空高度，净高应不小于2.5m，净空范围内不得设任何障碍物。</w:t>
      </w:r>
    </w:p>
    <w:p w14:paraId="638EE126">
      <w:pPr>
        <w:pStyle w:val="162"/>
      </w:pPr>
      <w:r>
        <w:rPr>
          <w:rFonts w:hint="eastAsia"/>
        </w:rPr>
        <w:t>人行道宜独立设置，与非机动车道共面时应予以区分。</w:t>
      </w:r>
    </w:p>
    <w:p w14:paraId="14D69C51">
      <w:pPr>
        <w:pStyle w:val="162"/>
      </w:pPr>
      <w:r>
        <w:rPr>
          <w:rFonts w:hint="eastAsia"/>
        </w:rPr>
        <w:t>人行道铺面应平整、美观，铺装应与周边环境相协调，图案设计宜突出地方文化，有特殊要求可另行专项设计。</w:t>
      </w:r>
    </w:p>
    <w:p w14:paraId="3022FA37">
      <w:pPr>
        <w:pStyle w:val="162"/>
      </w:pPr>
      <w:r>
        <w:rPr>
          <w:rFonts w:hint="eastAsia"/>
        </w:rPr>
        <w:t>人行道结构应保证有足够的强度和稳定性。</w:t>
      </w:r>
    </w:p>
    <w:p w14:paraId="621DEE6B">
      <w:pPr>
        <w:pStyle w:val="162"/>
      </w:pPr>
      <w:r>
        <w:rPr>
          <w:rFonts w:hint="eastAsia"/>
        </w:rPr>
        <w:t>人行道应设置完善的照明设施，保证足够的照明水平，并考虑多杆合一设置。</w:t>
      </w:r>
    </w:p>
    <w:p w14:paraId="58117630">
      <w:pPr>
        <w:pStyle w:val="162"/>
      </w:pPr>
      <w:r>
        <w:rPr>
          <w:rFonts w:hint="eastAsia"/>
        </w:rPr>
        <w:t>绿化景观的设置应以提升整体环境品质为目标，因地制宜开展设计，行道树树池应加盖树池篦子，并与人行道铺装保持平整。</w:t>
      </w:r>
    </w:p>
    <w:p w14:paraId="57375752">
      <w:pPr>
        <w:pStyle w:val="162"/>
      </w:pPr>
      <w:r>
        <w:rPr>
          <w:rFonts w:hint="eastAsia"/>
        </w:rPr>
        <w:t>附属设施的设置应整洁美观、集约有序、方便使用。</w:t>
      </w:r>
    </w:p>
    <w:p w14:paraId="7CDCE241">
      <w:pPr>
        <w:pStyle w:val="162"/>
      </w:pPr>
      <w:r>
        <w:rPr>
          <w:rFonts w:hint="eastAsia"/>
        </w:rPr>
        <w:t>新建、改扩建有条件时应统筹考虑智慧城市、智能交通的发展需求，预留必要的设施安装位置。</w:t>
      </w:r>
    </w:p>
    <w:p w14:paraId="19B4D0B9">
      <w:pPr>
        <w:pStyle w:val="104"/>
        <w:spacing w:before="312" w:after="312"/>
      </w:pPr>
      <w:bookmarkStart w:id="91" w:name="_Toc177981348"/>
      <w:bookmarkStart w:id="92" w:name="_Toc177647691"/>
      <w:bookmarkStart w:id="93" w:name="_Toc177634222"/>
      <w:bookmarkStart w:id="94" w:name="_Toc177645321"/>
      <w:bookmarkStart w:id="95" w:name="_Toc178324992"/>
      <w:bookmarkStart w:id="96" w:name="_Toc177734853"/>
      <w:bookmarkStart w:id="97" w:name="_Toc177723426"/>
      <w:bookmarkStart w:id="98" w:name="_Toc177627015"/>
      <w:bookmarkStart w:id="99" w:name="_Toc177736917"/>
      <w:r>
        <w:t>宽度</w:t>
      </w:r>
      <w:bookmarkEnd w:id="91"/>
      <w:bookmarkEnd w:id="92"/>
      <w:bookmarkEnd w:id="93"/>
      <w:bookmarkEnd w:id="94"/>
      <w:bookmarkEnd w:id="95"/>
      <w:bookmarkEnd w:id="96"/>
      <w:bookmarkEnd w:id="97"/>
      <w:bookmarkEnd w:id="98"/>
      <w:bookmarkEnd w:id="99"/>
    </w:p>
    <w:p w14:paraId="15435284">
      <w:pPr>
        <w:pStyle w:val="105"/>
        <w:spacing w:before="156" w:after="156"/>
      </w:pPr>
      <w:bookmarkStart w:id="100" w:name="_Toc177723427"/>
      <w:bookmarkStart w:id="101" w:name="_Toc177734854"/>
      <w:bookmarkStart w:id="102" w:name="_Toc177647692"/>
      <w:bookmarkStart w:id="103" w:name="_Toc177645322"/>
      <w:bookmarkStart w:id="104" w:name="_Toc177736918"/>
      <w:bookmarkStart w:id="105" w:name="_Toc177634223"/>
      <w:bookmarkStart w:id="106" w:name="_Toc177981349"/>
      <w:bookmarkStart w:id="107" w:name="_Toc178324993"/>
      <w:r>
        <w:rPr>
          <w:rFonts w:hint="eastAsia"/>
        </w:rPr>
        <w:t>一般规定</w:t>
      </w:r>
      <w:bookmarkEnd w:id="100"/>
      <w:bookmarkEnd w:id="101"/>
      <w:bookmarkEnd w:id="102"/>
      <w:bookmarkEnd w:id="103"/>
      <w:bookmarkEnd w:id="104"/>
      <w:bookmarkEnd w:id="105"/>
      <w:bookmarkEnd w:id="106"/>
      <w:bookmarkEnd w:id="107"/>
    </w:p>
    <w:p w14:paraId="1E97A708">
      <w:pPr>
        <w:pStyle w:val="165"/>
      </w:pPr>
      <w:r>
        <w:rPr>
          <w:rFonts w:hint="eastAsia"/>
        </w:rPr>
        <w:t>沿城市道路布置的人行道，应根据城市不同片区步行功能定位、交通特征、活动特点、人口密度以及自然环境等因素，确定差异化的步行交通网络密度要求。</w:t>
      </w:r>
    </w:p>
    <w:p w14:paraId="2268C61F">
      <w:pPr>
        <w:pStyle w:val="165"/>
      </w:pPr>
      <w:r>
        <w:rPr>
          <w:rFonts w:hint="eastAsia"/>
        </w:rPr>
        <w:t>人行道宽度应根据道路规划红线宽度、道路等级、行人流量、公共设施布设要求，以及沿线建筑规划建设情况等因素综合确定。</w:t>
      </w:r>
    </w:p>
    <w:p w14:paraId="64668CB0">
      <w:pPr>
        <w:pStyle w:val="105"/>
        <w:spacing w:before="156" w:after="156"/>
      </w:pPr>
      <w:bookmarkStart w:id="108" w:name="_Toc177734855"/>
      <w:bookmarkStart w:id="109" w:name="_Toc177645323"/>
      <w:bookmarkStart w:id="110" w:name="_Toc177634224"/>
      <w:bookmarkStart w:id="111" w:name="_Toc177736919"/>
      <w:bookmarkStart w:id="112" w:name="_Toc177647693"/>
      <w:bookmarkStart w:id="113" w:name="_Toc177981350"/>
      <w:bookmarkStart w:id="114" w:name="_Toc177723428"/>
      <w:bookmarkStart w:id="115" w:name="_Toc178324994"/>
      <w:r>
        <w:rPr>
          <w:rFonts w:hint="eastAsia"/>
        </w:rPr>
        <w:t>人行道宽度</w:t>
      </w:r>
      <w:bookmarkEnd w:id="108"/>
      <w:bookmarkEnd w:id="109"/>
      <w:bookmarkEnd w:id="110"/>
      <w:bookmarkEnd w:id="111"/>
      <w:bookmarkEnd w:id="112"/>
      <w:bookmarkEnd w:id="113"/>
      <w:bookmarkEnd w:id="114"/>
      <w:bookmarkEnd w:id="115"/>
    </w:p>
    <w:p w14:paraId="2980E325">
      <w:pPr>
        <w:pStyle w:val="165"/>
      </w:pPr>
      <w:r>
        <w:rPr>
          <w:rFonts w:hint="eastAsia"/>
        </w:rPr>
        <w:t>人行道宽度（Wp）应按单条行人通行道的整倍数计算，并由公式（1）和表</w:t>
      </w:r>
      <w:r>
        <w:t>1</w:t>
      </w:r>
      <w:r>
        <w:rPr>
          <w:rFonts w:hint="eastAsia"/>
        </w:rPr>
        <w:t>根据高峰小时设计行人流量和通行能力综合确定。</w:t>
      </w:r>
    </w:p>
    <w:p w14:paraId="3EB8A0A1">
      <w:pPr>
        <w:pStyle w:val="56"/>
        <w:ind w:firstLine="1890" w:firstLineChars="900"/>
        <w:jc w:val="center"/>
      </w:pPr>
      <w:r>
        <w:t xml:space="preserve">                  Wp= </w:t>
      </w:r>
      <w:r>
        <w:rPr>
          <w:rFonts w:ascii="Cambria" w:hAnsi="Cambria" w:cs="Cambria"/>
        </w:rPr>
        <w:t>⌈</w:t>
      </w:r>
      <w:r>
        <w:t xml:space="preserve"> Nw/Nwl </w:t>
      </w:r>
      <w:r>
        <w:rPr>
          <w:rFonts w:ascii="Cambria" w:hAnsi="Cambria" w:cs="Cambria"/>
        </w:rPr>
        <w:t>⌉</w:t>
      </w:r>
      <w:r>
        <w:rPr>
          <w:rFonts w:ascii="Calibri" w:hAnsi="Calibri" w:cs="Calibri"/>
        </w:rPr>
        <w:t>×</w:t>
      </w:r>
      <w:r>
        <w:t xml:space="preserve">Wl           </w:t>
      </w:r>
      <w:r>
        <w:rPr>
          <w:rFonts w:hint="eastAsia" w:hAnsi="宋体"/>
        </w:rPr>
        <w:t>…………………………</w:t>
      </w:r>
      <w:r>
        <w:rPr>
          <w:rFonts w:hint="eastAsia"/>
        </w:rPr>
        <w:t>（</w:t>
      </w:r>
      <w:r>
        <w:t>1</w:t>
      </w:r>
      <w:r>
        <w:rPr>
          <w:rFonts w:hint="eastAsia"/>
        </w:rPr>
        <w:t>）</w:t>
      </w:r>
    </w:p>
    <w:p w14:paraId="33405145">
      <w:pPr>
        <w:pStyle w:val="56"/>
        <w:ind w:firstLine="420"/>
      </w:pPr>
      <w:r>
        <w:rPr>
          <w:rFonts w:hint="eastAsia"/>
        </w:rPr>
        <w:t>式中∶</w:t>
      </w:r>
      <w:r>
        <w:t>Wp---</w:t>
      </w:r>
      <w:r>
        <w:rPr>
          <w:rFonts w:hint="eastAsia"/>
        </w:rPr>
        <w:t>人行道宽度（</w:t>
      </w:r>
      <w:r>
        <w:t>m</w:t>
      </w:r>
      <w:r>
        <w:rPr>
          <w:rFonts w:hint="eastAsia"/>
        </w:rPr>
        <w:t>）；</w:t>
      </w:r>
      <w:r>
        <w:rPr>
          <w:rFonts w:ascii="MS Gothic" w:hAnsi="MS Gothic" w:cs="MS Gothic"/>
        </w:rPr>
        <w:t> </w:t>
      </w:r>
    </w:p>
    <w:p w14:paraId="6DE7F011">
      <w:pPr>
        <w:pStyle w:val="56"/>
        <w:ind w:firstLine="420"/>
      </w:pPr>
      <w:r>
        <w:rPr>
          <w:rFonts w:hint="eastAsia"/>
        </w:rPr>
        <w:t>Nw---人行道高峰小时行人流量（p/h）；</w:t>
      </w:r>
    </w:p>
    <w:p w14:paraId="4F034D45">
      <w:pPr>
        <w:pStyle w:val="56"/>
        <w:ind w:firstLine="420"/>
      </w:pPr>
      <w:r>
        <w:rPr>
          <w:rFonts w:hint="eastAsia"/>
        </w:rPr>
        <w:t>Nwl---单条行人通行道的设计通行能力 （p/h）；</w:t>
      </w:r>
    </w:p>
    <w:p w14:paraId="523707AF">
      <w:pPr>
        <w:pStyle w:val="56"/>
        <w:ind w:firstLine="420"/>
      </w:pPr>
      <w:r>
        <w:rPr>
          <w:rFonts w:hint="eastAsia"/>
        </w:rPr>
        <w:t>Wl ---单条行人通行道的宽度（m）。</w:t>
      </w:r>
    </w:p>
    <w:p w14:paraId="7C3FE0A9">
      <w:pPr>
        <w:pStyle w:val="179"/>
      </w:pPr>
      <w:r>
        <w:rPr>
          <w:rFonts w:hint="eastAsia"/>
        </w:rPr>
        <w:t>式中“</w:t>
      </w:r>
      <w:r>
        <w:rPr>
          <w:rFonts w:ascii="Cambria" w:hAnsi="Cambria" w:cs="Cambria"/>
        </w:rPr>
        <w:t>⌈</w:t>
      </w:r>
      <w:r>
        <w:t xml:space="preserve"> </w:t>
      </w:r>
      <w:r>
        <w:rPr>
          <w:rFonts w:ascii="Cambria" w:hAnsi="Cambria" w:cs="Cambria"/>
        </w:rPr>
        <w:t>⌉</w:t>
      </w:r>
      <w:r>
        <w:rPr>
          <w:rFonts w:ascii="Calibri" w:hAnsi="Calibri" w:cs="Calibri"/>
        </w:rPr>
        <w:t>”</w:t>
      </w:r>
      <w:r>
        <w:rPr>
          <w:rFonts w:hint="eastAsia"/>
        </w:rPr>
        <w:t>符号位向上取整的含义。</w:t>
      </w:r>
    </w:p>
    <w:p w14:paraId="1767E093">
      <w:pPr>
        <w:pStyle w:val="112"/>
        <w:spacing w:before="156" w:after="156"/>
      </w:pPr>
      <w:r>
        <w:rPr>
          <w:rFonts w:hint="eastAsia"/>
        </w:rPr>
        <w:t>单条行人通行道的宽度和设计通行能力</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114"/>
        <w:gridCol w:w="3115"/>
        <w:gridCol w:w="3115"/>
      </w:tblGrid>
      <w:tr w14:paraId="2B4D6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114" w:type="dxa"/>
            <w:tcBorders>
              <w:top w:val="single" w:color="auto" w:sz="8" w:space="0"/>
              <w:bottom w:val="single" w:color="auto" w:sz="8" w:space="0"/>
            </w:tcBorders>
            <w:shd w:val="clear" w:color="auto" w:fill="auto"/>
            <w:vAlign w:val="center"/>
          </w:tcPr>
          <w:p w14:paraId="78590EF2">
            <w:pPr>
              <w:pStyle w:val="178"/>
            </w:pPr>
            <w:r>
              <w:rPr>
                <w:rFonts w:hint="eastAsia"/>
              </w:rPr>
              <w:t>所在地点</w:t>
            </w:r>
          </w:p>
        </w:tc>
        <w:tc>
          <w:tcPr>
            <w:tcW w:w="3115" w:type="dxa"/>
            <w:tcBorders>
              <w:top w:val="single" w:color="auto" w:sz="8" w:space="0"/>
              <w:bottom w:val="single" w:color="auto" w:sz="8" w:space="0"/>
            </w:tcBorders>
            <w:shd w:val="clear" w:color="auto" w:fill="auto"/>
            <w:vAlign w:val="center"/>
          </w:tcPr>
          <w:p w14:paraId="5FF8052D">
            <w:pPr>
              <w:pStyle w:val="178"/>
            </w:pPr>
            <w:r>
              <w:rPr>
                <w:rFonts w:hint="eastAsia"/>
              </w:rPr>
              <w:t>宽度（m）</w:t>
            </w:r>
          </w:p>
        </w:tc>
        <w:tc>
          <w:tcPr>
            <w:tcW w:w="3115" w:type="dxa"/>
            <w:tcBorders>
              <w:top w:val="single" w:color="auto" w:sz="8" w:space="0"/>
              <w:bottom w:val="single" w:color="auto" w:sz="8" w:space="0"/>
            </w:tcBorders>
            <w:shd w:val="clear" w:color="auto" w:fill="auto"/>
            <w:vAlign w:val="center"/>
          </w:tcPr>
          <w:p w14:paraId="5E5ABCC2">
            <w:pPr>
              <w:pStyle w:val="178"/>
            </w:pPr>
            <w:r>
              <w:rPr>
                <w:rFonts w:hint="eastAsia"/>
              </w:rPr>
              <w:t>设计通行能力（p/h）</w:t>
            </w:r>
          </w:p>
        </w:tc>
      </w:tr>
      <w:tr w14:paraId="38048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tcBorders>
              <w:top w:val="single" w:color="auto" w:sz="8" w:space="0"/>
            </w:tcBorders>
            <w:shd w:val="clear" w:color="auto" w:fill="auto"/>
            <w:vAlign w:val="center"/>
          </w:tcPr>
          <w:p w14:paraId="284DA88D">
            <w:pPr>
              <w:pStyle w:val="178"/>
            </w:pPr>
            <w:r>
              <w:rPr>
                <w:rFonts w:hint="eastAsia"/>
              </w:rPr>
              <w:t>城市道路上</w:t>
            </w:r>
          </w:p>
        </w:tc>
        <w:tc>
          <w:tcPr>
            <w:tcW w:w="3115" w:type="dxa"/>
            <w:tcBorders>
              <w:top w:val="single" w:color="auto" w:sz="8" w:space="0"/>
            </w:tcBorders>
            <w:shd w:val="clear" w:color="auto" w:fill="auto"/>
            <w:vAlign w:val="center"/>
          </w:tcPr>
          <w:p w14:paraId="47CBE42B">
            <w:pPr>
              <w:pStyle w:val="178"/>
            </w:pPr>
            <w:r>
              <w:rPr>
                <w:rFonts w:hint="eastAsia"/>
              </w:rPr>
              <w:t>0</w:t>
            </w:r>
            <w:r>
              <w:t>.75</w:t>
            </w:r>
          </w:p>
        </w:tc>
        <w:tc>
          <w:tcPr>
            <w:tcW w:w="3115" w:type="dxa"/>
            <w:tcBorders>
              <w:top w:val="single" w:color="auto" w:sz="8" w:space="0"/>
            </w:tcBorders>
            <w:shd w:val="clear" w:color="auto" w:fill="auto"/>
            <w:vAlign w:val="center"/>
          </w:tcPr>
          <w:p w14:paraId="26FE63AC">
            <w:pPr>
              <w:pStyle w:val="178"/>
            </w:pPr>
            <w:r>
              <w:rPr>
                <w:rFonts w:hint="eastAsia"/>
              </w:rPr>
              <w:t>1</w:t>
            </w:r>
            <w:r>
              <w:t>800</w:t>
            </w:r>
          </w:p>
        </w:tc>
      </w:tr>
      <w:tr w14:paraId="17175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tcBorders>
              <w:bottom w:val="single" w:color="auto" w:sz="8" w:space="0"/>
            </w:tcBorders>
            <w:shd w:val="clear" w:color="auto" w:fill="auto"/>
            <w:vAlign w:val="center"/>
          </w:tcPr>
          <w:p w14:paraId="15E23A89">
            <w:pPr>
              <w:pStyle w:val="178"/>
            </w:pPr>
            <w:r>
              <w:rPr>
                <w:rFonts w:hint="eastAsia"/>
              </w:rPr>
              <w:t>车站码头、人行天桥和地道处</w:t>
            </w:r>
          </w:p>
        </w:tc>
        <w:tc>
          <w:tcPr>
            <w:tcW w:w="3115" w:type="dxa"/>
            <w:tcBorders>
              <w:bottom w:val="single" w:color="auto" w:sz="8" w:space="0"/>
            </w:tcBorders>
            <w:shd w:val="clear" w:color="auto" w:fill="auto"/>
            <w:vAlign w:val="center"/>
          </w:tcPr>
          <w:p w14:paraId="4B838F93">
            <w:pPr>
              <w:pStyle w:val="178"/>
            </w:pPr>
            <w:r>
              <w:rPr>
                <w:rFonts w:hint="eastAsia"/>
              </w:rPr>
              <w:t>0</w:t>
            </w:r>
            <w:r>
              <w:t>.90</w:t>
            </w:r>
          </w:p>
        </w:tc>
        <w:tc>
          <w:tcPr>
            <w:tcW w:w="3115" w:type="dxa"/>
            <w:tcBorders>
              <w:bottom w:val="single" w:color="auto" w:sz="8" w:space="0"/>
            </w:tcBorders>
            <w:shd w:val="clear" w:color="auto" w:fill="auto"/>
            <w:vAlign w:val="center"/>
          </w:tcPr>
          <w:p w14:paraId="0EAC838C">
            <w:pPr>
              <w:pStyle w:val="178"/>
            </w:pPr>
            <w:r>
              <w:rPr>
                <w:rFonts w:hint="eastAsia"/>
              </w:rPr>
              <w:t>1</w:t>
            </w:r>
            <w:r>
              <w:t>400</w:t>
            </w:r>
          </w:p>
        </w:tc>
      </w:tr>
    </w:tbl>
    <w:p w14:paraId="598C0F14">
      <w:pPr>
        <w:pStyle w:val="165"/>
      </w:pPr>
      <w:r>
        <w:rPr>
          <w:rFonts w:hint="eastAsia"/>
        </w:rPr>
        <w:t>人行道宽度应符合表</w:t>
      </w:r>
      <w:r>
        <w:t>2</w:t>
      </w:r>
      <w:r>
        <w:rPr>
          <w:rFonts w:hint="eastAsia"/>
        </w:rPr>
        <w:t>的规定。</w:t>
      </w:r>
    </w:p>
    <w:p w14:paraId="10A0F7AA">
      <w:pPr>
        <w:pStyle w:val="112"/>
        <w:spacing w:before="156" w:after="156"/>
      </w:pPr>
      <w:r>
        <w:rPr>
          <w:rFonts w:hint="eastAsia"/>
        </w:rPr>
        <w:t>城市人行道的最小宽度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645"/>
        <w:gridCol w:w="709"/>
        <w:gridCol w:w="980"/>
      </w:tblGrid>
      <w:tr w14:paraId="16902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645" w:type="dxa"/>
            <w:vMerge w:val="restart"/>
            <w:tcBorders>
              <w:top w:val="single" w:color="auto" w:sz="8" w:space="0"/>
            </w:tcBorders>
            <w:shd w:val="clear" w:color="auto" w:fill="auto"/>
            <w:vAlign w:val="center"/>
          </w:tcPr>
          <w:p w14:paraId="08E962B7">
            <w:pPr>
              <w:pStyle w:val="178"/>
            </w:pPr>
            <w:r>
              <w:rPr>
                <w:rFonts w:hint="eastAsia"/>
              </w:rPr>
              <w:t>项目</w:t>
            </w:r>
          </w:p>
        </w:tc>
        <w:tc>
          <w:tcPr>
            <w:tcW w:w="1689" w:type="dxa"/>
            <w:gridSpan w:val="2"/>
            <w:tcBorders>
              <w:top w:val="single" w:color="auto" w:sz="8" w:space="0"/>
              <w:bottom w:val="single" w:color="auto" w:sz="8" w:space="0"/>
            </w:tcBorders>
            <w:shd w:val="clear" w:color="auto" w:fill="auto"/>
            <w:vAlign w:val="center"/>
          </w:tcPr>
          <w:p w14:paraId="7D4987E3">
            <w:pPr>
              <w:pStyle w:val="178"/>
            </w:pPr>
            <w:r>
              <w:rPr>
                <w:rFonts w:hint="eastAsia"/>
              </w:rPr>
              <w:t>人行道最小宽度（m）</w:t>
            </w:r>
          </w:p>
        </w:tc>
      </w:tr>
      <w:tr w14:paraId="4512A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645" w:type="dxa"/>
            <w:vMerge w:val="continue"/>
            <w:shd w:val="clear" w:color="auto" w:fill="auto"/>
            <w:vAlign w:val="center"/>
          </w:tcPr>
          <w:p w14:paraId="4E6A36AC">
            <w:pPr>
              <w:pStyle w:val="178"/>
            </w:pPr>
          </w:p>
        </w:tc>
        <w:tc>
          <w:tcPr>
            <w:tcW w:w="709" w:type="dxa"/>
            <w:tcBorders>
              <w:top w:val="single" w:color="auto" w:sz="8" w:space="0"/>
            </w:tcBorders>
            <w:shd w:val="clear" w:color="auto" w:fill="auto"/>
            <w:vAlign w:val="center"/>
          </w:tcPr>
          <w:p w14:paraId="50C40E85">
            <w:pPr>
              <w:pStyle w:val="178"/>
            </w:pPr>
            <w:r>
              <w:rPr>
                <w:rFonts w:hint="eastAsia"/>
              </w:rPr>
              <w:t>一般值</w:t>
            </w:r>
          </w:p>
        </w:tc>
        <w:tc>
          <w:tcPr>
            <w:tcW w:w="980" w:type="dxa"/>
            <w:tcBorders>
              <w:top w:val="single" w:color="auto" w:sz="8" w:space="0"/>
            </w:tcBorders>
            <w:shd w:val="clear" w:color="auto" w:fill="auto"/>
            <w:vAlign w:val="center"/>
          </w:tcPr>
          <w:p w14:paraId="11DECDF5">
            <w:pPr>
              <w:pStyle w:val="178"/>
            </w:pPr>
            <w:r>
              <w:rPr>
                <w:rFonts w:hint="eastAsia"/>
              </w:rPr>
              <w:t>最小值</w:t>
            </w:r>
          </w:p>
        </w:tc>
      </w:tr>
      <w:tr w14:paraId="5F57B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645" w:type="dxa"/>
            <w:tcBorders>
              <w:bottom w:val="single" w:color="auto" w:sz="4" w:space="0"/>
            </w:tcBorders>
            <w:shd w:val="clear" w:color="auto" w:fill="auto"/>
            <w:vAlign w:val="center"/>
          </w:tcPr>
          <w:p w14:paraId="4173A8EF">
            <w:pPr>
              <w:pStyle w:val="178"/>
            </w:pPr>
            <w:r>
              <w:rPr>
                <w:rFonts w:hint="eastAsia"/>
              </w:rPr>
              <w:t>步I级：人流量大，街道界面友好，是步行网络的主要组成部分。主要分布在城市中心区和功能区，中型及以上公共设施、轨道车站、交通枢纽周边，人员活动聚集区等地区。</w:t>
            </w:r>
          </w:p>
        </w:tc>
        <w:tc>
          <w:tcPr>
            <w:tcW w:w="709" w:type="dxa"/>
            <w:tcBorders>
              <w:bottom w:val="single" w:color="auto" w:sz="4" w:space="0"/>
            </w:tcBorders>
            <w:shd w:val="clear" w:color="auto" w:fill="auto"/>
            <w:vAlign w:val="center"/>
          </w:tcPr>
          <w:p w14:paraId="27BBC7B2">
            <w:pPr>
              <w:pStyle w:val="178"/>
            </w:pPr>
            <w:r>
              <w:rPr>
                <w:rFonts w:hint="eastAsia"/>
              </w:rPr>
              <w:t>4</w:t>
            </w:r>
            <w:r>
              <w:t>.0</w:t>
            </w:r>
          </w:p>
        </w:tc>
        <w:tc>
          <w:tcPr>
            <w:tcW w:w="980" w:type="dxa"/>
            <w:tcBorders>
              <w:bottom w:val="single" w:color="auto" w:sz="4" w:space="0"/>
            </w:tcBorders>
            <w:shd w:val="clear" w:color="auto" w:fill="auto"/>
            <w:vAlign w:val="center"/>
          </w:tcPr>
          <w:p w14:paraId="5FEB43B1">
            <w:pPr>
              <w:pStyle w:val="178"/>
            </w:pPr>
            <w:r>
              <w:rPr>
                <w:rFonts w:hint="eastAsia"/>
              </w:rPr>
              <w:t>3</w:t>
            </w:r>
            <w:r>
              <w:t>.0</w:t>
            </w:r>
          </w:p>
        </w:tc>
      </w:tr>
    </w:tbl>
    <w:p w14:paraId="7EA2DFE7">
      <w:r>
        <w:br w:type="page"/>
      </w:r>
    </w:p>
    <w:p w14:paraId="189E40B9">
      <w:pPr>
        <w:pStyle w:val="56"/>
        <w:pageBreakBefore/>
        <w:spacing w:before="156" w:beforeLines="50" w:after="156" w:afterLines="50"/>
        <w:ind w:firstLine="0" w:firstLineChars="0"/>
        <w:jc w:val="center"/>
        <w:rPr>
          <w:rFonts w:hint="eastAsia" w:hAnsi="宋体"/>
        </w:rPr>
      </w:pPr>
      <w:r>
        <w:rPr>
          <w:rFonts w:hint="eastAsia" w:ascii="黑体" w:hAnsi="黑体" w:eastAsia="黑体"/>
        </w:rPr>
        <w:t>表2  城市人行道的最小宽度</w:t>
      </w:r>
      <w:r>
        <w:rPr>
          <w:rFonts w:hint="eastAsia" w:hAnsi="宋体"/>
        </w:rPr>
        <w:t>（续）</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34"/>
        <w:gridCol w:w="5311"/>
        <w:gridCol w:w="709"/>
        <w:gridCol w:w="980"/>
      </w:tblGrid>
      <w:tr w14:paraId="72C82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7645" w:type="dxa"/>
            <w:gridSpan w:val="2"/>
            <w:vMerge w:val="restart"/>
            <w:tcBorders>
              <w:top w:val="single" w:color="auto" w:sz="8" w:space="0"/>
            </w:tcBorders>
            <w:shd w:val="clear" w:color="auto" w:fill="auto"/>
            <w:vAlign w:val="center"/>
          </w:tcPr>
          <w:p w14:paraId="361E8B71">
            <w:pPr>
              <w:pStyle w:val="178"/>
            </w:pPr>
            <w:r>
              <w:rPr>
                <w:rFonts w:hint="eastAsia"/>
              </w:rPr>
              <w:t>项目</w:t>
            </w:r>
          </w:p>
        </w:tc>
        <w:tc>
          <w:tcPr>
            <w:tcW w:w="1689" w:type="dxa"/>
            <w:gridSpan w:val="2"/>
            <w:tcBorders>
              <w:top w:val="single" w:color="auto" w:sz="8" w:space="0"/>
              <w:bottom w:val="single" w:color="auto" w:sz="8" w:space="0"/>
            </w:tcBorders>
            <w:shd w:val="clear" w:color="auto" w:fill="auto"/>
            <w:vAlign w:val="center"/>
          </w:tcPr>
          <w:p w14:paraId="3BE85232">
            <w:pPr>
              <w:pStyle w:val="178"/>
            </w:pPr>
            <w:r>
              <w:rPr>
                <w:rFonts w:hint="eastAsia"/>
              </w:rPr>
              <w:t>人行道最小宽度（m）</w:t>
            </w:r>
          </w:p>
        </w:tc>
      </w:tr>
      <w:tr w14:paraId="173B5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645" w:type="dxa"/>
            <w:gridSpan w:val="2"/>
            <w:vMerge w:val="continue"/>
            <w:shd w:val="clear" w:color="auto" w:fill="auto"/>
            <w:vAlign w:val="center"/>
          </w:tcPr>
          <w:p w14:paraId="4CADED69">
            <w:pPr>
              <w:pStyle w:val="178"/>
            </w:pPr>
          </w:p>
        </w:tc>
        <w:tc>
          <w:tcPr>
            <w:tcW w:w="709" w:type="dxa"/>
            <w:tcBorders>
              <w:top w:val="single" w:color="auto" w:sz="8" w:space="0"/>
            </w:tcBorders>
            <w:shd w:val="clear" w:color="auto" w:fill="auto"/>
            <w:vAlign w:val="center"/>
          </w:tcPr>
          <w:p w14:paraId="5307FB33">
            <w:pPr>
              <w:pStyle w:val="178"/>
            </w:pPr>
            <w:r>
              <w:rPr>
                <w:rFonts w:hint="eastAsia"/>
              </w:rPr>
              <w:t>一般值</w:t>
            </w:r>
          </w:p>
        </w:tc>
        <w:tc>
          <w:tcPr>
            <w:tcW w:w="980" w:type="dxa"/>
            <w:tcBorders>
              <w:top w:val="single" w:color="auto" w:sz="8" w:space="0"/>
            </w:tcBorders>
            <w:shd w:val="clear" w:color="auto" w:fill="auto"/>
            <w:vAlign w:val="center"/>
          </w:tcPr>
          <w:p w14:paraId="75CD6F91">
            <w:pPr>
              <w:pStyle w:val="178"/>
            </w:pPr>
            <w:r>
              <w:rPr>
                <w:rFonts w:hint="eastAsia"/>
              </w:rPr>
              <w:t>最小值</w:t>
            </w:r>
          </w:p>
        </w:tc>
      </w:tr>
      <w:tr w14:paraId="7FF1D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645" w:type="dxa"/>
            <w:gridSpan w:val="2"/>
            <w:tcBorders>
              <w:top w:val="single" w:color="auto" w:sz="4" w:space="0"/>
              <w:bottom w:val="single" w:color="auto" w:sz="4" w:space="0"/>
            </w:tcBorders>
            <w:shd w:val="clear" w:color="auto" w:fill="auto"/>
            <w:vAlign w:val="center"/>
          </w:tcPr>
          <w:p w14:paraId="1BA05402">
            <w:pPr>
              <w:pStyle w:val="178"/>
            </w:pPr>
            <w:r>
              <w:rPr>
                <w:rFonts w:hint="eastAsia"/>
              </w:rPr>
              <w:t>步II级：人流量较大，街道界面较为友好，是步行网络的主要组成部分。主要分布在城市副中心、中等规模公共设施周边、城市一般功能区（如一般性商业区、政务区、大型居住区）等地区。</w:t>
            </w:r>
          </w:p>
        </w:tc>
        <w:tc>
          <w:tcPr>
            <w:tcW w:w="709" w:type="dxa"/>
            <w:tcBorders>
              <w:top w:val="single" w:color="auto" w:sz="4" w:space="0"/>
              <w:bottom w:val="single" w:color="auto" w:sz="4" w:space="0"/>
            </w:tcBorders>
            <w:shd w:val="clear" w:color="auto" w:fill="auto"/>
            <w:vAlign w:val="center"/>
          </w:tcPr>
          <w:p w14:paraId="4DF2C03B">
            <w:pPr>
              <w:pStyle w:val="178"/>
            </w:pPr>
            <w:r>
              <w:rPr>
                <w:rFonts w:hint="eastAsia"/>
              </w:rPr>
              <w:t>3</w:t>
            </w:r>
            <w:r>
              <w:t>.0</w:t>
            </w:r>
          </w:p>
        </w:tc>
        <w:tc>
          <w:tcPr>
            <w:tcW w:w="980" w:type="dxa"/>
            <w:tcBorders>
              <w:top w:val="single" w:color="auto" w:sz="4" w:space="0"/>
              <w:bottom w:val="single" w:color="auto" w:sz="4" w:space="0"/>
            </w:tcBorders>
            <w:shd w:val="clear" w:color="auto" w:fill="auto"/>
            <w:vAlign w:val="center"/>
          </w:tcPr>
          <w:p w14:paraId="41968A5F">
            <w:pPr>
              <w:pStyle w:val="178"/>
            </w:pPr>
            <w:r>
              <w:rPr>
                <w:rFonts w:hint="eastAsia"/>
              </w:rPr>
              <w:t>2</w:t>
            </w:r>
            <w:r>
              <w:t>.0</w:t>
            </w:r>
          </w:p>
        </w:tc>
      </w:tr>
      <w:tr w14:paraId="04488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645" w:type="dxa"/>
            <w:gridSpan w:val="2"/>
            <w:tcBorders>
              <w:top w:val="single" w:color="auto" w:sz="4" w:space="0"/>
            </w:tcBorders>
            <w:shd w:val="clear" w:color="auto" w:fill="auto"/>
            <w:vAlign w:val="center"/>
          </w:tcPr>
          <w:p w14:paraId="7622F528">
            <w:pPr>
              <w:pStyle w:val="178"/>
              <w:rPr>
                <w:color w:val="FF0000"/>
              </w:rPr>
            </w:pPr>
            <w:r>
              <w:rPr>
                <w:rFonts w:hint="eastAsia"/>
              </w:rPr>
              <w:t>步Ⅲ级：以步行直接通过为主，街道界面活跃度较低，人流量较小，是步行网络的延伸与补充。适用于人流量较少的山区、滨水地段以及条件严格受限的地段。</w:t>
            </w:r>
          </w:p>
        </w:tc>
        <w:tc>
          <w:tcPr>
            <w:tcW w:w="709" w:type="dxa"/>
            <w:tcBorders>
              <w:top w:val="single" w:color="auto" w:sz="4" w:space="0"/>
            </w:tcBorders>
            <w:shd w:val="clear" w:color="auto" w:fill="auto"/>
            <w:vAlign w:val="center"/>
          </w:tcPr>
          <w:p w14:paraId="51B06D1F">
            <w:pPr>
              <w:pStyle w:val="178"/>
            </w:pPr>
            <w:r>
              <w:rPr>
                <w:rFonts w:hint="eastAsia"/>
              </w:rPr>
              <w:t>2</w:t>
            </w:r>
            <w:r>
              <w:t>.0</w:t>
            </w:r>
          </w:p>
        </w:tc>
        <w:tc>
          <w:tcPr>
            <w:tcW w:w="980" w:type="dxa"/>
            <w:tcBorders>
              <w:top w:val="single" w:color="auto" w:sz="4" w:space="0"/>
            </w:tcBorders>
            <w:shd w:val="clear" w:color="auto" w:fill="auto"/>
            <w:vAlign w:val="center"/>
          </w:tcPr>
          <w:p w14:paraId="1C574940">
            <w:pPr>
              <w:pStyle w:val="178"/>
            </w:pPr>
            <w:r>
              <w:rPr>
                <w:rFonts w:hint="eastAsia"/>
              </w:rPr>
              <w:t>1</w:t>
            </w:r>
            <w:r>
              <w:t>.5</w:t>
            </w:r>
          </w:p>
        </w:tc>
      </w:tr>
      <w:tr w14:paraId="309EF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Merge w:val="restart"/>
            <w:shd w:val="clear" w:color="auto" w:fill="auto"/>
            <w:vAlign w:val="center"/>
          </w:tcPr>
          <w:p w14:paraId="1353EB82">
            <w:pPr>
              <w:pStyle w:val="178"/>
            </w:pPr>
            <w:r>
              <w:rPr>
                <w:rFonts w:hint="eastAsia"/>
              </w:rPr>
              <w:t>特殊路段</w:t>
            </w:r>
          </w:p>
        </w:tc>
        <w:tc>
          <w:tcPr>
            <w:tcW w:w="5311" w:type="dxa"/>
            <w:shd w:val="clear" w:color="auto" w:fill="auto"/>
            <w:vAlign w:val="center"/>
          </w:tcPr>
          <w:p w14:paraId="221421F5">
            <w:pPr>
              <w:pStyle w:val="178"/>
            </w:pPr>
            <w:r>
              <w:rPr>
                <w:rFonts w:hint="eastAsia"/>
              </w:rPr>
              <w:t>商场、医院、学校等公共场所集中路段</w:t>
            </w:r>
          </w:p>
        </w:tc>
        <w:tc>
          <w:tcPr>
            <w:tcW w:w="709" w:type="dxa"/>
            <w:shd w:val="clear" w:color="auto" w:fill="auto"/>
            <w:vAlign w:val="center"/>
          </w:tcPr>
          <w:p w14:paraId="580AC557">
            <w:pPr>
              <w:pStyle w:val="178"/>
            </w:pPr>
            <w:r>
              <w:t>5.0</w:t>
            </w:r>
          </w:p>
        </w:tc>
        <w:tc>
          <w:tcPr>
            <w:tcW w:w="980" w:type="dxa"/>
            <w:shd w:val="clear" w:color="auto" w:fill="auto"/>
            <w:vAlign w:val="center"/>
          </w:tcPr>
          <w:p w14:paraId="71C67B1B">
            <w:pPr>
              <w:pStyle w:val="178"/>
            </w:pPr>
            <w:r>
              <w:rPr>
                <w:rFonts w:hint="eastAsia"/>
              </w:rPr>
              <w:t>4</w:t>
            </w:r>
            <w:r>
              <w:t>.0</w:t>
            </w:r>
          </w:p>
        </w:tc>
      </w:tr>
      <w:tr w14:paraId="01291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Merge w:val="continue"/>
            <w:shd w:val="clear" w:color="auto" w:fill="auto"/>
            <w:vAlign w:val="center"/>
          </w:tcPr>
          <w:p w14:paraId="37FB71DA">
            <w:pPr>
              <w:pStyle w:val="178"/>
            </w:pPr>
          </w:p>
        </w:tc>
        <w:tc>
          <w:tcPr>
            <w:tcW w:w="5311" w:type="dxa"/>
            <w:shd w:val="clear" w:color="auto" w:fill="auto"/>
            <w:vAlign w:val="center"/>
          </w:tcPr>
          <w:p w14:paraId="661E7C20">
            <w:pPr>
              <w:pStyle w:val="178"/>
            </w:pPr>
            <w:r>
              <w:rPr>
                <w:rFonts w:hint="eastAsia"/>
              </w:rPr>
              <w:t>火车站、码头所在路段</w:t>
            </w:r>
          </w:p>
        </w:tc>
        <w:tc>
          <w:tcPr>
            <w:tcW w:w="709" w:type="dxa"/>
            <w:shd w:val="clear" w:color="auto" w:fill="auto"/>
            <w:vAlign w:val="center"/>
          </w:tcPr>
          <w:p w14:paraId="035E975F">
            <w:pPr>
              <w:pStyle w:val="178"/>
            </w:pPr>
            <w:r>
              <w:rPr>
                <w:rFonts w:hint="eastAsia"/>
              </w:rPr>
              <w:t>5</w:t>
            </w:r>
            <w:r>
              <w:t>.0</w:t>
            </w:r>
          </w:p>
        </w:tc>
        <w:tc>
          <w:tcPr>
            <w:tcW w:w="980" w:type="dxa"/>
            <w:shd w:val="clear" w:color="auto" w:fill="auto"/>
            <w:vAlign w:val="center"/>
          </w:tcPr>
          <w:p w14:paraId="76A0113C">
            <w:pPr>
              <w:pStyle w:val="178"/>
            </w:pPr>
            <w:r>
              <w:rPr>
                <w:rFonts w:hint="eastAsia"/>
              </w:rPr>
              <w:t>4</w:t>
            </w:r>
            <w:r>
              <w:t>.0</w:t>
            </w:r>
          </w:p>
        </w:tc>
      </w:tr>
      <w:tr w14:paraId="78ACC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Merge w:val="continue"/>
            <w:tcBorders>
              <w:bottom w:val="single" w:color="auto" w:sz="8" w:space="0"/>
            </w:tcBorders>
            <w:shd w:val="clear" w:color="auto" w:fill="auto"/>
            <w:vAlign w:val="center"/>
          </w:tcPr>
          <w:p w14:paraId="7A281298">
            <w:pPr>
              <w:pStyle w:val="178"/>
            </w:pPr>
          </w:p>
        </w:tc>
        <w:tc>
          <w:tcPr>
            <w:tcW w:w="5311" w:type="dxa"/>
            <w:tcBorders>
              <w:bottom w:val="single" w:color="auto" w:sz="8" w:space="0"/>
            </w:tcBorders>
            <w:shd w:val="clear" w:color="auto" w:fill="auto"/>
            <w:vAlign w:val="center"/>
          </w:tcPr>
          <w:p w14:paraId="519A8AC2">
            <w:pPr>
              <w:pStyle w:val="178"/>
            </w:pPr>
            <w:r>
              <w:rPr>
                <w:rFonts w:hint="eastAsia"/>
              </w:rPr>
              <w:t>轨道车站出入口、长途汽车站、快速公交车站所在路段</w:t>
            </w:r>
          </w:p>
        </w:tc>
        <w:tc>
          <w:tcPr>
            <w:tcW w:w="709" w:type="dxa"/>
            <w:tcBorders>
              <w:bottom w:val="single" w:color="auto" w:sz="8" w:space="0"/>
            </w:tcBorders>
            <w:shd w:val="clear" w:color="auto" w:fill="auto"/>
            <w:vAlign w:val="center"/>
          </w:tcPr>
          <w:p w14:paraId="19E212D3">
            <w:pPr>
              <w:pStyle w:val="178"/>
            </w:pPr>
            <w:r>
              <w:rPr>
                <w:rFonts w:hint="eastAsia"/>
              </w:rPr>
              <w:t>4</w:t>
            </w:r>
            <w:r>
              <w:t>.0</w:t>
            </w:r>
          </w:p>
        </w:tc>
        <w:tc>
          <w:tcPr>
            <w:tcW w:w="980" w:type="dxa"/>
            <w:tcBorders>
              <w:bottom w:val="single" w:color="auto" w:sz="8" w:space="0"/>
            </w:tcBorders>
            <w:shd w:val="clear" w:color="auto" w:fill="auto"/>
            <w:vAlign w:val="center"/>
          </w:tcPr>
          <w:p w14:paraId="46E397D5">
            <w:pPr>
              <w:pStyle w:val="178"/>
            </w:pPr>
            <w:r>
              <w:rPr>
                <w:rFonts w:hint="eastAsia"/>
              </w:rPr>
              <w:t>3</w:t>
            </w:r>
            <w:r>
              <w:t>.0</w:t>
            </w:r>
          </w:p>
        </w:tc>
      </w:tr>
      <w:tr w14:paraId="32289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4"/>
            <w:tcBorders>
              <w:top w:val="single" w:color="auto" w:sz="8" w:space="0"/>
              <w:bottom w:val="single" w:color="auto" w:sz="8" w:space="0"/>
            </w:tcBorders>
            <w:shd w:val="clear" w:color="auto" w:fill="auto"/>
            <w:vAlign w:val="center"/>
          </w:tcPr>
          <w:p w14:paraId="14FE01C4">
            <w:pPr>
              <w:pStyle w:val="180"/>
            </w:pPr>
            <w:r>
              <w:rPr>
                <w:rFonts w:hint="eastAsia"/>
              </w:rPr>
              <w:t>表中人行道宽度为人行道有效步行通行区净宽，不包括树穴、路灯等市政设施的宽度；</w:t>
            </w:r>
          </w:p>
          <w:p w14:paraId="3F6666B2">
            <w:pPr>
              <w:pStyle w:val="180"/>
            </w:pPr>
            <w:r>
              <w:rPr>
                <w:rFonts w:hint="eastAsia"/>
              </w:rPr>
              <w:t>历史文化街区、风貌协调区等需要保护的特色地区的支路，沿道路建筑不允许拆除、道路无法拓宽的，最小宽度可酌情缩减；</w:t>
            </w:r>
          </w:p>
          <w:p w14:paraId="037B6CC4">
            <w:pPr>
              <w:pStyle w:val="180"/>
            </w:pPr>
            <w:r>
              <w:rPr>
                <w:rFonts w:hint="eastAsia"/>
              </w:rPr>
              <w:t>对行道树树池进行平整化处理的，行道树池的1/2有效宽度计入人行道宽度。</w:t>
            </w:r>
          </w:p>
        </w:tc>
      </w:tr>
    </w:tbl>
    <w:p w14:paraId="35308534">
      <w:pPr>
        <w:pStyle w:val="105"/>
        <w:spacing w:before="156" w:after="156"/>
      </w:pPr>
      <w:bookmarkStart w:id="116" w:name="_Toc177723429"/>
      <w:bookmarkStart w:id="117" w:name="_Toc177645324"/>
      <w:bookmarkStart w:id="118" w:name="_Toc177647694"/>
      <w:bookmarkStart w:id="119" w:name="_Toc177634225"/>
      <w:bookmarkStart w:id="120" w:name="_Toc177981351"/>
      <w:bookmarkStart w:id="121" w:name="_Toc177734856"/>
      <w:bookmarkStart w:id="122" w:name="_Toc178324995"/>
      <w:bookmarkStart w:id="123" w:name="_Toc177736920"/>
      <w:r>
        <w:rPr>
          <w:rFonts w:hint="eastAsia"/>
        </w:rPr>
        <w:t>设施带宽度</w:t>
      </w:r>
      <w:bookmarkEnd w:id="116"/>
      <w:bookmarkEnd w:id="117"/>
      <w:bookmarkEnd w:id="118"/>
      <w:bookmarkEnd w:id="119"/>
      <w:bookmarkEnd w:id="120"/>
      <w:bookmarkEnd w:id="121"/>
      <w:bookmarkEnd w:id="122"/>
      <w:bookmarkEnd w:id="123"/>
    </w:p>
    <w:p w14:paraId="5BD8F1B0">
      <w:pPr>
        <w:pStyle w:val="165"/>
      </w:pPr>
      <w:r>
        <w:rPr>
          <w:rFonts w:hint="eastAsia"/>
        </w:rPr>
        <w:t>设施带宽度应包括设置护栏、照明灯柱、标志牌、信号灯、城市公共服务设施等的要求，各种设施布置应综合考虑。设施带可与绿化带结合设置，但应避免各种设施间，以及与树木的相互干扰。当绿化带设置雨水调蓄设施时，应保证绿化带内设施及相邻路面结构的安全，必要时，应采取相应的防护及防渗措施。</w:t>
      </w:r>
    </w:p>
    <w:p w14:paraId="42C6675A">
      <w:pPr>
        <w:pStyle w:val="165"/>
      </w:pPr>
      <w:r>
        <w:rPr>
          <w:rFonts w:hint="eastAsia"/>
        </w:rPr>
        <w:t>绿化带的宽度应符合现行行业标准CJJ 75的相关要求。当绿化带内设置雨水调蓄时，绿化带的宽度还应满足所设置设施的宽度要求。</w:t>
      </w:r>
    </w:p>
    <w:p w14:paraId="45181F66">
      <w:pPr>
        <w:pStyle w:val="165"/>
        <w:rPr>
          <w:color w:val="000000" w:themeColor="text1"/>
          <w14:textFill>
            <w14:solidFill>
              <w14:schemeClr w14:val="tx1"/>
            </w14:solidFill>
          </w14:textFill>
        </w:rPr>
      </w:pPr>
      <w:r>
        <w:rPr>
          <w:rFonts w:hint="eastAsia"/>
          <w:color w:val="000000" w:themeColor="text1"/>
          <w14:textFill>
            <w14:solidFill>
              <w14:schemeClr w14:val="tx1"/>
            </w14:solidFill>
          </w14:textFill>
        </w:rPr>
        <w:t>道路附属设施、市政设施和街道家具等应利用行道树设施带紧凑设置。</w:t>
      </w:r>
    </w:p>
    <w:p w14:paraId="2CEDA75D">
      <w:pPr>
        <w:pStyle w:val="165"/>
      </w:pPr>
      <w:r>
        <w:rPr>
          <w:rFonts w:hint="eastAsia"/>
        </w:rPr>
        <w:t>受条件约束人行道与非机动车道确需共平面设置时，应采取安全隔离设施，防止行人和非机动车出现冲突；</w:t>
      </w:r>
    </w:p>
    <w:p w14:paraId="0303302E">
      <w:pPr>
        <w:pStyle w:val="104"/>
        <w:spacing w:before="312" w:after="312"/>
      </w:pPr>
      <w:bookmarkStart w:id="124" w:name="_Toc177736921"/>
      <w:bookmarkStart w:id="125" w:name="_Toc177723430"/>
      <w:bookmarkStart w:id="126" w:name="_Toc177734857"/>
      <w:bookmarkStart w:id="127" w:name="_Toc177647695"/>
      <w:bookmarkStart w:id="128" w:name="_Toc177981352"/>
      <w:bookmarkStart w:id="129" w:name="_Toc177627016"/>
      <w:bookmarkStart w:id="130" w:name="_Toc177645325"/>
      <w:bookmarkStart w:id="131" w:name="_Toc178324996"/>
      <w:bookmarkStart w:id="132" w:name="_Toc177634226"/>
      <w:r>
        <w:rPr>
          <w:rFonts w:hint="eastAsia"/>
        </w:rPr>
        <w:t>人行道结构</w:t>
      </w:r>
      <w:bookmarkEnd w:id="124"/>
      <w:bookmarkEnd w:id="125"/>
      <w:bookmarkEnd w:id="126"/>
      <w:bookmarkEnd w:id="127"/>
      <w:bookmarkEnd w:id="128"/>
      <w:bookmarkEnd w:id="129"/>
      <w:bookmarkEnd w:id="130"/>
      <w:bookmarkEnd w:id="131"/>
      <w:bookmarkEnd w:id="132"/>
    </w:p>
    <w:p w14:paraId="22BD652B">
      <w:pPr>
        <w:pStyle w:val="105"/>
        <w:spacing w:before="156" w:after="156"/>
        <w:rPr>
          <w:kern w:val="2"/>
          <w:szCs w:val="21"/>
        </w:rPr>
      </w:pPr>
      <w:bookmarkStart w:id="133" w:name="_Toc177723431"/>
      <w:bookmarkStart w:id="134" w:name="_Toc177734858"/>
      <w:bookmarkStart w:id="135" w:name="_Toc177736922"/>
      <w:bookmarkStart w:id="136" w:name="_Toc178324997"/>
      <w:bookmarkStart w:id="137" w:name="_Toc177981353"/>
      <w:bookmarkStart w:id="138" w:name="_Toc177634227"/>
      <w:bookmarkStart w:id="139" w:name="_Toc177647696"/>
      <w:bookmarkStart w:id="140" w:name="_Toc177645326"/>
      <w:r>
        <w:t>人行道结构组合设计</w:t>
      </w:r>
      <w:bookmarkEnd w:id="133"/>
      <w:bookmarkEnd w:id="134"/>
      <w:bookmarkEnd w:id="135"/>
      <w:bookmarkEnd w:id="136"/>
      <w:bookmarkEnd w:id="137"/>
      <w:bookmarkEnd w:id="138"/>
      <w:bookmarkEnd w:id="139"/>
      <w:bookmarkEnd w:id="140"/>
    </w:p>
    <w:p w14:paraId="69CAD8F8">
      <w:pPr>
        <w:pStyle w:val="165"/>
      </w:pPr>
      <w:r>
        <w:rPr>
          <w:rFonts w:hint="eastAsia"/>
        </w:rPr>
        <w:t>一般规定</w:t>
      </w:r>
    </w:p>
    <w:p w14:paraId="71201D75">
      <w:pPr>
        <w:pStyle w:val="174"/>
        <w:numPr>
          <w:ilvl w:val="0"/>
          <w:numId w:val="32"/>
        </w:numPr>
      </w:pPr>
      <w:r>
        <w:rPr>
          <w:rFonts w:hint="eastAsia"/>
        </w:rPr>
        <w:t>人行道结构一般由面层、整平层、基层、垫层等组合。垫层可根据路基和基层材料特点按需设置。</w:t>
      </w:r>
    </w:p>
    <w:p w14:paraId="1A5DCB76">
      <w:pPr>
        <w:pStyle w:val="174"/>
      </w:pPr>
      <w:r>
        <w:rPr>
          <w:rFonts w:hint="eastAsia"/>
        </w:rPr>
        <w:t>应根据人行道的定位、面层材料的性能以及施工条件等因素选择相应的结构组合。</w:t>
      </w:r>
    </w:p>
    <w:p w14:paraId="79065D30">
      <w:pPr>
        <w:pStyle w:val="174"/>
      </w:pPr>
      <w:r>
        <w:rPr>
          <w:rFonts w:hint="eastAsia"/>
        </w:rPr>
        <w:t>人行道结构组合设计应贯彻因地制宜，合理利用当地材料及工业废渣的原则，并考虑施工最小厚度。</w:t>
      </w:r>
    </w:p>
    <w:p w14:paraId="624F6FD6">
      <w:pPr>
        <w:pStyle w:val="174"/>
      </w:pPr>
      <w:r>
        <w:rPr>
          <w:rFonts w:hint="eastAsia"/>
        </w:rPr>
        <w:t>有特殊功能需求时，应根据不同的荷载要求、景观要求及工程投资等因素，确定合理的结构层强度和厚度，选择适宜的人行道铺装结构组合。</w:t>
      </w:r>
    </w:p>
    <w:p w14:paraId="33AB20AB">
      <w:pPr>
        <w:pStyle w:val="174"/>
      </w:pPr>
      <w:r>
        <w:rPr>
          <w:rFonts w:hint="eastAsia"/>
        </w:rPr>
        <w:t>人行道铺装结构组合各层间必须紧密，应达到整体强度和稳定性要求，满足抗滑、平整度、生态环保和城市景观要求。</w:t>
      </w:r>
    </w:p>
    <w:p w14:paraId="1CF8AE41">
      <w:pPr>
        <w:pStyle w:val="165"/>
      </w:pPr>
      <w:r>
        <w:rPr>
          <w:rFonts w:hint="eastAsia"/>
        </w:rPr>
        <w:t>设计要求</w:t>
      </w:r>
    </w:p>
    <w:p w14:paraId="37A0896F">
      <w:pPr>
        <w:pStyle w:val="174"/>
        <w:numPr>
          <w:ilvl w:val="0"/>
          <w:numId w:val="33"/>
        </w:numPr>
      </w:pPr>
      <w:r>
        <w:rPr>
          <w:rFonts w:hint="eastAsia"/>
        </w:rPr>
        <w:t xml:space="preserve">常规人行道结构由面层、整平层、基层、垫层等多层结构组成，为不透水人行道结构。结构组合可参照下图。 </w:t>
      </w:r>
    </w:p>
    <w:p w14:paraId="476E6282">
      <w:pPr>
        <w:pStyle w:val="174"/>
        <w:numPr>
          <w:ilvl w:val="0"/>
          <w:numId w:val="0"/>
        </w:numPr>
        <w:jc w:val="center"/>
        <w:rPr>
          <w:kern w:val="2"/>
          <w:szCs w:val="21"/>
        </w:rPr>
      </w:pPr>
      <w:r>
        <w:rPr>
          <w:rFonts w:hint="eastAsia"/>
          <w:kern w:val="2"/>
          <w:szCs w:val="21"/>
        </w:rPr>
        <w:drawing>
          <wp:inline distT="0" distB="0" distL="114300" distR="114300">
            <wp:extent cx="3740150" cy="3094355"/>
            <wp:effectExtent l="0" t="0" r="6350" b="4445"/>
            <wp:docPr id="4" name="图片 4" descr="人行道规范插图092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人行道规范插图0923_00"/>
                    <pic:cNvPicPr>
                      <a:picLocks noChangeAspect="1"/>
                    </pic:cNvPicPr>
                  </pic:nvPicPr>
                  <pic:blipFill>
                    <a:blip r:embed="rId16"/>
                    <a:srcRect l="34679" t="24523" r="2238" b="1666"/>
                    <a:stretch>
                      <a:fillRect/>
                    </a:stretch>
                  </pic:blipFill>
                  <pic:spPr>
                    <a:xfrm>
                      <a:off x="0" y="0"/>
                      <a:ext cx="3740150" cy="3094355"/>
                    </a:xfrm>
                    <a:prstGeom prst="rect">
                      <a:avLst/>
                    </a:prstGeom>
                  </pic:spPr>
                </pic:pic>
              </a:graphicData>
            </a:graphic>
          </wp:inline>
        </w:drawing>
      </w:r>
    </w:p>
    <w:p w14:paraId="0DEE200A">
      <w:pPr>
        <w:pStyle w:val="114"/>
        <w:spacing w:before="156" w:after="156"/>
        <w:rPr>
          <w:rFonts w:hint="eastAsia" w:ascii="微软雅黑" w:hAnsi="微软雅黑" w:eastAsia="微软雅黑"/>
        </w:rPr>
      </w:pPr>
      <w:r>
        <w:rPr>
          <w:rFonts w:hint="eastAsia"/>
        </w:rPr>
        <w:t>常规人行道铺装结构</w:t>
      </w:r>
    </w:p>
    <w:p w14:paraId="2AD89F58">
      <w:pPr>
        <w:pStyle w:val="174"/>
        <w:numPr>
          <w:ilvl w:val="0"/>
          <w:numId w:val="33"/>
        </w:numPr>
      </w:pPr>
      <w:r>
        <w:rPr>
          <w:rFonts w:hint="eastAsia"/>
        </w:rPr>
        <w:t>透水人行道结构由透水性面层、透水性整平层、透水性基层、反滤垫层组成，其设计要求应符合下列规定：</w:t>
      </w:r>
    </w:p>
    <w:p w14:paraId="4D000294">
      <w:pPr>
        <w:pStyle w:val="109"/>
        <w:numPr>
          <w:ilvl w:val="1"/>
          <w:numId w:val="34"/>
        </w:numPr>
      </w:pPr>
      <w:r>
        <w:rPr>
          <w:rFonts w:hint="eastAsia"/>
        </w:rPr>
        <w:t>透水性人行道适用于具有一定渗透性的路基，路基渗透系数应不小于1.0×10</w:t>
      </w:r>
      <w:r>
        <w:rPr>
          <w:vertAlign w:val="superscript"/>
        </w:rPr>
        <w:t>-4</w:t>
      </w:r>
      <w:r>
        <w:rPr>
          <w:rFonts w:hint="eastAsia"/>
          <w:vertAlign w:val="superscript"/>
        </w:rPr>
        <w:t xml:space="preserve"> </w:t>
      </w:r>
      <w:r>
        <w:rPr>
          <w:rFonts w:hint="eastAsia"/>
        </w:rPr>
        <w:t>cm/s,且渗透面距离地下水位应大于1.0m。</w:t>
      </w:r>
    </w:p>
    <w:p w14:paraId="367B2B1C">
      <w:pPr>
        <w:pStyle w:val="109"/>
      </w:pPr>
      <w:r>
        <w:rPr>
          <w:rFonts w:hint="eastAsia"/>
        </w:rPr>
        <w:t xml:space="preserve">透水性人行道结构宜在人行道边缘基层下设置相应排水设施。结构组合可参照图2。 </w:t>
      </w:r>
    </w:p>
    <w:p w14:paraId="1BB7197D">
      <w:pPr>
        <w:pStyle w:val="174"/>
        <w:numPr>
          <w:ilvl w:val="0"/>
          <w:numId w:val="0"/>
        </w:numPr>
        <w:jc w:val="center"/>
        <w:rPr>
          <w:kern w:val="2"/>
          <w:szCs w:val="21"/>
        </w:rPr>
      </w:pPr>
      <w:r>
        <w:rPr>
          <w:rFonts w:hint="eastAsia"/>
          <w:kern w:val="2"/>
          <w:szCs w:val="21"/>
        </w:rPr>
        <w:drawing>
          <wp:inline distT="0" distB="0" distL="114300" distR="114300">
            <wp:extent cx="3690620" cy="2894965"/>
            <wp:effectExtent l="0" t="0" r="0" b="0"/>
            <wp:docPr id="6" name="图片 6" descr="人行道规范插图09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人行道规范插图0923_01"/>
                    <pic:cNvPicPr>
                      <a:picLocks noChangeAspect="1"/>
                    </pic:cNvPicPr>
                  </pic:nvPicPr>
                  <pic:blipFill>
                    <a:blip r:embed="rId17"/>
                    <a:srcRect l="36896" t="17449" r="857" b="13496"/>
                    <a:stretch>
                      <a:fillRect/>
                    </a:stretch>
                  </pic:blipFill>
                  <pic:spPr>
                    <a:xfrm>
                      <a:off x="0" y="0"/>
                      <a:ext cx="3690620" cy="2894965"/>
                    </a:xfrm>
                    <a:prstGeom prst="rect">
                      <a:avLst/>
                    </a:prstGeom>
                  </pic:spPr>
                </pic:pic>
              </a:graphicData>
            </a:graphic>
          </wp:inline>
        </w:drawing>
      </w:r>
    </w:p>
    <w:p w14:paraId="0B5004DA">
      <w:pPr>
        <w:pStyle w:val="114"/>
        <w:spacing w:before="156" w:after="156"/>
      </w:pPr>
      <w:r>
        <w:rPr>
          <w:rFonts w:hint="eastAsia"/>
        </w:rPr>
        <w:t>透水性人行道铺装结构及边缘排水设施</w:t>
      </w:r>
    </w:p>
    <w:p w14:paraId="5E907B8C">
      <w:pPr>
        <w:pStyle w:val="174"/>
        <w:numPr>
          <w:ilvl w:val="0"/>
          <w:numId w:val="33"/>
        </w:numPr>
      </w:pPr>
      <w:r>
        <w:rPr>
          <w:rFonts w:hint="eastAsia"/>
        </w:rPr>
        <w:t>人行道铺装常用结构组合见表3所示。</w:t>
      </w:r>
    </w:p>
    <w:p w14:paraId="279FB682">
      <w:pPr>
        <w:pStyle w:val="112"/>
        <w:spacing w:before="156" w:after="156"/>
      </w:pPr>
      <w:r>
        <w:rPr>
          <w:rFonts w:hint="eastAsia"/>
        </w:rPr>
        <w:t>人行道铺装常用结构组合</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1701"/>
        <w:gridCol w:w="708"/>
        <w:gridCol w:w="1274"/>
        <w:gridCol w:w="1167"/>
        <w:gridCol w:w="1167"/>
        <w:gridCol w:w="1167"/>
        <w:gridCol w:w="1167"/>
      </w:tblGrid>
      <w:tr w14:paraId="58D0B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684" w:type="dxa"/>
            <w:gridSpan w:val="2"/>
            <w:vMerge w:val="restart"/>
            <w:tcBorders>
              <w:top w:val="single" w:color="auto" w:sz="8" w:space="0"/>
            </w:tcBorders>
            <w:shd w:val="clear" w:color="auto" w:fill="auto"/>
            <w:vAlign w:val="center"/>
          </w:tcPr>
          <w:p w14:paraId="12D5AB40">
            <w:pPr>
              <w:pStyle w:val="178"/>
            </w:pPr>
            <w:r>
              <w:rPr>
                <w:rFonts w:hint="eastAsia"/>
              </w:rPr>
              <w:t>结构层类型</w:t>
            </w:r>
          </w:p>
        </w:tc>
        <w:tc>
          <w:tcPr>
            <w:tcW w:w="6650" w:type="dxa"/>
            <w:gridSpan w:val="6"/>
            <w:tcBorders>
              <w:top w:val="single" w:color="auto" w:sz="8" w:space="0"/>
              <w:bottom w:val="single" w:color="auto" w:sz="8" w:space="0"/>
            </w:tcBorders>
            <w:shd w:val="clear" w:color="auto" w:fill="auto"/>
            <w:vAlign w:val="center"/>
          </w:tcPr>
          <w:p w14:paraId="463ABA3F">
            <w:pPr>
              <w:pStyle w:val="178"/>
            </w:pPr>
            <w:r>
              <w:rPr>
                <w:rFonts w:hint="eastAsia"/>
              </w:rPr>
              <w:t>铺装材料类型</w:t>
            </w:r>
          </w:p>
        </w:tc>
      </w:tr>
      <w:tr w14:paraId="19E22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684" w:type="dxa"/>
            <w:gridSpan w:val="2"/>
            <w:vMerge w:val="continue"/>
            <w:shd w:val="clear" w:color="auto" w:fill="auto"/>
            <w:vAlign w:val="center"/>
          </w:tcPr>
          <w:p w14:paraId="374BC3E6">
            <w:pPr>
              <w:pStyle w:val="178"/>
            </w:pPr>
          </w:p>
        </w:tc>
        <w:tc>
          <w:tcPr>
            <w:tcW w:w="708" w:type="dxa"/>
            <w:tcBorders>
              <w:top w:val="single" w:color="auto" w:sz="8" w:space="0"/>
            </w:tcBorders>
            <w:shd w:val="clear" w:color="auto" w:fill="auto"/>
          </w:tcPr>
          <w:p w14:paraId="40C94751">
            <w:pPr>
              <w:pStyle w:val="178"/>
            </w:pPr>
            <w:r>
              <w:rPr>
                <w:rFonts w:hint="eastAsia"/>
              </w:rPr>
              <w:t>石材</w:t>
            </w:r>
          </w:p>
        </w:tc>
        <w:tc>
          <w:tcPr>
            <w:tcW w:w="1274" w:type="dxa"/>
            <w:tcBorders>
              <w:top w:val="single" w:color="auto" w:sz="8" w:space="0"/>
            </w:tcBorders>
            <w:shd w:val="clear" w:color="auto" w:fill="auto"/>
          </w:tcPr>
          <w:p w14:paraId="219E3E24">
            <w:pPr>
              <w:pStyle w:val="178"/>
            </w:pPr>
            <w:r>
              <w:rPr>
                <w:rFonts w:hint="eastAsia"/>
              </w:rPr>
              <w:t>混凝土路面砖</w:t>
            </w:r>
          </w:p>
        </w:tc>
        <w:tc>
          <w:tcPr>
            <w:tcW w:w="1167" w:type="dxa"/>
            <w:tcBorders>
              <w:top w:val="single" w:color="auto" w:sz="8" w:space="0"/>
            </w:tcBorders>
            <w:shd w:val="clear" w:color="auto" w:fill="auto"/>
          </w:tcPr>
          <w:p w14:paraId="1E6FD32C">
            <w:pPr>
              <w:pStyle w:val="178"/>
            </w:pPr>
            <w:r>
              <w:rPr>
                <w:rFonts w:hint="eastAsia"/>
              </w:rPr>
              <w:t>烧结路面砖</w:t>
            </w:r>
          </w:p>
        </w:tc>
        <w:tc>
          <w:tcPr>
            <w:tcW w:w="1167" w:type="dxa"/>
            <w:tcBorders>
              <w:top w:val="single" w:color="auto" w:sz="8" w:space="0"/>
            </w:tcBorders>
            <w:shd w:val="clear" w:color="auto" w:fill="auto"/>
          </w:tcPr>
          <w:p w14:paraId="5630516E">
            <w:pPr>
              <w:pStyle w:val="178"/>
            </w:pPr>
            <w:r>
              <w:rPr>
                <w:rFonts w:hint="eastAsia"/>
              </w:rPr>
              <w:t>透水路面砖</w:t>
            </w:r>
          </w:p>
        </w:tc>
        <w:tc>
          <w:tcPr>
            <w:tcW w:w="1167" w:type="dxa"/>
            <w:tcBorders>
              <w:top w:val="single" w:color="auto" w:sz="8" w:space="0"/>
            </w:tcBorders>
            <w:shd w:val="clear" w:color="auto" w:fill="auto"/>
          </w:tcPr>
          <w:p w14:paraId="747DEA34">
            <w:pPr>
              <w:pStyle w:val="178"/>
            </w:pPr>
            <w:r>
              <w:rPr>
                <w:rFonts w:hint="eastAsia"/>
              </w:rPr>
              <w:t>透水地坪</w:t>
            </w:r>
          </w:p>
        </w:tc>
        <w:tc>
          <w:tcPr>
            <w:tcW w:w="1167" w:type="dxa"/>
            <w:tcBorders>
              <w:top w:val="single" w:color="auto" w:sz="8" w:space="0"/>
            </w:tcBorders>
            <w:shd w:val="clear" w:color="auto" w:fill="auto"/>
          </w:tcPr>
          <w:p w14:paraId="78A65BAA">
            <w:pPr>
              <w:pStyle w:val="178"/>
            </w:pPr>
            <w:r>
              <w:rPr>
                <w:rFonts w:hint="eastAsia"/>
              </w:rPr>
              <w:t>水泥混凝土</w:t>
            </w:r>
          </w:p>
        </w:tc>
      </w:tr>
      <w:tr w14:paraId="30CEC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684" w:type="dxa"/>
            <w:gridSpan w:val="2"/>
            <w:shd w:val="clear" w:color="auto" w:fill="auto"/>
            <w:vAlign w:val="center"/>
          </w:tcPr>
          <w:p w14:paraId="7B5524BF">
            <w:pPr>
              <w:pStyle w:val="178"/>
            </w:pPr>
            <w:r>
              <w:rPr>
                <w:rFonts w:hint="eastAsia"/>
              </w:rPr>
              <w:t>面层</w:t>
            </w:r>
          </w:p>
        </w:tc>
        <w:tc>
          <w:tcPr>
            <w:tcW w:w="708" w:type="dxa"/>
            <w:shd w:val="clear" w:color="auto" w:fill="auto"/>
            <w:vAlign w:val="center"/>
          </w:tcPr>
          <w:p w14:paraId="14DCB6CB">
            <w:pPr>
              <w:pStyle w:val="178"/>
            </w:pPr>
            <w:r>
              <w:rPr>
                <w:rFonts w:hint="eastAsia"/>
              </w:rPr>
              <w:t>√</w:t>
            </w:r>
          </w:p>
        </w:tc>
        <w:tc>
          <w:tcPr>
            <w:tcW w:w="1274" w:type="dxa"/>
            <w:shd w:val="clear" w:color="auto" w:fill="auto"/>
            <w:vAlign w:val="center"/>
          </w:tcPr>
          <w:p w14:paraId="15A55035">
            <w:pPr>
              <w:pStyle w:val="178"/>
            </w:pPr>
            <w:r>
              <w:rPr>
                <w:rFonts w:hint="eastAsia"/>
              </w:rPr>
              <w:t>√</w:t>
            </w:r>
          </w:p>
        </w:tc>
        <w:tc>
          <w:tcPr>
            <w:tcW w:w="1167" w:type="dxa"/>
            <w:shd w:val="clear" w:color="auto" w:fill="auto"/>
            <w:vAlign w:val="center"/>
          </w:tcPr>
          <w:p w14:paraId="0441CCE7">
            <w:pPr>
              <w:pStyle w:val="178"/>
            </w:pPr>
            <w:r>
              <w:rPr>
                <w:rFonts w:hint="eastAsia"/>
              </w:rPr>
              <w:t>√</w:t>
            </w:r>
          </w:p>
        </w:tc>
        <w:tc>
          <w:tcPr>
            <w:tcW w:w="1167" w:type="dxa"/>
            <w:shd w:val="clear" w:color="auto" w:fill="auto"/>
            <w:vAlign w:val="center"/>
          </w:tcPr>
          <w:p w14:paraId="4C338E5D">
            <w:pPr>
              <w:pStyle w:val="178"/>
            </w:pPr>
            <w:r>
              <w:rPr>
                <w:rFonts w:hint="eastAsia"/>
              </w:rPr>
              <w:t>√</w:t>
            </w:r>
          </w:p>
        </w:tc>
        <w:tc>
          <w:tcPr>
            <w:tcW w:w="1167" w:type="dxa"/>
            <w:shd w:val="clear" w:color="auto" w:fill="auto"/>
            <w:vAlign w:val="center"/>
          </w:tcPr>
          <w:p w14:paraId="05B8EFDD">
            <w:pPr>
              <w:pStyle w:val="178"/>
            </w:pPr>
            <w:r>
              <w:rPr>
                <w:rFonts w:hint="eastAsia"/>
              </w:rPr>
              <w:t>√</w:t>
            </w:r>
          </w:p>
        </w:tc>
        <w:tc>
          <w:tcPr>
            <w:tcW w:w="1167" w:type="dxa"/>
            <w:shd w:val="clear" w:color="auto" w:fill="auto"/>
            <w:vAlign w:val="center"/>
          </w:tcPr>
          <w:p w14:paraId="268CB221">
            <w:pPr>
              <w:pStyle w:val="178"/>
            </w:pPr>
            <w:r>
              <w:rPr>
                <w:rFonts w:hint="eastAsia"/>
              </w:rPr>
              <w:t>√</w:t>
            </w:r>
          </w:p>
        </w:tc>
      </w:tr>
      <w:tr w14:paraId="63503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684" w:type="dxa"/>
            <w:gridSpan w:val="2"/>
            <w:shd w:val="clear" w:color="auto" w:fill="auto"/>
            <w:vAlign w:val="center"/>
          </w:tcPr>
          <w:p w14:paraId="26F4E7AD">
            <w:pPr>
              <w:pStyle w:val="178"/>
            </w:pPr>
            <w:r>
              <w:rPr>
                <w:rFonts w:hint="eastAsia"/>
              </w:rPr>
              <w:t>整平层</w:t>
            </w:r>
          </w:p>
        </w:tc>
        <w:tc>
          <w:tcPr>
            <w:tcW w:w="708" w:type="dxa"/>
            <w:shd w:val="clear" w:color="auto" w:fill="auto"/>
            <w:vAlign w:val="center"/>
          </w:tcPr>
          <w:p w14:paraId="4902CDCF">
            <w:pPr>
              <w:pStyle w:val="178"/>
            </w:pPr>
            <w:r>
              <w:rPr>
                <w:rFonts w:hint="eastAsia"/>
              </w:rPr>
              <w:t>√</w:t>
            </w:r>
          </w:p>
        </w:tc>
        <w:tc>
          <w:tcPr>
            <w:tcW w:w="1274" w:type="dxa"/>
            <w:shd w:val="clear" w:color="auto" w:fill="auto"/>
            <w:vAlign w:val="center"/>
          </w:tcPr>
          <w:p w14:paraId="16457741">
            <w:pPr>
              <w:pStyle w:val="178"/>
            </w:pPr>
            <w:r>
              <w:rPr>
                <w:rFonts w:hint="eastAsia"/>
              </w:rPr>
              <w:t>√</w:t>
            </w:r>
          </w:p>
        </w:tc>
        <w:tc>
          <w:tcPr>
            <w:tcW w:w="1167" w:type="dxa"/>
            <w:shd w:val="clear" w:color="auto" w:fill="auto"/>
            <w:vAlign w:val="center"/>
          </w:tcPr>
          <w:p w14:paraId="2A0FB072">
            <w:pPr>
              <w:pStyle w:val="178"/>
            </w:pPr>
            <w:r>
              <w:rPr>
                <w:rFonts w:hint="eastAsia"/>
              </w:rPr>
              <w:t>√</w:t>
            </w:r>
          </w:p>
        </w:tc>
        <w:tc>
          <w:tcPr>
            <w:tcW w:w="1167" w:type="dxa"/>
            <w:shd w:val="clear" w:color="auto" w:fill="auto"/>
            <w:vAlign w:val="center"/>
          </w:tcPr>
          <w:p w14:paraId="061D8005">
            <w:pPr>
              <w:pStyle w:val="178"/>
            </w:pPr>
          </w:p>
        </w:tc>
        <w:tc>
          <w:tcPr>
            <w:tcW w:w="1167" w:type="dxa"/>
            <w:shd w:val="clear" w:color="auto" w:fill="auto"/>
            <w:vAlign w:val="center"/>
          </w:tcPr>
          <w:p w14:paraId="4E183B47">
            <w:pPr>
              <w:pStyle w:val="178"/>
            </w:pPr>
            <w:r>
              <w:rPr>
                <w:rFonts w:hint="eastAsia"/>
              </w:rPr>
              <w:t>△</w:t>
            </w:r>
          </w:p>
        </w:tc>
        <w:tc>
          <w:tcPr>
            <w:tcW w:w="1167" w:type="dxa"/>
            <w:shd w:val="clear" w:color="auto" w:fill="auto"/>
            <w:vAlign w:val="center"/>
          </w:tcPr>
          <w:p w14:paraId="582191A2">
            <w:pPr>
              <w:pStyle w:val="178"/>
            </w:pPr>
            <w:r>
              <w:rPr>
                <w:rFonts w:hint="eastAsia"/>
              </w:rPr>
              <w:t>—</w:t>
            </w:r>
          </w:p>
        </w:tc>
      </w:tr>
      <w:tr w14:paraId="547AC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14:paraId="6F567E6D">
            <w:pPr>
              <w:pStyle w:val="178"/>
            </w:pPr>
            <w:r>
              <w:rPr>
                <w:rFonts w:hint="eastAsia"/>
              </w:rPr>
              <w:t>柔性基层</w:t>
            </w:r>
          </w:p>
        </w:tc>
        <w:tc>
          <w:tcPr>
            <w:tcW w:w="1701" w:type="dxa"/>
            <w:shd w:val="clear" w:color="auto" w:fill="auto"/>
            <w:vAlign w:val="center"/>
          </w:tcPr>
          <w:p w14:paraId="5EC31A5A">
            <w:pPr>
              <w:pStyle w:val="178"/>
            </w:pPr>
            <w:r>
              <w:rPr>
                <w:rFonts w:hint="eastAsia"/>
              </w:rPr>
              <w:t>级配碎石或砂砾</w:t>
            </w:r>
          </w:p>
        </w:tc>
        <w:tc>
          <w:tcPr>
            <w:tcW w:w="708" w:type="dxa"/>
            <w:shd w:val="clear" w:color="auto" w:fill="auto"/>
            <w:vAlign w:val="center"/>
          </w:tcPr>
          <w:p w14:paraId="168528D8">
            <w:pPr>
              <w:pStyle w:val="178"/>
            </w:pPr>
            <w:r>
              <w:rPr>
                <w:rFonts w:hint="eastAsia"/>
              </w:rPr>
              <w:t>—</w:t>
            </w:r>
          </w:p>
        </w:tc>
        <w:tc>
          <w:tcPr>
            <w:tcW w:w="1274" w:type="dxa"/>
            <w:shd w:val="clear" w:color="auto" w:fill="auto"/>
            <w:vAlign w:val="center"/>
          </w:tcPr>
          <w:p w14:paraId="19F11E9F">
            <w:pPr>
              <w:pStyle w:val="178"/>
            </w:pPr>
            <w:r>
              <w:rPr>
                <w:rFonts w:hint="eastAsia"/>
              </w:rPr>
              <w:t>△</w:t>
            </w:r>
          </w:p>
        </w:tc>
        <w:tc>
          <w:tcPr>
            <w:tcW w:w="1167" w:type="dxa"/>
            <w:shd w:val="clear" w:color="auto" w:fill="auto"/>
            <w:vAlign w:val="center"/>
          </w:tcPr>
          <w:p w14:paraId="7F11CF5F">
            <w:pPr>
              <w:pStyle w:val="178"/>
            </w:pPr>
            <w:r>
              <w:rPr>
                <w:rFonts w:hint="eastAsia"/>
              </w:rPr>
              <w:t>—</w:t>
            </w:r>
          </w:p>
        </w:tc>
        <w:tc>
          <w:tcPr>
            <w:tcW w:w="1167" w:type="dxa"/>
            <w:shd w:val="clear" w:color="auto" w:fill="auto"/>
            <w:vAlign w:val="center"/>
          </w:tcPr>
          <w:p w14:paraId="1FC8721A">
            <w:pPr>
              <w:pStyle w:val="178"/>
            </w:pPr>
            <w:r>
              <w:rPr>
                <w:rFonts w:hint="eastAsia"/>
              </w:rPr>
              <w:t>△</w:t>
            </w:r>
          </w:p>
        </w:tc>
        <w:tc>
          <w:tcPr>
            <w:tcW w:w="1167" w:type="dxa"/>
            <w:shd w:val="clear" w:color="auto" w:fill="auto"/>
            <w:vAlign w:val="center"/>
          </w:tcPr>
          <w:p w14:paraId="1DEFC7C5">
            <w:pPr>
              <w:pStyle w:val="178"/>
            </w:pPr>
            <w:r>
              <w:rPr>
                <w:rFonts w:hint="eastAsia"/>
              </w:rPr>
              <w:t>—</w:t>
            </w:r>
          </w:p>
        </w:tc>
        <w:tc>
          <w:tcPr>
            <w:tcW w:w="1167" w:type="dxa"/>
            <w:shd w:val="clear" w:color="auto" w:fill="auto"/>
            <w:vAlign w:val="center"/>
          </w:tcPr>
          <w:p w14:paraId="1F47ACF4">
            <w:pPr>
              <w:pStyle w:val="178"/>
            </w:pPr>
            <w:r>
              <w:rPr>
                <w:rFonts w:hint="eastAsia"/>
              </w:rPr>
              <w:t>△</w:t>
            </w:r>
          </w:p>
        </w:tc>
      </w:tr>
      <w:tr w14:paraId="7FD0A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restart"/>
            <w:shd w:val="clear" w:color="auto" w:fill="auto"/>
            <w:vAlign w:val="center"/>
          </w:tcPr>
          <w:p w14:paraId="504B29D9">
            <w:pPr>
              <w:pStyle w:val="178"/>
            </w:pPr>
            <w:r>
              <w:rPr>
                <w:rFonts w:hint="eastAsia"/>
              </w:rPr>
              <w:t>刚性基层</w:t>
            </w:r>
          </w:p>
        </w:tc>
        <w:tc>
          <w:tcPr>
            <w:tcW w:w="1701" w:type="dxa"/>
            <w:shd w:val="clear" w:color="auto" w:fill="auto"/>
            <w:vAlign w:val="center"/>
          </w:tcPr>
          <w:p w14:paraId="35746705">
            <w:pPr>
              <w:pStyle w:val="178"/>
            </w:pPr>
            <w:r>
              <w:rPr>
                <w:rFonts w:hint="eastAsia"/>
              </w:rPr>
              <w:t>水泥混凝土</w:t>
            </w:r>
          </w:p>
        </w:tc>
        <w:tc>
          <w:tcPr>
            <w:tcW w:w="708" w:type="dxa"/>
            <w:shd w:val="clear" w:color="auto" w:fill="auto"/>
            <w:vAlign w:val="center"/>
          </w:tcPr>
          <w:p w14:paraId="07C75D81">
            <w:pPr>
              <w:pStyle w:val="178"/>
            </w:pPr>
            <w:r>
              <w:rPr>
                <w:rFonts w:hint="eastAsia"/>
              </w:rPr>
              <w:t>√</w:t>
            </w:r>
          </w:p>
        </w:tc>
        <w:tc>
          <w:tcPr>
            <w:tcW w:w="1274" w:type="dxa"/>
            <w:shd w:val="clear" w:color="auto" w:fill="auto"/>
            <w:vAlign w:val="center"/>
          </w:tcPr>
          <w:p w14:paraId="1C308C1A">
            <w:pPr>
              <w:pStyle w:val="178"/>
            </w:pPr>
            <w:r>
              <w:rPr>
                <w:rFonts w:hint="eastAsia"/>
              </w:rPr>
              <w:t>△</w:t>
            </w:r>
          </w:p>
        </w:tc>
        <w:tc>
          <w:tcPr>
            <w:tcW w:w="1167" w:type="dxa"/>
            <w:shd w:val="clear" w:color="auto" w:fill="auto"/>
            <w:vAlign w:val="center"/>
          </w:tcPr>
          <w:p w14:paraId="6784D6D6">
            <w:pPr>
              <w:pStyle w:val="178"/>
            </w:pPr>
            <w:r>
              <w:rPr>
                <w:rFonts w:hint="eastAsia"/>
              </w:rPr>
              <w:t>√</w:t>
            </w:r>
          </w:p>
        </w:tc>
        <w:tc>
          <w:tcPr>
            <w:tcW w:w="1167" w:type="dxa"/>
            <w:shd w:val="clear" w:color="auto" w:fill="auto"/>
            <w:vAlign w:val="center"/>
          </w:tcPr>
          <w:p w14:paraId="09DC366D">
            <w:pPr>
              <w:pStyle w:val="178"/>
            </w:pPr>
            <w:r>
              <w:rPr>
                <w:rFonts w:hint="eastAsia"/>
              </w:rPr>
              <w:t>—</w:t>
            </w:r>
          </w:p>
        </w:tc>
        <w:tc>
          <w:tcPr>
            <w:tcW w:w="1167" w:type="dxa"/>
            <w:shd w:val="clear" w:color="auto" w:fill="auto"/>
            <w:vAlign w:val="center"/>
          </w:tcPr>
          <w:p w14:paraId="382CD3F1">
            <w:pPr>
              <w:pStyle w:val="178"/>
            </w:pPr>
            <w:r>
              <w:rPr>
                <w:rFonts w:hint="eastAsia"/>
              </w:rPr>
              <w:t>—</w:t>
            </w:r>
          </w:p>
        </w:tc>
        <w:tc>
          <w:tcPr>
            <w:tcW w:w="1167" w:type="dxa"/>
            <w:shd w:val="clear" w:color="auto" w:fill="auto"/>
            <w:vAlign w:val="center"/>
          </w:tcPr>
          <w:p w14:paraId="6F87EF35">
            <w:pPr>
              <w:pStyle w:val="178"/>
            </w:pPr>
            <w:r>
              <w:rPr>
                <w:rFonts w:hint="eastAsia"/>
              </w:rPr>
              <w:t>—</w:t>
            </w:r>
          </w:p>
        </w:tc>
      </w:tr>
      <w:tr w14:paraId="7CA8A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shd w:val="clear" w:color="auto" w:fill="auto"/>
            <w:vAlign w:val="center"/>
          </w:tcPr>
          <w:p w14:paraId="6E21516D">
            <w:pPr>
              <w:pStyle w:val="178"/>
            </w:pPr>
          </w:p>
        </w:tc>
        <w:tc>
          <w:tcPr>
            <w:tcW w:w="1701" w:type="dxa"/>
            <w:shd w:val="clear" w:color="auto" w:fill="auto"/>
            <w:vAlign w:val="center"/>
          </w:tcPr>
          <w:p w14:paraId="5A812C3D">
            <w:pPr>
              <w:pStyle w:val="178"/>
            </w:pPr>
            <w:r>
              <w:rPr>
                <w:rFonts w:hint="eastAsia"/>
              </w:rPr>
              <w:t>无砂大孔混凝土</w:t>
            </w:r>
          </w:p>
        </w:tc>
        <w:tc>
          <w:tcPr>
            <w:tcW w:w="708" w:type="dxa"/>
            <w:shd w:val="clear" w:color="auto" w:fill="auto"/>
            <w:vAlign w:val="center"/>
          </w:tcPr>
          <w:p w14:paraId="5953A35B">
            <w:pPr>
              <w:pStyle w:val="178"/>
            </w:pPr>
            <w:r>
              <w:rPr>
                <w:rFonts w:hint="eastAsia"/>
              </w:rPr>
              <w:t>—</w:t>
            </w:r>
          </w:p>
        </w:tc>
        <w:tc>
          <w:tcPr>
            <w:tcW w:w="1274" w:type="dxa"/>
            <w:shd w:val="clear" w:color="auto" w:fill="auto"/>
            <w:vAlign w:val="center"/>
          </w:tcPr>
          <w:p w14:paraId="1D06B521">
            <w:pPr>
              <w:pStyle w:val="178"/>
            </w:pPr>
            <w:r>
              <w:rPr>
                <w:rFonts w:hint="eastAsia"/>
              </w:rPr>
              <w:t>△</w:t>
            </w:r>
          </w:p>
        </w:tc>
        <w:tc>
          <w:tcPr>
            <w:tcW w:w="1167" w:type="dxa"/>
            <w:shd w:val="clear" w:color="auto" w:fill="auto"/>
            <w:vAlign w:val="center"/>
          </w:tcPr>
          <w:p w14:paraId="4ED5EBEF">
            <w:pPr>
              <w:pStyle w:val="178"/>
            </w:pPr>
            <w:r>
              <w:rPr>
                <w:rFonts w:hint="eastAsia"/>
              </w:rPr>
              <w:t>—</w:t>
            </w:r>
          </w:p>
        </w:tc>
        <w:tc>
          <w:tcPr>
            <w:tcW w:w="1167" w:type="dxa"/>
            <w:shd w:val="clear" w:color="auto" w:fill="auto"/>
            <w:vAlign w:val="center"/>
          </w:tcPr>
          <w:p w14:paraId="6C8D12C9">
            <w:pPr>
              <w:pStyle w:val="178"/>
            </w:pPr>
            <w:r>
              <w:rPr>
                <w:rFonts w:hint="eastAsia"/>
              </w:rPr>
              <w:t>△</w:t>
            </w:r>
          </w:p>
        </w:tc>
        <w:tc>
          <w:tcPr>
            <w:tcW w:w="1167" w:type="dxa"/>
            <w:shd w:val="clear" w:color="auto" w:fill="auto"/>
            <w:vAlign w:val="center"/>
          </w:tcPr>
          <w:p w14:paraId="51D97A3B">
            <w:pPr>
              <w:pStyle w:val="178"/>
            </w:pPr>
            <w:r>
              <w:rPr>
                <w:rFonts w:hint="eastAsia"/>
              </w:rPr>
              <w:t>√</w:t>
            </w:r>
          </w:p>
        </w:tc>
        <w:tc>
          <w:tcPr>
            <w:tcW w:w="1167" w:type="dxa"/>
            <w:shd w:val="clear" w:color="auto" w:fill="auto"/>
            <w:vAlign w:val="center"/>
          </w:tcPr>
          <w:p w14:paraId="3D3346CC">
            <w:pPr>
              <w:pStyle w:val="178"/>
            </w:pPr>
            <w:r>
              <w:rPr>
                <w:rFonts w:hint="eastAsia"/>
              </w:rPr>
              <w:t>—</w:t>
            </w:r>
          </w:p>
        </w:tc>
      </w:tr>
      <w:tr w14:paraId="5AB0D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restart"/>
            <w:shd w:val="clear" w:color="auto" w:fill="auto"/>
            <w:vAlign w:val="center"/>
          </w:tcPr>
          <w:p w14:paraId="1044D170">
            <w:pPr>
              <w:pStyle w:val="178"/>
            </w:pPr>
            <w:r>
              <w:rPr>
                <w:rFonts w:hint="eastAsia"/>
              </w:rPr>
              <w:t>半刚性基层</w:t>
            </w:r>
          </w:p>
        </w:tc>
        <w:tc>
          <w:tcPr>
            <w:tcW w:w="1701" w:type="dxa"/>
            <w:shd w:val="clear" w:color="auto" w:fill="auto"/>
            <w:vAlign w:val="center"/>
          </w:tcPr>
          <w:p w14:paraId="4A3D8185">
            <w:pPr>
              <w:pStyle w:val="178"/>
            </w:pPr>
            <w:r>
              <w:rPr>
                <w:rFonts w:hint="eastAsia"/>
              </w:rPr>
              <w:t>水泥稳定碎石</w:t>
            </w:r>
          </w:p>
        </w:tc>
        <w:tc>
          <w:tcPr>
            <w:tcW w:w="708" w:type="dxa"/>
            <w:shd w:val="clear" w:color="auto" w:fill="auto"/>
            <w:vAlign w:val="center"/>
          </w:tcPr>
          <w:p w14:paraId="1B68A033">
            <w:pPr>
              <w:pStyle w:val="178"/>
            </w:pPr>
            <w:r>
              <w:rPr>
                <w:rFonts w:hint="eastAsia"/>
              </w:rPr>
              <w:t>—</w:t>
            </w:r>
          </w:p>
        </w:tc>
        <w:tc>
          <w:tcPr>
            <w:tcW w:w="1274" w:type="dxa"/>
            <w:shd w:val="clear" w:color="auto" w:fill="auto"/>
            <w:vAlign w:val="center"/>
          </w:tcPr>
          <w:p w14:paraId="51D70071">
            <w:pPr>
              <w:pStyle w:val="178"/>
            </w:pPr>
            <w:r>
              <w:rPr>
                <w:rFonts w:hint="eastAsia"/>
              </w:rPr>
              <w:t>△</w:t>
            </w:r>
          </w:p>
        </w:tc>
        <w:tc>
          <w:tcPr>
            <w:tcW w:w="1167" w:type="dxa"/>
            <w:shd w:val="clear" w:color="auto" w:fill="auto"/>
            <w:vAlign w:val="center"/>
          </w:tcPr>
          <w:p w14:paraId="20AEBDD1">
            <w:pPr>
              <w:pStyle w:val="178"/>
            </w:pPr>
            <w:r>
              <w:rPr>
                <w:rFonts w:hint="eastAsia"/>
              </w:rPr>
              <w:t>△</w:t>
            </w:r>
          </w:p>
        </w:tc>
        <w:tc>
          <w:tcPr>
            <w:tcW w:w="1167" w:type="dxa"/>
            <w:shd w:val="clear" w:color="auto" w:fill="auto"/>
            <w:vAlign w:val="center"/>
          </w:tcPr>
          <w:p w14:paraId="5AB07B75">
            <w:pPr>
              <w:pStyle w:val="178"/>
            </w:pPr>
            <w:r>
              <w:rPr>
                <w:rFonts w:hint="eastAsia"/>
              </w:rPr>
              <w:t>—</w:t>
            </w:r>
          </w:p>
        </w:tc>
        <w:tc>
          <w:tcPr>
            <w:tcW w:w="1167" w:type="dxa"/>
            <w:shd w:val="clear" w:color="auto" w:fill="auto"/>
            <w:vAlign w:val="center"/>
          </w:tcPr>
          <w:p w14:paraId="0C2ABA2A">
            <w:pPr>
              <w:pStyle w:val="178"/>
            </w:pPr>
            <w:r>
              <w:rPr>
                <w:rFonts w:hint="eastAsia"/>
              </w:rPr>
              <w:t>—</w:t>
            </w:r>
          </w:p>
        </w:tc>
        <w:tc>
          <w:tcPr>
            <w:tcW w:w="1167" w:type="dxa"/>
            <w:shd w:val="clear" w:color="auto" w:fill="auto"/>
            <w:vAlign w:val="center"/>
          </w:tcPr>
          <w:p w14:paraId="3F6F6DA5">
            <w:pPr>
              <w:pStyle w:val="178"/>
            </w:pPr>
            <w:r>
              <w:rPr>
                <w:rFonts w:hint="eastAsia"/>
              </w:rPr>
              <w:t>△</w:t>
            </w:r>
          </w:p>
        </w:tc>
      </w:tr>
      <w:tr w14:paraId="42A95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shd w:val="clear" w:color="auto" w:fill="auto"/>
            <w:vAlign w:val="center"/>
          </w:tcPr>
          <w:p w14:paraId="50D3A798">
            <w:pPr>
              <w:pStyle w:val="178"/>
            </w:pPr>
          </w:p>
        </w:tc>
        <w:tc>
          <w:tcPr>
            <w:tcW w:w="1701" w:type="dxa"/>
            <w:shd w:val="clear" w:color="auto" w:fill="auto"/>
            <w:vAlign w:val="center"/>
          </w:tcPr>
          <w:p w14:paraId="3FEA5F71">
            <w:pPr>
              <w:pStyle w:val="178"/>
            </w:pPr>
            <w:r>
              <w:rPr>
                <w:rFonts w:hint="eastAsia"/>
              </w:rPr>
              <w:t>石灰粉煤灰稳定碎石</w:t>
            </w:r>
          </w:p>
        </w:tc>
        <w:tc>
          <w:tcPr>
            <w:tcW w:w="708" w:type="dxa"/>
            <w:shd w:val="clear" w:color="auto" w:fill="auto"/>
            <w:vAlign w:val="center"/>
          </w:tcPr>
          <w:p w14:paraId="5B18DFDD">
            <w:pPr>
              <w:pStyle w:val="178"/>
            </w:pPr>
            <w:r>
              <w:rPr>
                <w:rFonts w:hint="eastAsia"/>
              </w:rPr>
              <w:t>—</w:t>
            </w:r>
          </w:p>
        </w:tc>
        <w:tc>
          <w:tcPr>
            <w:tcW w:w="1274" w:type="dxa"/>
            <w:shd w:val="clear" w:color="auto" w:fill="auto"/>
            <w:vAlign w:val="center"/>
          </w:tcPr>
          <w:p w14:paraId="694E746E">
            <w:pPr>
              <w:pStyle w:val="178"/>
            </w:pPr>
            <w:r>
              <w:rPr>
                <w:rFonts w:hint="eastAsia"/>
              </w:rPr>
              <w:t>△</w:t>
            </w:r>
          </w:p>
        </w:tc>
        <w:tc>
          <w:tcPr>
            <w:tcW w:w="1167" w:type="dxa"/>
            <w:shd w:val="clear" w:color="auto" w:fill="auto"/>
            <w:vAlign w:val="center"/>
          </w:tcPr>
          <w:p w14:paraId="1021CD31">
            <w:pPr>
              <w:pStyle w:val="178"/>
            </w:pPr>
            <w:r>
              <w:rPr>
                <w:rFonts w:hint="eastAsia"/>
              </w:rPr>
              <w:t>△</w:t>
            </w:r>
          </w:p>
        </w:tc>
        <w:tc>
          <w:tcPr>
            <w:tcW w:w="1167" w:type="dxa"/>
            <w:shd w:val="clear" w:color="auto" w:fill="auto"/>
            <w:vAlign w:val="center"/>
          </w:tcPr>
          <w:p w14:paraId="6D108BA3">
            <w:pPr>
              <w:pStyle w:val="178"/>
            </w:pPr>
            <w:r>
              <w:rPr>
                <w:rFonts w:hint="eastAsia"/>
              </w:rPr>
              <w:t>—</w:t>
            </w:r>
          </w:p>
        </w:tc>
        <w:tc>
          <w:tcPr>
            <w:tcW w:w="1167" w:type="dxa"/>
            <w:shd w:val="clear" w:color="auto" w:fill="auto"/>
            <w:vAlign w:val="center"/>
          </w:tcPr>
          <w:p w14:paraId="6C9517FE">
            <w:pPr>
              <w:pStyle w:val="178"/>
            </w:pPr>
            <w:r>
              <w:rPr>
                <w:rFonts w:hint="eastAsia"/>
              </w:rPr>
              <w:t>—</w:t>
            </w:r>
          </w:p>
        </w:tc>
        <w:tc>
          <w:tcPr>
            <w:tcW w:w="1167" w:type="dxa"/>
            <w:shd w:val="clear" w:color="auto" w:fill="auto"/>
            <w:vAlign w:val="center"/>
          </w:tcPr>
          <w:p w14:paraId="52F7049F">
            <w:pPr>
              <w:pStyle w:val="178"/>
            </w:pPr>
            <w:r>
              <w:rPr>
                <w:rFonts w:hint="eastAsia"/>
              </w:rPr>
              <w:t>△</w:t>
            </w:r>
          </w:p>
        </w:tc>
      </w:tr>
      <w:tr w14:paraId="434F3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tcBorders>
              <w:bottom w:val="single" w:color="auto" w:sz="8" w:space="0"/>
            </w:tcBorders>
            <w:shd w:val="clear" w:color="auto" w:fill="auto"/>
            <w:vAlign w:val="center"/>
          </w:tcPr>
          <w:p w14:paraId="287A0A37">
            <w:pPr>
              <w:pStyle w:val="178"/>
            </w:pPr>
            <w:r>
              <w:rPr>
                <w:rFonts w:hint="eastAsia"/>
              </w:rPr>
              <w:t>垫层</w:t>
            </w:r>
          </w:p>
        </w:tc>
        <w:tc>
          <w:tcPr>
            <w:tcW w:w="1701" w:type="dxa"/>
            <w:tcBorders>
              <w:bottom w:val="single" w:color="auto" w:sz="8" w:space="0"/>
            </w:tcBorders>
            <w:shd w:val="clear" w:color="auto" w:fill="auto"/>
            <w:vAlign w:val="center"/>
          </w:tcPr>
          <w:p w14:paraId="34F25A8C">
            <w:pPr>
              <w:pStyle w:val="178"/>
            </w:pPr>
            <w:r>
              <w:rPr>
                <w:rFonts w:hint="eastAsia"/>
              </w:rPr>
              <w:t>级配碎石或砂砾</w:t>
            </w:r>
          </w:p>
        </w:tc>
        <w:tc>
          <w:tcPr>
            <w:tcW w:w="708" w:type="dxa"/>
            <w:tcBorders>
              <w:bottom w:val="single" w:color="auto" w:sz="8" w:space="0"/>
            </w:tcBorders>
            <w:shd w:val="clear" w:color="auto" w:fill="auto"/>
            <w:vAlign w:val="center"/>
          </w:tcPr>
          <w:p w14:paraId="1511896B">
            <w:pPr>
              <w:pStyle w:val="178"/>
            </w:pPr>
            <w:r>
              <w:rPr>
                <w:rFonts w:hint="eastAsia"/>
              </w:rPr>
              <w:t>△</w:t>
            </w:r>
          </w:p>
        </w:tc>
        <w:tc>
          <w:tcPr>
            <w:tcW w:w="1274" w:type="dxa"/>
            <w:tcBorders>
              <w:bottom w:val="single" w:color="auto" w:sz="8" w:space="0"/>
            </w:tcBorders>
            <w:shd w:val="clear" w:color="auto" w:fill="auto"/>
            <w:vAlign w:val="center"/>
          </w:tcPr>
          <w:p w14:paraId="7CBDBA21">
            <w:pPr>
              <w:pStyle w:val="178"/>
            </w:pPr>
            <w:r>
              <w:rPr>
                <w:rFonts w:hint="eastAsia"/>
              </w:rPr>
              <w:t>△</w:t>
            </w:r>
          </w:p>
        </w:tc>
        <w:tc>
          <w:tcPr>
            <w:tcW w:w="1167" w:type="dxa"/>
            <w:tcBorders>
              <w:bottom w:val="single" w:color="auto" w:sz="8" w:space="0"/>
            </w:tcBorders>
            <w:shd w:val="clear" w:color="auto" w:fill="auto"/>
            <w:vAlign w:val="center"/>
          </w:tcPr>
          <w:p w14:paraId="59EFF34D">
            <w:pPr>
              <w:pStyle w:val="178"/>
            </w:pPr>
            <w:r>
              <w:rPr>
                <w:rFonts w:hint="eastAsia"/>
              </w:rPr>
              <w:t>△</w:t>
            </w:r>
          </w:p>
        </w:tc>
        <w:tc>
          <w:tcPr>
            <w:tcW w:w="1167" w:type="dxa"/>
            <w:tcBorders>
              <w:bottom w:val="single" w:color="auto" w:sz="8" w:space="0"/>
            </w:tcBorders>
            <w:shd w:val="clear" w:color="auto" w:fill="auto"/>
            <w:vAlign w:val="center"/>
          </w:tcPr>
          <w:p w14:paraId="1A92D104">
            <w:pPr>
              <w:pStyle w:val="178"/>
            </w:pPr>
            <w:r>
              <w:rPr>
                <w:rFonts w:hint="eastAsia"/>
              </w:rPr>
              <w:t>√</w:t>
            </w:r>
          </w:p>
        </w:tc>
        <w:tc>
          <w:tcPr>
            <w:tcW w:w="1167" w:type="dxa"/>
            <w:tcBorders>
              <w:bottom w:val="single" w:color="auto" w:sz="8" w:space="0"/>
            </w:tcBorders>
            <w:shd w:val="clear" w:color="auto" w:fill="auto"/>
            <w:vAlign w:val="center"/>
          </w:tcPr>
          <w:p w14:paraId="3CFF77F7">
            <w:pPr>
              <w:pStyle w:val="178"/>
            </w:pPr>
            <w:r>
              <w:rPr>
                <w:rFonts w:hint="eastAsia"/>
              </w:rPr>
              <w:t>√</w:t>
            </w:r>
          </w:p>
        </w:tc>
        <w:tc>
          <w:tcPr>
            <w:tcW w:w="1167" w:type="dxa"/>
            <w:tcBorders>
              <w:bottom w:val="single" w:color="auto" w:sz="8" w:space="0"/>
            </w:tcBorders>
            <w:shd w:val="clear" w:color="auto" w:fill="auto"/>
            <w:vAlign w:val="center"/>
          </w:tcPr>
          <w:p w14:paraId="26434793">
            <w:pPr>
              <w:pStyle w:val="178"/>
            </w:pPr>
            <w:r>
              <w:rPr>
                <w:rFonts w:hint="eastAsia"/>
              </w:rPr>
              <w:t>△</w:t>
            </w:r>
          </w:p>
        </w:tc>
      </w:tr>
      <w:tr w14:paraId="5196F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8"/>
            <w:tcBorders>
              <w:top w:val="single" w:color="auto" w:sz="8" w:space="0"/>
              <w:bottom w:val="single" w:color="auto" w:sz="8" w:space="0"/>
            </w:tcBorders>
            <w:shd w:val="clear" w:color="auto" w:fill="auto"/>
            <w:vAlign w:val="center"/>
          </w:tcPr>
          <w:p w14:paraId="7E72D832">
            <w:pPr>
              <w:pStyle w:val="179"/>
            </w:pPr>
            <w:r>
              <w:rPr>
                <w:rFonts w:hint="eastAsia"/>
              </w:rPr>
              <w:t>√表示必须，△表示可选，—表示不用。</w:t>
            </w:r>
          </w:p>
        </w:tc>
      </w:tr>
    </w:tbl>
    <w:p w14:paraId="1AD0ECB9">
      <w:pPr>
        <w:pStyle w:val="174"/>
        <w:numPr>
          <w:ilvl w:val="0"/>
          <w:numId w:val="33"/>
        </w:numPr>
      </w:pPr>
      <w:r>
        <w:rPr>
          <w:rFonts w:hint="eastAsia"/>
        </w:rPr>
        <w:t>各结构层厚度应符合下列规定：</w:t>
      </w:r>
    </w:p>
    <w:p w14:paraId="4207E4E7">
      <w:pPr>
        <w:pStyle w:val="109"/>
      </w:pPr>
      <w:r>
        <w:rPr>
          <w:rFonts w:hint="eastAsia"/>
        </w:rPr>
        <w:t>根据人行道使用功能要求，各结构层应满足最小结构厚度和最小施工厚度的要求。</w:t>
      </w:r>
    </w:p>
    <w:p w14:paraId="44AB200D">
      <w:pPr>
        <w:pStyle w:val="109"/>
      </w:pPr>
      <w:r>
        <w:rPr>
          <w:rFonts w:hint="eastAsia"/>
        </w:rPr>
        <w:t>对于不同的基层的人行道各结构层的厚度给出了推荐的范围，可依据路段的实际荷载情况进行合理选取。避免盲目采用较厚的人行道结构而增加工程造价。</w:t>
      </w:r>
    </w:p>
    <w:p w14:paraId="1B4B9845">
      <w:pPr>
        <w:pStyle w:val="109"/>
      </w:pPr>
      <w:r>
        <w:rPr>
          <w:rFonts w:hint="eastAsia"/>
        </w:rPr>
        <w:t>各结构层适宜厚度见下表所示。</w:t>
      </w:r>
    </w:p>
    <w:p w14:paraId="21624BA8">
      <w:pPr>
        <w:pStyle w:val="109"/>
      </w:pPr>
      <w:r>
        <w:rPr>
          <w:rFonts w:hint="eastAsia"/>
        </w:rPr>
        <w:t>若人行道上有机动车辆出入时，出入口路面 铺装结构宜采用机动车道的路面结构。其厚度应根据实际车辆荷载计算确定。</w:t>
      </w:r>
    </w:p>
    <w:p w14:paraId="7B9F2D35">
      <w:pPr>
        <w:pStyle w:val="112"/>
        <w:spacing w:before="156" w:after="156"/>
      </w:pPr>
      <w:r>
        <w:rPr>
          <w:rFonts w:hint="eastAsia"/>
        </w:rPr>
        <w:t>各结构层适宜厚度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58"/>
        <w:gridCol w:w="4395"/>
        <w:gridCol w:w="2681"/>
      </w:tblGrid>
      <w:tr w14:paraId="79A98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258" w:type="dxa"/>
            <w:tcBorders>
              <w:top w:val="single" w:color="auto" w:sz="8" w:space="0"/>
              <w:bottom w:val="single" w:color="auto" w:sz="8" w:space="0"/>
            </w:tcBorders>
            <w:shd w:val="clear" w:color="auto" w:fill="auto"/>
          </w:tcPr>
          <w:p w14:paraId="5C92A6D7">
            <w:pPr>
              <w:pStyle w:val="178"/>
            </w:pPr>
            <w:r>
              <w:rPr>
                <w:rFonts w:hint="eastAsia"/>
              </w:rPr>
              <w:t>项目</w:t>
            </w:r>
          </w:p>
        </w:tc>
        <w:tc>
          <w:tcPr>
            <w:tcW w:w="4395" w:type="dxa"/>
            <w:tcBorders>
              <w:top w:val="single" w:color="auto" w:sz="8" w:space="0"/>
              <w:bottom w:val="single" w:color="auto" w:sz="8" w:space="0"/>
            </w:tcBorders>
            <w:shd w:val="clear" w:color="auto" w:fill="auto"/>
          </w:tcPr>
          <w:p w14:paraId="1EAA9AAA">
            <w:pPr>
              <w:pStyle w:val="178"/>
            </w:pPr>
            <w:r>
              <w:rPr>
                <w:rFonts w:hint="eastAsia"/>
              </w:rPr>
              <w:t>结构层类型</w:t>
            </w:r>
          </w:p>
        </w:tc>
        <w:tc>
          <w:tcPr>
            <w:tcW w:w="2681" w:type="dxa"/>
            <w:tcBorders>
              <w:top w:val="single" w:color="auto" w:sz="8" w:space="0"/>
              <w:bottom w:val="single" w:color="auto" w:sz="8" w:space="0"/>
            </w:tcBorders>
            <w:shd w:val="clear" w:color="auto" w:fill="auto"/>
          </w:tcPr>
          <w:p w14:paraId="6AE47D25">
            <w:pPr>
              <w:pStyle w:val="178"/>
            </w:pPr>
            <w:r>
              <w:rPr>
                <w:rFonts w:hint="eastAsia"/>
              </w:rPr>
              <w:t>适宜厚度（mm）</w:t>
            </w:r>
          </w:p>
        </w:tc>
      </w:tr>
      <w:tr w14:paraId="38CD8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restart"/>
            <w:tcBorders>
              <w:top w:val="single" w:color="auto" w:sz="8" w:space="0"/>
            </w:tcBorders>
            <w:shd w:val="clear" w:color="auto" w:fill="auto"/>
          </w:tcPr>
          <w:p w14:paraId="38A17316">
            <w:pPr>
              <w:pStyle w:val="178"/>
            </w:pPr>
            <w:r>
              <w:rPr>
                <w:rFonts w:hint="eastAsia"/>
              </w:rPr>
              <w:t>面层</w:t>
            </w:r>
          </w:p>
        </w:tc>
        <w:tc>
          <w:tcPr>
            <w:tcW w:w="4395" w:type="dxa"/>
            <w:tcBorders>
              <w:top w:val="single" w:color="auto" w:sz="8" w:space="0"/>
            </w:tcBorders>
            <w:shd w:val="clear" w:color="auto" w:fill="auto"/>
          </w:tcPr>
          <w:p w14:paraId="5DF93BFD">
            <w:pPr>
              <w:pStyle w:val="178"/>
            </w:pPr>
            <w:r>
              <w:rPr>
                <w:rFonts w:hint="eastAsia"/>
              </w:rPr>
              <w:t>水泥混凝土预制砖（板）</w:t>
            </w:r>
          </w:p>
        </w:tc>
        <w:tc>
          <w:tcPr>
            <w:tcW w:w="2681" w:type="dxa"/>
            <w:tcBorders>
              <w:top w:val="single" w:color="auto" w:sz="8" w:space="0"/>
            </w:tcBorders>
            <w:shd w:val="clear" w:color="auto" w:fill="auto"/>
          </w:tcPr>
          <w:p w14:paraId="7F183F33">
            <w:pPr>
              <w:pStyle w:val="178"/>
            </w:pPr>
            <w:r>
              <w:t xml:space="preserve">50 </w:t>
            </w:r>
            <w:r>
              <w:rPr>
                <w:rFonts w:hint="eastAsia"/>
              </w:rPr>
              <w:t>～</w:t>
            </w:r>
            <w:r>
              <w:t>60</w:t>
            </w:r>
          </w:p>
        </w:tc>
      </w:tr>
      <w:tr w14:paraId="7389A8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continue"/>
            <w:shd w:val="clear" w:color="auto" w:fill="auto"/>
          </w:tcPr>
          <w:p w14:paraId="1E009BE3">
            <w:pPr>
              <w:pStyle w:val="178"/>
            </w:pPr>
          </w:p>
        </w:tc>
        <w:tc>
          <w:tcPr>
            <w:tcW w:w="4395" w:type="dxa"/>
            <w:shd w:val="clear" w:color="auto" w:fill="auto"/>
          </w:tcPr>
          <w:p w14:paraId="594161DF">
            <w:pPr>
              <w:pStyle w:val="178"/>
            </w:pPr>
            <w:r>
              <w:rPr>
                <w:rFonts w:hint="eastAsia"/>
              </w:rPr>
              <w:t>透水砖</w:t>
            </w:r>
          </w:p>
        </w:tc>
        <w:tc>
          <w:tcPr>
            <w:tcW w:w="2681" w:type="dxa"/>
            <w:shd w:val="clear" w:color="auto" w:fill="auto"/>
          </w:tcPr>
          <w:p w14:paraId="60A3818C">
            <w:pPr>
              <w:pStyle w:val="178"/>
            </w:pPr>
            <w:r>
              <w:rPr>
                <w:rFonts w:hint="eastAsia"/>
              </w:rPr>
              <w:t>60</w:t>
            </w:r>
          </w:p>
        </w:tc>
      </w:tr>
      <w:tr w14:paraId="011AB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continue"/>
            <w:shd w:val="clear" w:color="auto" w:fill="auto"/>
          </w:tcPr>
          <w:p w14:paraId="0C9DEFB5">
            <w:pPr>
              <w:pStyle w:val="178"/>
            </w:pPr>
          </w:p>
        </w:tc>
        <w:tc>
          <w:tcPr>
            <w:tcW w:w="4395" w:type="dxa"/>
            <w:shd w:val="clear" w:color="auto" w:fill="auto"/>
          </w:tcPr>
          <w:p w14:paraId="4538CA70">
            <w:pPr>
              <w:pStyle w:val="178"/>
            </w:pPr>
            <w:r>
              <w:rPr>
                <w:rFonts w:hint="eastAsia"/>
              </w:rPr>
              <w:t>现浇水泥混凝土</w:t>
            </w:r>
          </w:p>
        </w:tc>
        <w:tc>
          <w:tcPr>
            <w:tcW w:w="2681" w:type="dxa"/>
            <w:shd w:val="clear" w:color="auto" w:fill="auto"/>
          </w:tcPr>
          <w:p w14:paraId="2D6FB0A6">
            <w:pPr>
              <w:pStyle w:val="178"/>
            </w:pPr>
            <w:r>
              <w:t>120</w:t>
            </w:r>
            <w:r>
              <w:rPr>
                <w:rFonts w:hint="eastAsia"/>
              </w:rPr>
              <w:t>～</w:t>
            </w:r>
            <w:r>
              <w:t>150</w:t>
            </w:r>
          </w:p>
        </w:tc>
      </w:tr>
      <w:tr w14:paraId="589E5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continue"/>
            <w:shd w:val="clear" w:color="auto" w:fill="auto"/>
          </w:tcPr>
          <w:p w14:paraId="3F464F9C">
            <w:pPr>
              <w:pStyle w:val="178"/>
            </w:pPr>
          </w:p>
        </w:tc>
        <w:tc>
          <w:tcPr>
            <w:tcW w:w="4395" w:type="dxa"/>
            <w:shd w:val="clear" w:color="auto" w:fill="auto"/>
          </w:tcPr>
          <w:p w14:paraId="14D7BDD6">
            <w:pPr>
              <w:pStyle w:val="178"/>
            </w:pPr>
            <w:r>
              <w:rPr>
                <w:rFonts w:hint="eastAsia"/>
              </w:rPr>
              <w:t>石材板</w:t>
            </w:r>
          </w:p>
        </w:tc>
        <w:tc>
          <w:tcPr>
            <w:tcW w:w="2681" w:type="dxa"/>
            <w:shd w:val="clear" w:color="auto" w:fill="auto"/>
          </w:tcPr>
          <w:p w14:paraId="49BDCFC5">
            <w:pPr>
              <w:pStyle w:val="178"/>
            </w:pPr>
            <w:r>
              <w:rPr>
                <w:rFonts w:hint="eastAsia"/>
              </w:rPr>
              <w:t>≥30</w:t>
            </w:r>
          </w:p>
        </w:tc>
      </w:tr>
      <w:tr w14:paraId="6274F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continue"/>
            <w:shd w:val="clear" w:color="auto" w:fill="auto"/>
          </w:tcPr>
          <w:p w14:paraId="77A21F30">
            <w:pPr>
              <w:pStyle w:val="178"/>
            </w:pPr>
          </w:p>
        </w:tc>
        <w:tc>
          <w:tcPr>
            <w:tcW w:w="4395" w:type="dxa"/>
            <w:shd w:val="clear" w:color="auto" w:fill="auto"/>
          </w:tcPr>
          <w:p w14:paraId="22DAB042">
            <w:pPr>
              <w:pStyle w:val="178"/>
            </w:pPr>
            <w:r>
              <w:rPr>
                <w:rFonts w:hint="eastAsia"/>
              </w:rPr>
              <w:t>沥青混凝土</w:t>
            </w:r>
          </w:p>
        </w:tc>
        <w:tc>
          <w:tcPr>
            <w:tcW w:w="2681" w:type="dxa"/>
            <w:shd w:val="clear" w:color="auto" w:fill="auto"/>
          </w:tcPr>
          <w:p w14:paraId="7BB265F7">
            <w:pPr>
              <w:pStyle w:val="178"/>
            </w:pPr>
            <w:r>
              <w:rPr>
                <w:rFonts w:hint="eastAsia"/>
              </w:rPr>
              <w:t>≥40</w:t>
            </w:r>
          </w:p>
        </w:tc>
      </w:tr>
      <w:tr w14:paraId="457D9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restart"/>
            <w:shd w:val="clear" w:color="auto" w:fill="auto"/>
          </w:tcPr>
          <w:p w14:paraId="377E9D3B">
            <w:pPr>
              <w:pStyle w:val="178"/>
            </w:pPr>
            <w:r>
              <w:rPr>
                <w:rFonts w:hint="eastAsia"/>
              </w:rPr>
              <w:t>整平层</w:t>
            </w:r>
          </w:p>
        </w:tc>
        <w:tc>
          <w:tcPr>
            <w:tcW w:w="4395" w:type="dxa"/>
            <w:shd w:val="clear" w:color="auto" w:fill="auto"/>
          </w:tcPr>
          <w:p w14:paraId="38BCD383">
            <w:pPr>
              <w:pStyle w:val="178"/>
            </w:pPr>
            <w:r>
              <w:rPr>
                <w:rFonts w:hint="eastAsia"/>
              </w:rPr>
              <w:t>水泥砂浆</w:t>
            </w:r>
          </w:p>
        </w:tc>
        <w:tc>
          <w:tcPr>
            <w:tcW w:w="2681" w:type="dxa"/>
            <w:shd w:val="clear" w:color="auto" w:fill="auto"/>
          </w:tcPr>
          <w:p w14:paraId="595EE3EB">
            <w:pPr>
              <w:pStyle w:val="178"/>
            </w:pPr>
            <w:r>
              <w:t xml:space="preserve">20 </w:t>
            </w:r>
            <w:r>
              <w:rPr>
                <w:rFonts w:hint="eastAsia"/>
              </w:rPr>
              <w:t>～</w:t>
            </w:r>
            <w:r>
              <w:t>30</w:t>
            </w:r>
          </w:p>
        </w:tc>
      </w:tr>
      <w:tr w14:paraId="6BBFB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continue"/>
            <w:shd w:val="clear" w:color="auto" w:fill="auto"/>
          </w:tcPr>
          <w:p w14:paraId="785B249E">
            <w:pPr>
              <w:pStyle w:val="178"/>
            </w:pPr>
          </w:p>
        </w:tc>
        <w:tc>
          <w:tcPr>
            <w:tcW w:w="4395" w:type="dxa"/>
            <w:shd w:val="clear" w:color="auto" w:fill="auto"/>
          </w:tcPr>
          <w:p w14:paraId="503A27B6">
            <w:pPr>
              <w:pStyle w:val="178"/>
            </w:pPr>
            <w:r>
              <w:rPr>
                <w:rFonts w:hint="eastAsia"/>
              </w:rPr>
              <w:t>中、粗砂</w:t>
            </w:r>
          </w:p>
        </w:tc>
        <w:tc>
          <w:tcPr>
            <w:tcW w:w="2681" w:type="dxa"/>
            <w:shd w:val="clear" w:color="auto" w:fill="auto"/>
          </w:tcPr>
          <w:p w14:paraId="5E3DD1C0">
            <w:pPr>
              <w:pStyle w:val="178"/>
            </w:pPr>
            <w:r>
              <w:t xml:space="preserve">20 </w:t>
            </w:r>
            <w:r>
              <w:rPr>
                <w:rFonts w:hint="eastAsia"/>
              </w:rPr>
              <w:t>～</w:t>
            </w:r>
            <w:r>
              <w:t>30</w:t>
            </w:r>
          </w:p>
        </w:tc>
      </w:tr>
      <w:tr w14:paraId="043E3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shd w:val="clear" w:color="auto" w:fill="auto"/>
          </w:tcPr>
          <w:p w14:paraId="0C301D76">
            <w:pPr>
              <w:pStyle w:val="178"/>
            </w:pPr>
            <w:r>
              <w:rPr>
                <w:rFonts w:hint="eastAsia"/>
              </w:rPr>
              <w:t>柔性基层</w:t>
            </w:r>
          </w:p>
        </w:tc>
        <w:tc>
          <w:tcPr>
            <w:tcW w:w="4395" w:type="dxa"/>
            <w:shd w:val="clear" w:color="auto" w:fill="auto"/>
          </w:tcPr>
          <w:p w14:paraId="6ED3D7BC">
            <w:pPr>
              <w:pStyle w:val="178"/>
            </w:pPr>
            <w:r>
              <w:rPr>
                <w:rFonts w:hint="eastAsia"/>
              </w:rPr>
              <w:t>级配碎石</w:t>
            </w:r>
          </w:p>
        </w:tc>
        <w:tc>
          <w:tcPr>
            <w:tcW w:w="2681" w:type="dxa"/>
            <w:shd w:val="clear" w:color="auto" w:fill="auto"/>
          </w:tcPr>
          <w:p w14:paraId="7DF351B5">
            <w:pPr>
              <w:pStyle w:val="178"/>
            </w:pPr>
            <w:r>
              <w:t>150</w:t>
            </w:r>
            <w:r>
              <w:rPr>
                <w:rFonts w:hint="eastAsia"/>
              </w:rPr>
              <w:t>～</w:t>
            </w:r>
            <w:r>
              <w:t>200</w:t>
            </w:r>
          </w:p>
        </w:tc>
      </w:tr>
      <w:tr w14:paraId="0C5D5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shd w:val="clear" w:color="auto" w:fill="auto"/>
          </w:tcPr>
          <w:p w14:paraId="369FAB94">
            <w:pPr>
              <w:pStyle w:val="178"/>
            </w:pPr>
            <w:r>
              <w:rPr>
                <w:rFonts w:hint="eastAsia"/>
              </w:rPr>
              <w:t>刚性基层</w:t>
            </w:r>
          </w:p>
        </w:tc>
        <w:tc>
          <w:tcPr>
            <w:tcW w:w="4395" w:type="dxa"/>
            <w:shd w:val="clear" w:color="auto" w:fill="auto"/>
          </w:tcPr>
          <w:p w14:paraId="73723660">
            <w:pPr>
              <w:pStyle w:val="178"/>
            </w:pPr>
            <w:r>
              <w:rPr>
                <w:rFonts w:hint="eastAsia"/>
              </w:rPr>
              <w:t>水泥混凝土</w:t>
            </w:r>
          </w:p>
        </w:tc>
        <w:tc>
          <w:tcPr>
            <w:tcW w:w="2681" w:type="dxa"/>
            <w:shd w:val="clear" w:color="auto" w:fill="auto"/>
          </w:tcPr>
          <w:p w14:paraId="4CF86612">
            <w:pPr>
              <w:pStyle w:val="178"/>
            </w:pPr>
            <w:r>
              <w:t>120</w:t>
            </w:r>
            <w:r>
              <w:rPr>
                <w:rFonts w:hint="eastAsia"/>
              </w:rPr>
              <w:t>～</w:t>
            </w:r>
            <w:r>
              <w:t>150</w:t>
            </w:r>
          </w:p>
        </w:tc>
      </w:tr>
      <w:tr w14:paraId="47989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restart"/>
            <w:shd w:val="clear" w:color="auto" w:fill="auto"/>
          </w:tcPr>
          <w:p w14:paraId="45EE6A1E">
            <w:pPr>
              <w:pStyle w:val="178"/>
            </w:pPr>
            <w:r>
              <w:rPr>
                <w:rFonts w:hint="eastAsia"/>
              </w:rPr>
              <w:t>半刚性基层</w:t>
            </w:r>
          </w:p>
        </w:tc>
        <w:tc>
          <w:tcPr>
            <w:tcW w:w="4395" w:type="dxa"/>
            <w:shd w:val="clear" w:color="auto" w:fill="auto"/>
          </w:tcPr>
          <w:p w14:paraId="65076B8F">
            <w:pPr>
              <w:pStyle w:val="178"/>
            </w:pPr>
            <w:r>
              <w:rPr>
                <w:rFonts w:hint="eastAsia"/>
              </w:rPr>
              <w:t>水泥稳定碎石</w:t>
            </w:r>
          </w:p>
        </w:tc>
        <w:tc>
          <w:tcPr>
            <w:tcW w:w="2681" w:type="dxa"/>
            <w:shd w:val="clear" w:color="auto" w:fill="auto"/>
          </w:tcPr>
          <w:p w14:paraId="5BF17246">
            <w:pPr>
              <w:pStyle w:val="178"/>
            </w:pPr>
            <w:r>
              <w:t>150</w:t>
            </w:r>
            <w:r>
              <w:rPr>
                <w:rFonts w:hint="eastAsia"/>
              </w:rPr>
              <w:t>～</w:t>
            </w:r>
            <w:r>
              <w:t>200</w:t>
            </w:r>
          </w:p>
        </w:tc>
      </w:tr>
      <w:tr w14:paraId="72108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continue"/>
            <w:shd w:val="clear" w:color="auto" w:fill="auto"/>
          </w:tcPr>
          <w:p w14:paraId="56AFF3AD">
            <w:pPr>
              <w:pStyle w:val="178"/>
            </w:pPr>
          </w:p>
        </w:tc>
        <w:tc>
          <w:tcPr>
            <w:tcW w:w="4395" w:type="dxa"/>
            <w:shd w:val="clear" w:color="auto" w:fill="auto"/>
          </w:tcPr>
          <w:p w14:paraId="50828437">
            <w:pPr>
              <w:pStyle w:val="178"/>
            </w:pPr>
            <w:r>
              <w:rPr>
                <w:rFonts w:hint="eastAsia"/>
              </w:rPr>
              <w:t>透水性水泥稳定碎石</w:t>
            </w:r>
          </w:p>
        </w:tc>
        <w:tc>
          <w:tcPr>
            <w:tcW w:w="2681" w:type="dxa"/>
            <w:shd w:val="clear" w:color="auto" w:fill="auto"/>
          </w:tcPr>
          <w:p w14:paraId="69E8E026">
            <w:pPr>
              <w:pStyle w:val="178"/>
            </w:pPr>
            <w:r>
              <w:t>150</w:t>
            </w:r>
            <w:r>
              <w:rPr>
                <w:rFonts w:hint="eastAsia"/>
              </w:rPr>
              <w:t>～</w:t>
            </w:r>
            <w:r>
              <w:t>250</w:t>
            </w:r>
          </w:p>
        </w:tc>
      </w:tr>
      <w:tr w14:paraId="4386E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restart"/>
            <w:shd w:val="clear" w:color="auto" w:fill="auto"/>
          </w:tcPr>
          <w:p w14:paraId="7D25361C">
            <w:pPr>
              <w:pStyle w:val="178"/>
            </w:pPr>
            <w:r>
              <w:rPr>
                <w:rFonts w:hint="eastAsia"/>
              </w:rPr>
              <w:t>垫层</w:t>
            </w:r>
          </w:p>
        </w:tc>
        <w:tc>
          <w:tcPr>
            <w:tcW w:w="4395" w:type="dxa"/>
            <w:shd w:val="clear" w:color="auto" w:fill="auto"/>
          </w:tcPr>
          <w:p w14:paraId="173EC2E0">
            <w:pPr>
              <w:pStyle w:val="178"/>
            </w:pPr>
            <w:r>
              <w:rPr>
                <w:rFonts w:hint="eastAsia"/>
              </w:rPr>
              <w:t>级配碎石、砂砾石等</w:t>
            </w:r>
          </w:p>
        </w:tc>
        <w:tc>
          <w:tcPr>
            <w:tcW w:w="2681" w:type="dxa"/>
            <w:shd w:val="clear" w:color="auto" w:fill="auto"/>
          </w:tcPr>
          <w:p w14:paraId="77BE87A1">
            <w:pPr>
              <w:pStyle w:val="178"/>
            </w:pPr>
            <w:r>
              <w:t>150</w:t>
            </w:r>
            <w:r>
              <w:rPr>
                <w:rFonts w:hint="eastAsia"/>
              </w:rPr>
              <w:t>～</w:t>
            </w:r>
            <w:r>
              <w:t>300</w:t>
            </w:r>
          </w:p>
        </w:tc>
      </w:tr>
      <w:tr w14:paraId="4A36F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58" w:type="dxa"/>
            <w:vMerge w:val="continue"/>
            <w:shd w:val="clear" w:color="auto" w:fill="auto"/>
          </w:tcPr>
          <w:p w14:paraId="28CFD274">
            <w:pPr>
              <w:pStyle w:val="178"/>
            </w:pPr>
          </w:p>
        </w:tc>
        <w:tc>
          <w:tcPr>
            <w:tcW w:w="4395" w:type="dxa"/>
            <w:shd w:val="clear" w:color="auto" w:fill="auto"/>
          </w:tcPr>
          <w:p w14:paraId="2A001B12">
            <w:pPr>
              <w:pStyle w:val="178"/>
            </w:pPr>
            <w:r>
              <w:rPr>
                <w:rFonts w:hint="eastAsia"/>
              </w:rPr>
              <w:t>矿渣、路面旧料等</w:t>
            </w:r>
          </w:p>
        </w:tc>
        <w:tc>
          <w:tcPr>
            <w:tcW w:w="2681" w:type="dxa"/>
            <w:shd w:val="clear" w:color="auto" w:fill="auto"/>
          </w:tcPr>
          <w:p w14:paraId="6A147BD5">
            <w:pPr>
              <w:pStyle w:val="178"/>
            </w:pPr>
            <w:r>
              <w:t>100</w:t>
            </w:r>
            <w:r>
              <w:rPr>
                <w:rFonts w:hint="eastAsia"/>
              </w:rPr>
              <w:t>～</w:t>
            </w:r>
            <w:r>
              <w:t>180</w:t>
            </w:r>
          </w:p>
        </w:tc>
      </w:tr>
    </w:tbl>
    <w:p w14:paraId="1035BDD1">
      <w:pPr>
        <w:pStyle w:val="174"/>
        <w:numPr>
          <w:ilvl w:val="0"/>
          <w:numId w:val="33"/>
        </w:numPr>
      </w:pPr>
      <w:r>
        <w:rPr>
          <w:rFonts w:hint="eastAsia"/>
        </w:rPr>
        <w:t>人行道典型结构组合及各层参考厚度见表5所示。</w:t>
      </w:r>
    </w:p>
    <w:p w14:paraId="4ED78F6F">
      <w:pPr>
        <w:pStyle w:val="174"/>
        <w:numPr>
          <w:ilvl w:val="0"/>
          <w:numId w:val="0"/>
        </w:numPr>
      </w:pPr>
    </w:p>
    <w:p w14:paraId="12D6B8C9">
      <w:pPr>
        <w:pStyle w:val="174"/>
        <w:numPr>
          <w:ilvl w:val="0"/>
          <w:numId w:val="0"/>
        </w:numPr>
      </w:pPr>
    </w:p>
    <w:p w14:paraId="302FDB95">
      <w:pPr>
        <w:pStyle w:val="174"/>
        <w:numPr>
          <w:ilvl w:val="0"/>
          <w:numId w:val="0"/>
        </w:numPr>
      </w:pPr>
    </w:p>
    <w:p w14:paraId="56158E0A">
      <w:pPr>
        <w:pStyle w:val="112"/>
        <w:spacing w:before="156" w:after="156"/>
      </w:pPr>
      <w:r>
        <w:rPr>
          <w:rFonts w:hint="eastAsia"/>
        </w:rPr>
        <w:t>人行道典型结构组合及各层参考厚度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6"/>
        <w:gridCol w:w="1867"/>
        <w:gridCol w:w="1867"/>
        <w:gridCol w:w="1867"/>
        <w:gridCol w:w="1867"/>
      </w:tblGrid>
      <w:tr w14:paraId="5BA27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866" w:type="dxa"/>
            <w:vMerge w:val="restart"/>
            <w:tcBorders>
              <w:top w:val="single" w:color="auto" w:sz="8" w:space="0"/>
            </w:tcBorders>
            <w:shd w:val="clear" w:color="auto" w:fill="auto"/>
            <w:vAlign w:val="center"/>
          </w:tcPr>
          <w:p w14:paraId="2250D27A">
            <w:pPr>
              <w:pStyle w:val="178"/>
            </w:pPr>
            <w:r>
              <w:rPr>
                <w:rFonts w:hint="eastAsia"/>
              </w:rPr>
              <w:t>面层</w:t>
            </w:r>
          </w:p>
        </w:tc>
        <w:tc>
          <w:tcPr>
            <w:tcW w:w="1867" w:type="dxa"/>
            <w:vMerge w:val="restart"/>
            <w:tcBorders>
              <w:top w:val="single" w:color="auto" w:sz="8" w:space="0"/>
            </w:tcBorders>
            <w:shd w:val="clear" w:color="auto" w:fill="auto"/>
            <w:vAlign w:val="center"/>
          </w:tcPr>
          <w:p w14:paraId="06FC0AE5">
            <w:pPr>
              <w:pStyle w:val="178"/>
            </w:pPr>
            <w:r>
              <w:rPr>
                <w:rFonts w:hint="eastAsia"/>
              </w:rPr>
              <w:t>厚度≥30mm石材板/</w:t>
            </w:r>
          </w:p>
        </w:tc>
        <w:tc>
          <w:tcPr>
            <w:tcW w:w="3734" w:type="dxa"/>
            <w:gridSpan w:val="2"/>
            <w:tcBorders>
              <w:top w:val="single" w:color="auto" w:sz="8" w:space="0"/>
              <w:bottom w:val="single" w:color="auto" w:sz="8" w:space="0"/>
            </w:tcBorders>
            <w:shd w:val="clear" w:color="auto" w:fill="auto"/>
            <w:vAlign w:val="center"/>
          </w:tcPr>
          <w:p w14:paraId="71A9E69B">
            <w:pPr>
              <w:pStyle w:val="178"/>
            </w:pPr>
            <w:r>
              <w:rPr>
                <w:rFonts w:hint="eastAsia"/>
              </w:rPr>
              <w:t>厚度60mm透水砖</w:t>
            </w:r>
          </w:p>
        </w:tc>
        <w:tc>
          <w:tcPr>
            <w:tcW w:w="1867" w:type="dxa"/>
            <w:vMerge w:val="restart"/>
            <w:tcBorders>
              <w:top w:val="single" w:color="auto" w:sz="8" w:space="0"/>
            </w:tcBorders>
            <w:shd w:val="clear" w:color="auto" w:fill="auto"/>
            <w:vAlign w:val="center"/>
          </w:tcPr>
          <w:p w14:paraId="24A534B9">
            <w:pPr>
              <w:pStyle w:val="178"/>
            </w:pPr>
            <w:r>
              <w:rPr>
                <w:rFonts w:hint="eastAsia"/>
              </w:rPr>
              <w:t>厚度50mm水泥混凝土预制砖（板）</w:t>
            </w:r>
          </w:p>
        </w:tc>
      </w:tr>
      <w:tr w14:paraId="6B264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Merge w:val="continue"/>
            <w:shd w:val="clear" w:color="auto" w:fill="auto"/>
            <w:vAlign w:val="center"/>
          </w:tcPr>
          <w:p w14:paraId="1CF9497C">
            <w:pPr>
              <w:pStyle w:val="178"/>
            </w:pPr>
          </w:p>
        </w:tc>
        <w:tc>
          <w:tcPr>
            <w:tcW w:w="1867" w:type="dxa"/>
            <w:vMerge w:val="continue"/>
            <w:shd w:val="clear" w:color="auto" w:fill="auto"/>
            <w:vAlign w:val="center"/>
          </w:tcPr>
          <w:p w14:paraId="40881175">
            <w:pPr>
              <w:pStyle w:val="178"/>
            </w:pPr>
          </w:p>
        </w:tc>
        <w:tc>
          <w:tcPr>
            <w:tcW w:w="1867" w:type="dxa"/>
            <w:tcBorders>
              <w:top w:val="single" w:color="auto" w:sz="8" w:space="0"/>
            </w:tcBorders>
            <w:shd w:val="clear" w:color="auto" w:fill="auto"/>
            <w:vAlign w:val="center"/>
          </w:tcPr>
          <w:p w14:paraId="66EF8B8B">
            <w:pPr>
              <w:pStyle w:val="178"/>
            </w:pPr>
            <w:r>
              <w:rPr>
                <w:rFonts w:hint="eastAsia"/>
              </w:rPr>
              <w:t>全透水</w:t>
            </w:r>
          </w:p>
        </w:tc>
        <w:tc>
          <w:tcPr>
            <w:tcW w:w="1867" w:type="dxa"/>
            <w:tcBorders>
              <w:top w:val="single" w:color="auto" w:sz="8" w:space="0"/>
            </w:tcBorders>
            <w:shd w:val="clear" w:color="auto" w:fill="auto"/>
            <w:vAlign w:val="center"/>
          </w:tcPr>
          <w:p w14:paraId="4EA4E18E">
            <w:pPr>
              <w:pStyle w:val="178"/>
            </w:pPr>
            <w:r>
              <w:rPr>
                <w:rFonts w:hint="eastAsia"/>
              </w:rPr>
              <w:t>面砖透水</w:t>
            </w:r>
          </w:p>
        </w:tc>
        <w:tc>
          <w:tcPr>
            <w:tcW w:w="1867" w:type="dxa"/>
            <w:vMerge w:val="continue"/>
            <w:shd w:val="clear" w:color="auto" w:fill="auto"/>
            <w:vAlign w:val="center"/>
          </w:tcPr>
          <w:p w14:paraId="2FC00443">
            <w:pPr>
              <w:pStyle w:val="178"/>
            </w:pPr>
          </w:p>
        </w:tc>
      </w:tr>
      <w:tr w14:paraId="26B12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0A9C2623">
            <w:pPr>
              <w:pStyle w:val="178"/>
            </w:pPr>
            <w:r>
              <w:rPr>
                <w:rFonts w:hint="eastAsia"/>
              </w:rPr>
              <w:t>整平层</w:t>
            </w:r>
          </w:p>
        </w:tc>
        <w:tc>
          <w:tcPr>
            <w:tcW w:w="1867" w:type="dxa"/>
            <w:shd w:val="clear" w:color="auto" w:fill="auto"/>
            <w:vAlign w:val="center"/>
          </w:tcPr>
          <w:p w14:paraId="13923F59">
            <w:pPr>
              <w:pStyle w:val="178"/>
            </w:pPr>
            <w:r>
              <w:rPr>
                <w:rFonts w:hint="eastAsia"/>
              </w:rPr>
              <w:t>30mm厚水泥砂浆</w:t>
            </w:r>
          </w:p>
        </w:tc>
        <w:tc>
          <w:tcPr>
            <w:tcW w:w="1867" w:type="dxa"/>
            <w:shd w:val="clear" w:color="auto" w:fill="auto"/>
            <w:vAlign w:val="center"/>
          </w:tcPr>
          <w:p w14:paraId="1E1D0B16">
            <w:pPr>
              <w:pStyle w:val="178"/>
            </w:pPr>
            <w:r>
              <w:rPr>
                <w:rFonts w:hint="eastAsia"/>
              </w:rPr>
              <w:t>30mm厚中粗砂</w:t>
            </w:r>
          </w:p>
        </w:tc>
        <w:tc>
          <w:tcPr>
            <w:tcW w:w="1867" w:type="dxa"/>
            <w:shd w:val="clear" w:color="auto" w:fill="auto"/>
            <w:vAlign w:val="center"/>
          </w:tcPr>
          <w:p w14:paraId="5A02C9F2">
            <w:pPr>
              <w:pStyle w:val="178"/>
            </w:pPr>
            <w:r>
              <w:t>30mm</w:t>
            </w:r>
            <w:r>
              <w:rPr>
                <w:rFonts w:hint="eastAsia"/>
              </w:rPr>
              <w:t>～</w:t>
            </w:r>
            <w:r>
              <w:t>50mm</w:t>
            </w:r>
            <w:r>
              <w:rPr>
                <w:rFonts w:hint="eastAsia"/>
              </w:rPr>
              <w:t>厚水泥砂浆</w:t>
            </w:r>
          </w:p>
        </w:tc>
        <w:tc>
          <w:tcPr>
            <w:tcW w:w="1867" w:type="dxa"/>
            <w:shd w:val="clear" w:color="auto" w:fill="auto"/>
            <w:vAlign w:val="center"/>
          </w:tcPr>
          <w:p w14:paraId="34E9F675">
            <w:pPr>
              <w:pStyle w:val="178"/>
            </w:pPr>
            <w:r>
              <w:rPr>
                <w:rFonts w:hint="eastAsia"/>
              </w:rPr>
              <w:t>30mm厚水泥砂浆</w:t>
            </w:r>
          </w:p>
        </w:tc>
      </w:tr>
      <w:tr w14:paraId="759C6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18115B79">
            <w:pPr>
              <w:pStyle w:val="178"/>
            </w:pPr>
            <w:r>
              <w:rPr>
                <w:rFonts w:hint="eastAsia"/>
              </w:rPr>
              <w:t>基层</w:t>
            </w:r>
          </w:p>
        </w:tc>
        <w:tc>
          <w:tcPr>
            <w:tcW w:w="1867" w:type="dxa"/>
            <w:shd w:val="clear" w:color="auto" w:fill="auto"/>
            <w:vAlign w:val="center"/>
          </w:tcPr>
          <w:p w14:paraId="4A9747BB">
            <w:pPr>
              <w:pStyle w:val="178"/>
            </w:pPr>
            <w:r>
              <w:rPr>
                <w:rFonts w:hint="eastAsia"/>
              </w:rPr>
              <w:t>120mm～150mm厚水泥混凝土/150mm～200mm水泥稳定碎石</w:t>
            </w:r>
          </w:p>
        </w:tc>
        <w:tc>
          <w:tcPr>
            <w:tcW w:w="1867" w:type="dxa"/>
            <w:shd w:val="clear" w:color="auto" w:fill="auto"/>
            <w:vAlign w:val="center"/>
          </w:tcPr>
          <w:p w14:paraId="53731440">
            <w:pPr>
              <w:pStyle w:val="178"/>
            </w:pPr>
            <w:r>
              <w:rPr>
                <w:rFonts w:hint="eastAsia"/>
              </w:rPr>
              <w:t>150mm～250mm厚透水混凝土/透水水泥稳定碎石</w:t>
            </w:r>
          </w:p>
        </w:tc>
        <w:tc>
          <w:tcPr>
            <w:tcW w:w="1867" w:type="dxa"/>
            <w:shd w:val="clear" w:color="auto" w:fill="auto"/>
            <w:vAlign w:val="center"/>
          </w:tcPr>
          <w:p w14:paraId="0C707FBB">
            <w:pPr>
              <w:pStyle w:val="178"/>
            </w:pPr>
            <w:r>
              <w:rPr>
                <w:rFonts w:hint="eastAsia"/>
              </w:rPr>
              <w:t>120mm～150mm厚水泥混凝土/150mm～200mm水泥稳定碎石</w:t>
            </w:r>
          </w:p>
        </w:tc>
        <w:tc>
          <w:tcPr>
            <w:tcW w:w="1867" w:type="dxa"/>
            <w:shd w:val="clear" w:color="auto" w:fill="auto"/>
            <w:vAlign w:val="center"/>
          </w:tcPr>
          <w:p w14:paraId="01AF8D9F">
            <w:pPr>
              <w:pStyle w:val="178"/>
            </w:pPr>
            <w:r>
              <w:rPr>
                <w:rFonts w:hint="eastAsia"/>
              </w:rPr>
              <w:t>120mm～150mm厚水泥混凝/150mm～200mm水泥稳定碎石</w:t>
            </w:r>
          </w:p>
        </w:tc>
      </w:tr>
      <w:tr w14:paraId="2123D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4832A0F6">
            <w:pPr>
              <w:pStyle w:val="178"/>
            </w:pPr>
            <w:r>
              <w:rPr>
                <w:rFonts w:hint="eastAsia"/>
              </w:rPr>
              <w:t>垫层</w:t>
            </w:r>
          </w:p>
        </w:tc>
        <w:tc>
          <w:tcPr>
            <w:tcW w:w="1867" w:type="dxa"/>
            <w:shd w:val="clear" w:color="auto" w:fill="auto"/>
            <w:vAlign w:val="center"/>
          </w:tcPr>
          <w:p w14:paraId="781B4973">
            <w:pPr>
              <w:pStyle w:val="178"/>
            </w:pPr>
            <w:r>
              <w:rPr>
                <w:rFonts w:hint="eastAsia"/>
              </w:rPr>
              <w:t>150mm厚级配碎石/天然砂砾</w:t>
            </w:r>
          </w:p>
        </w:tc>
        <w:tc>
          <w:tcPr>
            <w:tcW w:w="1867" w:type="dxa"/>
            <w:shd w:val="clear" w:color="auto" w:fill="auto"/>
            <w:vAlign w:val="center"/>
          </w:tcPr>
          <w:p w14:paraId="54FE1E0D">
            <w:pPr>
              <w:pStyle w:val="178"/>
            </w:pPr>
            <w:r>
              <w:rPr>
                <w:rFonts w:hint="eastAsia"/>
              </w:rPr>
              <w:t>150mm厚级配碎石/天然砂砾</w:t>
            </w:r>
          </w:p>
        </w:tc>
        <w:tc>
          <w:tcPr>
            <w:tcW w:w="1867" w:type="dxa"/>
            <w:shd w:val="clear" w:color="auto" w:fill="auto"/>
            <w:vAlign w:val="center"/>
          </w:tcPr>
          <w:p w14:paraId="15EE7E7E">
            <w:pPr>
              <w:pStyle w:val="178"/>
            </w:pPr>
            <w:r>
              <w:rPr>
                <w:rFonts w:hint="eastAsia"/>
              </w:rPr>
              <w:t>150mm厚级配 碎石/天然砂砾</w:t>
            </w:r>
          </w:p>
        </w:tc>
        <w:tc>
          <w:tcPr>
            <w:tcW w:w="1867" w:type="dxa"/>
            <w:shd w:val="clear" w:color="auto" w:fill="auto"/>
            <w:vAlign w:val="center"/>
          </w:tcPr>
          <w:p w14:paraId="5EEA2BB5">
            <w:pPr>
              <w:pStyle w:val="178"/>
            </w:pPr>
            <w:r>
              <w:rPr>
                <w:rFonts w:hint="eastAsia"/>
              </w:rPr>
              <w:t>150mm厚级配碎石/天然砂砾</w:t>
            </w:r>
          </w:p>
        </w:tc>
      </w:tr>
      <w:tr w14:paraId="1755FB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166DDC66">
            <w:pPr>
              <w:pStyle w:val="178"/>
            </w:pPr>
            <w:r>
              <w:rPr>
                <w:rFonts w:hint="eastAsia"/>
              </w:rPr>
              <w:t>路基</w:t>
            </w:r>
          </w:p>
        </w:tc>
        <w:tc>
          <w:tcPr>
            <w:tcW w:w="7468" w:type="dxa"/>
            <w:gridSpan w:val="4"/>
            <w:shd w:val="clear" w:color="auto" w:fill="auto"/>
            <w:vAlign w:val="center"/>
          </w:tcPr>
          <w:p w14:paraId="58B9340D">
            <w:pPr>
              <w:pStyle w:val="178"/>
            </w:pPr>
            <w:r>
              <w:rPr>
                <w:rFonts w:hint="eastAsia"/>
              </w:rPr>
              <w:t>密实地基</w:t>
            </w:r>
          </w:p>
        </w:tc>
      </w:tr>
    </w:tbl>
    <w:p w14:paraId="652ECAE2">
      <w:pPr>
        <w:pStyle w:val="105"/>
        <w:spacing w:before="156" w:after="156"/>
      </w:pPr>
      <w:bookmarkStart w:id="141" w:name="_Toc177723432"/>
      <w:bookmarkStart w:id="142" w:name="_Toc177647697"/>
      <w:bookmarkStart w:id="143" w:name="_Toc177981354"/>
      <w:bookmarkStart w:id="144" w:name="_Toc177645327"/>
      <w:bookmarkStart w:id="145" w:name="_Toc177734859"/>
      <w:bookmarkStart w:id="146" w:name="_Toc178324998"/>
      <w:bookmarkStart w:id="147" w:name="_Toc177634228"/>
      <w:bookmarkStart w:id="148" w:name="_Toc177736923"/>
      <w:r>
        <w:rPr>
          <w:rFonts w:hint="eastAsia"/>
        </w:rPr>
        <w:t>铺装面层</w:t>
      </w:r>
      <w:bookmarkEnd w:id="141"/>
      <w:bookmarkEnd w:id="142"/>
      <w:bookmarkEnd w:id="143"/>
      <w:bookmarkEnd w:id="144"/>
      <w:bookmarkEnd w:id="145"/>
      <w:bookmarkEnd w:id="146"/>
      <w:bookmarkEnd w:id="147"/>
      <w:bookmarkEnd w:id="148"/>
    </w:p>
    <w:p w14:paraId="4BBFB3BF">
      <w:pPr>
        <w:pStyle w:val="165"/>
      </w:pPr>
      <w:r>
        <w:rPr>
          <w:rFonts w:hint="eastAsia"/>
        </w:rPr>
        <w:t>一般规定</w:t>
      </w:r>
    </w:p>
    <w:p w14:paraId="0BC7DEE7">
      <w:pPr>
        <w:pStyle w:val="174"/>
        <w:numPr>
          <w:ilvl w:val="0"/>
          <w:numId w:val="35"/>
        </w:numPr>
      </w:pPr>
      <w:r>
        <w:rPr>
          <w:rFonts w:hint="eastAsia"/>
        </w:rPr>
        <w:t>人行道主色调，同一路段铺装面层材料不宜超过三种颜色。选取应根据街道特色确定，确保人行道颜色与街道氛围匹配，颜色不宜跳跃张扬，宜选用统一的深色系作为背景色，减少地面热辐射。人行道铺装面材颜色应与路缘石颜色有所差别，以起到提示作用。</w:t>
      </w:r>
    </w:p>
    <w:p w14:paraId="2F64F3E1">
      <w:pPr>
        <w:pStyle w:val="174"/>
      </w:pPr>
      <w:r>
        <w:rPr>
          <w:rFonts w:hint="eastAsia"/>
        </w:rPr>
        <w:t>盲道、坡道、梯道材料的色彩，一般情况下应按照《无障碍设计规范》GB 50763规定的中黄色选用，如考虑到与人行道铺装色彩的协调，可采用与人行道相近或一致的色彩。</w:t>
      </w:r>
    </w:p>
    <w:p w14:paraId="61D38AC0">
      <w:pPr>
        <w:pStyle w:val="174"/>
      </w:pPr>
      <w:r>
        <w:rPr>
          <w:rFonts w:hint="eastAsia"/>
        </w:rPr>
        <w:t>人行道铺装图案应与周边环境相协调，图案设计应突出地方文化；有特殊要求的商业街道、景观街道、广场、步行街，应根据街道风貌特色要求及项目特点，可另行专项设计。</w:t>
      </w:r>
    </w:p>
    <w:p w14:paraId="04E99783">
      <w:pPr>
        <w:pStyle w:val="174"/>
      </w:pPr>
      <w:r>
        <w:rPr>
          <w:rFonts w:hint="eastAsia"/>
        </w:rPr>
        <w:t>人行道铺面材料选择以经济性和适宜性为原则，应首先满足使用功能要求；面层材料应满足使用功能和产品的物理力学性能。人行道铺面材料宜采用路面砖（板）、水泥混凝土预制块、PC砖或其它符合规范要求的现浇路面材料。人行道铺面材料尺寸应结合铺砌宽度、缘石宽度和施工难度，综合选取材料尺寸。面层材料可采用水泥混凝土预制砖（板）、现浇水泥混凝土、石材板、广场砖、透水砖、沥青混凝土等材质；新建和维修广场、停车场、人行道不得采用光面混凝土路面砖。</w:t>
      </w:r>
    </w:p>
    <w:p w14:paraId="7A96146A">
      <w:pPr>
        <w:pStyle w:val="174"/>
      </w:pPr>
      <w:r>
        <w:rPr>
          <w:rFonts w:hint="eastAsia"/>
        </w:rPr>
        <w:t>与树穴、盲道相接处应减少切砖数量，保证施工质量和美观的双重需要。</w:t>
      </w:r>
    </w:p>
    <w:p w14:paraId="174D6AC6">
      <w:pPr>
        <w:pStyle w:val="174"/>
      </w:pPr>
      <w:r>
        <w:rPr>
          <w:rFonts w:hint="eastAsia"/>
        </w:rPr>
        <w:t>人行道步砖在同一个坡向（横坡或纵坡）路段内不得出现反坡、凹槽现象，避免积水。人行道步砖应根据设计确定的尺寸大小和拼装图案进行拼接，接缝采用细砂扫缝，灌封3</w:t>
      </w:r>
      <w:r>
        <w:rPr>
          <w:rFonts w:hint="eastAsia" w:hAnsi="宋体"/>
        </w:rPr>
        <w:t>～</w:t>
      </w:r>
      <w:r>
        <w:rPr>
          <w:rFonts w:hint="eastAsia"/>
        </w:rPr>
        <w:t>5遍，浅色系步砖宜采用白色石英砂扫缝，缝宽严格控制（-2</w:t>
      </w:r>
      <w:r>
        <w:rPr>
          <w:rFonts w:hint="eastAsia" w:hAnsi="宋体"/>
        </w:rPr>
        <w:t>～</w:t>
      </w:r>
      <w:r>
        <w:rPr>
          <w:rFonts w:hint="eastAsia"/>
        </w:rPr>
        <w:t>3）mm以内，纵横缝直顺度≤10mm。待步砖碾压成型后，将其表面清扫干净。人行道（含步砖、盲道砖）拼接应符合表6要求：</w:t>
      </w:r>
    </w:p>
    <w:p w14:paraId="2622B20E">
      <w:pPr>
        <w:pStyle w:val="112"/>
        <w:spacing w:before="156" w:after="156"/>
      </w:pPr>
      <w:r>
        <w:t>人行道面层外观质量许偏差</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6"/>
        <w:gridCol w:w="1867"/>
        <w:gridCol w:w="1867"/>
        <w:gridCol w:w="1867"/>
        <w:gridCol w:w="1867"/>
      </w:tblGrid>
      <w:tr w14:paraId="25D99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66" w:type="dxa"/>
            <w:vMerge w:val="restart"/>
            <w:tcBorders>
              <w:top w:val="single" w:color="auto" w:sz="8" w:space="0"/>
            </w:tcBorders>
            <w:shd w:val="clear" w:color="auto" w:fill="auto"/>
            <w:vAlign w:val="center"/>
          </w:tcPr>
          <w:p w14:paraId="68970A85">
            <w:pPr>
              <w:pStyle w:val="178"/>
            </w:pPr>
            <w:r>
              <w:rPr>
                <w:rFonts w:hint="eastAsia"/>
              </w:rPr>
              <w:t>项目</w:t>
            </w:r>
          </w:p>
        </w:tc>
        <w:tc>
          <w:tcPr>
            <w:tcW w:w="1867" w:type="dxa"/>
            <w:vMerge w:val="restart"/>
            <w:tcBorders>
              <w:top w:val="single" w:color="auto" w:sz="8" w:space="0"/>
            </w:tcBorders>
            <w:shd w:val="clear" w:color="auto" w:fill="auto"/>
            <w:vAlign w:val="center"/>
          </w:tcPr>
          <w:p w14:paraId="4CE818A1">
            <w:pPr>
              <w:pStyle w:val="178"/>
            </w:pPr>
            <w:r>
              <w:rPr>
                <w:rFonts w:hint="eastAsia"/>
              </w:rPr>
              <w:t>允许偏差</w:t>
            </w:r>
          </w:p>
        </w:tc>
        <w:tc>
          <w:tcPr>
            <w:tcW w:w="3734" w:type="dxa"/>
            <w:gridSpan w:val="2"/>
            <w:tcBorders>
              <w:top w:val="single" w:color="auto" w:sz="8" w:space="0"/>
              <w:bottom w:val="single" w:color="auto" w:sz="8" w:space="0"/>
            </w:tcBorders>
            <w:shd w:val="clear" w:color="auto" w:fill="auto"/>
            <w:vAlign w:val="center"/>
          </w:tcPr>
          <w:p w14:paraId="62244C8A">
            <w:pPr>
              <w:pStyle w:val="178"/>
            </w:pPr>
            <w:r>
              <w:rPr>
                <w:rFonts w:hint="eastAsia"/>
              </w:rPr>
              <w:t>检测频率</w:t>
            </w:r>
          </w:p>
        </w:tc>
        <w:tc>
          <w:tcPr>
            <w:tcW w:w="1867" w:type="dxa"/>
            <w:vMerge w:val="restart"/>
            <w:tcBorders>
              <w:top w:val="single" w:color="auto" w:sz="8" w:space="0"/>
            </w:tcBorders>
            <w:shd w:val="clear" w:color="auto" w:fill="auto"/>
            <w:vAlign w:val="center"/>
          </w:tcPr>
          <w:p w14:paraId="39D25540">
            <w:pPr>
              <w:pStyle w:val="178"/>
            </w:pPr>
            <w:r>
              <w:rPr>
                <w:rFonts w:hint="eastAsia"/>
              </w:rPr>
              <w:t>检验方法</w:t>
            </w:r>
          </w:p>
        </w:tc>
      </w:tr>
      <w:tr w14:paraId="628C7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Merge w:val="continue"/>
            <w:shd w:val="clear" w:color="auto" w:fill="auto"/>
            <w:vAlign w:val="center"/>
          </w:tcPr>
          <w:p w14:paraId="0A4CEF5F">
            <w:pPr>
              <w:pStyle w:val="178"/>
            </w:pPr>
          </w:p>
        </w:tc>
        <w:tc>
          <w:tcPr>
            <w:tcW w:w="1867" w:type="dxa"/>
            <w:vMerge w:val="continue"/>
            <w:shd w:val="clear" w:color="auto" w:fill="auto"/>
            <w:vAlign w:val="center"/>
          </w:tcPr>
          <w:p w14:paraId="1E00CAF4">
            <w:pPr>
              <w:pStyle w:val="178"/>
            </w:pPr>
          </w:p>
        </w:tc>
        <w:tc>
          <w:tcPr>
            <w:tcW w:w="1867" w:type="dxa"/>
            <w:tcBorders>
              <w:top w:val="single" w:color="auto" w:sz="8" w:space="0"/>
            </w:tcBorders>
            <w:shd w:val="clear" w:color="auto" w:fill="auto"/>
            <w:vAlign w:val="center"/>
          </w:tcPr>
          <w:p w14:paraId="508D1068">
            <w:pPr>
              <w:pStyle w:val="178"/>
            </w:pPr>
            <w:r>
              <w:rPr>
                <w:rFonts w:hint="eastAsia"/>
              </w:rPr>
              <w:t>范围</w:t>
            </w:r>
          </w:p>
        </w:tc>
        <w:tc>
          <w:tcPr>
            <w:tcW w:w="1867" w:type="dxa"/>
            <w:tcBorders>
              <w:top w:val="single" w:color="auto" w:sz="8" w:space="0"/>
            </w:tcBorders>
            <w:shd w:val="clear" w:color="auto" w:fill="auto"/>
            <w:vAlign w:val="center"/>
          </w:tcPr>
          <w:p w14:paraId="421BB27D">
            <w:pPr>
              <w:pStyle w:val="178"/>
            </w:pPr>
            <w:r>
              <w:rPr>
                <w:rFonts w:hint="eastAsia"/>
              </w:rPr>
              <w:t>点数</w:t>
            </w:r>
          </w:p>
        </w:tc>
        <w:tc>
          <w:tcPr>
            <w:tcW w:w="1867" w:type="dxa"/>
            <w:vMerge w:val="continue"/>
            <w:shd w:val="clear" w:color="auto" w:fill="auto"/>
            <w:vAlign w:val="center"/>
          </w:tcPr>
          <w:p w14:paraId="0BD786D8">
            <w:pPr>
              <w:pStyle w:val="178"/>
            </w:pPr>
          </w:p>
        </w:tc>
      </w:tr>
      <w:tr w14:paraId="486B0D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2631F9B9">
            <w:pPr>
              <w:pStyle w:val="178"/>
            </w:pPr>
            <w:r>
              <w:rPr>
                <w:rFonts w:hint="eastAsia"/>
              </w:rPr>
              <w:t>高程（mm）</w:t>
            </w:r>
          </w:p>
        </w:tc>
        <w:tc>
          <w:tcPr>
            <w:tcW w:w="1867" w:type="dxa"/>
            <w:shd w:val="clear" w:color="auto" w:fill="auto"/>
            <w:vAlign w:val="center"/>
          </w:tcPr>
          <w:p w14:paraId="7505D94F">
            <w:pPr>
              <w:pStyle w:val="178"/>
            </w:pPr>
            <w:r>
              <w:rPr>
                <w:rFonts w:hint="eastAsia"/>
              </w:rPr>
              <w:t>±</w:t>
            </w:r>
            <w:r>
              <w:t>15</w:t>
            </w:r>
          </w:p>
        </w:tc>
        <w:tc>
          <w:tcPr>
            <w:tcW w:w="1867" w:type="dxa"/>
            <w:shd w:val="clear" w:color="auto" w:fill="auto"/>
            <w:vAlign w:val="center"/>
          </w:tcPr>
          <w:p w14:paraId="34E7DC72">
            <w:pPr>
              <w:pStyle w:val="178"/>
            </w:pPr>
            <w:r>
              <w:t>20m</w:t>
            </w:r>
          </w:p>
        </w:tc>
        <w:tc>
          <w:tcPr>
            <w:tcW w:w="1867" w:type="dxa"/>
            <w:shd w:val="clear" w:color="auto" w:fill="auto"/>
            <w:vAlign w:val="center"/>
          </w:tcPr>
          <w:p w14:paraId="3E804784">
            <w:pPr>
              <w:pStyle w:val="178"/>
            </w:pPr>
            <w:r>
              <w:t>1</w:t>
            </w:r>
          </w:p>
        </w:tc>
        <w:tc>
          <w:tcPr>
            <w:tcW w:w="1867" w:type="dxa"/>
            <w:shd w:val="clear" w:color="auto" w:fill="auto"/>
            <w:vAlign w:val="center"/>
          </w:tcPr>
          <w:p w14:paraId="595D6585">
            <w:pPr>
              <w:pStyle w:val="178"/>
            </w:pPr>
            <w:r>
              <w:rPr>
                <w:rFonts w:hint="eastAsia"/>
              </w:rPr>
              <w:t>用水准仪测量</w:t>
            </w:r>
          </w:p>
        </w:tc>
      </w:tr>
      <w:tr w14:paraId="07776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54886594">
            <w:pPr>
              <w:pStyle w:val="178"/>
            </w:pPr>
            <w:r>
              <w:rPr>
                <w:rFonts w:hint="eastAsia"/>
              </w:rPr>
              <w:t>中线偏位（mm）</w:t>
            </w:r>
          </w:p>
        </w:tc>
        <w:tc>
          <w:tcPr>
            <w:tcW w:w="1867" w:type="dxa"/>
            <w:shd w:val="clear" w:color="auto" w:fill="auto"/>
            <w:vAlign w:val="center"/>
          </w:tcPr>
          <w:p w14:paraId="1AE3CBC9">
            <w:pPr>
              <w:pStyle w:val="178"/>
            </w:pPr>
            <w:r>
              <w:rPr>
                <w:rFonts w:hint="eastAsia"/>
              </w:rPr>
              <w:t>≤20</w:t>
            </w:r>
          </w:p>
        </w:tc>
        <w:tc>
          <w:tcPr>
            <w:tcW w:w="1867" w:type="dxa"/>
            <w:shd w:val="clear" w:color="auto" w:fill="auto"/>
            <w:vAlign w:val="center"/>
          </w:tcPr>
          <w:p w14:paraId="6FF9185D">
            <w:pPr>
              <w:pStyle w:val="178"/>
            </w:pPr>
            <w:r>
              <w:t>100m</w:t>
            </w:r>
          </w:p>
        </w:tc>
        <w:tc>
          <w:tcPr>
            <w:tcW w:w="1867" w:type="dxa"/>
            <w:shd w:val="clear" w:color="auto" w:fill="auto"/>
            <w:vAlign w:val="center"/>
          </w:tcPr>
          <w:p w14:paraId="2E23B295">
            <w:pPr>
              <w:pStyle w:val="178"/>
            </w:pPr>
            <w:r>
              <w:t>1</w:t>
            </w:r>
          </w:p>
        </w:tc>
        <w:tc>
          <w:tcPr>
            <w:tcW w:w="1867" w:type="dxa"/>
            <w:shd w:val="clear" w:color="auto" w:fill="auto"/>
            <w:vAlign w:val="center"/>
          </w:tcPr>
          <w:p w14:paraId="684F8D24">
            <w:pPr>
              <w:pStyle w:val="178"/>
            </w:pPr>
            <w:r>
              <w:rPr>
                <w:rFonts w:hint="eastAsia"/>
              </w:rPr>
              <w:t>用经纬仪测量</w:t>
            </w:r>
          </w:p>
        </w:tc>
      </w:tr>
      <w:tr w14:paraId="04DD4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2CB6EE4E">
            <w:pPr>
              <w:pStyle w:val="178"/>
            </w:pPr>
            <w:r>
              <w:rPr>
                <w:rFonts w:hint="eastAsia"/>
              </w:rPr>
              <w:t>平整度（mm）</w:t>
            </w:r>
          </w:p>
        </w:tc>
        <w:tc>
          <w:tcPr>
            <w:tcW w:w="1867" w:type="dxa"/>
            <w:shd w:val="clear" w:color="auto" w:fill="auto"/>
            <w:vAlign w:val="center"/>
          </w:tcPr>
          <w:p w14:paraId="07C57439">
            <w:pPr>
              <w:pStyle w:val="178"/>
            </w:pPr>
            <w:r>
              <w:rPr>
                <w:rFonts w:hint="eastAsia"/>
              </w:rPr>
              <w:t>≤2</w:t>
            </w:r>
          </w:p>
        </w:tc>
        <w:tc>
          <w:tcPr>
            <w:tcW w:w="1867" w:type="dxa"/>
            <w:shd w:val="clear" w:color="auto" w:fill="auto"/>
            <w:vAlign w:val="center"/>
          </w:tcPr>
          <w:p w14:paraId="12E86FB7">
            <w:pPr>
              <w:pStyle w:val="178"/>
            </w:pPr>
            <w:r>
              <w:t>20m</w:t>
            </w:r>
          </w:p>
        </w:tc>
        <w:tc>
          <w:tcPr>
            <w:tcW w:w="1867" w:type="dxa"/>
            <w:shd w:val="clear" w:color="auto" w:fill="auto"/>
            <w:vAlign w:val="center"/>
          </w:tcPr>
          <w:p w14:paraId="14E8D4B7">
            <w:pPr>
              <w:pStyle w:val="178"/>
            </w:pPr>
            <w:r>
              <w:t>1</w:t>
            </w:r>
          </w:p>
        </w:tc>
        <w:tc>
          <w:tcPr>
            <w:tcW w:w="1867" w:type="dxa"/>
            <w:shd w:val="clear" w:color="auto" w:fill="auto"/>
            <w:vAlign w:val="center"/>
          </w:tcPr>
          <w:p w14:paraId="5BB2C7C7">
            <w:pPr>
              <w:pStyle w:val="178"/>
            </w:pPr>
            <w:r>
              <w:rPr>
                <w:rFonts w:hint="eastAsia"/>
              </w:rPr>
              <w:t>用3m直尺和塞尺连续量两处，取较大值</w:t>
            </w:r>
          </w:p>
        </w:tc>
      </w:tr>
      <w:tr w14:paraId="7399E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tcBorders>
              <w:bottom w:val="single" w:color="auto" w:sz="4" w:space="0"/>
            </w:tcBorders>
            <w:shd w:val="clear" w:color="auto" w:fill="auto"/>
            <w:vAlign w:val="center"/>
          </w:tcPr>
          <w:p w14:paraId="79B0904D">
            <w:pPr>
              <w:pStyle w:val="178"/>
            </w:pPr>
            <w:r>
              <w:rPr>
                <w:rFonts w:hint="eastAsia"/>
              </w:rPr>
              <w:t>缝宽（mm）</w:t>
            </w:r>
          </w:p>
        </w:tc>
        <w:tc>
          <w:tcPr>
            <w:tcW w:w="1867" w:type="dxa"/>
            <w:tcBorders>
              <w:bottom w:val="single" w:color="auto" w:sz="4" w:space="0"/>
            </w:tcBorders>
            <w:shd w:val="clear" w:color="auto" w:fill="auto"/>
            <w:vAlign w:val="center"/>
          </w:tcPr>
          <w:p w14:paraId="6FF2786E">
            <w:pPr>
              <w:pStyle w:val="178"/>
            </w:pPr>
            <w:r>
              <w:t>+3</w:t>
            </w:r>
          </w:p>
          <w:p w14:paraId="34AC0123">
            <w:pPr>
              <w:pStyle w:val="178"/>
            </w:pPr>
            <w:r>
              <w:t>-2</w:t>
            </w:r>
          </w:p>
        </w:tc>
        <w:tc>
          <w:tcPr>
            <w:tcW w:w="1867" w:type="dxa"/>
            <w:tcBorders>
              <w:bottom w:val="single" w:color="auto" w:sz="4" w:space="0"/>
            </w:tcBorders>
            <w:shd w:val="clear" w:color="auto" w:fill="auto"/>
            <w:vAlign w:val="center"/>
          </w:tcPr>
          <w:p w14:paraId="2BF0B40A">
            <w:pPr>
              <w:pStyle w:val="178"/>
            </w:pPr>
            <w:r>
              <w:t>20m</w:t>
            </w:r>
          </w:p>
        </w:tc>
        <w:tc>
          <w:tcPr>
            <w:tcW w:w="1867" w:type="dxa"/>
            <w:tcBorders>
              <w:bottom w:val="single" w:color="auto" w:sz="4" w:space="0"/>
            </w:tcBorders>
            <w:shd w:val="clear" w:color="auto" w:fill="auto"/>
            <w:vAlign w:val="center"/>
          </w:tcPr>
          <w:p w14:paraId="0B4F0201">
            <w:pPr>
              <w:pStyle w:val="178"/>
            </w:pPr>
            <w:r>
              <w:t>1</w:t>
            </w:r>
          </w:p>
        </w:tc>
        <w:tc>
          <w:tcPr>
            <w:tcW w:w="1867" w:type="dxa"/>
            <w:tcBorders>
              <w:bottom w:val="single" w:color="auto" w:sz="4" w:space="0"/>
            </w:tcBorders>
            <w:shd w:val="clear" w:color="auto" w:fill="auto"/>
            <w:vAlign w:val="center"/>
          </w:tcPr>
          <w:p w14:paraId="19C9DF20">
            <w:pPr>
              <w:pStyle w:val="178"/>
            </w:pPr>
            <w:r>
              <w:rPr>
                <w:rFonts w:hint="eastAsia"/>
              </w:rPr>
              <w:t>用钢板尺量</w:t>
            </w:r>
          </w:p>
        </w:tc>
      </w:tr>
    </w:tbl>
    <w:p w14:paraId="18A8F40A">
      <w:r>
        <w:br w:type="page"/>
      </w:r>
    </w:p>
    <w:p w14:paraId="51DB61D2">
      <w:pPr>
        <w:pStyle w:val="56"/>
        <w:pageBreakBefore/>
        <w:spacing w:before="156" w:beforeLines="50" w:after="156" w:afterLines="50"/>
        <w:ind w:firstLine="0" w:firstLineChars="0"/>
        <w:jc w:val="center"/>
        <w:rPr>
          <w:rFonts w:hint="eastAsia" w:hAnsi="宋体"/>
        </w:rPr>
      </w:pPr>
      <w:r>
        <w:rPr>
          <w:rFonts w:hint="eastAsia" w:ascii="黑体" w:hAnsi="黑体" w:eastAsia="黑体"/>
        </w:rPr>
        <w:t>表6  人行道面层外观质量许偏差</w:t>
      </w:r>
      <w:r>
        <w:rPr>
          <w:rFonts w:hint="eastAsia" w:hAnsi="宋体"/>
        </w:rPr>
        <w:t>（续）</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6"/>
        <w:gridCol w:w="1867"/>
        <w:gridCol w:w="1867"/>
        <w:gridCol w:w="1867"/>
        <w:gridCol w:w="1867"/>
      </w:tblGrid>
      <w:tr w14:paraId="3785F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66" w:type="dxa"/>
            <w:vMerge w:val="restart"/>
            <w:tcBorders>
              <w:top w:val="single" w:color="auto" w:sz="8" w:space="0"/>
            </w:tcBorders>
            <w:shd w:val="clear" w:color="auto" w:fill="auto"/>
            <w:vAlign w:val="center"/>
          </w:tcPr>
          <w:p w14:paraId="4EB7F3DB">
            <w:pPr>
              <w:pStyle w:val="178"/>
            </w:pPr>
            <w:r>
              <w:rPr>
                <w:rFonts w:hint="eastAsia"/>
              </w:rPr>
              <w:t>项目</w:t>
            </w:r>
          </w:p>
        </w:tc>
        <w:tc>
          <w:tcPr>
            <w:tcW w:w="1867" w:type="dxa"/>
            <w:vMerge w:val="restart"/>
            <w:tcBorders>
              <w:top w:val="single" w:color="auto" w:sz="8" w:space="0"/>
            </w:tcBorders>
            <w:shd w:val="clear" w:color="auto" w:fill="auto"/>
            <w:vAlign w:val="center"/>
          </w:tcPr>
          <w:p w14:paraId="3CA5D407">
            <w:pPr>
              <w:pStyle w:val="178"/>
            </w:pPr>
            <w:r>
              <w:rPr>
                <w:rFonts w:hint="eastAsia"/>
              </w:rPr>
              <w:t>允许偏差</w:t>
            </w:r>
          </w:p>
        </w:tc>
        <w:tc>
          <w:tcPr>
            <w:tcW w:w="3734" w:type="dxa"/>
            <w:gridSpan w:val="2"/>
            <w:tcBorders>
              <w:top w:val="single" w:color="auto" w:sz="8" w:space="0"/>
              <w:bottom w:val="single" w:color="auto" w:sz="8" w:space="0"/>
            </w:tcBorders>
            <w:shd w:val="clear" w:color="auto" w:fill="auto"/>
            <w:vAlign w:val="center"/>
          </w:tcPr>
          <w:p w14:paraId="6353BB02">
            <w:pPr>
              <w:pStyle w:val="178"/>
            </w:pPr>
            <w:r>
              <w:rPr>
                <w:rFonts w:hint="eastAsia"/>
              </w:rPr>
              <w:t>检测频率</w:t>
            </w:r>
          </w:p>
        </w:tc>
        <w:tc>
          <w:tcPr>
            <w:tcW w:w="1867" w:type="dxa"/>
            <w:vMerge w:val="restart"/>
            <w:tcBorders>
              <w:top w:val="single" w:color="auto" w:sz="8" w:space="0"/>
            </w:tcBorders>
            <w:shd w:val="clear" w:color="auto" w:fill="auto"/>
            <w:vAlign w:val="center"/>
          </w:tcPr>
          <w:p w14:paraId="536D6E61">
            <w:pPr>
              <w:pStyle w:val="178"/>
            </w:pPr>
            <w:r>
              <w:rPr>
                <w:rFonts w:hint="eastAsia"/>
              </w:rPr>
              <w:t>检验方法</w:t>
            </w:r>
          </w:p>
        </w:tc>
      </w:tr>
      <w:tr w14:paraId="509F0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Merge w:val="continue"/>
            <w:shd w:val="clear" w:color="auto" w:fill="auto"/>
            <w:vAlign w:val="center"/>
          </w:tcPr>
          <w:p w14:paraId="0ABABAF9">
            <w:pPr>
              <w:pStyle w:val="178"/>
            </w:pPr>
          </w:p>
        </w:tc>
        <w:tc>
          <w:tcPr>
            <w:tcW w:w="1867" w:type="dxa"/>
            <w:vMerge w:val="continue"/>
            <w:shd w:val="clear" w:color="auto" w:fill="auto"/>
            <w:vAlign w:val="center"/>
          </w:tcPr>
          <w:p w14:paraId="6AE6C720">
            <w:pPr>
              <w:pStyle w:val="178"/>
            </w:pPr>
          </w:p>
        </w:tc>
        <w:tc>
          <w:tcPr>
            <w:tcW w:w="1867" w:type="dxa"/>
            <w:tcBorders>
              <w:top w:val="single" w:color="auto" w:sz="8" w:space="0"/>
            </w:tcBorders>
            <w:shd w:val="clear" w:color="auto" w:fill="auto"/>
            <w:vAlign w:val="center"/>
          </w:tcPr>
          <w:p w14:paraId="5C461E04">
            <w:pPr>
              <w:pStyle w:val="178"/>
            </w:pPr>
            <w:r>
              <w:rPr>
                <w:rFonts w:hint="eastAsia"/>
              </w:rPr>
              <w:t>范围</w:t>
            </w:r>
          </w:p>
        </w:tc>
        <w:tc>
          <w:tcPr>
            <w:tcW w:w="1867" w:type="dxa"/>
            <w:tcBorders>
              <w:top w:val="single" w:color="auto" w:sz="8" w:space="0"/>
            </w:tcBorders>
            <w:shd w:val="clear" w:color="auto" w:fill="auto"/>
            <w:vAlign w:val="center"/>
          </w:tcPr>
          <w:p w14:paraId="16A36F22">
            <w:pPr>
              <w:pStyle w:val="178"/>
            </w:pPr>
            <w:r>
              <w:rPr>
                <w:rFonts w:hint="eastAsia"/>
              </w:rPr>
              <w:t>点数</w:t>
            </w:r>
          </w:p>
        </w:tc>
        <w:tc>
          <w:tcPr>
            <w:tcW w:w="1867" w:type="dxa"/>
            <w:vMerge w:val="continue"/>
            <w:shd w:val="clear" w:color="auto" w:fill="auto"/>
            <w:vAlign w:val="center"/>
          </w:tcPr>
          <w:p w14:paraId="7A471985">
            <w:pPr>
              <w:pStyle w:val="178"/>
            </w:pPr>
          </w:p>
        </w:tc>
      </w:tr>
      <w:tr w14:paraId="0F096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tcBorders>
              <w:top w:val="single" w:color="auto" w:sz="4" w:space="0"/>
              <w:bottom w:val="single" w:color="auto" w:sz="4" w:space="0"/>
            </w:tcBorders>
            <w:shd w:val="clear" w:color="auto" w:fill="auto"/>
            <w:vAlign w:val="center"/>
          </w:tcPr>
          <w:p w14:paraId="6178C6EF">
            <w:pPr>
              <w:pStyle w:val="178"/>
            </w:pPr>
            <w:r>
              <w:rPr>
                <w:rFonts w:hint="eastAsia"/>
              </w:rPr>
              <w:t>横坡（%）</w:t>
            </w:r>
          </w:p>
        </w:tc>
        <w:tc>
          <w:tcPr>
            <w:tcW w:w="1867" w:type="dxa"/>
            <w:tcBorders>
              <w:top w:val="single" w:color="auto" w:sz="4" w:space="0"/>
              <w:bottom w:val="single" w:color="auto" w:sz="4" w:space="0"/>
            </w:tcBorders>
            <w:shd w:val="clear" w:color="auto" w:fill="auto"/>
            <w:vAlign w:val="center"/>
          </w:tcPr>
          <w:p w14:paraId="49BB60BE">
            <w:pPr>
              <w:pStyle w:val="178"/>
            </w:pPr>
            <w:r>
              <w:rPr>
                <w:rFonts w:hint="eastAsia"/>
              </w:rPr>
              <w:t>±0.3%且不反坡</w:t>
            </w:r>
          </w:p>
        </w:tc>
        <w:tc>
          <w:tcPr>
            <w:tcW w:w="1867" w:type="dxa"/>
            <w:tcBorders>
              <w:top w:val="single" w:color="auto" w:sz="4" w:space="0"/>
              <w:bottom w:val="single" w:color="auto" w:sz="4" w:space="0"/>
            </w:tcBorders>
            <w:shd w:val="clear" w:color="auto" w:fill="auto"/>
            <w:vAlign w:val="center"/>
          </w:tcPr>
          <w:p w14:paraId="1099B50B">
            <w:pPr>
              <w:pStyle w:val="178"/>
            </w:pPr>
            <w:r>
              <w:t>20m</w:t>
            </w:r>
          </w:p>
        </w:tc>
        <w:tc>
          <w:tcPr>
            <w:tcW w:w="1867" w:type="dxa"/>
            <w:tcBorders>
              <w:top w:val="single" w:color="auto" w:sz="4" w:space="0"/>
              <w:bottom w:val="single" w:color="auto" w:sz="4" w:space="0"/>
            </w:tcBorders>
            <w:shd w:val="clear" w:color="auto" w:fill="auto"/>
            <w:vAlign w:val="center"/>
          </w:tcPr>
          <w:p w14:paraId="3DC6C593">
            <w:pPr>
              <w:pStyle w:val="178"/>
            </w:pPr>
            <w:r>
              <w:t>1</w:t>
            </w:r>
          </w:p>
        </w:tc>
        <w:tc>
          <w:tcPr>
            <w:tcW w:w="1867" w:type="dxa"/>
            <w:tcBorders>
              <w:top w:val="single" w:color="auto" w:sz="4" w:space="0"/>
              <w:bottom w:val="single" w:color="auto" w:sz="4" w:space="0"/>
            </w:tcBorders>
            <w:shd w:val="clear" w:color="auto" w:fill="auto"/>
            <w:vAlign w:val="center"/>
          </w:tcPr>
          <w:p w14:paraId="73794D9B">
            <w:pPr>
              <w:pStyle w:val="178"/>
            </w:pPr>
            <w:r>
              <w:rPr>
                <w:rFonts w:hint="eastAsia"/>
              </w:rPr>
              <w:t>用水准仪测量</w:t>
            </w:r>
          </w:p>
        </w:tc>
      </w:tr>
      <w:tr w14:paraId="54833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tcBorders>
              <w:top w:val="single" w:color="auto" w:sz="4" w:space="0"/>
            </w:tcBorders>
            <w:shd w:val="clear" w:color="auto" w:fill="auto"/>
            <w:vAlign w:val="center"/>
          </w:tcPr>
          <w:p w14:paraId="7A45BCC8">
            <w:pPr>
              <w:pStyle w:val="178"/>
            </w:pPr>
            <w:r>
              <w:rPr>
                <w:rFonts w:hint="eastAsia"/>
              </w:rPr>
              <w:t>井框与路面高差（mm）</w:t>
            </w:r>
          </w:p>
        </w:tc>
        <w:tc>
          <w:tcPr>
            <w:tcW w:w="1867" w:type="dxa"/>
            <w:tcBorders>
              <w:top w:val="single" w:color="auto" w:sz="4" w:space="0"/>
            </w:tcBorders>
            <w:shd w:val="clear" w:color="auto" w:fill="auto"/>
            <w:vAlign w:val="center"/>
          </w:tcPr>
          <w:p w14:paraId="31615559">
            <w:pPr>
              <w:pStyle w:val="178"/>
            </w:pPr>
            <w:r>
              <w:rPr>
                <w:rFonts w:hint="eastAsia"/>
              </w:rPr>
              <w:t>≤3</w:t>
            </w:r>
          </w:p>
        </w:tc>
        <w:tc>
          <w:tcPr>
            <w:tcW w:w="1867" w:type="dxa"/>
            <w:tcBorders>
              <w:top w:val="single" w:color="auto" w:sz="4" w:space="0"/>
            </w:tcBorders>
            <w:shd w:val="clear" w:color="auto" w:fill="auto"/>
            <w:vAlign w:val="center"/>
          </w:tcPr>
          <w:p w14:paraId="2EB3B2AB">
            <w:pPr>
              <w:pStyle w:val="178"/>
            </w:pPr>
            <w:r>
              <w:rPr>
                <w:rFonts w:hint="eastAsia"/>
              </w:rPr>
              <w:t>每座井</w:t>
            </w:r>
          </w:p>
        </w:tc>
        <w:tc>
          <w:tcPr>
            <w:tcW w:w="1867" w:type="dxa"/>
            <w:tcBorders>
              <w:top w:val="single" w:color="auto" w:sz="4" w:space="0"/>
            </w:tcBorders>
            <w:shd w:val="clear" w:color="auto" w:fill="auto"/>
            <w:vAlign w:val="center"/>
          </w:tcPr>
          <w:p w14:paraId="756C70FD">
            <w:pPr>
              <w:pStyle w:val="178"/>
            </w:pPr>
            <w:r>
              <w:t>1</w:t>
            </w:r>
          </w:p>
        </w:tc>
        <w:tc>
          <w:tcPr>
            <w:tcW w:w="1867" w:type="dxa"/>
            <w:tcBorders>
              <w:top w:val="single" w:color="auto" w:sz="4" w:space="0"/>
            </w:tcBorders>
            <w:shd w:val="clear" w:color="auto" w:fill="auto"/>
            <w:vAlign w:val="center"/>
          </w:tcPr>
          <w:p w14:paraId="1A10CE95">
            <w:pPr>
              <w:pStyle w:val="178"/>
            </w:pPr>
            <w:r>
              <w:rPr>
                <w:rFonts w:hint="eastAsia"/>
              </w:rPr>
              <w:t>十字法，用直尺和塞尺量，</w:t>
            </w:r>
          </w:p>
          <w:p w14:paraId="13AF98C1">
            <w:pPr>
              <w:pStyle w:val="178"/>
            </w:pPr>
            <w:r>
              <w:rPr>
                <w:rFonts w:hint="eastAsia"/>
              </w:rPr>
              <w:t>取最大值</w:t>
            </w:r>
          </w:p>
        </w:tc>
      </w:tr>
      <w:tr w14:paraId="24251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01C416D9">
            <w:pPr>
              <w:pStyle w:val="178"/>
            </w:pPr>
            <w:r>
              <w:rPr>
                <w:rFonts w:hint="eastAsia"/>
              </w:rPr>
              <w:t>相邻块高差（mm）</w:t>
            </w:r>
          </w:p>
        </w:tc>
        <w:tc>
          <w:tcPr>
            <w:tcW w:w="1867" w:type="dxa"/>
            <w:shd w:val="clear" w:color="auto" w:fill="auto"/>
            <w:vAlign w:val="center"/>
          </w:tcPr>
          <w:p w14:paraId="759801F0">
            <w:pPr>
              <w:pStyle w:val="178"/>
            </w:pPr>
            <w:r>
              <w:rPr>
                <w:rFonts w:hint="eastAsia"/>
              </w:rPr>
              <w:t>≤3</w:t>
            </w:r>
          </w:p>
        </w:tc>
        <w:tc>
          <w:tcPr>
            <w:tcW w:w="1867" w:type="dxa"/>
            <w:shd w:val="clear" w:color="auto" w:fill="auto"/>
            <w:vAlign w:val="center"/>
          </w:tcPr>
          <w:p w14:paraId="5F7E7A8C">
            <w:pPr>
              <w:pStyle w:val="178"/>
            </w:pPr>
            <w:r>
              <w:t>20m</w:t>
            </w:r>
          </w:p>
        </w:tc>
        <w:tc>
          <w:tcPr>
            <w:tcW w:w="1867" w:type="dxa"/>
            <w:shd w:val="clear" w:color="auto" w:fill="auto"/>
            <w:vAlign w:val="center"/>
          </w:tcPr>
          <w:p w14:paraId="7A53BF46">
            <w:pPr>
              <w:pStyle w:val="178"/>
            </w:pPr>
            <w:r>
              <w:t>1</w:t>
            </w:r>
          </w:p>
        </w:tc>
        <w:tc>
          <w:tcPr>
            <w:tcW w:w="1867" w:type="dxa"/>
            <w:shd w:val="clear" w:color="auto" w:fill="auto"/>
            <w:vAlign w:val="center"/>
          </w:tcPr>
          <w:p w14:paraId="6BD991C2">
            <w:pPr>
              <w:pStyle w:val="178"/>
            </w:pPr>
            <w:r>
              <w:rPr>
                <w:rFonts w:hint="eastAsia"/>
              </w:rPr>
              <w:t>用钢板尺和塞尺量</w:t>
            </w:r>
          </w:p>
        </w:tc>
      </w:tr>
      <w:tr w14:paraId="1FD38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0205A307">
            <w:pPr>
              <w:pStyle w:val="178"/>
            </w:pPr>
            <w:r>
              <w:rPr>
                <w:rFonts w:hint="eastAsia"/>
              </w:rPr>
              <w:t>纵缝直顺度（mm）</w:t>
            </w:r>
          </w:p>
        </w:tc>
        <w:tc>
          <w:tcPr>
            <w:tcW w:w="1867" w:type="dxa"/>
            <w:shd w:val="clear" w:color="auto" w:fill="auto"/>
            <w:vAlign w:val="center"/>
          </w:tcPr>
          <w:p w14:paraId="081EC7DD">
            <w:pPr>
              <w:pStyle w:val="178"/>
            </w:pPr>
            <w:r>
              <w:rPr>
                <w:rFonts w:hint="eastAsia"/>
              </w:rPr>
              <w:t>≤10</w:t>
            </w:r>
          </w:p>
        </w:tc>
        <w:tc>
          <w:tcPr>
            <w:tcW w:w="1867" w:type="dxa"/>
            <w:shd w:val="clear" w:color="auto" w:fill="auto"/>
            <w:vAlign w:val="center"/>
          </w:tcPr>
          <w:p w14:paraId="2F01A94A">
            <w:pPr>
              <w:pStyle w:val="178"/>
            </w:pPr>
            <w:r>
              <w:t>100m</w:t>
            </w:r>
          </w:p>
        </w:tc>
        <w:tc>
          <w:tcPr>
            <w:tcW w:w="1867" w:type="dxa"/>
            <w:shd w:val="clear" w:color="auto" w:fill="auto"/>
            <w:vAlign w:val="center"/>
          </w:tcPr>
          <w:p w14:paraId="4A5FD3E2">
            <w:pPr>
              <w:pStyle w:val="178"/>
            </w:pPr>
            <w:r>
              <w:t>1</w:t>
            </w:r>
          </w:p>
        </w:tc>
        <w:tc>
          <w:tcPr>
            <w:tcW w:w="1867" w:type="dxa"/>
            <w:shd w:val="clear" w:color="auto" w:fill="auto"/>
            <w:vAlign w:val="center"/>
          </w:tcPr>
          <w:p w14:paraId="0C54EE9F">
            <w:pPr>
              <w:pStyle w:val="178"/>
            </w:pPr>
            <w:r>
              <w:rPr>
                <w:rFonts w:hint="eastAsia"/>
              </w:rPr>
              <w:t>用20m线和钢尺量</w:t>
            </w:r>
          </w:p>
        </w:tc>
      </w:tr>
      <w:tr w14:paraId="0BC00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5872F379">
            <w:pPr>
              <w:pStyle w:val="178"/>
            </w:pPr>
            <w:r>
              <w:rPr>
                <w:rFonts w:hint="eastAsia"/>
              </w:rPr>
              <w:t>横缝直顺度（mm）</w:t>
            </w:r>
          </w:p>
        </w:tc>
        <w:tc>
          <w:tcPr>
            <w:tcW w:w="1867" w:type="dxa"/>
            <w:shd w:val="clear" w:color="auto" w:fill="auto"/>
            <w:vAlign w:val="center"/>
          </w:tcPr>
          <w:p w14:paraId="792C1430">
            <w:pPr>
              <w:pStyle w:val="178"/>
            </w:pPr>
            <w:r>
              <w:rPr>
                <w:rFonts w:hint="eastAsia"/>
              </w:rPr>
              <w:t>≤10</w:t>
            </w:r>
          </w:p>
        </w:tc>
        <w:tc>
          <w:tcPr>
            <w:tcW w:w="1867" w:type="dxa"/>
            <w:shd w:val="clear" w:color="auto" w:fill="auto"/>
            <w:vAlign w:val="center"/>
          </w:tcPr>
          <w:p w14:paraId="1A4BBA14">
            <w:pPr>
              <w:pStyle w:val="178"/>
            </w:pPr>
            <w:r>
              <w:t>40m</w:t>
            </w:r>
          </w:p>
        </w:tc>
        <w:tc>
          <w:tcPr>
            <w:tcW w:w="1867" w:type="dxa"/>
            <w:shd w:val="clear" w:color="auto" w:fill="auto"/>
            <w:vAlign w:val="center"/>
          </w:tcPr>
          <w:p w14:paraId="0F1FC940">
            <w:pPr>
              <w:pStyle w:val="178"/>
            </w:pPr>
            <w:r>
              <w:t>1</w:t>
            </w:r>
          </w:p>
        </w:tc>
        <w:tc>
          <w:tcPr>
            <w:tcW w:w="1867" w:type="dxa"/>
            <w:shd w:val="clear" w:color="auto" w:fill="auto"/>
            <w:vAlign w:val="center"/>
          </w:tcPr>
          <w:p w14:paraId="767CA178">
            <w:pPr>
              <w:pStyle w:val="178"/>
            </w:pPr>
            <w:r>
              <w:rPr>
                <w:rFonts w:hint="eastAsia"/>
              </w:rPr>
              <w:t>用20m线和钢尺量</w:t>
            </w:r>
          </w:p>
        </w:tc>
      </w:tr>
    </w:tbl>
    <w:p w14:paraId="5B601E71">
      <w:pPr>
        <w:pStyle w:val="174"/>
      </w:pPr>
      <w:r>
        <w:t>人行道的铺装</w:t>
      </w:r>
      <w:r>
        <w:rPr>
          <w:rFonts w:hint="eastAsia"/>
        </w:rPr>
        <w:t>宜</w:t>
      </w:r>
      <w:r>
        <w:t>按照精细化要求对缝，保证步砖、盲道砖、站石、卧石、树穴石等之间互相对缝，根据模数统一确定规格和尺寸。保证施工过程中相互对缝，模数对应。</w:t>
      </w:r>
    </w:p>
    <w:p w14:paraId="07A8B3E4">
      <w:pPr>
        <w:pStyle w:val="174"/>
      </w:pPr>
      <w:r>
        <w:t>人行道铺装至建筑边缘或者不规则边线处，不得直接抹水泥砂浆，须裁切块材，裁切后步砖尺寸不得小于整砖尺寸的1/3，若小于1/3则调整步砖铺装方向，避免出现小砖。</w:t>
      </w:r>
    </w:p>
    <w:p w14:paraId="62741939">
      <w:pPr>
        <w:pStyle w:val="174"/>
      </w:pPr>
      <w:r>
        <w:t>树穴缘石</w:t>
      </w:r>
      <w:r>
        <w:rPr>
          <w:rFonts w:hint="eastAsia"/>
        </w:rPr>
        <w:t>主要有石质和预制混凝土两种材料，石质缘石</w:t>
      </w:r>
      <w:r>
        <w:t>宽度不应小于100mm，</w:t>
      </w:r>
      <w:r>
        <w:rPr>
          <w:rFonts w:hint="eastAsia"/>
        </w:rPr>
        <w:t>预制混凝土缘石宽度不应小于</w:t>
      </w:r>
      <w:r>
        <w:t>10</w:t>
      </w:r>
      <w:r>
        <w:rPr>
          <w:rFonts w:hint="eastAsia"/>
        </w:rPr>
        <w:t>0mm。</w:t>
      </w:r>
      <w:r>
        <w:t>长度根据步砖模数确定，确保铺砖、树穴、站石对缝。人行道面层铺装材料与树穴缘石衔接应平顺零高差，两者之间的缝隙不得大于10mm，施工时采用细砂扫缝；树池缘石间拼接缝用1：3水泥砂浆勾缝，种植土表面应低于树池缘石50mm</w:t>
      </w:r>
      <w:r>
        <w:rPr>
          <w:rFonts w:hint="eastAsia"/>
        </w:rPr>
        <w:t>，树池篦子、树穴缘石及步砖应零高差</w:t>
      </w:r>
      <w:r>
        <w:t>。</w:t>
      </w:r>
    </w:p>
    <w:p w14:paraId="01F3BFC6">
      <w:pPr>
        <w:pStyle w:val="174"/>
      </w:pPr>
      <w:r>
        <w:rPr>
          <w:rFonts w:hint="eastAsia"/>
        </w:rPr>
        <w:t>人行道面层的铺砌应与临街建（构）筑物地坪、建筑红线妥善衔接。人行道上各种管线井盖应与人行道铺面平齐。</w:t>
      </w:r>
    </w:p>
    <w:p w14:paraId="6C5B1C9E">
      <w:pPr>
        <w:pStyle w:val="174"/>
      </w:pPr>
      <w:r>
        <w:rPr>
          <w:rFonts w:hint="eastAsia"/>
        </w:rPr>
        <w:t>人行道横坡度宜控制在</w:t>
      </w:r>
      <w:r>
        <w:t>1%</w:t>
      </w:r>
      <w:r>
        <w:rPr>
          <w:rFonts w:hint="eastAsia"/>
        </w:rPr>
        <w:t>～</w:t>
      </w:r>
      <w:r>
        <w:t>2%</w:t>
      </w:r>
      <w:r>
        <w:rPr>
          <w:rFonts w:hint="eastAsia"/>
        </w:rPr>
        <w:t>之间。</w:t>
      </w:r>
    </w:p>
    <w:p w14:paraId="21B6FE2A">
      <w:pPr>
        <w:pStyle w:val="165"/>
      </w:pPr>
      <w:r>
        <w:rPr>
          <w:rFonts w:hint="eastAsia"/>
        </w:rPr>
        <w:t>技术指标及要求</w:t>
      </w:r>
    </w:p>
    <w:p w14:paraId="1AE90162">
      <w:pPr>
        <w:pStyle w:val="174"/>
        <w:numPr>
          <w:ilvl w:val="0"/>
          <w:numId w:val="36"/>
        </w:numPr>
      </w:pPr>
      <w:r>
        <w:rPr>
          <w:rFonts w:hint="eastAsia"/>
        </w:rPr>
        <w:t>人行道铺面设计应达到平整、坚实、抗滑、耐磨、耐久和美观，并与周边景观协调。</w:t>
      </w:r>
    </w:p>
    <w:p w14:paraId="775C071F">
      <w:pPr>
        <w:pStyle w:val="174"/>
      </w:pPr>
      <w:r>
        <w:rPr>
          <w:rFonts w:hint="eastAsia"/>
        </w:rPr>
        <w:t>人行道面层防滑指标(BPN)不应小于65；商业区步行街、学校、医院、车站、广场等人流密集区人行道面层防滑指标(BPN)不应小于 75。</w:t>
      </w:r>
    </w:p>
    <w:p w14:paraId="574BE83D">
      <w:pPr>
        <w:pStyle w:val="174"/>
      </w:pPr>
      <w:r>
        <w:rPr>
          <w:rFonts w:hint="eastAsia"/>
        </w:rPr>
        <w:t>采用混凝土预制块作为人行道面层的除需满足CJJ</w:t>
      </w:r>
      <w:r>
        <w:t xml:space="preserve"> </w:t>
      </w:r>
      <w:r>
        <w:rPr>
          <w:rFonts w:hint="eastAsia"/>
        </w:rPr>
        <w:t>169中砌块路面外观质量、尺寸允许偏差等要求外，尚应满足抗压强度等级要求。</w:t>
      </w:r>
    </w:p>
    <w:p w14:paraId="4ECD0825">
      <w:pPr>
        <w:pStyle w:val="174"/>
        <w:rPr>
          <w:szCs w:val="21"/>
        </w:rPr>
      </w:pPr>
      <w:bookmarkStart w:id="149" w:name="_Toc177634229"/>
      <w:bookmarkStart w:id="150" w:name="_Toc177647698"/>
      <w:bookmarkStart w:id="151" w:name="_Toc177645328"/>
      <w:r>
        <w:rPr>
          <w:rFonts w:hint="eastAsia"/>
        </w:rPr>
        <w:t>采用透水水泥混凝土作为人行道面层时，需满足CJJ/T</w:t>
      </w:r>
      <w:r>
        <w:t xml:space="preserve"> </w:t>
      </w:r>
      <w:r>
        <w:rPr>
          <w:rFonts w:hint="eastAsia"/>
        </w:rPr>
        <w:t>135中透水水泥混凝土的性能指标、强度等相关要求。</w:t>
      </w:r>
    </w:p>
    <w:p w14:paraId="7DF5FE83">
      <w:pPr>
        <w:pStyle w:val="105"/>
        <w:spacing w:before="156" w:after="156"/>
      </w:pPr>
      <w:bookmarkStart w:id="152" w:name="_Toc177981355"/>
      <w:bookmarkStart w:id="153" w:name="_Toc178324999"/>
      <w:bookmarkStart w:id="154" w:name="_Toc177723433"/>
      <w:bookmarkStart w:id="155" w:name="_Toc177736924"/>
      <w:bookmarkStart w:id="156" w:name="_Toc177734860"/>
      <w:r>
        <w:rPr>
          <w:rFonts w:hint="eastAsia"/>
        </w:rPr>
        <w:t>整平层</w:t>
      </w:r>
      <w:bookmarkEnd w:id="149"/>
      <w:bookmarkEnd w:id="150"/>
      <w:bookmarkEnd w:id="151"/>
      <w:bookmarkEnd w:id="152"/>
      <w:bookmarkEnd w:id="153"/>
      <w:bookmarkEnd w:id="154"/>
      <w:bookmarkEnd w:id="155"/>
      <w:bookmarkEnd w:id="156"/>
    </w:p>
    <w:p w14:paraId="7F50A970">
      <w:pPr>
        <w:pStyle w:val="165"/>
      </w:pPr>
      <w:r>
        <w:rPr>
          <w:rFonts w:hint="eastAsia"/>
        </w:rPr>
        <w:t>—般规定</w:t>
      </w:r>
    </w:p>
    <w:p w14:paraId="64E45B98">
      <w:pPr>
        <w:pStyle w:val="174"/>
        <w:numPr>
          <w:ilvl w:val="0"/>
          <w:numId w:val="37"/>
        </w:numPr>
      </w:pPr>
      <w:r>
        <w:rPr>
          <w:rFonts w:hint="eastAsia"/>
        </w:rPr>
        <w:t>水泥混凝土预制砖（板）、石材板及广场砖等铺装层下应设置整平层。</w:t>
      </w:r>
    </w:p>
    <w:p w14:paraId="53367FA3">
      <w:pPr>
        <w:pStyle w:val="174"/>
      </w:pPr>
      <w:r>
        <w:rPr>
          <w:rFonts w:hint="eastAsia"/>
        </w:rPr>
        <w:t>整平层材料主要有水泥砂浆、干硬性水泥砂浆、水泥净浆、天然砂、人工砂等。应根据面层材料、基层类型选择使用。</w:t>
      </w:r>
    </w:p>
    <w:p w14:paraId="304722EB">
      <w:pPr>
        <w:pStyle w:val="165"/>
      </w:pPr>
      <w:r>
        <w:rPr>
          <w:rFonts w:hint="eastAsia"/>
        </w:rPr>
        <w:t>设计要求</w:t>
      </w:r>
    </w:p>
    <w:p w14:paraId="648B7268">
      <w:pPr>
        <w:pStyle w:val="174"/>
        <w:numPr>
          <w:ilvl w:val="0"/>
          <w:numId w:val="38"/>
        </w:numPr>
      </w:pPr>
      <w:r>
        <w:rPr>
          <w:rFonts w:hint="eastAsia"/>
        </w:rPr>
        <w:t>整平层材料应质地均匀，水泥无硬结块、砂须过筛，拌制砂浆用水应洁净。</w:t>
      </w:r>
    </w:p>
    <w:p w14:paraId="2217AE29">
      <w:pPr>
        <w:pStyle w:val="174"/>
      </w:pPr>
      <w:r>
        <w:rPr>
          <w:rFonts w:hint="eastAsia"/>
        </w:rPr>
        <w:t>石材板、广场砖铺装应采用水泥净浆或水泥砂浆，根据施工季节及铺筑条件，可添入缓凝剂等外加剂，以便施工。</w:t>
      </w:r>
    </w:p>
    <w:p w14:paraId="6A107054">
      <w:pPr>
        <w:pStyle w:val="105"/>
        <w:spacing w:before="156" w:after="156"/>
      </w:pPr>
      <w:bookmarkStart w:id="157" w:name="_Toc177634230"/>
      <w:bookmarkStart w:id="158" w:name="_Toc177645329"/>
      <w:bookmarkStart w:id="159" w:name="_Toc177647699"/>
      <w:bookmarkStart w:id="160" w:name="_Toc177981356"/>
      <w:bookmarkStart w:id="161" w:name="_Toc177736925"/>
      <w:bookmarkStart w:id="162" w:name="_Toc178325000"/>
      <w:bookmarkStart w:id="163" w:name="_Toc177723434"/>
      <w:bookmarkStart w:id="164" w:name="_Toc177734861"/>
      <w:r>
        <w:rPr>
          <w:rFonts w:hint="eastAsia"/>
        </w:rPr>
        <w:t>基层</w:t>
      </w:r>
      <w:bookmarkEnd w:id="157"/>
      <w:bookmarkEnd w:id="158"/>
      <w:bookmarkEnd w:id="159"/>
      <w:bookmarkEnd w:id="160"/>
      <w:bookmarkEnd w:id="161"/>
      <w:bookmarkEnd w:id="162"/>
      <w:bookmarkEnd w:id="163"/>
      <w:bookmarkEnd w:id="164"/>
    </w:p>
    <w:p w14:paraId="34355922">
      <w:pPr>
        <w:pStyle w:val="165"/>
      </w:pPr>
      <w:r>
        <w:rPr>
          <w:rFonts w:hint="eastAsia"/>
        </w:rPr>
        <w:t>一般规定</w:t>
      </w:r>
    </w:p>
    <w:p w14:paraId="3F733FF3">
      <w:pPr>
        <w:pStyle w:val="174"/>
        <w:numPr>
          <w:ilvl w:val="0"/>
          <w:numId w:val="39"/>
        </w:numPr>
      </w:pPr>
      <w:r>
        <w:rPr>
          <w:rFonts w:hint="eastAsia"/>
        </w:rPr>
        <w:t>基层根据使用目的及结构组合形式，可采用柔性基层、刚性基层和半刚性基层。</w:t>
      </w:r>
    </w:p>
    <w:p w14:paraId="60661EE1">
      <w:pPr>
        <w:pStyle w:val="174"/>
      </w:pPr>
      <w:r>
        <w:rPr>
          <w:rFonts w:hint="eastAsia"/>
        </w:rPr>
        <w:t>基层材料的选择应根据地基状况、面层要求、施工条件等因素综合确定，应具有足够的强度和稳定性。</w:t>
      </w:r>
    </w:p>
    <w:p w14:paraId="1129CD65">
      <w:pPr>
        <w:pStyle w:val="174"/>
      </w:pPr>
      <w:r>
        <w:rPr>
          <w:rFonts w:hint="eastAsia"/>
        </w:rPr>
        <w:t>基层的压实度、平整度及材料质量应符合城市人行道设计、验收相关规范的要求。</w:t>
      </w:r>
    </w:p>
    <w:p w14:paraId="2DFC244F">
      <w:pPr>
        <w:pStyle w:val="174"/>
      </w:pPr>
      <w:r>
        <w:rPr>
          <w:rFonts w:hint="eastAsia"/>
        </w:rPr>
        <w:t>人行道上沟槽开挖回填恢复基层压实度应不小于90%。</w:t>
      </w:r>
    </w:p>
    <w:p w14:paraId="0D5F18BB">
      <w:pPr>
        <w:pStyle w:val="165"/>
      </w:pPr>
      <w:r>
        <w:rPr>
          <w:rFonts w:hint="eastAsia"/>
        </w:rPr>
        <w:t>柔性基层</w:t>
      </w:r>
    </w:p>
    <w:p w14:paraId="459F4277">
      <w:pPr>
        <w:pStyle w:val="174"/>
        <w:numPr>
          <w:ilvl w:val="0"/>
          <w:numId w:val="40"/>
        </w:numPr>
      </w:pPr>
      <w:r>
        <w:rPr>
          <w:rFonts w:hint="eastAsia"/>
        </w:rPr>
        <w:t>柔性基层适用条件，应符合下列规定：</w:t>
      </w:r>
    </w:p>
    <w:p w14:paraId="7E4F04D0">
      <w:pPr>
        <w:pStyle w:val="109"/>
        <w:numPr>
          <w:ilvl w:val="1"/>
          <w:numId w:val="41"/>
        </w:numPr>
      </w:pPr>
      <w:r>
        <w:rPr>
          <w:rFonts w:hint="eastAsia"/>
        </w:rPr>
        <w:t>柔性基层适用于地基状况较好，无停车且能充分进行碾压的路段；</w:t>
      </w:r>
    </w:p>
    <w:p w14:paraId="27B0F511">
      <w:pPr>
        <w:pStyle w:val="109"/>
      </w:pPr>
      <w:r>
        <w:rPr>
          <w:rFonts w:hint="eastAsia"/>
        </w:rPr>
        <w:t>柔性基层较易变形，平整度较难控制，柔性基层不宜作为石材板、广场砖面层的基层。</w:t>
      </w:r>
    </w:p>
    <w:p w14:paraId="1CB08C0A">
      <w:pPr>
        <w:pStyle w:val="174"/>
        <w:numPr>
          <w:ilvl w:val="0"/>
          <w:numId w:val="40"/>
        </w:numPr>
      </w:pPr>
      <w:r>
        <w:rPr>
          <w:rFonts w:hint="eastAsia"/>
        </w:rPr>
        <w:t>柔性基层设计要求，应包括下列内容：</w:t>
      </w:r>
    </w:p>
    <w:p w14:paraId="79A61DB5">
      <w:pPr>
        <w:pStyle w:val="109"/>
        <w:numPr>
          <w:ilvl w:val="1"/>
          <w:numId w:val="42"/>
        </w:numPr>
      </w:pPr>
      <w:r>
        <w:rPr>
          <w:rFonts w:hint="eastAsia"/>
        </w:rPr>
        <w:t>柔性基层材料包括天然砂砾、级配碎（砾）石及未筛分碎石；</w:t>
      </w:r>
    </w:p>
    <w:p w14:paraId="1A69B2E5">
      <w:pPr>
        <w:pStyle w:val="109"/>
      </w:pPr>
      <w:r>
        <w:rPr>
          <w:rFonts w:hint="eastAsia"/>
        </w:rPr>
        <w:t>基层应进行充分压实。在狭窄地段，可采用小型机具压实；</w:t>
      </w:r>
    </w:p>
    <w:p w14:paraId="6CA31F9F">
      <w:pPr>
        <w:pStyle w:val="109"/>
      </w:pPr>
      <w:r>
        <w:rPr>
          <w:rFonts w:hint="eastAsia"/>
        </w:rPr>
        <w:t>基层材料应避免或减少在运输、摊铺过程中的粗细粒料离析现象；</w:t>
      </w:r>
    </w:p>
    <w:p w14:paraId="21E9BB49">
      <w:pPr>
        <w:pStyle w:val="109"/>
      </w:pPr>
      <w:r>
        <w:rPr>
          <w:rFonts w:hint="eastAsia"/>
        </w:rPr>
        <w:t>柔性基层用材料的技术指标及要求应符合下列要求：</w:t>
      </w:r>
    </w:p>
    <w:p w14:paraId="56988FD0">
      <w:pPr>
        <w:pStyle w:val="187"/>
      </w:pPr>
      <w:r>
        <w:rPr>
          <w:rFonts w:hint="eastAsia"/>
        </w:rPr>
        <w:t>砂砾（砾石砂）混合料的最大粒径应不大于</w:t>
      </w:r>
      <w:r>
        <w:t>53mm,</w:t>
      </w:r>
      <w:r>
        <w:rPr>
          <w:rFonts w:hint="eastAsia"/>
        </w:rPr>
        <w:t>并不大于层厚的</w:t>
      </w:r>
      <w:r>
        <w:t>70%,4.75mm</w:t>
      </w:r>
      <w:r>
        <w:rPr>
          <w:rFonts w:hint="eastAsia"/>
        </w:rPr>
        <w:t>以下的颗粒含量应为</w:t>
      </w:r>
      <w:r>
        <w:t xml:space="preserve">30% </w:t>
      </w:r>
      <w:r>
        <w:rPr>
          <w:rFonts w:hint="eastAsia" w:ascii="MS Gothic" w:hAnsi="MS Gothic" w:eastAsia="MS Gothic" w:cs="MS Gothic"/>
        </w:rPr>
        <w:t>〜</w:t>
      </w:r>
      <w:r>
        <w:t>50%,</w:t>
      </w:r>
      <w:r>
        <w:rPr>
          <w:rFonts w:hint="eastAsia"/>
        </w:rPr>
        <w:t>石料压碎值应不大于</w:t>
      </w:r>
      <w:r>
        <w:t>40%</w:t>
      </w:r>
      <w:r>
        <w:rPr>
          <w:rFonts w:hint="eastAsia"/>
        </w:rPr>
        <w:t>。</w:t>
      </w:r>
    </w:p>
    <w:p w14:paraId="7FFA1CF3">
      <w:pPr>
        <w:pStyle w:val="187"/>
      </w:pPr>
      <w:r>
        <w:rPr>
          <w:rFonts w:hint="eastAsia"/>
        </w:rPr>
        <w:t>筛分碎石最大粒径应不大于53mm,并不大于层厚的 70%。石料压碎值应不大于40%。碎石颗粒组成范围 应符合表</w:t>
      </w:r>
      <w:r>
        <w:t>7</w:t>
      </w:r>
      <w:r>
        <w:rPr>
          <w:rFonts w:hint="eastAsia"/>
        </w:rPr>
        <w:t>规定。</w:t>
      </w:r>
    </w:p>
    <w:p w14:paraId="095180D7">
      <w:pPr>
        <w:pStyle w:val="112"/>
        <w:spacing w:before="156" w:after="156"/>
      </w:pPr>
      <w:r>
        <w:rPr>
          <w:rFonts w:hint="eastAsia"/>
        </w:rPr>
        <w:t>砂砾混合料及未筛分碎石颗粒组成范围</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34"/>
        <w:gridCol w:w="2333"/>
        <w:gridCol w:w="2333"/>
        <w:gridCol w:w="2334"/>
      </w:tblGrid>
      <w:tr w14:paraId="35D0F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34" w:type="dxa"/>
            <w:vMerge w:val="restart"/>
            <w:tcBorders>
              <w:top w:val="single" w:color="auto" w:sz="8" w:space="0"/>
            </w:tcBorders>
            <w:shd w:val="clear" w:color="auto" w:fill="auto"/>
            <w:vAlign w:val="center"/>
          </w:tcPr>
          <w:p w14:paraId="3F49DDAE">
            <w:pPr>
              <w:pStyle w:val="178"/>
            </w:pPr>
            <w:r>
              <w:rPr>
                <w:rFonts w:hint="eastAsia"/>
              </w:rPr>
              <w:t>筛孔尺寸（mm）</w:t>
            </w:r>
          </w:p>
        </w:tc>
        <w:tc>
          <w:tcPr>
            <w:tcW w:w="7000" w:type="dxa"/>
            <w:gridSpan w:val="3"/>
            <w:tcBorders>
              <w:top w:val="single" w:color="auto" w:sz="8" w:space="0"/>
              <w:bottom w:val="single" w:color="auto" w:sz="8" w:space="0"/>
            </w:tcBorders>
            <w:shd w:val="clear" w:color="auto" w:fill="auto"/>
            <w:vAlign w:val="center"/>
          </w:tcPr>
          <w:p w14:paraId="198BE4D3">
            <w:pPr>
              <w:pStyle w:val="178"/>
            </w:pPr>
            <w:r>
              <w:rPr>
                <w:rFonts w:hint="eastAsia"/>
              </w:rPr>
              <w:t>通过质量百分率（%）</w:t>
            </w:r>
          </w:p>
        </w:tc>
      </w:tr>
      <w:tr w14:paraId="48DA0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Merge w:val="continue"/>
            <w:shd w:val="clear" w:color="auto" w:fill="auto"/>
            <w:vAlign w:val="center"/>
          </w:tcPr>
          <w:p w14:paraId="0B7780A7">
            <w:pPr>
              <w:pStyle w:val="178"/>
            </w:pPr>
          </w:p>
        </w:tc>
        <w:tc>
          <w:tcPr>
            <w:tcW w:w="2333" w:type="dxa"/>
            <w:tcBorders>
              <w:top w:val="single" w:color="auto" w:sz="8" w:space="0"/>
            </w:tcBorders>
            <w:shd w:val="clear" w:color="auto" w:fill="auto"/>
            <w:vAlign w:val="center"/>
          </w:tcPr>
          <w:p w14:paraId="0D3D928F">
            <w:pPr>
              <w:pStyle w:val="178"/>
            </w:pPr>
            <w:r>
              <w:rPr>
                <w:rFonts w:hint="eastAsia"/>
              </w:rPr>
              <w:t>砂砾混合料</w:t>
            </w:r>
          </w:p>
        </w:tc>
        <w:tc>
          <w:tcPr>
            <w:tcW w:w="2333" w:type="dxa"/>
            <w:tcBorders>
              <w:top w:val="single" w:color="auto" w:sz="8" w:space="0"/>
            </w:tcBorders>
            <w:shd w:val="clear" w:color="auto" w:fill="auto"/>
            <w:vAlign w:val="center"/>
          </w:tcPr>
          <w:p w14:paraId="797ED181">
            <w:pPr>
              <w:pStyle w:val="178"/>
            </w:pPr>
            <w:r>
              <w:rPr>
                <w:rFonts w:hint="eastAsia"/>
              </w:rPr>
              <w:t>未筛分碎石1</w:t>
            </w:r>
          </w:p>
        </w:tc>
        <w:tc>
          <w:tcPr>
            <w:tcW w:w="2334" w:type="dxa"/>
            <w:tcBorders>
              <w:top w:val="single" w:color="auto" w:sz="8" w:space="0"/>
            </w:tcBorders>
            <w:shd w:val="clear" w:color="auto" w:fill="auto"/>
            <w:vAlign w:val="center"/>
          </w:tcPr>
          <w:p w14:paraId="75F7E805">
            <w:pPr>
              <w:pStyle w:val="178"/>
            </w:pPr>
            <w:r>
              <w:rPr>
                <w:rFonts w:hint="eastAsia"/>
              </w:rPr>
              <w:t>未筛分碎石2</w:t>
            </w:r>
          </w:p>
        </w:tc>
      </w:tr>
      <w:tr w14:paraId="332F5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5FDA07A2">
            <w:pPr>
              <w:pStyle w:val="178"/>
            </w:pPr>
            <w:r>
              <w:t>53</w:t>
            </w:r>
          </w:p>
        </w:tc>
        <w:tc>
          <w:tcPr>
            <w:tcW w:w="2333" w:type="dxa"/>
            <w:shd w:val="clear" w:color="auto" w:fill="auto"/>
          </w:tcPr>
          <w:p w14:paraId="15C37648">
            <w:pPr>
              <w:pStyle w:val="178"/>
            </w:pPr>
            <w:r>
              <w:t>100</w:t>
            </w:r>
          </w:p>
        </w:tc>
        <w:tc>
          <w:tcPr>
            <w:tcW w:w="2333" w:type="dxa"/>
            <w:shd w:val="clear" w:color="auto" w:fill="auto"/>
          </w:tcPr>
          <w:p w14:paraId="1A72122C">
            <w:pPr>
              <w:pStyle w:val="178"/>
            </w:pPr>
            <w:r>
              <w:t>100</w:t>
            </w:r>
          </w:p>
        </w:tc>
        <w:tc>
          <w:tcPr>
            <w:tcW w:w="2334" w:type="dxa"/>
            <w:shd w:val="clear" w:color="auto" w:fill="auto"/>
          </w:tcPr>
          <w:p w14:paraId="743C1D77">
            <w:pPr>
              <w:pStyle w:val="178"/>
            </w:pPr>
          </w:p>
        </w:tc>
      </w:tr>
      <w:tr w14:paraId="2BE9E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32730E3F">
            <w:pPr>
              <w:pStyle w:val="178"/>
            </w:pPr>
            <w:r>
              <w:t>37.5</w:t>
            </w:r>
          </w:p>
        </w:tc>
        <w:tc>
          <w:tcPr>
            <w:tcW w:w="2333" w:type="dxa"/>
            <w:shd w:val="clear" w:color="auto" w:fill="auto"/>
          </w:tcPr>
          <w:p w14:paraId="5A6AC7D7">
            <w:pPr>
              <w:pStyle w:val="178"/>
            </w:pPr>
          </w:p>
        </w:tc>
        <w:tc>
          <w:tcPr>
            <w:tcW w:w="2333" w:type="dxa"/>
            <w:shd w:val="clear" w:color="auto" w:fill="auto"/>
          </w:tcPr>
          <w:p w14:paraId="3F795FD5">
            <w:pPr>
              <w:pStyle w:val="178"/>
            </w:pPr>
            <w:r>
              <w:t>85</w:t>
            </w:r>
            <w:r>
              <w:rPr>
                <w:rFonts w:hint="eastAsia"/>
              </w:rPr>
              <w:t>～</w:t>
            </w:r>
            <w:r>
              <w:t>100</w:t>
            </w:r>
          </w:p>
        </w:tc>
        <w:tc>
          <w:tcPr>
            <w:tcW w:w="2334" w:type="dxa"/>
            <w:shd w:val="clear" w:color="auto" w:fill="auto"/>
          </w:tcPr>
          <w:p w14:paraId="682D4342">
            <w:pPr>
              <w:pStyle w:val="178"/>
            </w:pPr>
            <w:r>
              <w:t>100</w:t>
            </w:r>
          </w:p>
        </w:tc>
      </w:tr>
      <w:tr w14:paraId="727E1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059533A2">
            <w:pPr>
              <w:pStyle w:val="178"/>
            </w:pPr>
            <w:r>
              <w:t>31.5</w:t>
            </w:r>
          </w:p>
        </w:tc>
        <w:tc>
          <w:tcPr>
            <w:tcW w:w="2333" w:type="dxa"/>
            <w:shd w:val="clear" w:color="auto" w:fill="auto"/>
          </w:tcPr>
          <w:p w14:paraId="1A4A7173">
            <w:pPr>
              <w:pStyle w:val="178"/>
            </w:pPr>
          </w:p>
        </w:tc>
        <w:tc>
          <w:tcPr>
            <w:tcW w:w="2333" w:type="dxa"/>
            <w:shd w:val="clear" w:color="auto" w:fill="auto"/>
          </w:tcPr>
          <w:p w14:paraId="2CC51123">
            <w:pPr>
              <w:pStyle w:val="178"/>
            </w:pPr>
            <w:r>
              <w:t>69</w:t>
            </w:r>
            <w:r>
              <w:rPr>
                <w:rFonts w:hint="eastAsia"/>
              </w:rPr>
              <w:t>～</w:t>
            </w:r>
            <w:r>
              <w:t>88</w:t>
            </w:r>
          </w:p>
        </w:tc>
        <w:tc>
          <w:tcPr>
            <w:tcW w:w="2334" w:type="dxa"/>
            <w:shd w:val="clear" w:color="auto" w:fill="auto"/>
          </w:tcPr>
          <w:p w14:paraId="3AEF4BE3">
            <w:pPr>
              <w:pStyle w:val="178"/>
            </w:pPr>
            <w:r>
              <w:t>83</w:t>
            </w:r>
            <w:r>
              <w:rPr>
                <w:rFonts w:hint="eastAsia"/>
              </w:rPr>
              <w:t>～</w:t>
            </w:r>
            <w:r>
              <w:t>100</w:t>
            </w:r>
          </w:p>
        </w:tc>
      </w:tr>
      <w:tr w14:paraId="17858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14115928">
            <w:pPr>
              <w:pStyle w:val="178"/>
            </w:pPr>
            <w:r>
              <w:t>19.0</w:t>
            </w:r>
          </w:p>
        </w:tc>
        <w:tc>
          <w:tcPr>
            <w:tcW w:w="2333" w:type="dxa"/>
            <w:shd w:val="clear" w:color="auto" w:fill="auto"/>
          </w:tcPr>
          <w:p w14:paraId="04423415">
            <w:pPr>
              <w:pStyle w:val="178"/>
            </w:pPr>
          </w:p>
        </w:tc>
        <w:tc>
          <w:tcPr>
            <w:tcW w:w="2333" w:type="dxa"/>
            <w:shd w:val="clear" w:color="auto" w:fill="auto"/>
          </w:tcPr>
          <w:p w14:paraId="34EEB25C">
            <w:pPr>
              <w:pStyle w:val="178"/>
            </w:pPr>
            <w:r>
              <w:t>40</w:t>
            </w:r>
            <w:r>
              <w:rPr>
                <w:rFonts w:hint="eastAsia"/>
              </w:rPr>
              <w:t>～</w:t>
            </w:r>
            <w:r>
              <w:t>65</w:t>
            </w:r>
          </w:p>
        </w:tc>
        <w:tc>
          <w:tcPr>
            <w:tcW w:w="2334" w:type="dxa"/>
            <w:shd w:val="clear" w:color="auto" w:fill="auto"/>
          </w:tcPr>
          <w:p w14:paraId="2BF730B7">
            <w:pPr>
              <w:pStyle w:val="178"/>
            </w:pPr>
            <w:r>
              <w:t>54</w:t>
            </w:r>
            <w:r>
              <w:rPr>
                <w:rFonts w:hint="eastAsia"/>
              </w:rPr>
              <w:t>～</w:t>
            </w:r>
            <w:r>
              <w:t>84</w:t>
            </w:r>
          </w:p>
        </w:tc>
      </w:tr>
      <w:tr w14:paraId="5C851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416B51B1">
            <w:pPr>
              <w:pStyle w:val="178"/>
            </w:pPr>
            <w:r>
              <w:t>9.5</w:t>
            </w:r>
          </w:p>
        </w:tc>
        <w:tc>
          <w:tcPr>
            <w:tcW w:w="2333" w:type="dxa"/>
            <w:shd w:val="clear" w:color="auto" w:fill="auto"/>
          </w:tcPr>
          <w:p w14:paraId="7D83836C">
            <w:pPr>
              <w:pStyle w:val="178"/>
            </w:pPr>
          </w:p>
        </w:tc>
        <w:tc>
          <w:tcPr>
            <w:tcW w:w="2333" w:type="dxa"/>
            <w:shd w:val="clear" w:color="auto" w:fill="auto"/>
          </w:tcPr>
          <w:p w14:paraId="3E7B1990">
            <w:pPr>
              <w:pStyle w:val="178"/>
            </w:pPr>
            <w:r>
              <w:t>19</w:t>
            </w:r>
            <w:r>
              <w:rPr>
                <w:rFonts w:hint="eastAsia"/>
              </w:rPr>
              <w:t>～</w:t>
            </w:r>
            <w:r>
              <w:t>43</w:t>
            </w:r>
          </w:p>
        </w:tc>
        <w:tc>
          <w:tcPr>
            <w:tcW w:w="2334" w:type="dxa"/>
            <w:shd w:val="clear" w:color="auto" w:fill="auto"/>
          </w:tcPr>
          <w:p w14:paraId="704C8CE3">
            <w:pPr>
              <w:pStyle w:val="178"/>
            </w:pPr>
            <w:r>
              <w:t>25</w:t>
            </w:r>
            <w:r>
              <w:rPr>
                <w:rFonts w:hint="eastAsia"/>
              </w:rPr>
              <w:t>～</w:t>
            </w:r>
            <w:r>
              <w:t>59</w:t>
            </w:r>
          </w:p>
        </w:tc>
      </w:tr>
      <w:tr w14:paraId="698E6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37FE1D19">
            <w:pPr>
              <w:pStyle w:val="178"/>
            </w:pPr>
            <w:r>
              <w:t>4.75</w:t>
            </w:r>
          </w:p>
        </w:tc>
        <w:tc>
          <w:tcPr>
            <w:tcW w:w="2333" w:type="dxa"/>
            <w:shd w:val="clear" w:color="auto" w:fill="auto"/>
          </w:tcPr>
          <w:p w14:paraId="4F71A6A6">
            <w:pPr>
              <w:pStyle w:val="178"/>
            </w:pPr>
            <w:r>
              <w:t>30</w:t>
            </w:r>
            <w:r>
              <w:rPr>
                <w:rFonts w:hint="eastAsia"/>
              </w:rPr>
              <w:t>～</w:t>
            </w:r>
            <w:r>
              <w:t>50</w:t>
            </w:r>
          </w:p>
        </w:tc>
        <w:tc>
          <w:tcPr>
            <w:tcW w:w="2333" w:type="dxa"/>
            <w:shd w:val="clear" w:color="auto" w:fill="auto"/>
          </w:tcPr>
          <w:p w14:paraId="35CFA514">
            <w:pPr>
              <w:pStyle w:val="178"/>
            </w:pPr>
            <w:r>
              <w:t>10</w:t>
            </w:r>
            <w:r>
              <w:rPr>
                <w:rFonts w:hint="eastAsia"/>
              </w:rPr>
              <w:t>～</w:t>
            </w:r>
            <w:r>
              <w:t>30</w:t>
            </w:r>
          </w:p>
        </w:tc>
        <w:tc>
          <w:tcPr>
            <w:tcW w:w="2334" w:type="dxa"/>
            <w:shd w:val="clear" w:color="auto" w:fill="auto"/>
          </w:tcPr>
          <w:p w14:paraId="1998BF0F">
            <w:pPr>
              <w:pStyle w:val="178"/>
            </w:pPr>
            <w:r>
              <w:t>17</w:t>
            </w:r>
            <w:r>
              <w:rPr>
                <w:rFonts w:hint="eastAsia"/>
              </w:rPr>
              <w:t>～</w:t>
            </w:r>
            <w:r>
              <w:t>45</w:t>
            </w:r>
          </w:p>
        </w:tc>
      </w:tr>
      <w:tr w14:paraId="03329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736FCC4E">
            <w:pPr>
              <w:pStyle w:val="178"/>
            </w:pPr>
            <w:r>
              <w:t>2.36</w:t>
            </w:r>
          </w:p>
        </w:tc>
        <w:tc>
          <w:tcPr>
            <w:tcW w:w="2333" w:type="dxa"/>
            <w:shd w:val="clear" w:color="auto" w:fill="auto"/>
          </w:tcPr>
          <w:p w14:paraId="27D53D26">
            <w:pPr>
              <w:pStyle w:val="178"/>
            </w:pPr>
          </w:p>
        </w:tc>
        <w:tc>
          <w:tcPr>
            <w:tcW w:w="2333" w:type="dxa"/>
            <w:shd w:val="clear" w:color="auto" w:fill="auto"/>
          </w:tcPr>
          <w:p w14:paraId="6A1190E8">
            <w:pPr>
              <w:pStyle w:val="178"/>
            </w:pPr>
            <w:r>
              <w:t>8</w:t>
            </w:r>
            <w:r>
              <w:rPr>
                <w:rFonts w:hint="eastAsia"/>
              </w:rPr>
              <w:t>～</w:t>
            </w:r>
            <w:r>
              <w:t>25</w:t>
            </w:r>
          </w:p>
        </w:tc>
        <w:tc>
          <w:tcPr>
            <w:tcW w:w="2334" w:type="dxa"/>
            <w:shd w:val="clear" w:color="auto" w:fill="auto"/>
          </w:tcPr>
          <w:p w14:paraId="04917A58">
            <w:pPr>
              <w:pStyle w:val="178"/>
            </w:pPr>
            <w:r>
              <w:t>11</w:t>
            </w:r>
            <w:r>
              <w:rPr>
                <w:rFonts w:hint="eastAsia"/>
              </w:rPr>
              <w:t>～</w:t>
            </w:r>
            <w:r>
              <w:t>35</w:t>
            </w:r>
          </w:p>
        </w:tc>
      </w:tr>
      <w:tr w14:paraId="21C19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7DA481B6">
            <w:pPr>
              <w:pStyle w:val="178"/>
            </w:pPr>
            <w:r>
              <w:t>0.6</w:t>
            </w:r>
          </w:p>
        </w:tc>
        <w:tc>
          <w:tcPr>
            <w:tcW w:w="2333" w:type="dxa"/>
            <w:shd w:val="clear" w:color="auto" w:fill="auto"/>
          </w:tcPr>
          <w:p w14:paraId="1AFF412F">
            <w:pPr>
              <w:pStyle w:val="178"/>
            </w:pPr>
          </w:p>
        </w:tc>
        <w:tc>
          <w:tcPr>
            <w:tcW w:w="2333" w:type="dxa"/>
            <w:shd w:val="clear" w:color="auto" w:fill="auto"/>
          </w:tcPr>
          <w:p w14:paraId="49EA95D6">
            <w:pPr>
              <w:pStyle w:val="178"/>
            </w:pPr>
            <w:r>
              <w:t>6</w:t>
            </w:r>
            <w:r>
              <w:rPr>
                <w:rFonts w:hint="eastAsia"/>
              </w:rPr>
              <w:t>～</w:t>
            </w:r>
            <w:r>
              <w:t>18</w:t>
            </w:r>
          </w:p>
        </w:tc>
        <w:tc>
          <w:tcPr>
            <w:tcW w:w="2334" w:type="dxa"/>
            <w:shd w:val="clear" w:color="auto" w:fill="auto"/>
          </w:tcPr>
          <w:p w14:paraId="7DFC9C4D">
            <w:pPr>
              <w:pStyle w:val="178"/>
            </w:pPr>
            <w:r>
              <w:t>6</w:t>
            </w:r>
            <w:r>
              <w:rPr>
                <w:rFonts w:hint="eastAsia"/>
              </w:rPr>
              <w:t>～</w:t>
            </w:r>
            <w:r>
              <w:t>21</w:t>
            </w:r>
          </w:p>
        </w:tc>
      </w:tr>
      <w:tr w14:paraId="7D257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137E7A7D">
            <w:pPr>
              <w:pStyle w:val="178"/>
            </w:pPr>
            <w:r>
              <w:t>0.075</w:t>
            </w:r>
          </w:p>
        </w:tc>
        <w:tc>
          <w:tcPr>
            <w:tcW w:w="2333" w:type="dxa"/>
            <w:shd w:val="clear" w:color="auto" w:fill="auto"/>
          </w:tcPr>
          <w:p w14:paraId="7900A0A0">
            <w:pPr>
              <w:pStyle w:val="178"/>
            </w:pPr>
            <w:r>
              <w:t>0</w:t>
            </w:r>
            <w:r>
              <w:rPr>
                <w:rFonts w:hint="eastAsia"/>
              </w:rPr>
              <w:t>～</w:t>
            </w:r>
            <w:r>
              <w:t>5</w:t>
            </w:r>
          </w:p>
        </w:tc>
        <w:tc>
          <w:tcPr>
            <w:tcW w:w="2333" w:type="dxa"/>
            <w:shd w:val="clear" w:color="auto" w:fill="auto"/>
          </w:tcPr>
          <w:p w14:paraId="0B7F3AF6">
            <w:pPr>
              <w:pStyle w:val="178"/>
            </w:pPr>
            <w:r>
              <w:t>0</w:t>
            </w:r>
            <w:r>
              <w:rPr>
                <w:rFonts w:hint="eastAsia"/>
              </w:rPr>
              <w:t>～</w:t>
            </w:r>
            <w:r>
              <w:t>10</w:t>
            </w:r>
          </w:p>
        </w:tc>
        <w:tc>
          <w:tcPr>
            <w:tcW w:w="2334" w:type="dxa"/>
            <w:shd w:val="clear" w:color="auto" w:fill="auto"/>
          </w:tcPr>
          <w:p w14:paraId="5C66701B">
            <w:pPr>
              <w:pStyle w:val="178"/>
            </w:pPr>
            <w:r>
              <w:t>0</w:t>
            </w:r>
            <w:r>
              <w:rPr>
                <w:rFonts w:hint="eastAsia"/>
              </w:rPr>
              <w:t>～</w:t>
            </w:r>
            <w:r>
              <w:t>10</w:t>
            </w:r>
          </w:p>
        </w:tc>
      </w:tr>
      <w:tr w14:paraId="3625D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0454EE6D">
            <w:pPr>
              <w:pStyle w:val="178"/>
            </w:pPr>
            <w:r>
              <w:rPr>
                <w:rFonts w:hint="eastAsia"/>
              </w:rPr>
              <w:t>液限（%）</w:t>
            </w:r>
          </w:p>
        </w:tc>
        <w:tc>
          <w:tcPr>
            <w:tcW w:w="2333" w:type="dxa"/>
            <w:shd w:val="clear" w:color="auto" w:fill="auto"/>
          </w:tcPr>
          <w:p w14:paraId="39AF33EB">
            <w:pPr>
              <w:pStyle w:val="178"/>
            </w:pPr>
            <w:r>
              <w:t>˂</w:t>
            </w:r>
            <w:r>
              <w:rPr>
                <w:rFonts w:hint="eastAsia"/>
              </w:rPr>
              <w:t>28</w:t>
            </w:r>
          </w:p>
        </w:tc>
        <w:tc>
          <w:tcPr>
            <w:tcW w:w="2333" w:type="dxa"/>
            <w:shd w:val="clear" w:color="auto" w:fill="auto"/>
          </w:tcPr>
          <w:p w14:paraId="620E26DF">
            <w:pPr>
              <w:pStyle w:val="178"/>
            </w:pPr>
            <w:r>
              <w:rPr>
                <w:rFonts w:hint="eastAsia"/>
              </w:rPr>
              <w:t>&lt;28</w:t>
            </w:r>
          </w:p>
        </w:tc>
        <w:tc>
          <w:tcPr>
            <w:tcW w:w="2334" w:type="dxa"/>
            <w:shd w:val="clear" w:color="auto" w:fill="auto"/>
          </w:tcPr>
          <w:p w14:paraId="3FDEBB93">
            <w:pPr>
              <w:pStyle w:val="178"/>
            </w:pPr>
            <w:r>
              <w:rPr>
                <w:rFonts w:hint="eastAsia"/>
              </w:rPr>
              <w:t>&lt;28</w:t>
            </w:r>
          </w:p>
        </w:tc>
      </w:tr>
      <w:tr w14:paraId="46999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shd w:val="clear" w:color="auto" w:fill="auto"/>
          </w:tcPr>
          <w:p w14:paraId="390059AD">
            <w:pPr>
              <w:pStyle w:val="178"/>
            </w:pPr>
            <w:r>
              <w:rPr>
                <w:rFonts w:hint="eastAsia"/>
              </w:rPr>
              <w:t>塑性指数</w:t>
            </w:r>
          </w:p>
        </w:tc>
        <w:tc>
          <w:tcPr>
            <w:tcW w:w="2333" w:type="dxa"/>
            <w:shd w:val="clear" w:color="auto" w:fill="auto"/>
          </w:tcPr>
          <w:p w14:paraId="582AF389">
            <w:pPr>
              <w:pStyle w:val="178"/>
            </w:pPr>
            <w:r>
              <w:rPr>
                <w:rFonts w:hint="eastAsia"/>
              </w:rPr>
              <w:t>&lt;6</w:t>
            </w:r>
          </w:p>
        </w:tc>
        <w:tc>
          <w:tcPr>
            <w:tcW w:w="2333" w:type="dxa"/>
            <w:shd w:val="clear" w:color="auto" w:fill="auto"/>
          </w:tcPr>
          <w:p w14:paraId="6467B4E5">
            <w:pPr>
              <w:pStyle w:val="178"/>
            </w:pPr>
            <w:r>
              <w:rPr>
                <w:rFonts w:hint="eastAsia"/>
              </w:rPr>
              <w:t>&lt;6</w:t>
            </w:r>
          </w:p>
        </w:tc>
        <w:tc>
          <w:tcPr>
            <w:tcW w:w="2334" w:type="dxa"/>
            <w:shd w:val="clear" w:color="auto" w:fill="auto"/>
          </w:tcPr>
          <w:p w14:paraId="51FE87C5">
            <w:pPr>
              <w:pStyle w:val="178"/>
            </w:pPr>
            <w:r>
              <w:rPr>
                <w:rFonts w:hint="eastAsia"/>
              </w:rPr>
              <w:t>&lt;6</w:t>
            </w:r>
          </w:p>
        </w:tc>
      </w:tr>
    </w:tbl>
    <w:p w14:paraId="0BF8BEF6">
      <w:pPr>
        <w:pStyle w:val="165"/>
      </w:pPr>
      <w:r>
        <w:rPr>
          <w:rFonts w:hint="eastAsia"/>
        </w:rPr>
        <w:t>刚性基层</w:t>
      </w:r>
    </w:p>
    <w:p w14:paraId="4D796CF9">
      <w:pPr>
        <w:pStyle w:val="174"/>
        <w:numPr>
          <w:ilvl w:val="0"/>
          <w:numId w:val="43"/>
        </w:numPr>
      </w:pPr>
      <w:r>
        <w:rPr>
          <w:rFonts w:hint="eastAsia"/>
        </w:rPr>
        <w:t>刚性基层适用条件，应符合下列规定：</w:t>
      </w:r>
    </w:p>
    <w:p w14:paraId="544089BD">
      <w:pPr>
        <w:pStyle w:val="109"/>
        <w:numPr>
          <w:ilvl w:val="1"/>
          <w:numId w:val="44"/>
        </w:numPr>
      </w:pPr>
      <w:r>
        <w:rPr>
          <w:rFonts w:hint="eastAsia"/>
        </w:rPr>
        <w:t>刚性基层适用于地基软弱、地下管线多、难以充分碾压的地段，以及对面层平整度、抗沉陷要求较高的地段；</w:t>
      </w:r>
    </w:p>
    <w:p w14:paraId="288D900D">
      <w:pPr>
        <w:pStyle w:val="109"/>
      </w:pPr>
      <w:r>
        <w:rPr>
          <w:rFonts w:hint="eastAsia"/>
        </w:rPr>
        <w:t>选择石材板或广场砖做铺装面层时，宜采用刚性基层。</w:t>
      </w:r>
    </w:p>
    <w:p w14:paraId="52B318CC">
      <w:pPr>
        <w:pStyle w:val="174"/>
        <w:numPr>
          <w:ilvl w:val="0"/>
          <w:numId w:val="43"/>
        </w:numPr>
      </w:pPr>
      <w:r>
        <w:rPr>
          <w:rFonts w:hint="eastAsia"/>
        </w:rPr>
        <w:t>刚性基层设计要求，应包括下列内容：</w:t>
      </w:r>
    </w:p>
    <w:p w14:paraId="0AC84DC5">
      <w:pPr>
        <w:pStyle w:val="109"/>
        <w:numPr>
          <w:ilvl w:val="1"/>
          <w:numId w:val="45"/>
        </w:numPr>
      </w:pPr>
      <w:r>
        <w:rPr>
          <w:rFonts w:hint="eastAsia"/>
        </w:rPr>
        <w:t>刚性基层材料为水泥混凝土。水泥混凝土强度等级不宜低于C20,亦不宜高于C25；</w:t>
      </w:r>
    </w:p>
    <w:p w14:paraId="52813AB4">
      <w:pPr>
        <w:pStyle w:val="109"/>
      </w:pPr>
      <w:r>
        <w:rPr>
          <w:rFonts w:hint="eastAsia"/>
        </w:rPr>
        <w:t>当日平均气温低于5°C,现场气温高于40°C及雨天均不宜施工。否则应采取措施，保证工程质量；</w:t>
      </w:r>
    </w:p>
    <w:p w14:paraId="318E181B">
      <w:pPr>
        <w:pStyle w:val="109"/>
      </w:pPr>
      <w:r>
        <w:rPr>
          <w:rFonts w:hint="eastAsia"/>
        </w:rPr>
        <w:t>刚性基层横向伸缩缝的间距一般为</w:t>
      </w:r>
      <w:r>
        <w:t>3m</w:t>
      </w:r>
      <w:r>
        <w:rPr>
          <w:rFonts w:hint="eastAsia" w:ascii="MS Gothic" w:hAnsi="MS Gothic" w:eastAsia="MS Gothic" w:cs="MS Gothic"/>
        </w:rPr>
        <w:t>〜</w:t>
      </w:r>
      <w:r>
        <w:t>6m</w:t>
      </w:r>
      <w:r>
        <w:rPr>
          <w:rFonts w:hint="eastAsia"/>
        </w:rPr>
        <w:t>，可根据树池间距或板块宽度适当调整；</w:t>
      </w:r>
    </w:p>
    <w:p w14:paraId="2E9E152C">
      <w:pPr>
        <w:pStyle w:val="109"/>
      </w:pPr>
      <w:r>
        <w:rPr>
          <w:rFonts w:hint="eastAsia"/>
        </w:rPr>
        <w:t>在邻近桥梁或其他规定结构物或与其他人行道相交处应设置横向胀缝，设置胀缝条数，视膨胀量大小而定。低温浇筑混凝土基层或选用膨胀性高的集料时，宜酌情确定是否设置胀缝，胀缝宽20mm，缝内设置填缝板，缝顶部设填缝料。胀缝应贯通至面层。</w:t>
      </w:r>
    </w:p>
    <w:p w14:paraId="559ED703">
      <w:pPr>
        <w:pStyle w:val="165"/>
      </w:pPr>
      <w:r>
        <w:rPr>
          <w:rFonts w:hint="eastAsia"/>
        </w:rPr>
        <w:t>半刚性基层</w:t>
      </w:r>
    </w:p>
    <w:p w14:paraId="5A3DDC6F">
      <w:pPr>
        <w:pStyle w:val="174"/>
        <w:numPr>
          <w:ilvl w:val="0"/>
          <w:numId w:val="46"/>
        </w:numPr>
      </w:pPr>
      <w:r>
        <w:rPr>
          <w:rFonts w:hint="eastAsia"/>
        </w:rPr>
        <w:t>半刚性基层适用条件，应符合下列规定：</w:t>
      </w:r>
    </w:p>
    <w:p w14:paraId="7F79A408">
      <w:pPr>
        <w:pStyle w:val="109"/>
        <w:numPr>
          <w:ilvl w:val="1"/>
          <w:numId w:val="47"/>
        </w:numPr>
      </w:pPr>
      <w:r>
        <w:rPr>
          <w:rFonts w:hint="eastAsia"/>
        </w:rPr>
        <w:t>半刚性基层适宜各等级道路人行道地基状况的地段，但须保证充分碾压和有足够的养生时间;</w:t>
      </w:r>
    </w:p>
    <w:p w14:paraId="3EE316A7">
      <w:pPr>
        <w:pStyle w:val="109"/>
      </w:pPr>
      <w:r>
        <w:rPr>
          <w:rFonts w:hint="eastAsia"/>
        </w:rPr>
        <w:t>半刚性基层不宜在有车辆荷载的广场砖和石材板面层下使用。</w:t>
      </w:r>
    </w:p>
    <w:p w14:paraId="0A77F706">
      <w:pPr>
        <w:pStyle w:val="174"/>
        <w:numPr>
          <w:ilvl w:val="0"/>
          <w:numId w:val="46"/>
        </w:numPr>
      </w:pPr>
      <w:r>
        <w:rPr>
          <w:rFonts w:hint="eastAsia"/>
        </w:rPr>
        <w:t>半刚性基层设计要求，应包括下列内容：</w:t>
      </w:r>
    </w:p>
    <w:p w14:paraId="23678FF4">
      <w:pPr>
        <w:pStyle w:val="109"/>
        <w:numPr>
          <w:ilvl w:val="1"/>
          <w:numId w:val="48"/>
        </w:numPr>
      </w:pPr>
      <w:r>
        <w:rPr>
          <w:rFonts w:hint="eastAsia"/>
        </w:rPr>
        <w:t>半刚性基层系指石灰粉煤灰稳定碎石基层及水泥稳定碎石基层；</w:t>
      </w:r>
    </w:p>
    <w:p w14:paraId="41716C65">
      <w:pPr>
        <w:pStyle w:val="109"/>
      </w:pPr>
      <w:r>
        <w:rPr>
          <w:rFonts w:hint="eastAsia"/>
        </w:rPr>
        <w:t>半刚性基层应具有足够的强度、适宜的板体刚度和一定的抗裂、防渗性；</w:t>
      </w:r>
    </w:p>
    <w:p w14:paraId="3B8778F8">
      <w:pPr>
        <w:pStyle w:val="109"/>
      </w:pPr>
      <w:r>
        <w:rPr>
          <w:rFonts w:hint="eastAsia"/>
        </w:rPr>
        <w:t>当日平均气温低于5°C时不宜进行半刚性基层施工，否则应采取措施，保证工程质量；</w:t>
      </w:r>
    </w:p>
    <w:p w14:paraId="7280389A">
      <w:pPr>
        <w:pStyle w:val="109"/>
      </w:pPr>
      <w:r>
        <w:rPr>
          <w:rFonts w:hint="eastAsia"/>
        </w:rPr>
        <w:t>半刚性基层竣工后应采取养生措施，保证强度的形成。</w:t>
      </w:r>
    </w:p>
    <w:p w14:paraId="26366FDA">
      <w:pPr>
        <w:pStyle w:val="105"/>
        <w:spacing w:before="156" w:after="156"/>
      </w:pPr>
      <w:bookmarkStart w:id="165" w:name="_Toc177634231"/>
      <w:bookmarkStart w:id="166" w:name="_Toc177647700"/>
      <w:bookmarkStart w:id="167" w:name="_Toc177734862"/>
      <w:bookmarkStart w:id="168" w:name="_Toc178325001"/>
      <w:bookmarkStart w:id="169" w:name="_Toc177723435"/>
      <w:bookmarkStart w:id="170" w:name="_Toc177981357"/>
      <w:bookmarkStart w:id="171" w:name="_Toc177645330"/>
      <w:bookmarkStart w:id="172" w:name="_Toc177736926"/>
      <w:r>
        <w:rPr>
          <w:rFonts w:hint="eastAsia"/>
        </w:rPr>
        <w:t>垫层</w:t>
      </w:r>
      <w:bookmarkEnd w:id="165"/>
      <w:bookmarkEnd w:id="166"/>
      <w:bookmarkEnd w:id="167"/>
      <w:bookmarkEnd w:id="168"/>
      <w:bookmarkEnd w:id="169"/>
      <w:bookmarkEnd w:id="170"/>
      <w:bookmarkEnd w:id="171"/>
      <w:bookmarkEnd w:id="172"/>
    </w:p>
    <w:p w14:paraId="6699736C">
      <w:pPr>
        <w:pStyle w:val="165"/>
      </w:pPr>
      <w:r>
        <w:rPr>
          <w:rFonts w:hint="eastAsia"/>
        </w:rPr>
        <w:t>一般规定</w:t>
      </w:r>
    </w:p>
    <w:p w14:paraId="3E78D345">
      <w:pPr>
        <w:pStyle w:val="174"/>
        <w:numPr>
          <w:ilvl w:val="0"/>
          <w:numId w:val="49"/>
        </w:numPr>
      </w:pPr>
      <w:r>
        <w:rPr>
          <w:rFonts w:hint="eastAsia"/>
        </w:rPr>
        <w:t>垫层应根据基层材料类型、土基类别，确定是否需要设置;柔性基层可不设垫层；不良土基经换土改良后，可不设垫层。</w:t>
      </w:r>
    </w:p>
    <w:p w14:paraId="3DC89455">
      <w:pPr>
        <w:pStyle w:val="174"/>
      </w:pPr>
      <w:r>
        <w:rPr>
          <w:rFonts w:hint="eastAsia"/>
        </w:rPr>
        <w:t>垫层材料可选用级配碎石、砂砾、中粗砂、路面旧料、建筑废渣、矿渣、煤渣等，应符合经济环保的原则。</w:t>
      </w:r>
    </w:p>
    <w:p w14:paraId="1483A016">
      <w:pPr>
        <w:pStyle w:val="174"/>
      </w:pPr>
      <w:r>
        <w:rPr>
          <w:rFonts w:hint="eastAsia"/>
        </w:rPr>
        <w:t>路基处于潮湿状态路段的人行道应设置垫层，以确保人行道铺面结构的稳定、安全。</w:t>
      </w:r>
    </w:p>
    <w:p w14:paraId="30A262FC">
      <w:pPr>
        <w:pStyle w:val="174"/>
      </w:pPr>
      <w:r>
        <w:rPr>
          <w:rFonts w:hint="eastAsia"/>
        </w:rPr>
        <w:t>人行道垫层材料的最大粒径应与结构厚度相协调，以保证结构层的稳定性,一般最大粒径不超过设计层厚度的一半。</w:t>
      </w:r>
    </w:p>
    <w:p w14:paraId="67A899C6">
      <w:pPr>
        <w:pStyle w:val="105"/>
        <w:spacing w:before="156" w:after="156"/>
      </w:pPr>
      <w:bookmarkStart w:id="173" w:name="_Toc177634232"/>
      <w:bookmarkStart w:id="174" w:name="_Toc177734863"/>
      <w:bookmarkStart w:id="175" w:name="_Toc177647701"/>
      <w:bookmarkStart w:id="176" w:name="_Toc177723436"/>
      <w:bookmarkStart w:id="177" w:name="_Toc177736927"/>
      <w:bookmarkStart w:id="178" w:name="_Toc178325002"/>
      <w:bookmarkStart w:id="179" w:name="_Toc177645331"/>
      <w:bookmarkStart w:id="180" w:name="_Toc177981358"/>
      <w:r>
        <w:rPr>
          <w:rFonts w:hint="eastAsia"/>
        </w:rPr>
        <w:t>路基</w:t>
      </w:r>
      <w:bookmarkEnd w:id="173"/>
      <w:bookmarkEnd w:id="174"/>
      <w:bookmarkEnd w:id="175"/>
      <w:bookmarkEnd w:id="176"/>
      <w:bookmarkEnd w:id="177"/>
      <w:bookmarkEnd w:id="178"/>
      <w:bookmarkEnd w:id="179"/>
      <w:bookmarkEnd w:id="180"/>
    </w:p>
    <w:p w14:paraId="6603F777">
      <w:pPr>
        <w:pStyle w:val="165"/>
      </w:pPr>
      <w:r>
        <w:rPr>
          <w:rFonts w:hint="eastAsia"/>
        </w:rPr>
        <w:t>一般规定</w:t>
      </w:r>
    </w:p>
    <w:p w14:paraId="3388FFE4">
      <w:pPr>
        <w:pStyle w:val="174"/>
        <w:numPr>
          <w:ilvl w:val="0"/>
          <w:numId w:val="50"/>
        </w:numPr>
      </w:pPr>
      <w:r>
        <w:rPr>
          <w:rFonts w:hint="eastAsia"/>
        </w:rPr>
        <w:t>人行道路基应结合路幅断面、工程地质情况及施工条件等因素与道路路基统一设计，必须密实、均匀和稳定，压实度应满足：人行道土基填方路段路槽下0～80cm≥92%，80～150cm≥91%，150cm以下≥90%，零填及挖方路段路槽下0～30cm≥92%。</w:t>
      </w:r>
    </w:p>
    <w:p w14:paraId="66FF2744">
      <w:pPr>
        <w:pStyle w:val="174"/>
      </w:pPr>
      <w:r>
        <w:rPr>
          <w:rFonts w:hint="eastAsia"/>
        </w:rPr>
        <w:t>对于不良土质路段,应结合道路路基处理采取相应改善措施。</w:t>
      </w:r>
    </w:p>
    <w:p w14:paraId="520DC79C">
      <w:pPr>
        <w:pStyle w:val="165"/>
      </w:pPr>
      <w:r>
        <w:rPr>
          <w:rFonts w:hint="eastAsia"/>
        </w:rPr>
        <w:t>设计要求</w:t>
      </w:r>
    </w:p>
    <w:p w14:paraId="1AF8270E">
      <w:pPr>
        <w:pStyle w:val="174"/>
        <w:numPr>
          <w:ilvl w:val="0"/>
          <w:numId w:val="51"/>
        </w:numPr>
      </w:pPr>
      <w:r>
        <w:rPr>
          <w:rFonts w:hint="eastAsia"/>
        </w:rPr>
        <w:t>人行道路基是道路路基的组成部分，宜统一填筑和碾压。</w:t>
      </w:r>
    </w:p>
    <w:p w14:paraId="44901222">
      <w:pPr>
        <w:pStyle w:val="174"/>
      </w:pPr>
      <w:r>
        <w:rPr>
          <w:rFonts w:hint="eastAsia"/>
        </w:rPr>
        <w:t>路基施工范围建（构）筑物的基础、障碍物、杂草、植物残 根及垃圾等必须清除。填筑材料应符合工程质量要求。</w:t>
      </w:r>
    </w:p>
    <w:p w14:paraId="0DC4CEF3">
      <w:pPr>
        <w:pStyle w:val="174"/>
      </w:pPr>
      <w:r>
        <w:rPr>
          <w:rFonts w:hint="eastAsia"/>
        </w:rPr>
        <w:t>人行道下管线顶面覆土厚度应由管线综合确定，小于相关规范规定的最小覆土厚度时,管线应采取加固处理措施进行保护。人行道下管线浅埋施工应在路基填筑压实后，反开挖沟槽施工，沟槽回填除满足管线要求外尚应满足路基压实要求。</w:t>
      </w:r>
    </w:p>
    <w:p w14:paraId="5F3AB1EF">
      <w:pPr>
        <w:pStyle w:val="174"/>
      </w:pPr>
      <w:r>
        <w:rPr>
          <w:rFonts w:hint="eastAsia"/>
        </w:rPr>
        <w:t>人行道与街边建筑物地坪高差大于70cm时,应在人行道边缘设挡护结构，并在挡护结构顶设护栏；若人行道外侧为土质边坡，宜设置宽度不小于50cm的土路肩以保证人行道路基的稳定。</w:t>
      </w:r>
    </w:p>
    <w:p w14:paraId="5EA4E0BF">
      <w:pPr>
        <w:pStyle w:val="104"/>
        <w:spacing w:before="312" w:after="312"/>
      </w:pPr>
      <w:bookmarkStart w:id="181" w:name="_Toc177645332"/>
      <w:bookmarkStart w:id="182" w:name="_Toc177723437"/>
      <w:bookmarkStart w:id="183" w:name="_Toc177634233"/>
      <w:bookmarkStart w:id="184" w:name="_Toc177736928"/>
      <w:bookmarkStart w:id="185" w:name="_Toc177734864"/>
      <w:bookmarkStart w:id="186" w:name="_Toc177627017"/>
      <w:bookmarkStart w:id="187" w:name="_Toc177981359"/>
      <w:bookmarkStart w:id="188" w:name="_Toc178325003"/>
      <w:bookmarkStart w:id="189" w:name="_Toc177647702"/>
      <w:r>
        <w:rPr>
          <w:rFonts w:hint="eastAsia"/>
        </w:rPr>
        <w:t>无障碍设施</w:t>
      </w:r>
      <w:bookmarkEnd w:id="181"/>
      <w:bookmarkEnd w:id="182"/>
      <w:bookmarkEnd w:id="183"/>
      <w:bookmarkEnd w:id="184"/>
      <w:bookmarkEnd w:id="185"/>
      <w:bookmarkEnd w:id="186"/>
      <w:bookmarkEnd w:id="187"/>
      <w:bookmarkEnd w:id="188"/>
      <w:bookmarkEnd w:id="189"/>
    </w:p>
    <w:p w14:paraId="6806862B">
      <w:pPr>
        <w:pStyle w:val="105"/>
        <w:spacing w:before="156" w:after="156"/>
      </w:pPr>
      <w:bookmarkStart w:id="190" w:name="_Toc177634234"/>
      <w:bookmarkStart w:id="191" w:name="_Toc177723438"/>
      <w:bookmarkStart w:id="192" w:name="_Toc177647703"/>
      <w:bookmarkStart w:id="193" w:name="_Toc177981360"/>
      <w:bookmarkStart w:id="194" w:name="_Toc177734865"/>
      <w:bookmarkStart w:id="195" w:name="_Toc177645333"/>
      <w:bookmarkStart w:id="196" w:name="_Toc177736929"/>
      <w:bookmarkStart w:id="197" w:name="_Toc178325004"/>
      <w:r>
        <w:rPr>
          <w:rFonts w:hint="eastAsia"/>
        </w:rPr>
        <w:t>一般规定</w:t>
      </w:r>
      <w:bookmarkEnd w:id="190"/>
      <w:bookmarkEnd w:id="191"/>
      <w:bookmarkEnd w:id="192"/>
      <w:bookmarkEnd w:id="193"/>
      <w:bookmarkEnd w:id="194"/>
      <w:bookmarkEnd w:id="195"/>
      <w:bookmarkEnd w:id="196"/>
      <w:bookmarkEnd w:id="197"/>
    </w:p>
    <w:p w14:paraId="6AB3089B">
      <w:pPr>
        <w:pStyle w:val="165"/>
      </w:pPr>
      <w:r>
        <w:rPr>
          <w:rFonts w:hint="eastAsia"/>
        </w:rPr>
        <w:t>城市道路、城市广场、城市绿地、居住区、居住建筑、公共建筑及历史文物保护建筑、桥梁、隧道、立体交叉等中人行系统均应进行无障碍设计，无障碍设施应沿行人通行路径布置。无障碍设施应与道路、广场、绿地、建筑等主体工程同步设计、同步施工、同步交付使用。</w:t>
      </w:r>
    </w:p>
    <w:p w14:paraId="23A6D48C">
      <w:pPr>
        <w:pStyle w:val="165"/>
      </w:pPr>
      <w:r>
        <w:rPr>
          <w:rFonts w:hint="eastAsia"/>
        </w:rPr>
        <w:t>无障碍设施的设置应具备安全性、认可性、舒适性、连续性的原则，新建的无障碍设施应与周边环境的既有无障碍设施有效衔接。</w:t>
      </w:r>
    </w:p>
    <w:p w14:paraId="275C1E31">
      <w:pPr>
        <w:pStyle w:val="165"/>
      </w:pPr>
      <w:r>
        <w:rPr>
          <w:rFonts w:hint="eastAsia"/>
        </w:rPr>
        <w:t>无障碍设计应符合</w:t>
      </w:r>
      <w:r>
        <w:t>GB 50763</w:t>
      </w:r>
      <w:r>
        <w:rPr>
          <w:rFonts w:hint="eastAsia"/>
        </w:rPr>
        <w:t>和GB 55019的规定。</w:t>
      </w:r>
    </w:p>
    <w:p w14:paraId="269FE869">
      <w:pPr>
        <w:pStyle w:val="105"/>
        <w:spacing w:before="156" w:after="156"/>
      </w:pPr>
      <w:bookmarkStart w:id="198" w:name="_Toc177634235"/>
      <w:bookmarkStart w:id="199" w:name="_Toc177647704"/>
      <w:bookmarkStart w:id="200" w:name="_Toc177734866"/>
      <w:bookmarkStart w:id="201" w:name="_Toc177723439"/>
      <w:bookmarkStart w:id="202" w:name="_Toc177981361"/>
      <w:bookmarkStart w:id="203" w:name="_Toc177645334"/>
      <w:bookmarkStart w:id="204" w:name="_Toc177736930"/>
      <w:bookmarkStart w:id="205" w:name="_Toc178325005"/>
      <w:r>
        <w:rPr>
          <w:rFonts w:hint="eastAsia"/>
        </w:rPr>
        <w:t>盲道</w:t>
      </w:r>
      <w:bookmarkEnd w:id="198"/>
      <w:bookmarkEnd w:id="199"/>
      <w:bookmarkEnd w:id="200"/>
      <w:bookmarkEnd w:id="201"/>
      <w:bookmarkEnd w:id="202"/>
      <w:bookmarkEnd w:id="203"/>
      <w:bookmarkEnd w:id="204"/>
      <w:bookmarkEnd w:id="205"/>
    </w:p>
    <w:p w14:paraId="6A8691E9">
      <w:pPr>
        <w:pStyle w:val="165"/>
      </w:pPr>
      <w:r>
        <w:rPr>
          <w:rFonts w:hint="eastAsia"/>
        </w:rPr>
        <w:t>盲道的纹路应突出地面4mm高，颜色宜与相邻的人行道铺面的颜色形成对比，并与周围景观相协调，宜采用中黄色。</w:t>
      </w:r>
    </w:p>
    <w:p w14:paraId="479FCC06">
      <w:pPr>
        <w:pStyle w:val="165"/>
      </w:pPr>
      <w:r>
        <w:rPr>
          <w:rFonts w:hint="eastAsia"/>
        </w:rPr>
        <w:t>行进盲道的宽度宜为250mm</w:t>
      </w:r>
      <w:r>
        <w:rPr>
          <w:rFonts w:hint="eastAsia" w:hAnsi="宋体"/>
        </w:rPr>
        <w:t>～</w:t>
      </w:r>
      <w:r>
        <w:rPr>
          <w:rFonts w:hint="eastAsia"/>
        </w:rPr>
        <w:t>500mm。行进盲道在起点、终点、转弯处、公交车站点及其他有需要特殊处理的地方需要设置提示盲道。提示盲道的宽度不小于300mm，且不应小于行进盲道的宽度。</w:t>
      </w:r>
    </w:p>
    <w:p w14:paraId="4390729F">
      <w:pPr>
        <w:pStyle w:val="165"/>
      </w:pPr>
      <w:r>
        <w:rPr>
          <w:rFonts w:hint="eastAsia"/>
        </w:rPr>
        <w:t>行进盲道宜在距围墙、花台、绿化带250mm～500mm处设置。</w:t>
      </w:r>
    </w:p>
    <w:p w14:paraId="7ECE2C3E">
      <w:pPr>
        <w:pStyle w:val="165"/>
      </w:pPr>
      <w:r>
        <w:rPr>
          <w:rFonts w:hint="eastAsia"/>
        </w:rPr>
        <w:t>盲道及盲道两侧各250mm人行道空间内不应设置设施。</w:t>
      </w:r>
    </w:p>
    <w:p w14:paraId="7CA3B33C">
      <w:pPr>
        <w:pStyle w:val="165"/>
      </w:pPr>
      <w:r>
        <w:rPr>
          <w:rFonts w:hint="eastAsia"/>
        </w:rPr>
        <w:t>行进盲道宜在距树池边缘250mm～500mm处设置；如无树池，行进盲道与路缘石上沿在同一水平面时，距路缘石不应小于500mm，行进盲道比路缘石上沿低时，距路缘石不应小于250mm；盲道应避开非机动车停放的位置。</w:t>
      </w:r>
    </w:p>
    <w:p w14:paraId="0F1C1C86">
      <w:pPr>
        <w:pStyle w:val="165"/>
      </w:pPr>
      <w:r>
        <w:rPr>
          <w:rFonts w:hint="eastAsia"/>
        </w:rPr>
        <w:t>盲道铺设应连续，减少绕行，应避开树木(穴)、电线杆、拉线等障碍物，其他设施不得占用盲道。人行道上附属设施施工前，需提前规划好检查井或箱柜等设施位置，尽量避开盲道设置处，若避不开则尽可能采用隐形井盖，保证盲道顺直。对于确实存在的障碍物、井盖不能隐形或可能引起视残者危险的物体，必须采用提示盲道圈围，以提醒视残者绕开。</w:t>
      </w:r>
    </w:p>
    <w:p w14:paraId="3E60AA10">
      <w:pPr>
        <w:pStyle w:val="174"/>
        <w:numPr>
          <w:ilvl w:val="0"/>
          <w:numId w:val="52"/>
        </w:numPr>
      </w:pPr>
      <w:r>
        <w:rPr>
          <w:rFonts w:hint="eastAsia"/>
        </w:rPr>
        <w:t>遇少量井盖时绕开井盖接顺盲道。根据井位所占人行道路面的实际情况，向人行道较宽侧避让，见图</w:t>
      </w:r>
      <w:r>
        <w:t>3</w:t>
      </w:r>
      <w:r>
        <w:rPr>
          <w:rFonts w:hint="eastAsia"/>
        </w:rPr>
        <w:t xml:space="preserve">： </w:t>
      </w:r>
    </w:p>
    <w:p w14:paraId="27DDB85E">
      <w:pPr>
        <w:pStyle w:val="174"/>
        <w:numPr>
          <w:ilvl w:val="0"/>
          <w:numId w:val="0"/>
        </w:numPr>
        <w:jc w:val="center"/>
        <w:rPr>
          <w:kern w:val="2"/>
          <w:szCs w:val="21"/>
        </w:rPr>
      </w:pPr>
      <w:r>
        <w:rPr>
          <w:rFonts w:hint="eastAsia"/>
          <w:kern w:val="2"/>
          <w:szCs w:val="21"/>
        </w:rPr>
        <w:drawing>
          <wp:inline distT="0" distB="0" distL="114300" distR="114300">
            <wp:extent cx="3297555" cy="2849880"/>
            <wp:effectExtent l="0" t="0" r="0" b="0"/>
            <wp:docPr id="7" name="图片 7" descr="人行道规范插图092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人行道规范插图0923_02"/>
                    <pic:cNvPicPr>
                      <a:picLocks noChangeAspect="1"/>
                    </pic:cNvPicPr>
                  </pic:nvPicPr>
                  <pic:blipFill>
                    <a:blip r:embed="rId18"/>
                    <a:srcRect l="21452" t="9315" r="22930" b="22705"/>
                    <a:stretch>
                      <a:fillRect/>
                    </a:stretch>
                  </pic:blipFill>
                  <pic:spPr>
                    <a:xfrm>
                      <a:off x="0" y="0"/>
                      <a:ext cx="3297555" cy="2849880"/>
                    </a:xfrm>
                    <a:prstGeom prst="rect">
                      <a:avLst/>
                    </a:prstGeom>
                  </pic:spPr>
                </pic:pic>
              </a:graphicData>
            </a:graphic>
          </wp:inline>
        </w:drawing>
      </w:r>
    </w:p>
    <w:p w14:paraId="0F024FDD">
      <w:pPr>
        <w:pStyle w:val="114"/>
        <w:spacing w:before="156" w:after="156"/>
      </w:pPr>
      <w:r>
        <w:rPr>
          <w:rFonts w:hint="eastAsia"/>
        </w:rPr>
        <w:t>人行道位置较宽侧避让</w:t>
      </w:r>
    </w:p>
    <w:p w14:paraId="0267C52D">
      <w:pPr>
        <w:pStyle w:val="174"/>
        <w:numPr>
          <w:ilvl w:val="0"/>
          <w:numId w:val="52"/>
        </w:numPr>
      </w:pPr>
      <w:r>
        <w:rPr>
          <w:rFonts w:hint="eastAsia"/>
        </w:rPr>
        <w:t>当井盖与盲道平面布置存在冲突时，应采用隐形井盖，使盲道顺直，见图</w:t>
      </w:r>
      <w:r>
        <w:t>4</w:t>
      </w:r>
      <w:r>
        <w:rPr>
          <w:rFonts w:hint="eastAsia"/>
        </w:rPr>
        <w:t>和图</w:t>
      </w:r>
      <w:r>
        <w:t>5</w:t>
      </w:r>
      <w:r>
        <w:rPr>
          <w:rFonts w:hint="eastAsia"/>
        </w:rPr>
        <w:t>。</w:t>
      </w:r>
    </w:p>
    <w:p w14:paraId="4F8C7641">
      <w:pPr>
        <w:pStyle w:val="174"/>
        <w:numPr>
          <w:ilvl w:val="0"/>
          <w:numId w:val="0"/>
        </w:numPr>
        <w:jc w:val="center"/>
        <w:rPr>
          <w:kern w:val="2"/>
          <w:szCs w:val="21"/>
        </w:rPr>
      </w:pPr>
      <w:r>
        <w:rPr>
          <w:rFonts w:hint="eastAsia"/>
          <w:kern w:val="2"/>
          <w:szCs w:val="21"/>
        </w:rPr>
        <w:drawing>
          <wp:inline distT="0" distB="0" distL="114300" distR="114300">
            <wp:extent cx="2696845" cy="2381885"/>
            <wp:effectExtent l="0" t="0" r="8255" b="5715"/>
            <wp:docPr id="8" name="图片 8" descr="人行道规范插图092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人行道规范插图0923_03"/>
                    <pic:cNvPicPr>
                      <a:picLocks noChangeAspect="1"/>
                    </pic:cNvPicPr>
                  </pic:nvPicPr>
                  <pic:blipFill>
                    <a:blip r:embed="rId19"/>
                    <a:srcRect l="25276" t="12420" r="29239" b="30763"/>
                    <a:stretch>
                      <a:fillRect/>
                    </a:stretch>
                  </pic:blipFill>
                  <pic:spPr>
                    <a:xfrm>
                      <a:off x="0" y="0"/>
                      <a:ext cx="2696845" cy="2381885"/>
                    </a:xfrm>
                    <a:prstGeom prst="rect">
                      <a:avLst/>
                    </a:prstGeom>
                  </pic:spPr>
                </pic:pic>
              </a:graphicData>
            </a:graphic>
          </wp:inline>
        </w:drawing>
      </w:r>
    </w:p>
    <w:p w14:paraId="36657870">
      <w:pPr>
        <w:pStyle w:val="114"/>
        <w:spacing w:before="156" w:after="156"/>
      </w:pPr>
      <w:r>
        <w:rPr>
          <w:rFonts w:hint="eastAsia"/>
        </w:rPr>
        <w:t xml:space="preserve">盲道遇到井盖，采用隐形井盖       </w:t>
      </w:r>
    </w:p>
    <w:p w14:paraId="6D596118">
      <w:pPr>
        <w:pStyle w:val="56"/>
        <w:ind w:firstLine="420"/>
        <w:jc w:val="center"/>
      </w:pPr>
      <w:r>
        <w:rPr>
          <w:rFonts w:hint="eastAsia"/>
        </w:rPr>
        <w:drawing>
          <wp:inline distT="0" distB="0" distL="114300" distR="114300">
            <wp:extent cx="3869055" cy="2152650"/>
            <wp:effectExtent l="0" t="0" r="0" b="0"/>
            <wp:docPr id="9" name="图片 9" descr="人行道规范插图092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人行道规范插图0923_04"/>
                    <pic:cNvPicPr>
                      <a:picLocks noChangeAspect="1"/>
                    </pic:cNvPicPr>
                  </pic:nvPicPr>
                  <pic:blipFill>
                    <a:blip r:embed="rId20"/>
                    <a:srcRect l="19460" t="19661" r="15283" b="28991"/>
                    <a:stretch>
                      <a:fillRect/>
                    </a:stretch>
                  </pic:blipFill>
                  <pic:spPr>
                    <a:xfrm>
                      <a:off x="0" y="0"/>
                      <a:ext cx="3869055" cy="2152650"/>
                    </a:xfrm>
                    <a:prstGeom prst="rect">
                      <a:avLst/>
                    </a:prstGeom>
                  </pic:spPr>
                </pic:pic>
              </a:graphicData>
            </a:graphic>
          </wp:inline>
        </w:drawing>
      </w:r>
    </w:p>
    <w:p w14:paraId="45CBF25C">
      <w:pPr>
        <w:pStyle w:val="114"/>
        <w:spacing w:before="156" w:after="156"/>
        <w:rPr>
          <w:kern w:val="2"/>
          <w:szCs w:val="21"/>
        </w:rPr>
      </w:pPr>
      <w:r>
        <w:t>隐形井盖设置图</w:t>
      </w:r>
    </w:p>
    <w:p w14:paraId="704AA8DA">
      <w:pPr>
        <w:pStyle w:val="165"/>
      </w:pPr>
      <w:r>
        <w:rPr>
          <w:rFonts w:hint="eastAsia"/>
        </w:rPr>
        <w:t>公交车站处，应在站亭前候车位置对应的人行道上距路缘石250mm</w:t>
      </w:r>
      <w:r>
        <w:rPr>
          <w:rFonts w:hint="eastAsia" w:hAnsi="宋体"/>
        </w:rPr>
        <w:t>～</w:t>
      </w:r>
      <w:r>
        <w:rPr>
          <w:rFonts w:hint="eastAsia"/>
        </w:rPr>
        <w:t>500mm处应设置提示盲道，并与行进盲道接顺，其长度应与公交车站台的长度相对应。宜设置盲文站牌或语音提示服务设施；在候车牌一侧均应设置提示盲道。见图</w:t>
      </w:r>
      <w:r>
        <w:t>6</w:t>
      </w:r>
      <w:r>
        <w:rPr>
          <w:rFonts w:hint="eastAsia"/>
        </w:rPr>
        <w:t>、图</w:t>
      </w:r>
      <w:r>
        <w:t>7</w:t>
      </w:r>
      <w:r>
        <w:rPr>
          <w:rFonts w:hint="eastAsia"/>
        </w:rPr>
        <w:t>和图</w:t>
      </w:r>
      <w:r>
        <w:t>8</w:t>
      </w:r>
      <w:r>
        <w:rPr>
          <w:rFonts w:hint="eastAsia"/>
        </w:rPr>
        <w:t>。</w:t>
      </w:r>
    </w:p>
    <w:p w14:paraId="55F2663A">
      <w:pPr>
        <w:pStyle w:val="165"/>
        <w:numPr>
          <w:ilvl w:val="0"/>
          <w:numId w:val="0"/>
        </w:numPr>
        <w:jc w:val="center"/>
      </w:pPr>
      <w:r>
        <w:rPr>
          <w:rFonts w:hint="eastAsia"/>
        </w:rPr>
        <w:drawing>
          <wp:inline distT="0" distB="0" distL="114300" distR="114300">
            <wp:extent cx="4643755" cy="1779905"/>
            <wp:effectExtent l="0" t="0" r="0" b="0"/>
            <wp:docPr id="10" name="图片 10" descr="人行道规范插图092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人行道规范插图0923_05"/>
                    <pic:cNvPicPr>
                      <a:picLocks noChangeAspect="1"/>
                    </pic:cNvPicPr>
                  </pic:nvPicPr>
                  <pic:blipFill>
                    <a:blip r:embed="rId21"/>
                    <a:srcRect l="8215" t="29521" r="13463" b="28022"/>
                    <a:stretch>
                      <a:fillRect/>
                    </a:stretch>
                  </pic:blipFill>
                  <pic:spPr>
                    <a:xfrm>
                      <a:off x="0" y="0"/>
                      <a:ext cx="4643755" cy="1779905"/>
                    </a:xfrm>
                    <a:prstGeom prst="rect">
                      <a:avLst/>
                    </a:prstGeom>
                  </pic:spPr>
                </pic:pic>
              </a:graphicData>
            </a:graphic>
          </wp:inline>
        </w:drawing>
      </w:r>
    </w:p>
    <w:p w14:paraId="2DA98ACF">
      <w:pPr>
        <w:pStyle w:val="114"/>
        <w:spacing w:before="156" w:after="156"/>
      </w:pPr>
      <w:r>
        <w:rPr>
          <w:rFonts w:hint="eastAsia"/>
        </w:rPr>
        <w:t>当设置一个公交车站亭时盲道的设置</w:t>
      </w:r>
    </w:p>
    <w:p w14:paraId="4B8C3171">
      <w:pPr>
        <w:pStyle w:val="114"/>
        <w:numPr>
          <w:ilvl w:val="0"/>
          <w:numId w:val="0"/>
        </w:numPr>
        <w:spacing w:before="156" w:after="156"/>
        <w:rPr>
          <w:kern w:val="2"/>
          <w:szCs w:val="21"/>
        </w:rPr>
      </w:pPr>
      <w:r>
        <w:rPr>
          <w:rFonts w:hint="eastAsia"/>
          <w:kern w:val="2"/>
          <w:szCs w:val="21"/>
        </w:rPr>
        <w:drawing>
          <wp:inline distT="0" distB="0" distL="114300" distR="114300">
            <wp:extent cx="4470400" cy="3734435"/>
            <wp:effectExtent l="0" t="0" r="0" b="0"/>
            <wp:docPr id="11" name="图片 11" descr="人行道规范插图092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人行道规范插图0923_06"/>
                    <pic:cNvPicPr>
                      <a:picLocks noChangeAspect="1"/>
                    </pic:cNvPicPr>
                  </pic:nvPicPr>
                  <pic:blipFill>
                    <a:blip r:embed="rId22"/>
                    <a:srcRect l="18968" t="4605" r="5634" b="6316"/>
                    <a:stretch>
                      <a:fillRect/>
                    </a:stretch>
                  </pic:blipFill>
                  <pic:spPr>
                    <a:xfrm>
                      <a:off x="0" y="0"/>
                      <a:ext cx="4470400" cy="3734435"/>
                    </a:xfrm>
                    <a:prstGeom prst="rect">
                      <a:avLst/>
                    </a:prstGeom>
                  </pic:spPr>
                </pic:pic>
              </a:graphicData>
            </a:graphic>
          </wp:inline>
        </w:drawing>
      </w:r>
    </w:p>
    <w:p w14:paraId="5410B73E">
      <w:pPr>
        <w:pStyle w:val="114"/>
        <w:spacing w:before="156" w:after="156"/>
      </w:pPr>
      <w:r>
        <w:rPr>
          <w:rFonts w:hint="eastAsia"/>
        </w:rPr>
        <w:t>设置在侧分带上的公交车站台盲道设置平面图</w:t>
      </w:r>
    </w:p>
    <w:p w14:paraId="580258EF">
      <w:pPr>
        <w:pStyle w:val="114"/>
        <w:numPr>
          <w:ilvl w:val="0"/>
          <w:numId w:val="0"/>
        </w:numPr>
        <w:spacing w:before="156" w:after="156"/>
        <w:rPr>
          <w:kern w:val="2"/>
          <w:szCs w:val="21"/>
        </w:rPr>
      </w:pPr>
    </w:p>
    <w:p w14:paraId="14FBF756">
      <w:pPr>
        <w:pStyle w:val="56"/>
        <w:ind w:firstLine="0" w:firstLineChars="0"/>
        <w:jc w:val="center"/>
      </w:pPr>
      <w:r>
        <w:rPr>
          <w:rFonts w:hint="eastAsia"/>
        </w:rPr>
        <w:drawing>
          <wp:inline distT="0" distB="0" distL="114300" distR="114300">
            <wp:extent cx="4017645" cy="2186305"/>
            <wp:effectExtent l="0" t="0" r="0" b="0"/>
            <wp:docPr id="12" name="图片 12" descr="人行道规范插图092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人行道规范插图0923_07"/>
                    <pic:cNvPicPr>
                      <a:picLocks noChangeAspect="1"/>
                    </pic:cNvPicPr>
                  </pic:nvPicPr>
                  <pic:blipFill>
                    <a:blip r:embed="rId23"/>
                    <a:srcRect l="21581" t="10088" r="10657" b="37761"/>
                    <a:stretch>
                      <a:fillRect/>
                    </a:stretch>
                  </pic:blipFill>
                  <pic:spPr>
                    <a:xfrm>
                      <a:off x="0" y="0"/>
                      <a:ext cx="4017645" cy="2186305"/>
                    </a:xfrm>
                    <a:prstGeom prst="rect">
                      <a:avLst/>
                    </a:prstGeom>
                  </pic:spPr>
                </pic:pic>
              </a:graphicData>
            </a:graphic>
          </wp:inline>
        </w:drawing>
      </w:r>
    </w:p>
    <w:p w14:paraId="4D92F1D2">
      <w:pPr>
        <w:pStyle w:val="114"/>
        <w:spacing w:before="156" w:after="156"/>
      </w:pPr>
      <w:r>
        <w:rPr>
          <w:rFonts w:hint="eastAsia"/>
        </w:rPr>
        <w:t>设置在侧分带上的公交车站台盲道设置三维示意图</w:t>
      </w:r>
    </w:p>
    <w:p w14:paraId="6A649551">
      <w:pPr>
        <w:pStyle w:val="105"/>
        <w:spacing w:before="156" w:after="156"/>
      </w:pPr>
      <w:bookmarkStart w:id="206" w:name="_Toc177981362"/>
      <w:bookmarkStart w:id="207" w:name="_Toc177645335"/>
      <w:bookmarkStart w:id="208" w:name="_Toc177647705"/>
      <w:bookmarkStart w:id="209" w:name="_Toc177736931"/>
      <w:bookmarkStart w:id="210" w:name="_Toc177723440"/>
      <w:bookmarkStart w:id="211" w:name="_Toc178325006"/>
      <w:bookmarkStart w:id="212" w:name="_Toc177734867"/>
      <w:bookmarkStart w:id="213" w:name="_Toc177634236"/>
      <w:r>
        <w:rPr>
          <w:rFonts w:hint="eastAsia"/>
        </w:rPr>
        <w:t>台阶、梯道及坡道</w:t>
      </w:r>
      <w:bookmarkEnd w:id="206"/>
      <w:bookmarkEnd w:id="207"/>
      <w:bookmarkEnd w:id="208"/>
      <w:bookmarkEnd w:id="209"/>
      <w:bookmarkEnd w:id="210"/>
      <w:bookmarkEnd w:id="211"/>
      <w:bookmarkEnd w:id="212"/>
      <w:bookmarkEnd w:id="213"/>
    </w:p>
    <w:p w14:paraId="118C59B1">
      <w:pPr>
        <w:pStyle w:val="165"/>
      </w:pPr>
      <w:r>
        <w:rPr>
          <w:rFonts w:hint="eastAsia"/>
        </w:rPr>
        <w:t>台阶、梯道及坡道等设施需结合人行道合理设置，除行人交通设施外，其他建（构）筑物的梯道出入口一般不得占用人行道。</w:t>
      </w:r>
    </w:p>
    <w:p w14:paraId="767E1CC7">
      <w:pPr>
        <w:pStyle w:val="165"/>
      </w:pPr>
      <w:r>
        <w:rPr>
          <w:rFonts w:hint="eastAsia"/>
        </w:rPr>
        <w:t>人行道台阶、梯道及坡道设计应符合GB 5076</w:t>
      </w:r>
      <w:r>
        <w:t>3</w:t>
      </w:r>
      <w:r>
        <w:rPr>
          <w:rFonts w:hint="eastAsia"/>
        </w:rPr>
        <w:t>的规定。</w:t>
      </w:r>
    </w:p>
    <w:p w14:paraId="4C75FDA7">
      <w:pPr>
        <w:pStyle w:val="165"/>
      </w:pPr>
      <w:r>
        <w:rPr>
          <w:rFonts w:hint="eastAsia"/>
        </w:rPr>
        <w:t>距踏步起点和终点250mm</w:t>
      </w:r>
      <w:r>
        <w:rPr>
          <w:rFonts w:hint="eastAsia" w:hAnsi="宋体"/>
        </w:rPr>
        <w:t>～</w:t>
      </w:r>
      <w:r>
        <w:rPr>
          <w:rFonts w:hint="eastAsia"/>
        </w:rPr>
        <w:t>300mm宜设提示盲道，提示盲道的宽度应与梯段的宽度相对应。</w:t>
      </w:r>
    </w:p>
    <w:p w14:paraId="48DAECE3">
      <w:pPr>
        <w:pStyle w:val="165"/>
      </w:pPr>
      <w:r>
        <w:rPr>
          <w:rFonts w:hint="eastAsia"/>
        </w:rPr>
        <w:t>公共建筑的室外台阶踏步宽度不宜小于300mm，踏步高度不宜大于150mm，并不应小于100mm。踏步踏面应防滑，三级及以上的台阶应在两侧设置扶手，不宜只设置一级台阶。</w:t>
      </w:r>
    </w:p>
    <w:p w14:paraId="793C94D8">
      <w:pPr>
        <w:pStyle w:val="165"/>
      </w:pPr>
      <w:r>
        <w:rPr>
          <w:rFonts w:hint="eastAsia"/>
        </w:rPr>
        <w:t>无障碍楼梯宜采用直线形。公共建筑楼梯的踏步宽度不应小于280mm，踏步高度不应大于l60mm。宜在两侧均做扶手。踏面应平整防滑或在踏面前缘设置防滑条。</w:t>
      </w:r>
    </w:p>
    <w:p w14:paraId="09E19EF0">
      <w:pPr>
        <w:pStyle w:val="165"/>
      </w:pPr>
      <w:r>
        <w:rPr>
          <w:rFonts w:hint="eastAsia"/>
        </w:rPr>
        <w:t>无障碍平坡出入口的地面坡度不应大于1:20，当场地条件比较好时，不宜大于1:30。</w:t>
      </w:r>
    </w:p>
    <w:p w14:paraId="411E9E5D">
      <w:pPr>
        <w:pStyle w:val="165"/>
      </w:pPr>
      <w:r>
        <w:rPr>
          <w:rFonts w:hint="eastAsia"/>
        </w:rPr>
        <w:t>人行道设置台阶影响无障碍通行处，应同时设置轮椅坡道。轮椅坡道的净宽度不应小于1000mm，无障碍出入口的轮椅坡道不应小于1200mm。轮椅坡道高度超过300mm，且坡度大于1：20时，应在两侧设置扶手，坡道与休息平台的扶手应保持连贯。轮椅坡道起点、终点和中间休息平台的水平长度不应小于1500mm。</w:t>
      </w:r>
    </w:p>
    <w:p w14:paraId="366A8D21">
      <w:pPr>
        <w:pStyle w:val="165"/>
      </w:pPr>
      <w:r>
        <w:rPr>
          <w:rFonts w:hint="eastAsia"/>
        </w:rPr>
        <w:t>轮椅坡道的最大高度和水平长度应符合表</w:t>
      </w:r>
      <w:r>
        <w:t>8</w:t>
      </w:r>
      <w:r>
        <w:rPr>
          <w:rFonts w:hint="eastAsia"/>
        </w:rPr>
        <w:t>的规定。</w:t>
      </w:r>
    </w:p>
    <w:p w14:paraId="1F70871C">
      <w:pPr>
        <w:pStyle w:val="112"/>
        <w:spacing w:before="156" w:after="156"/>
      </w:pPr>
      <w:r>
        <w:t>轮椅坡道的最大高度和水平长度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7"/>
        <w:gridCol w:w="1557"/>
        <w:gridCol w:w="1557"/>
        <w:gridCol w:w="1557"/>
        <w:gridCol w:w="1558"/>
        <w:gridCol w:w="1558"/>
      </w:tblGrid>
      <w:tr w14:paraId="4CC30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6" w:type="dxa"/>
            <w:tcBorders>
              <w:top w:val="single" w:color="auto" w:sz="8" w:space="0"/>
              <w:bottom w:val="single" w:color="auto" w:sz="8" w:space="0"/>
            </w:tcBorders>
            <w:shd w:val="clear" w:color="auto" w:fill="auto"/>
            <w:vAlign w:val="center"/>
          </w:tcPr>
          <w:p w14:paraId="68B18CE1">
            <w:pPr>
              <w:pStyle w:val="178"/>
            </w:pPr>
            <w:r>
              <w:rPr>
                <w:rFonts w:hint="eastAsia"/>
              </w:rPr>
              <w:t>坡度</w:t>
            </w:r>
          </w:p>
        </w:tc>
        <w:tc>
          <w:tcPr>
            <w:tcW w:w="1556" w:type="dxa"/>
            <w:tcBorders>
              <w:top w:val="single" w:color="auto" w:sz="8" w:space="0"/>
              <w:bottom w:val="single" w:color="auto" w:sz="8" w:space="0"/>
            </w:tcBorders>
            <w:shd w:val="clear" w:color="auto" w:fill="auto"/>
            <w:vAlign w:val="center"/>
          </w:tcPr>
          <w:p w14:paraId="5D9AFE11">
            <w:pPr>
              <w:pStyle w:val="178"/>
            </w:pPr>
            <w:r>
              <w:t>1:20</w:t>
            </w:r>
          </w:p>
        </w:tc>
        <w:tc>
          <w:tcPr>
            <w:tcW w:w="1555" w:type="dxa"/>
            <w:tcBorders>
              <w:top w:val="single" w:color="auto" w:sz="8" w:space="0"/>
              <w:bottom w:val="single" w:color="auto" w:sz="8" w:space="0"/>
            </w:tcBorders>
            <w:shd w:val="clear" w:color="auto" w:fill="auto"/>
            <w:vAlign w:val="center"/>
          </w:tcPr>
          <w:p w14:paraId="05C309D8">
            <w:pPr>
              <w:pStyle w:val="178"/>
            </w:pPr>
            <w:r>
              <w:t>1:16</w:t>
            </w:r>
          </w:p>
        </w:tc>
        <w:tc>
          <w:tcPr>
            <w:tcW w:w="1555" w:type="dxa"/>
            <w:tcBorders>
              <w:top w:val="single" w:color="auto" w:sz="8" w:space="0"/>
              <w:bottom w:val="single" w:color="auto" w:sz="8" w:space="0"/>
            </w:tcBorders>
            <w:shd w:val="clear" w:color="auto" w:fill="auto"/>
            <w:vAlign w:val="center"/>
          </w:tcPr>
          <w:p w14:paraId="6059EEF7">
            <w:pPr>
              <w:pStyle w:val="178"/>
            </w:pPr>
            <w:r>
              <w:rPr>
                <w:rFonts w:hint="eastAsia"/>
              </w:rPr>
              <w:t>1:1</w:t>
            </w:r>
            <w:r>
              <w:t>2</w:t>
            </w:r>
          </w:p>
        </w:tc>
        <w:tc>
          <w:tcPr>
            <w:tcW w:w="1556" w:type="dxa"/>
            <w:tcBorders>
              <w:top w:val="single" w:color="auto" w:sz="8" w:space="0"/>
              <w:bottom w:val="single" w:color="auto" w:sz="8" w:space="0"/>
            </w:tcBorders>
            <w:shd w:val="clear" w:color="auto" w:fill="auto"/>
            <w:vAlign w:val="center"/>
          </w:tcPr>
          <w:p w14:paraId="3A3E1984">
            <w:pPr>
              <w:pStyle w:val="178"/>
            </w:pPr>
            <w:r>
              <w:rPr>
                <w:rFonts w:hint="eastAsia"/>
              </w:rPr>
              <w:t>1</w:t>
            </w:r>
            <w:r>
              <w:t>:10</w:t>
            </w:r>
          </w:p>
        </w:tc>
        <w:tc>
          <w:tcPr>
            <w:tcW w:w="1556" w:type="dxa"/>
            <w:tcBorders>
              <w:top w:val="single" w:color="auto" w:sz="8" w:space="0"/>
              <w:bottom w:val="single" w:color="auto" w:sz="8" w:space="0"/>
            </w:tcBorders>
            <w:shd w:val="clear" w:color="auto" w:fill="auto"/>
            <w:vAlign w:val="center"/>
          </w:tcPr>
          <w:p w14:paraId="3EEB97B5">
            <w:pPr>
              <w:pStyle w:val="178"/>
            </w:pPr>
            <w:r>
              <w:rPr>
                <w:rFonts w:hint="eastAsia"/>
              </w:rPr>
              <w:t>1</w:t>
            </w:r>
            <w:r>
              <w:t>:8</w:t>
            </w:r>
          </w:p>
        </w:tc>
      </w:tr>
      <w:tr w14:paraId="738E8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7" w:type="dxa"/>
            <w:tcBorders>
              <w:top w:val="single" w:color="auto" w:sz="8" w:space="0"/>
            </w:tcBorders>
            <w:shd w:val="clear" w:color="auto" w:fill="auto"/>
            <w:vAlign w:val="center"/>
          </w:tcPr>
          <w:p w14:paraId="70E794E3">
            <w:pPr>
              <w:pStyle w:val="178"/>
            </w:pPr>
            <w:r>
              <w:rPr>
                <w:rFonts w:hint="eastAsia"/>
              </w:rPr>
              <w:t>最大高度（m）</w:t>
            </w:r>
          </w:p>
        </w:tc>
        <w:tc>
          <w:tcPr>
            <w:tcW w:w="1557" w:type="dxa"/>
            <w:tcBorders>
              <w:top w:val="single" w:color="auto" w:sz="8" w:space="0"/>
            </w:tcBorders>
            <w:shd w:val="clear" w:color="auto" w:fill="auto"/>
            <w:vAlign w:val="center"/>
          </w:tcPr>
          <w:p w14:paraId="0F2051FA">
            <w:pPr>
              <w:pStyle w:val="178"/>
            </w:pPr>
            <w:r>
              <w:t>1.20</w:t>
            </w:r>
          </w:p>
        </w:tc>
        <w:tc>
          <w:tcPr>
            <w:tcW w:w="1557" w:type="dxa"/>
            <w:tcBorders>
              <w:top w:val="single" w:color="auto" w:sz="8" w:space="0"/>
            </w:tcBorders>
            <w:shd w:val="clear" w:color="auto" w:fill="auto"/>
            <w:vAlign w:val="center"/>
          </w:tcPr>
          <w:p w14:paraId="4E1D985E">
            <w:pPr>
              <w:pStyle w:val="178"/>
            </w:pPr>
            <w:r>
              <w:rPr>
                <w:rFonts w:hint="eastAsia"/>
              </w:rPr>
              <w:t>0</w:t>
            </w:r>
            <w:r>
              <w:t>.90</w:t>
            </w:r>
          </w:p>
        </w:tc>
        <w:tc>
          <w:tcPr>
            <w:tcW w:w="1557" w:type="dxa"/>
            <w:tcBorders>
              <w:top w:val="single" w:color="auto" w:sz="8" w:space="0"/>
            </w:tcBorders>
            <w:shd w:val="clear" w:color="auto" w:fill="auto"/>
            <w:vAlign w:val="center"/>
          </w:tcPr>
          <w:p w14:paraId="35FF0FFC">
            <w:pPr>
              <w:pStyle w:val="178"/>
            </w:pPr>
            <w:r>
              <w:rPr>
                <w:rFonts w:hint="eastAsia"/>
              </w:rPr>
              <w:t>0</w:t>
            </w:r>
            <w:r>
              <w:t>.75</w:t>
            </w:r>
          </w:p>
        </w:tc>
        <w:tc>
          <w:tcPr>
            <w:tcW w:w="1558" w:type="dxa"/>
            <w:tcBorders>
              <w:top w:val="single" w:color="auto" w:sz="8" w:space="0"/>
            </w:tcBorders>
            <w:shd w:val="clear" w:color="auto" w:fill="auto"/>
            <w:vAlign w:val="center"/>
          </w:tcPr>
          <w:p w14:paraId="7E62807B">
            <w:pPr>
              <w:pStyle w:val="178"/>
            </w:pPr>
            <w:r>
              <w:rPr>
                <w:rFonts w:hint="eastAsia"/>
              </w:rPr>
              <w:t>0</w:t>
            </w:r>
            <w:r>
              <w:t>.60</w:t>
            </w:r>
          </w:p>
        </w:tc>
        <w:tc>
          <w:tcPr>
            <w:tcW w:w="1558" w:type="dxa"/>
            <w:tcBorders>
              <w:top w:val="single" w:color="auto" w:sz="8" w:space="0"/>
            </w:tcBorders>
            <w:shd w:val="clear" w:color="auto" w:fill="auto"/>
            <w:vAlign w:val="center"/>
          </w:tcPr>
          <w:p w14:paraId="2237C840">
            <w:pPr>
              <w:pStyle w:val="178"/>
            </w:pPr>
            <w:r>
              <w:rPr>
                <w:rFonts w:hint="eastAsia"/>
              </w:rPr>
              <w:t>0</w:t>
            </w:r>
            <w:r>
              <w:t>.30</w:t>
            </w:r>
          </w:p>
        </w:tc>
      </w:tr>
      <w:tr w14:paraId="6C8BF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7" w:type="dxa"/>
            <w:tcBorders>
              <w:bottom w:val="single" w:color="auto" w:sz="8" w:space="0"/>
            </w:tcBorders>
            <w:shd w:val="clear" w:color="auto" w:fill="auto"/>
            <w:vAlign w:val="center"/>
          </w:tcPr>
          <w:p w14:paraId="18709D1C">
            <w:pPr>
              <w:pStyle w:val="178"/>
            </w:pPr>
            <w:r>
              <w:rPr>
                <w:rFonts w:hint="eastAsia"/>
              </w:rPr>
              <w:t>水平长度（m）</w:t>
            </w:r>
          </w:p>
        </w:tc>
        <w:tc>
          <w:tcPr>
            <w:tcW w:w="1557" w:type="dxa"/>
            <w:tcBorders>
              <w:bottom w:val="single" w:color="auto" w:sz="8" w:space="0"/>
            </w:tcBorders>
            <w:shd w:val="clear" w:color="auto" w:fill="auto"/>
            <w:vAlign w:val="center"/>
          </w:tcPr>
          <w:p w14:paraId="6EBDF352">
            <w:pPr>
              <w:pStyle w:val="178"/>
            </w:pPr>
            <w:r>
              <w:t>24.00</w:t>
            </w:r>
          </w:p>
        </w:tc>
        <w:tc>
          <w:tcPr>
            <w:tcW w:w="1557" w:type="dxa"/>
            <w:tcBorders>
              <w:bottom w:val="single" w:color="auto" w:sz="8" w:space="0"/>
            </w:tcBorders>
            <w:shd w:val="clear" w:color="auto" w:fill="auto"/>
            <w:vAlign w:val="center"/>
          </w:tcPr>
          <w:p w14:paraId="64A89389">
            <w:pPr>
              <w:pStyle w:val="178"/>
            </w:pPr>
            <w:r>
              <w:rPr>
                <w:rFonts w:hint="eastAsia"/>
              </w:rPr>
              <w:t>1</w:t>
            </w:r>
            <w:r>
              <w:t>4.40</w:t>
            </w:r>
          </w:p>
        </w:tc>
        <w:tc>
          <w:tcPr>
            <w:tcW w:w="1557" w:type="dxa"/>
            <w:tcBorders>
              <w:bottom w:val="single" w:color="auto" w:sz="8" w:space="0"/>
            </w:tcBorders>
            <w:shd w:val="clear" w:color="auto" w:fill="auto"/>
            <w:vAlign w:val="center"/>
          </w:tcPr>
          <w:p w14:paraId="18A8559C">
            <w:pPr>
              <w:pStyle w:val="178"/>
            </w:pPr>
            <w:r>
              <w:rPr>
                <w:rFonts w:hint="eastAsia"/>
              </w:rPr>
              <w:t>9</w:t>
            </w:r>
            <w:r>
              <w:t>.00</w:t>
            </w:r>
          </w:p>
        </w:tc>
        <w:tc>
          <w:tcPr>
            <w:tcW w:w="1558" w:type="dxa"/>
            <w:tcBorders>
              <w:bottom w:val="single" w:color="auto" w:sz="8" w:space="0"/>
            </w:tcBorders>
            <w:shd w:val="clear" w:color="auto" w:fill="auto"/>
            <w:vAlign w:val="center"/>
          </w:tcPr>
          <w:p w14:paraId="04C12176">
            <w:pPr>
              <w:pStyle w:val="178"/>
            </w:pPr>
            <w:r>
              <w:rPr>
                <w:rFonts w:hint="eastAsia"/>
              </w:rPr>
              <w:t>6</w:t>
            </w:r>
            <w:r>
              <w:t>.00</w:t>
            </w:r>
          </w:p>
        </w:tc>
        <w:tc>
          <w:tcPr>
            <w:tcW w:w="1558" w:type="dxa"/>
            <w:tcBorders>
              <w:bottom w:val="single" w:color="auto" w:sz="8" w:space="0"/>
            </w:tcBorders>
            <w:shd w:val="clear" w:color="auto" w:fill="auto"/>
            <w:vAlign w:val="center"/>
          </w:tcPr>
          <w:p w14:paraId="0F336A9F">
            <w:pPr>
              <w:pStyle w:val="178"/>
            </w:pPr>
            <w:r>
              <w:rPr>
                <w:rFonts w:hint="eastAsia"/>
              </w:rPr>
              <w:t>2</w:t>
            </w:r>
            <w:r>
              <w:t>.40</w:t>
            </w:r>
          </w:p>
        </w:tc>
      </w:tr>
      <w:tr w14:paraId="4F2E0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334" w:type="dxa"/>
            <w:gridSpan w:val="6"/>
            <w:tcBorders>
              <w:top w:val="single" w:color="auto" w:sz="8" w:space="0"/>
              <w:bottom w:val="single" w:color="auto" w:sz="8" w:space="0"/>
            </w:tcBorders>
            <w:shd w:val="clear" w:color="auto" w:fill="auto"/>
            <w:vAlign w:val="center"/>
          </w:tcPr>
          <w:p w14:paraId="3F23A232">
            <w:pPr>
              <w:pStyle w:val="179"/>
            </w:pPr>
            <w:r>
              <w:rPr>
                <w:rFonts w:hint="eastAsia"/>
              </w:rPr>
              <w:t>其他坡度可采用插入法进行计算。</w:t>
            </w:r>
          </w:p>
        </w:tc>
      </w:tr>
    </w:tbl>
    <w:p w14:paraId="4816F94F">
      <w:pPr>
        <w:pStyle w:val="105"/>
        <w:spacing w:before="156" w:after="156"/>
      </w:pPr>
      <w:bookmarkStart w:id="214" w:name="_Toc178325007"/>
      <w:bookmarkStart w:id="215" w:name="_Toc177981363"/>
      <w:bookmarkStart w:id="216" w:name="_Toc177647706"/>
      <w:bookmarkStart w:id="217" w:name="_Toc177734868"/>
      <w:bookmarkStart w:id="218" w:name="_Toc177634237"/>
      <w:bookmarkStart w:id="219" w:name="_Toc177736932"/>
      <w:bookmarkStart w:id="220" w:name="_Toc177645336"/>
      <w:bookmarkStart w:id="221" w:name="_Toc177723441"/>
      <w:r>
        <w:rPr>
          <w:rFonts w:hint="eastAsia"/>
        </w:rPr>
        <w:t>缘石坡道</w:t>
      </w:r>
      <w:bookmarkEnd w:id="214"/>
      <w:bookmarkEnd w:id="215"/>
      <w:bookmarkEnd w:id="216"/>
      <w:bookmarkEnd w:id="217"/>
      <w:bookmarkEnd w:id="218"/>
      <w:bookmarkEnd w:id="219"/>
      <w:bookmarkEnd w:id="220"/>
      <w:bookmarkEnd w:id="221"/>
    </w:p>
    <w:p w14:paraId="74230F32">
      <w:pPr>
        <w:pStyle w:val="165"/>
      </w:pPr>
      <w:r>
        <w:rPr>
          <w:rFonts w:hint="eastAsia"/>
        </w:rPr>
        <w:t>全线的人行道，包括交叉口范围、出入口、人行横道处、二次过街、渠化岛等人行通行存在高差变化区域均应设置缘石坡道，平顺过渡，缘石坡道的坡口与车行道之间应没有高差。</w:t>
      </w:r>
    </w:p>
    <w:p w14:paraId="42A754F0">
      <w:pPr>
        <w:pStyle w:val="165"/>
      </w:pPr>
      <w:r>
        <w:rPr>
          <w:rFonts w:hint="eastAsia"/>
        </w:rPr>
        <w:t>缘石坡道距离坡道下口路缘石250mm~300mm处应设置提示盲道，提示盲道的长度应与缘石坡道的宽度相对应。交叉口及路中过街处，缘石坡道应与人行横道线宽度、非机动车道过街通道宽度之和等宽对接。</w:t>
      </w:r>
    </w:p>
    <w:p w14:paraId="4D1AE3C9">
      <w:pPr>
        <w:pStyle w:val="165"/>
      </w:pPr>
      <w:r>
        <w:rPr>
          <w:rFonts w:hint="eastAsia"/>
        </w:rPr>
        <w:t>宜优先选用全宽式单面坡缘石坡道，全宽式单面坡缘石坡道的坡度不应大于1:20，其他形式缘石坡道的正面和侧面坡度均不大于1:12。</w:t>
      </w:r>
    </w:p>
    <w:p w14:paraId="26FE3737">
      <w:pPr>
        <w:pStyle w:val="165"/>
      </w:pPr>
      <w:r>
        <w:rPr>
          <w:rFonts w:hint="eastAsia"/>
        </w:rPr>
        <w:t>缘石坡道上下坡道处不应设置</w:t>
      </w:r>
      <w:r>
        <w:rPr>
          <w:rFonts w:hint="eastAsia"/>
          <w:lang w:eastAsia="zh-CN"/>
        </w:rPr>
        <w:t>雨水箅子</w:t>
      </w:r>
      <w:bookmarkStart w:id="398" w:name="_GoBack"/>
      <w:bookmarkEnd w:id="398"/>
      <w:r>
        <w:rPr>
          <w:rFonts w:hint="eastAsia"/>
        </w:rPr>
        <w:t>。</w:t>
      </w:r>
    </w:p>
    <w:p w14:paraId="53BEACFC">
      <w:pPr>
        <w:pStyle w:val="165"/>
      </w:pPr>
      <w:r>
        <w:rPr>
          <w:rFonts w:hint="eastAsia"/>
        </w:rPr>
        <w:t>在小区出入口设置缘石坡道时，坡道设置形式，见图</w:t>
      </w:r>
      <w:r>
        <w:t>9</w:t>
      </w:r>
      <w:r>
        <w:rPr>
          <w:rFonts w:hint="eastAsia"/>
        </w:rPr>
        <w:t>和图</w:t>
      </w:r>
      <w:r>
        <w:t>10</w:t>
      </w:r>
      <w:r>
        <w:rPr>
          <w:rFonts w:hint="eastAsia"/>
        </w:rPr>
        <w:t>。</w:t>
      </w:r>
    </w:p>
    <w:p w14:paraId="459C40EB">
      <w:pPr>
        <w:pStyle w:val="114"/>
        <w:numPr>
          <w:ilvl w:val="0"/>
          <w:numId w:val="0"/>
        </w:numPr>
        <w:spacing w:before="156" w:after="156"/>
      </w:pPr>
      <w:r>
        <w:rPr>
          <w:rFonts w:hint="eastAsia"/>
        </w:rPr>
        <w:drawing>
          <wp:inline distT="0" distB="0" distL="114300" distR="114300">
            <wp:extent cx="4149090" cy="2240280"/>
            <wp:effectExtent l="0" t="0" r="3810" b="7620"/>
            <wp:docPr id="13" name="图片 13" descr="人行道规范插图092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人行道规范插图0923_08"/>
                    <pic:cNvPicPr>
                      <a:picLocks noChangeAspect="1"/>
                    </pic:cNvPicPr>
                  </pic:nvPicPr>
                  <pic:blipFill>
                    <a:blip r:embed="rId24"/>
                    <a:srcRect l="28907" t="11330" r="1114" b="35232"/>
                    <a:stretch>
                      <a:fillRect/>
                    </a:stretch>
                  </pic:blipFill>
                  <pic:spPr>
                    <a:xfrm>
                      <a:off x="0" y="0"/>
                      <a:ext cx="4149090" cy="2240280"/>
                    </a:xfrm>
                    <a:prstGeom prst="rect">
                      <a:avLst/>
                    </a:prstGeom>
                  </pic:spPr>
                </pic:pic>
              </a:graphicData>
            </a:graphic>
          </wp:inline>
        </w:drawing>
      </w:r>
    </w:p>
    <w:p w14:paraId="2BBC0720">
      <w:pPr>
        <w:pStyle w:val="114"/>
        <w:spacing w:before="156" w:after="156"/>
      </w:pPr>
      <w:r>
        <w:rPr>
          <w:rFonts w:hint="eastAsia"/>
        </w:rPr>
        <w:t xml:space="preserve">出入口处人行道单面坡缘石坡道大样 </w:t>
      </w:r>
    </w:p>
    <w:p w14:paraId="7CDEF76C">
      <w:pPr>
        <w:pStyle w:val="56"/>
        <w:ind w:firstLine="420"/>
        <w:jc w:val="center"/>
      </w:pPr>
      <w:r>
        <w:rPr>
          <w:rFonts w:hint="eastAsia"/>
        </w:rPr>
        <w:drawing>
          <wp:inline distT="0" distB="0" distL="114300" distR="114300">
            <wp:extent cx="3935730" cy="2241550"/>
            <wp:effectExtent l="0" t="0" r="1270" b="6350"/>
            <wp:docPr id="14" name="图片 14" descr="人行道规范插图092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人行道规范插图0923_09"/>
                    <pic:cNvPicPr>
                      <a:picLocks noChangeAspect="1"/>
                    </pic:cNvPicPr>
                  </pic:nvPicPr>
                  <pic:blipFill>
                    <a:blip r:embed="rId25"/>
                    <a:srcRect l="21270" t="14193" r="12349" b="32339"/>
                    <a:stretch>
                      <a:fillRect/>
                    </a:stretch>
                  </pic:blipFill>
                  <pic:spPr>
                    <a:xfrm>
                      <a:off x="0" y="0"/>
                      <a:ext cx="3935730" cy="2241550"/>
                    </a:xfrm>
                    <a:prstGeom prst="rect">
                      <a:avLst/>
                    </a:prstGeom>
                  </pic:spPr>
                </pic:pic>
              </a:graphicData>
            </a:graphic>
          </wp:inline>
        </w:drawing>
      </w:r>
    </w:p>
    <w:p w14:paraId="00EDEE97">
      <w:pPr>
        <w:pStyle w:val="114"/>
        <w:spacing w:before="156" w:after="156"/>
      </w:pPr>
      <w:r>
        <w:rPr>
          <w:rFonts w:hint="eastAsia"/>
        </w:rPr>
        <w:t>人非共板时出入口单面坡缘石坡道大样</w:t>
      </w:r>
    </w:p>
    <w:p w14:paraId="57E1CAB1">
      <w:pPr>
        <w:pStyle w:val="165"/>
      </w:pPr>
      <w:r>
        <w:rPr>
          <w:rFonts w:hint="eastAsia"/>
        </w:rPr>
        <w:t>在直线段人行道设置缘石坡道时，坡道设置形式，见图</w:t>
      </w:r>
      <w:r>
        <w:t>11</w:t>
      </w:r>
      <w:r>
        <w:rPr>
          <w:rFonts w:hint="eastAsia"/>
        </w:rPr>
        <w:t>、图</w:t>
      </w:r>
      <w:r>
        <w:t>12</w:t>
      </w:r>
      <w:r>
        <w:rPr>
          <w:rFonts w:hint="eastAsia"/>
        </w:rPr>
        <w:t>和图</w:t>
      </w:r>
      <w:r>
        <w:t>13</w:t>
      </w:r>
      <w:r>
        <w:rPr>
          <w:rFonts w:hint="eastAsia"/>
        </w:rPr>
        <w:t>。</w:t>
      </w:r>
    </w:p>
    <w:p w14:paraId="2A5E29CE">
      <w:pPr>
        <w:pStyle w:val="56"/>
        <w:ind w:firstLine="0" w:firstLineChars="0"/>
        <w:jc w:val="center"/>
      </w:pPr>
      <w:r>
        <w:rPr>
          <w:rFonts w:hint="eastAsia"/>
        </w:rPr>
        <w:drawing>
          <wp:inline distT="0" distB="0" distL="114300" distR="114300">
            <wp:extent cx="4184650" cy="2282825"/>
            <wp:effectExtent l="0" t="0" r="0" b="0"/>
            <wp:docPr id="15" name="图片 15" descr="人行道规范插图092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人行道规范插图0923_10"/>
                    <pic:cNvPicPr>
                      <a:picLocks noChangeAspect="1"/>
                    </pic:cNvPicPr>
                  </pic:nvPicPr>
                  <pic:blipFill>
                    <a:blip r:embed="rId26"/>
                    <a:srcRect l="16033" t="12239" r="13388" b="33308"/>
                    <a:stretch>
                      <a:fillRect/>
                    </a:stretch>
                  </pic:blipFill>
                  <pic:spPr>
                    <a:xfrm>
                      <a:off x="0" y="0"/>
                      <a:ext cx="4184650" cy="2282825"/>
                    </a:xfrm>
                    <a:prstGeom prst="rect">
                      <a:avLst/>
                    </a:prstGeom>
                  </pic:spPr>
                </pic:pic>
              </a:graphicData>
            </a:graphic>
          </wp:inline>
        </w:drawing>
      </w:r>
    </w:p>
    <w:p w14:paraId="29B885CB">
      <w:pPr>
        <w:pStyle w:val="114"/>
        <w:spacing w:before="156" w:after="156"/>
      </w:pPr>
      <w:r>
        <w:rPr>
          <w:rFonts w:hint="eastAsia"/>
        </w:rPr>
        <w:t>直线段人行道单面坡缘石坡道大样</w:t>
      </w:r>
    </w:p>
    <w:p w14:paraId="294AC39A">
      <w:pPr>
        <w:spacing w:line="240" w:lineRule="auto"/>
        <w:ind w:firstLine="420"/>
        <w:jc w:val="center"/>
      </w:pPr>
      <w:r>
        <w:rPr>
          <w:rFonts w:hint="eastAsia"/>
        </w:rPr>
        <w:drawing>
          <wp:inline distT="0" distB="0" distL="114300" distR="114300">
            <wp:extent cx="4072890" cy="2132330"/>
            <wp:effectExtent l="0" t="0" r="0" b="0"/>
            <wp:docPr id="16" name="图片 16" descr="人行道规范插图092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人行道规范插图0923_11"/>
                    <pic:cNvPicPr>
                      <a:picLocks noChangeAspect="1"/>
                    </pic:cNvPicPr>
                  </pic:nvPicPr>
                  <pic:blipFill>
                    <a:blip r:embed="rId27"/>
                    <a:srcRect l="28864" t="13572" r="2442" b="35565"/>
                    <a:stretch>
                      <a:fillRect/>
                    </a:stretch>
                  </pic:blipFill>
                  <pic:spPr>
                    <a:xfrm>
                      <a:off x="0" y="0"/>
                      <a:ext cx="4072890" cy="2132330"/>
                    </a:xfrm>
                    <a:prstGeom prst="rect">
                      <a:avLst/>
                    </a:prstGeom>
                  </pic:spPr>
                </pic:pic>
              </a:graphicData>
            </a:graphic>
          </wp:inline>
        </w:drawing>
      </w:r>
    </w:p>
    <w:p w14:paraId="61F3415F">
      <w:pPr>
        <w:pStyle w:val="114"/>
        <w:spacing w:before="156" w:after="156"/>
      </w:pPr>
      <w:r>
        <w:rPr>
          <w:rFonts w:hint="eastAsia"/>
        </w:rPr>
        <w:t>直线段人行道扇形三面坡缘石坡道大样</w:t>
      </w:r>
    </w:p>
    <w:p w14:paraId="000C7245">
      <w:pPr>
        <w:spacing w:line="240" w:lineRule="auto"/>
        <w:ind w:firstLine="420"/>
        <w:jc w:val="center"/>
      </w:pPr>
      <w:r>
        <w:rPr>
          <w:rFonts w:hint="eastAsia"/>
        </w:rPr>
        <w:drawing>
          <wp:inline distT="0" distB="0" distL="114300" distR="114300">
            <wp:extent cx="4578350" cy="2404110"/>
            <wp:effectExtent l="0" t="0" r="0" b="0"/>
            <wp:docPr id="17" name="图片 17" descr="人行道规范插图092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人行道规范插图0923_12"/>
                    <pic:cNvPicPr>
                      <a:picLocks noChangeAspect="1"/>
                    </pic:cNvPicPr>
                  </pic:nvPicPr>
                  <pic:blipFill>
                    <a:blip r:embed="rId28"/>
                    <a:srcRect l="16858" t="9649" r="5923" b="33005"/>
                    <a:stretch>
                      <a:fillRect/>
                    </a:stretch>
                  </pic:blipFill>
                  <pic:spPr>
                    <a:xfrm>
                      <a:off x="0" y="0"/>
                      <a:ext cx="4578350" cy="2404110"/>
                    </a:xfrm>
                    <a:prstGeom prst="rect">
                      <a:avLst/>
                    </a:prstGeom>
                  </pic:spPr>
                </pic:pic>
              </a:graphicData>
            </a:graphic>
          </wp:inline>
        </w:drawing>
      </w:r>
    </w:p>
    <w:p w14:paraId="2D23EF7C">
      <w:pPr>
        <w:pStyle w:val="114"/>
        <w:spacing w:before="156" w:after="156"/>
      </w:pPr>
      <w:r>
        <w:rPr>
          <w:rFonts w:hint="eastAsia"/>
        </w:rPr>
        <w:t>直线段人行道三面坡缘石坡道大样</w:t>
      </w:r>
    </w:p>
    <w:p w14:paraId="1FB5DE15">
      <w:pPr>
        <w:pStyle w:val="165"/>
      </w:pPr>
      <w:r>
        <w:rPr>
          <w:rFonts w:hint="eastAsia"/>
        </w:rPr>
        <w:t>在道路转角处设置缘石坡道时，可采用形式如图</w:t>
      </w:r>
      <w:r>
        <w:t>14</w:t>
      </w:r>
      <w:r>
        <w:rPr>
          <w:rFonts w:hint="eastAsia"/>
        </w:rPr>
        <w:t>。</w:t>
      </w:r>
    </w:p>
    <w:p w14:paraId="16188604">
      <w:pPr>
        <w:ind w:firstLine="420"/>
      </w:pPr>
      <w:r>
        <w:t xml:space="preserve"> </w:t>
      </w:r>
    </w:p>
    <w:p w14:paraId="35E94718">
      <w:pPr>
        <w:pStyle w:val="56"/>
        <w:ind w:firstLine="420"/>
        <w:jc w:val="center"/>
      </w:pPr>
      <w:r>
        <w:rPr>
          <w:rFonts w:hint="eastAsia"/>
        </w:rPr>
        <w:drawing>
          <wp:inline distT="0" distB="0" distL="114300" distR="114300">
            <wp:extent cx="4167505" cy="3772535"/>
            <wp:effectExtent l="0" t="0" r="0" b="0"/>
            <wp:docPr id="18" name="图片 18" descr="人行道规范插图092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人行道规范插图0923_13"/>
                    <pic:cNvPicPr>
                      <a:picLocks noChangeAspect="1"/>
                    </pic:cNvPicPr>
                  </pic:nvPicPr>
                  <pic:blipFill>
                    <a:blip r:embed="rId29"/>
                    <a:srcRect l="14962" t="5271" r="14748" b="4741"/>
                    <a:stretch>
                      <a:fillRect/>
                    </a:stretch>
                  </pic:blipFill>
                  <pic:spPr>
                    <a:xfrm>
                      <a:off x="0" y="0"/>
                      <a:ext cx="4167505" cy="3772535"/>
                    </a:xfrm>
                    <a:prstGeom prst="rect">
                      <a:avLst/>
                    </a:prstGeom>
                  </pic:spPr>
                </pic:pic>
              </a:graphicData>
            </a:graphic>
          </wp:inline>
        </w:drawing>
      </w:r>
    </w:p>
    <w:p w14:paraId="7C2A41A1">
      <w:pPr>
        <w:pStyle w:val="114"/>
        <w:spacing w:before="156" w:after="156"/>
      </w:pPr>
      <w:r>
        <w:rPr>
          <w:rFonts w:hint="eastAsia"/>
        </w:rPr>
        <w:t>交叉口处全宽式缘石坡道大样</w:t>
      </w:r>
    </w:p>
    <w:p w14:paraId="601DA2DE">
      <w:pPr>
        <w:pStyle w:val="105"/>
        <w:spacing w:before="156" w:after="156"/>
      </w:pPr>
      <w:bookmarkStart w:id="222" w:name="_Toc177647707"/>
      <w:bookmarkStart w:id="223" w:name="_Toc177723442"/>
      <w:bookmarkStart w:id="224" w:name="_Toc177981364"/>
      <w:bookmarkStart w:id="225" w:name="_Toc178325008"/>
      <w:bookmarkStart w:id="226" w:name="_Toc177634238"/>
      <w:bookmarkStart w:id="227" w:name="_Toc177736933"/>
      <w:bookmarkStart w:id="228" w:name="_Toc177645337"/>
      <w:bookmarkStart w:id="229" w:name="_Toc177734869"/>
      <w:r>
        <w:rPr>
          <w:rFonts w:hint="eastAsia"/>
        </w:rPr>
        <w:t>无障碍设施精细化</w:t>
      </w:r>
      <w:bookmarkEnd w:id="222"/>
      <w:bookmarkEnd w:id="223"/>
      <w:bookmarkEnd w:id="224"/>
      <w:bookmarkEnd w:id="225"/>
      <w:bookmarkEnd w:id="226"/>
      <w:bookmarkEnd w:id="227"/>
      <w:bookmarkEnd w:id="228"/>
      <w:bookmarkEnd w:id="229"/>
    </w:p>
    <w:p w14:paraId="6A233130">
      <w:pPr>
        <w:pStyle w:val="165"/>
      </w:pPr>
      <w:r>
        <w:rPr>
          <w:rFonts w:hint="eastAsia"/>
        </w:rPr>
        <w:t>盲道遇到障碍物需要绕开后，有条件的情况下不需绕回，待下个障碍物时再进行第二次避让，减少盲道转弯次数，详见图</w:t>
      </w:r>
      <w:r>
        <w:t>15</w:t>
      </w:r>
      <w:r>
        <w:rPr>
          <w:rFonts w:hint="eastAsia"/>
        </w:rPr>
        <w:t>。</w:t>
      </w:r>
    </w:p>
    <w:p w14:paraId="188121A1">
      <w:pPr>
        <w:pStyle w:val="56"/>
        <w:ind w:firstLine="0" w:firstLineChars="0"/>
      </w:pPr>
      <w:r>
        <w:rPr>
          <w:rFonts w:hint="eastAsia"/>
        </w:rPr>
        <w:drawing>
          <wp:inline distT="0" distB="0" distL="114300" distR="114300">
            <wp:extent cx="5785485" cy="1648460"/>
            <wp:effectExtent l="0" t="0" r="0" b="0"/>
            <wp:docPr id="20" name="图片 20" descr="人行道规范插图092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人行道规范插图0923_14"/>
                    <pic:cNvPicPr>
                      <a:picLocks noChangeAspect="1"/>
                    </pic:cNvPicPr>
                  </pic:nvPicPr>
                  <pic:blipFill>
                    <a:blip r:embed="rId30"/>
                    <a:srcRect l="1574" t="29006" r="846" b="31672"/>
                    <a:stretch>
                      <a:fillRect/>
                    </a:stretch>
                  </pic:blipFill>
                  <pic:spPr>
                    <a:xfrm>
                      <a:off x="0" y="0"/>
                      <a:ext cx="5785485" cy="1648460"/>
                    </a:xfrm>
                    <a:prstGeom prst="rect">
                      <a:avLst/>
                    </a:prstGeom>
                  </pic:spPr>
                </pic:pic>
              </a:graphicData>
            </a:graphic>
          </wp:inline>
        </w:drawing>
      </w:r>
    </w:p>
    <w:p w14:paraId="4C072BC8">
      <w:pPr>
        <w:pStyle w:val="114"/>
        <w:spacing w:before="156" w:after="156"/>
      </w:pPr>
      <w:r>
        <w:rPr>
          <w:rFonts w:hint="eastAsia"/>
        </w:rPr>
        <w:t>人行道位置较宽侧避让</w:t>
      </w:r>
    </w:p>
    <w:p w14:paraId="12B67793">
      <w:pPr>
        <w:pStyle w:val="165"/>
      </w:pPr>
      <w:r>
        <w:rPr>
          <w:rFonts w:hint="eastAsia"/>
        </w:rPr>
        <w:t>出入口两侧人行道宽度不一致时，应提前将盲道转弯，保证出入口两侧盲道平齐，避免形成错位，详见图</w:t>
      </w:r>
      <w:r>
        <w:t>16</w:t>
      </w:r>
      <w:r>
        <w:rPr>
          <w:rFonts w:hint="eastAsia"/>
        </w:rPr>
        <w:t>。</w:t>
      </w:r>
    </w:p>
    <w:p w14:paraId="279D9D0C">
      <w:pPr>
        <w:pStyle w:val="56"/>
        <w:ind w:firstLine="0" w:firstLineChars="0"/>
        <w:jc w:val="center"/>
      </w:pPr>
    </w:p>
    <w:p w14:paraId="7266F02D">
      <w:pPr>
        <w:pStyle w:val="56"/>
        <w:ind w:firstLine="0" w:firstLineChars="0"/>
        <w:jc w:val="center"/>
      </w:pPr>
      <w:r>
        <w:rPr>
          <w:rFonts w:hint="eastAsia"/>
        </w:rPr>
        <w:drawing>
          <wp:inline distT="0" distB="0" distL="114300" distR="114300">
            <wp:extent cx="5750560" cy="2425700"/>
            <wp:effectExtent l="0" t="0" r="0" b="0"/>
            <wp:docPr id="21" name="图片 21" descr="人行道规范插图092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人行道规范插图0923_15"/>
                    <pic:cNvPicPr>
                      <a:picLocks noChangeAspect="1"/>
                    </pic:cNvPicPr>
                  </pic:nvPicPr>
                  <pic:blipFill>
                    <a:blip r:embed="rId31"/>
                    <a:srcRect l="1574" t="11663" r="1435" b="30476"/>
                    <a:stretch>
                      <a:fillRect/>
                    </a:stretch>
                  </pic:blipFill>
                  <pic:spPr>
                    <a:xfrm>
                      <a:off x="0" y="0"/>
                      <a:ext cx="5750560" cy="2425700"/>
                    </a:xfrm>
                    <a:prstGeom prst="rect">
                      <a:avLst/>
                    </a:prstGeom>
                  </pic:spPr>
                </pic:pic>
              </a:graphicData>
            </a:graphic>
          </wp:inline>
        </w:drawing>
      </w:r>
    </w:p>
    <w:p w14:paraId="4B3EA96F">
      <w:pPr>
        <w:pStyle w:val="114"/>
        <w:spacing w:before="156" w:after="156"/>
      </w:pPr>
      <w:r>
        <w:rPr>
          <w:rFonts w:hint="eastAsia"/>
        </w:rPr>
        <w:t>人行道位置较宽侧避让</w:t>
      </w:r>
    </w:p>
    <w:p w14:paraId="2A2EB316">
      <w:pPr>
        <w:pStyle w:val="165"/>
      </w:pPr>
      <w:r>
        <w:rPr>
          <w:rFonts w:hint="eastAsia"/>
        </w:rPr>
        <w:t>道路沿线设置卧石时，在无障碍缘石坡道处应将卧石改成平石，卧石与平石之间的衔接采用异形卧石。</w:t>
      </w:r>
    </w:p>
    <w:p w14:paraId="73AEEB64">
      <w:pPr>
        <w:pStyle w:val="104"/>
        <w:spacing w:before="312" w:after="312"/>
      </w:pPr>
      <w:bookmarkStart w:id="230" w:name="_Toc178325009"/>
      <w:bookmarkStart w:id="231" w:name="_Toc177981365"/>
      <w:bookmarkStart w:id="232" w:name="_Toc177736934"/>
      <w:bookmarkStart w:id="233" w:name="_Toc177734870"/>
      <w:bookmarkStart w:id="234" w:name="_Toc177647708"/>
      <w:bookmarkStart w:id="235" w:name="_Toc177634239"/>
      <w:bookmarkStart w:id="236" w:name="_Toc177645338"/>
      <w:bookmarkStart w:id="237" w:name="_Toc177723443"/>
      <w:bookmarkStart w:id="238" w:name="_Toc177627018"/>
      <w:r>
        <w:rPr>
          <w:rFonts w:hint="eastAsia"/>
        </w:rPr>
        <w:t>交通设施</w:t>
      </w:r>
      <w:bookmarkEnd w:id="230"/>
      <w:bookmarkEnd w:id="231"/>
      <w:bookmarkEnd w:id="232"/>
      <w:bookmarkEnd w:id="233"/>
      <w:bookmarkEnd w:id="234"/>
      <w:bookmarkEnd w:id="235"/>
      <w:bookmarkEnd w:id="236"/>
      <w:bookmarkEnd w:id="237"/>
      <w:bookmarkEnd w:id="238"/>
    </w:p>
    <w:p w14:paraId="022F139F">
      <w:pPr>
        <w:pStyle w:val="105"/>
        <w:spacing w:before="156" w:after="156"/>
        <w:rPr>
          <w:szCs w:val="21"/>
        </w:rPr>
      </w:pPr>
      <w:bookmarkStart w:id="239" w:name="_Toc177736935"/>
      <w:bookmarkStart w:id="240" w:name="_Toc177723444"/>
      <w:bookmarkStart w:id="241" w:name="_Toc177981366"/>
      <w:bookmarkStart w:id="242" w:name="_Toc177734871"/>
      <w:bookmarkStart w:id="243" w:name="_Toc178325010"/>
      <w:bookmarkStart w:id="244" w:name="_Toc177634240"/>
      <w:bookmarkStart w:id="245" w:name="_Toc177647709"/>
      <w:bookmarkStart w:id="246" w:name="_Toc177645339"/>
      <w:r>
        <w:rPr>
          <w:rFonts w:hint="eastAsia"/>
        </w:rPr>
        <w:t>一般规定</w:t>
      </w:r>
      <w:bookmarkEnd w:id="239"/>
      <w:bookmarkEnd w:id="240"/>
      <w:bookmarkEnd w:id="241"/>
      <w:bookmarkEnd w:id="242"/>
      <w:bookmarkEnd w:id="243"/>
    </w:p>
    <w:p w14:paraId="63BD9AD3">
      <w:pPr>
        <w:pStyle w:val="165"/>
      </w:pPr>
      <w:r>
        <w:rPr>
          <w:rFonts w:hint="eastAsia"/>
        </w:rPr>
        <w:t>交通设施设置在路侧带时，应优先设置在行道树设施带中。特殊情况需设置在人行道上时，不应占用人行道有效通行宽度</w:t>
      </w:r>
    </w:p>
    <w:p w14:paraId="7BC11E07">
      <w:pPr>
        <w:pStyle w:val="165"/>
      </w:pPr>
      <w:r>
        <w:rPr>
          <w:rFonts w:hint="eastAsia"/>
        </w:rPr>
        <w:t>交通设施的设置应与照明设施综合考虑，宜多杆合一设置。</w:t>
      </w:r>
    </w:p>
    <w:p w14:paraId="50173B7D">
      <w:pPr>
        <w:pStyle w:val="105"/>
        <w:spacing w:before="156" w:after="156"/>
        <w:rPr>
          <w:kern w:val="2"/>
          <w:szCs w:val="21"/>
        </w:rPr>
      </w:pPr>
      <w:bookmarkStart w:id="247" w:name="_Toc177723445"/>
      <w:bookmarkStart w:id="248" w:name="_Toc177736936"/>
      <w:bookmarkStart w:id="249" w:name="_Toc178325011"/>
      <w:bookmarkStart w:id="250" w:name="_Toc177981367"/>
      <w:bookmarkStart w:id="251" w:name="_Toc177734872"/>
      <w:r>
        <w:rPr>
          <w:rFonts w:hint="eastAsia"/>
        </w:rPr>
        <w:t>交通信号</w:t>
      </w:r>
      <w:bookmarkEnd w:id="244"/>
      <w:bookmarkEnd w:id="245"/>
      <w:bookmarkEnd w:id="246"/>
      <w:bookmarkEnd w:id="247"/>
      <w:bookmarkEnd w:id="248"/>
      <w:bookmarkEnd w:id="249"/>
      <w:bookmarkEnd w:id="250"/>
      <w:bookmarkEnd w:id="251"/>
    </w:p>
    <w:p w14:paraId="27F28DDB">
      <w:pPr>
        <w:pStyle w:val="165"/>
      </w:pPr>
      <w:r>
        <w:rPr>
          <w:rFonts w:hint="eastAsia"/>
        </w:rPr>
        <w:t>设置交通信号灯时，应配套设置相应的道路交通标志、道路交通标线和交通技术监控设备。</w:t>
      </w:r>
    </w:p>
    <w:p w14:paraId="2961E23E">
      <w:pPr>
        <w:pStyle w:val="165"/>
      </w:pPr>
      <w:r>
        <w:rPr>
          <w:rFonts w:hint="eastAsia"/>
        </w:rPr>
        <w:t>设置位置应符合以下要求：</w:t>
      </w:r>
    </w:p>
    <w:p w14:paraId="4AFE39A3">
      <w:pPr>
        <w:pStyle w:val="174"/>
        <w:numPr>
          <w:ilvl w:val="0"/>
          <w:numId w:val="53"/>
        </w:numPr>
      </w:pPr>
      <w:r>
        <w:rPr>
          <w:rFonts w:hint="eastAsia"/>
        </w:rPr>
        <w:t>当道路较宽时，可采用悬臂式安装在道路右侧人行道上，也可根据需要在左侧人行道上增设一个信号灯组；当道路较窄时，可采用柱式安装在道路两侧人行道上；</w:t>
      </w:r>
    </w:p>
    <w:p w14:paraId="524BFF23">
      <w:pPr>
        <w:pStyle w:val="174"/>
      </w:pPr>
      <w:r>
        <w:rPr>
          <w:rFonts w:hint="eastAsia"/>
        </w:rPr>
        <w:t>独立非机动车信号灯灯杆应采用柱式安装在对向右侧距路缘的距离为0.8～2m的人行道上；</w:t>
      </w:r>
    </w:p>
    <w:p w14:paraId="65F59A81">
      <w:pPr>
        <w:pStyle w:val="174"/>
      </w:pPr>
      <w:r>
        <w:rPr>
          <w:rFonts w:hint="eastAsia"/>
        </w:rPr>
        <w:t>人行横道信号灯应安装在人行横道两端内沿或外沿线的延长线、距路缘的距离为0.8～2m的人行道上，采取对向灯安装。</w:t>
      </w:r>
    </w:p>
    <w:p w14:paraId="67C856E7">
      <w:pPr>
        <w:pStyle w:val="165"/>
      </w:pPr>
      <w:r>
        <w:rPr>
          <w:rFonts w:hint="eastAsia"/>
        </w:rPr>
        <w:t>信号灯安装高度应符合以下要求：</w:t>
      </w:r>
    </w:p>
    <w:p w14:paraId="1FBFF17F">
      <w:pPr>
        <w:pStyle w:val="174"/>
        <w:numPr>
          <w:ilvl w:val="0"/>
          <w:numId w:val="54"/>
        </w:numPr>
      </w:pPr>
      <w:r>
        <w:rPr>
          <w:rFonts w:hint="eastAsia"/>
        </w:rPr>
        <w:t>非机动车道信号灯安装高度为2.5～3m。在借用指导机动车通行信号灯杆采用悬臂式安装非机动车信号灯情况下，安装高度与指导机动车通行的信号灯相同；</w:t>
      </w:r>
    </w:p>
    <w:p w14:paraId="0EA160EF">
      <w:pPr>
        <w:pStyle w:val="174"/>
      </w:pPr>
      <w:r>
        <w:rPr>
          <w:rFonts w:hint="eastAsia"/>
        </w:rPr>
        <w:t>人行横道信号灯安装高度为2.5～3m；</w:t>
      </w:r>
    </w:p>
    <w:p w14:paraId="38E22C5F">
      <w:pPr>
        <w:pStyle w:val="174"/>
      </w:pPr>
      <w:r>
        <w:rPr>
          <w:rFonts w:hint="eastAsia"/>
        </w:rPr>
        <w:t>道口信号灯安装高度不应低于3m。</w:t>
      </w:r>
    </w:p>
    <w:p w14:paraId="7E6577CC">
      <w:pPr>
        <w:pStyle w:val="105"/>
        <w:spacing w:before="156" w:after="156"/>
        <w:rPr>
          <w:rFonts w:cs="微软雅黑"/>
        </w:rPr>
      </w:pPr>
      <w:bookmarkStart w:id="252" w:name="_Toc178325012"/>
      <w:bookmarkStart w:id="253" w:name="_Toc177981368"/>
      <w:bookmarkStart w:id="254" w:name="_Toc177645340"/>
      <w:bookmarkStart w:id="255" w:name="_Toc177736937"/>
      <w:bookmarkStart w:id="256" w:name="_Toc177647710"/>
      <w:bookmarkStart w:id="257" w:name="_Toc177723446"/>
      <w:bookmarkStart w:id="258" w:name="_Toc177634241"/>
      <w:bookmarkStart w:id="259" w:name="_Toc177734873"/>
      <w:r>
        <w:rPr>
          <w:rFonts w:hint="eastAsia"/>
        </w:rPr>
        <w:t>交通监控</w:t>
      </w:r>
      <w:bookmarkEnd w:id="252"/>
      <w:bookmarkEnd w:id="253"/>
      <w:bookmarkEnd w:id="254"/>
      <w:bookmarkEnd w:id="255"/>
      <w:bookmarkEnd w:id="256"/>
      <w:bookmarkEnd w:id="257"/>
      <w:bookmarkEnd w:id="258"/>
      <w:bookmarkEnd w:id="259"/>
    </w:p>
    <w:p w14:paraId="068AA655">
      <w:pPr>
        <w:pStyle w:val="165"/>
      </w:pPr>
      <w:r>
        <w:rPr>
          <w:rFonts w:hint="eastAsia"/>
        </w:rPr>
        <w:t>交通闭路电视监控系统</w:t>
      </w:r>
    </w:p>
    <w:p w14:paraId="6106EAA2">
      <w:pPr>
        <w:pStyle w:val="174"/>
        <w:numPr>
          <w:ilvl w:val="0"/>
          <w:numId w:val="55"/>
        </w:numPr>
      </w:pPr>
      <w:r>
        <w:rPr>
          <w:rFonts w:hint="eastAsia"/>
        </w:rPr>
        <w:t>设置位置</w:t>
      </w:r>
    </w:p>
    <w:p w14:paraId="6CAF9F75">
      <w:pPr>
        <w:pStyle w:val="109"/>
        <w:numPr>
          <w:ilvl w:val="1"/>
          <w:numId w:val="56"/>
        </w:numPr>
      </w:pPr>
      <w:r>
        <w:rPr>
          <w:rFonts w:hint="eastAsia"/>
        </w:rPr>
        <w:t>交通监控点的设置位置应能避开建筑物、树木、交通标牌或其它物体对摄像机监控视角的影响，同时也要考虑立杆和摄像机不能遮挡交通信号灯以及交通标志；</w:t>
      </w:r>
    </w:p>
    <w:p w14:paraId="24DF3B99">
      <w:pPr>
        <w:pStyle w:val="109"/>
      </w:pPr>
      <w:r>
        <w:rPr>
          <w:rFonts w:hint="eastAsia"/>
        </w:rPr>
        <w:t>交通监控点的设置位置应能兼顾考虑交通违法行为的拍摄；</w:t>
      </w:r>
    </w:p>
    <w:p w14:paraId="3CE1058D">
      <w:pPr>
        <w:pStyle w:val="109"/>
      </w:pPr>
      <w:r>
        <w:rPr>
          <w:rFonts w:hint="eastAsia"/>
        </w:rPr>
        <w:t>在路口安装时，交通监控设备一般安装在路口的西南角或西北角，防止太阳西斜对摄像机的照射损坏。</w:t>
      </w:r>
    </w:p>
    <w:p w14:paraId="22DE685D">
      <w:pPr>
        <w:pStyle w:val="174"/>
        <w:numPr>
          <w:ilvl w:val="0"/>
          <w:numId w:val="55"/>
        </w:numPr>
      </w:pPr>
      <w:r>
        <w:rPr>
          <w:rFonts w:hint="eastAsia"/>
        </w:rPr>
        <w:t>交通闭路电视监控系统的设计应符合GB 50688的要求。</w:t>
      </w:r>
    </w:p>
    <w:p w14:paraId="342979C5">
      <w:pPr>
        <w:pStyle w:val="165"/>
        <w:rPr>
          <w:rFonts w:eastAsia="微软雅黑" w:cs="宋体"/>
        </w:rPr>
      </w:pPr>
      <w:r>
        <w:rPr>
          <w:rFonts w:hint="eastAsia"/>
        </w:rPr>
        <w:t>交通违法自动抓拍系统</w:t>
      </w:r>
    </w:p>
    <w:p w14:paraId="15B96E57">
      <w:pPr>
        <w:pStyle w:val="174"/>
        <w:numPr>
          <w:ilvl w:val="0"/>
          <w:numId w:val="57"/>
        </w:numPr>
      </w:pPr>
      <w:r>
        <w:rPr>
          <w:rFonts w:hint="eastAsia"/>
        </w:rPr>
        <w:t>设置位置</w:t>
      </w:r>
    </w:p>
    <w:p w14:paraId="4AC99F38">
      <w:pPr>
        <w:pStyle w:val="109"/>
        <w:numPr>
          <w:ilvl w:val="1"/>
          <w:numId w:val="58"/>
        </w:numPr>
      </w:pPr>
      <w:r>
        <w:rPr>
          <w:rFonts w:hint="eastAsia"/>
        </w:rPr>
        <w:t>城市次干路及以上级别道路；</w:t>
      </w:r>
    </w:p>
    <w:p w14:paraId="11E1405F">
      <w:pPr>
        <w:pStyle w:val="109"/>
      </w:pPr>
      <w:r>
        <w:rPr>
          <w:rFonts w:hint="eastAsia"/>
        </w:rPr>
        <w:t>城市道路上交通违法事件较多的路段和路口；</w:t>
      </w:r>
    </w:p>
    <w:p w14:paraId="5AC739DE">
      <w:pPr>
        <w:pStyle w:val="109"/>
      </w:pPr>
      <w:r>
        <w:rPr>
          <w:rFonts w:hint="eastAsia"/>
        </w:rPr>
        <w:t>城市道路上的交通事故多发地点；</w:t>
      </w:r>
    </w:p>
    <w:p w14:paraId="3D83A51E">
      <w:pPr>
        <w:pStyle w:val="109"/>
      </w:pPr>
      <w:r>
        <w:rPr>
          <w:rFonts w:hint="eastAsia"/>
        </w:rPr>
        <w:t>城市出入口、重要的机关学校、商业中心等地点。</w:t>
      </w:r>
    </w:p>
    <w:p w14:paraId="05CDF83B">
      <w:pPr>
        <w:pStyle w:val="174"/>
        <w:numPr>
          <w:ilvl w:val="0"/>
          <w:numId w:val="57"/>
        </w:numPr>
      </w:pPr>
      <w:r>
        <w:rPr>
          <w:rFonts w:hint="eastAsia"/>
        </w:rPr>
        <w:t>交通违法自动抓拍系统的设计应符合GB 50688的要求。</w:t>
      </w:r>
    </w:p>
    <w:p w14:paraId="5E86EB64">
      <w:pPr>
        <w:pStyle w:val="105"/>
        <w:spacing w:before="156" w:after="156"/>
        <w:rPr>
          <w:rFonts w:cs="微软雅黑"/>
        </w:rPr>
      </w:pPr>
      <w:bookmarkStart w:id="260" w:name="_Toc177734874"/>
      <w:bookmarkStart w:id="261" w:name="_Toc177645341"/>
      <w:bookmarkStart w:id="262" w:name="_Toc177723447"/>
      <w:bookmarkStart w:id="263" w:name="_Toc177981369"/>
      <w:bookmarkStart w:id="264" w:name="_Toc177647711"/>
      <w:bookmarkStart w:id="265" w:name="_Toc178325013"/>
      <w:bookmarkStart w:id="266" w:name="_Toc177736938"/>
      <w:bookmarkStart w:id="267" w:name="_Toc177634242"/>
      <w:r>
        <w:rPr>
          <w:rFonts w:hint="eastAsia"/>
        </w:rPr>
        <w:t>交通标牌</w:t>
      </w:r>
      <w:bookmarkEnd w:id="260"/>
      <w:bookmarkEnd w:id="261"/>
      <w:bookmarkEnd w:id="262"/>
      <w:bookmarkEnd w:id="263"/>
      <w:bookmarkEnd w:id="264"/>
      <w:bookmarkEnd w:id="265"/>
      <w:bookmarkEnd w:id="266"/>
      <w:bookmarkEnd w:id="267"/>
    </w:p>
    <w:p w14:paraId="2B0CF817">
      <w:pPr>
        <w:pStyle w:val="165"/>
      </w:pPr>
      <w:r>
        <w:rPr>
          <w:rFonts w:hint="eastAsia"/>
        </w:rPr>
        <w:t>宽度大于3.5m的人行道，交通标牌外缘不得越出设施带范围；宽度不大于3.5 m 的人行道，交通标牌外缘应控制在距侧石外边线1m范围内。</w:t>
      </w:r>
    </w:p>
    <w:p w14:paraId="101311AD">
      <w:pPr>
        <w:pStyle w:val="165"/>
      </w:pPr>
      <w:r>
        <w:rPr>
          <w:rFonts w:hint="eastAsia"/>
        </w:rPr>
        <w:t>设置在人行道上的交通标牌与建筑物必须保持1m以上的侧向距离。如不能满足时，可在道路另一侧设置或适当超出该种标志规定的前置距离。柱式、路侧附着式标志内边缘不得侵入道路建筑限界，距人行道的外侧边缘或土路肩不应小于0.25 m。</w:t>
      </w:r>
    </w:p>
    <w:p w14:paraId="74F66DCC">
      <w:pPr>
        <w:pStyle w:val="165"/>
      </w:pPr>
      <w:r>
        <w:rPr>
          <w:rFonts w:hint="eastAsia"/>
        </w:rPr>
        <w:t>人行道上交通标牌设计应符合GB 5768的规定。</w:t>
      </w:r>
    </w:p>
    <w:p w14:paraId="6417B416">
      <w:pPr>
        <w:pStyle w:val="105"/>
        <w:spacing w:before="156" w:after="156"/>
        <w:rPr>
          <w:rFonts w:cs="微软雅黑"/>
        </w:rPr>
      </w:pPr>
      <w:bookmarkStart w:id="268" w:name="_Toc177723448"/>
      <w:bookmarkStart w:id="269" w:name="_Toc177981370"/>
      <w:bookmarkStart w:id="270" w:name="_Toc177734875"/>
      <w:bookmarkStart w:id="271" w:name="_Toc178325014"/>
      <w:bookmarkStart w:id="272" w:name="_Toc177736939"/>
      <w:r>
        <w:rPr>
          <w:rFonts w:hint="eastAsia"/>
        </w:rPr>
        <w:t>人行护栏</w:t>
      </w:r>
      <w:bookmarkEnd w:id="268"/>
      <w:bookmarkEnd w:id="269"/>
      <w:bookmarkEnd w:id="270"/>
      <w:bookmarkEnd w:id="271"/>
      <w:bookmarkEnd w:id="272"/>
    </w:p>
    <w:p w14:paraId="5C5BCC8C">
      <w:pPr>
        <w:pStyle w:val="165"/>
        <w:rPr>
          <w:rFonts w:ascii="MS Mincho" w:eastAsia="MS Mincho"/>
        </w:rPr>
      </w:pPr>
      <w:r>
        <w:rPr>
          <w:rFonts w:hint="eastAsia"/>
        </w:rPr>
        <w:t>下列位置应设置人行护栏：</w:t>
      </w:r>
    </w:p>
    <w:p w14:paraId="59AAC734">
      <w:pPr>
        <w:pStyle w:val="174"/>
        <w:numPr>
          <w:ilvl w:val="0"/>
          <w:numId w:val="59"/>
        </w:numPr>
        <w:rPr>
          <w:rFonts w:ascii="微软雅黑"/>
        </w:rPr>
      </w:pPr>
      <w:r>
        <w:rPr>
          <w:rFonts w:hint="eastAsia"/>
        </w:rPr>
        <w:t>人行道与邻侧地面存在高差，有行人跌落危险的；</w:t>
      </w:r>
    </w:p>
    <w:p w14:paraId="566D735C">
      <w:pPr>
        <w:pStyle w:val="174"/>
      </w:pPr>
      <w:r>
        <w:rPr>
          <w:rFonts w:hint="eastAsia"/>
        </w:rPr>
        <w:t>桥梁人行道外侧；</w:t>
      </w:r>
    </w:p>
    <w:p w14:paraId="1F6C78A0">
      <w:pPr>
        <w:pStyle w:val="174"/>
      </w:pPr>
      <w:r>
        <w:rPr>
          <w:rFonts w:hint="eastAsia"/>
        </w:rPr>
        <w:t>位于车站、码头、人行天桥和地道的出入口、商业中心等人流汇聚区的人行道边（车道侧）；</w:t>
      </w:r>
    </w:p>
    <w:p w14:paraId="395A5C57">
      <w:pPr>
        <w:pStyle w:val="174"/>
      </w:pPr>
      <w:r>
        <w:rPr>
          <w:rFonts w:hint="eastAsia"/>
        </w:rPr>
        <w:t>交叉口人行道边（车道侧）及其它需要防止行人穿越机动车道的路边，宜设置人行护栏，但在人行横道处应断开；</w:t>
      </w:r>
    </w:p>
    <w:p w14:paraId="7A01438F">
      <w:pPr>
        <w:pStyle w:val="174"/>
      </w:pPr>
      <w:r>
        <w:rPr>
          <w:rFonts w:hint="eastAsia"/>
        </w:rPr>
        <w:t>在非全封闭路段天桥和地道的梯（坡）道口附近无公共交通停靠站时，宜在道路两侧设人行护栏。护栏的长度宜大于200 m；</w:t>
      </w:r>
    </w:p>
    <w:p w14:paraId="31268EFB">
      <w:pPr>
        <w:pStyle w:val="174"/>
      </w:pPr>
      <w:r>
        <w:rPr>
          <w:rFonts w:hint="eastAsia"/>
        </w:rPr>
        <w:t>车辆进出较多的道路出入口局部路段的人行道边（车道侧）。</w:t>
      </w:r>
    </w:p>
    <w:p w14:paraId="1F370000">
      <w:pPr>
        <w:pStyle w:val="165"/>
      </w:pPr>
      <w:r>
        <w:rPr>
          <w:rFonts w:hint="eastAsia"/>
        </w:rPr>
        <w:t>同一路段宜设置统一样式的人行护栏。</w:t>
      </w:r>
    </w:p>
    <w:p w14:paraId="4572F954">
      <w:pPr>
        <w:pStyle w:val="165"/>
      </w:pPr>
      <w:r>
        <w:rPr>
          <w:rFonts w:hint="eastAsia"/>
        </w:rPr>
        <w:t>人行护栏的净高不宜低于1100 mm，有跌落危险处的栏杆的垂直杆件间净距不应大于1100mm。当栏杆结合花盆设置时，必须有防止花盆坠落的措施。</w:t>
      </w:r>
    </w:p>
    <w:p w14:paraId="767DA68A">
      <w:pPr>
        <w:pStyle w:val="165"/>
      </w:pPr>
      <w:r>
        <w:rPr>
          <w:rFonts w:hint="eastAsia"/>
        </w:rPr>
        <w:t>人行道与车行道分隔护栏宜按交通管理部门要求统一设计，采用预埋基础护栏，高度不宜低于1100 mm。</w:t>
      </w:r>
    </w:p>
    <w:p w14:paraId="41D01CBA">
      <w:pPr>
        <w:pStyle w:val="165"/>
      </w:pPr>
      <w:r>
        <w:rPr>
          <w:rFonts w:hint="eastAsia"/>
        </w:rPr>
        <w:t>人行护栏应避让障碍物，如消防栓、邮箱和电杆等，或者将护栏开口与障碍物进行结合，在不影响障碍物功能的前提下，保持护栏的连续性、美观性。</w:t>
      </w:r>
    </w:p>
    <w:p w14:paraId="0D8EEC85">
      <w:pPr>
        <w:pStyle w:val="165"/>
        <w:rPr>
          <w:rFonts w:eastAsia="微软雅黑" w:cs="宋体"/>
        </w:rPr>
      </w:pPr>
      <w:r>
        <w:rPr>
          <w:rFonts w:hint="eastAsia"/>
        </w:rPr>
        <w:t>人行护栏开口是提供车辆和行人遵照规定通行的通道口，应根据交通管理需要在确保安全情况下进行设置。</w:t>
      </w:r>
    </w:p>
    <w:p w14:paraId="56084021">
      <w:pPr>
        <w:pStyle w:val="104"/>
        <w:spacing w:before="312" w:after="312"/>
      </w:pPr>
      <w:bookmarkStart w:id="273" w:name="_Toc177981371"/>
      <w:bookmarkStart w:id="274" w:name="_Toc177736940"/>
      <w:bookmarkStart w:id="275" w:name="_Toc177634245"/>
      <w:bookmarkStart w:id="276" w:name="_Toc177734876"/>
      <w:bookmarkStart w:id="277" w:name="_Toc177723449"/>
      <w:bookmarkStart w:id="278" w:name="_Toc177645342"/>
      <w:bookmarkStart w:id="279" w:name="_Toc178325015"/>
      <w:bookmarkStart w:id="280" w:name="_Toc177627019"/>
      <w:bookmarkStart w:id="281" w:name="_Toc177647712"/>
      <w:r>
        <w:rPr>
          <w:rFonts w:hint="eastAsia"/>
        </w:rPr>
        <w:t>附属设施</w:t>
      </w:r>
      <w:bookmarkEnd w:id="273"/>
      <w:bookmarkEnd w:id="274"/>
      <w:bookmarkEnd w:id="275"/>
      <w:bookmarkEnd w:id="276"/>
      <w:bookmarkEnd w:id="277"/>
      <w:bookmarkEnd w:id="278"/>
      <w:bookmarkEnd w:id="279"/>
      <w:bookmarkEnd w:id="280"/>
      <w:bookmarkEnd w:id="281"/>
    </w:p>
    <w:p w14:paraId="09BCDA4D">
      <w:pPr>
        <w:pStyle w:val="105"/>
        <w:spacing w:before="156" w:after="156"/>
        <w:rPr>
          <w:rFonts w:cs="微软雅黑"/>
        </w:rPr>
      </w:pPr>
      <w:bookmarkStart w:id="282" w:name="_Toc177981372"/>
      <w:bookmarkStart w:id="283" w:name="_Toc177723450"/>
      <w:bookmarkStart w:id="284" w:name="_Toc178325016"/>
      <w:bookmarkStart w:id="285" w:name="_Toc177734877"/>
      <w:bookmarkStart w:id="286" w:name="_Toc177736941"/>
      <w:bookmarkStart w:id="287" w:name="_Toc177634243"/>
      <w:bookmarkStart w:id="288" w:name="_Toc177645343"/>
      <w:bookmarkStart w:id="289" w:name="_Toc177647713"/>
      <w:r>
        <w:rPr>
          <w:rFonts w:cs="微软雅黑"/>
        </w:rPr>
        <w:t>一般规定</w:t>
      </w:r>
      <w:bookmarkEnd w:id="282"/>
      <w:bookmarkEnd w:id="283"/>
      <w:bookmarkEnd w:id="284"/>
      <w:bookmarkEnd w:id="285"/>
      <w:bookmarkEnd w:id="286"/>
    </w:p>
    <w:p w14:paraId="1E979C6F">
      <w:pPr>
        <w:pStyle w:val="165"/>
      </w:pPr>
      <w:r>
        <w:rPr>
          <w:rFonts w:hint="eastAsia"/>
        </w:rPr>
        <w:t>附属设施应结合分隔带、设施带统筹设置，原则上不得占用人行道通行空间，不得影响交通及使用安全。</w:t>
      </w:r>
    </w:p>
    <w:p w14:paraId="6BAF13D2">
      <w:pPr>
        <w:pStyle w:val="165"/>
      </w:pPr>
      <w:r>
        <w:rPr>
          <w:rFonts w:hint="eastAsia"/>
        </w:rPr>
        <w:t>在确保各设施的使用和安全间距等要求下，应进行集约化、隐蔽化、精细化设计，并进行美化处理。</w:t>
      </w:r>
    </w:p>
    <w:p w14:paraId="1087B96A">
      <w:pPr>
        <w:pStyle w:val="105"/>
        <w:spacing w:before="156" w:after="156"/>
        <w:rPr>
          <w:kern w:val="2"/>
          <w:szCs w:val="21"/>
        </w:rPr>
      </w:pPr>
      <w:bookmarkStart w:id="290" w:name="_Toc177734878"/>
      <w:bookmarkStart w:id="291" w:name="_Toc178325017"/>
      <w:bookmarkStart w:id="292" w:name="_Toc177736942"/>
      <w:bookmarkStart w:id="293" w:name="_Toc177723451"/>
      <w:bookmarkStart w:id="294" w:name="_Toc177981373"/>
      <w:r>
        <w:rPr>
          <w:rFonts w:hint="eastAsia"/>
        </w:rPr>
        <w:t>路缘石</w:t>
      </w:r>
      <w:bookmarkEnd w:id="290"/>
      <w:bookmarkEnd w:id="291"/>
      <w:bookmarkEnd w:id="292"/>
      <w:bookmarkEnd w:id="293"/>
      <w:bookmarkEnd w:id="294"/>
      <w:r>
        <w:rPr>
          <w:rFonts w:hint="eastAsia"/>
        </w:rPr>
        <w:t xml:space="preserve"> </w:t>
      </w:r>
    </w:p>
    <w:p w14:paraId="6279AFB3">
      <w:pPr>
        <w:pStyle w:val="165"/>
      </w:pPr>
      <w:r>
        <w:rPr>
          <w:rFonts w:hint="eastAsia"/>
        </w:rPr>
        <w:t>按路缘石的线型分类为直线型路缘石和曲线型路缘石。曲线型路缘石可配合直线型路缘石选用。</w:t>
      </w:r>
    </w:p>
    <w:p w14:paraId="540D6126">
      <w:pPr>
        <w:pStyle w:val="165"/>
      </w:pPr>
      <w:r>
        <w:rPr>
          <w:rFonts w:hint="eastAsia"/>
        </w:rPr>
        <w:t>当绿化带端头、出入口或道路交叉口转角半径R</w:t>
      </w:r>
      <w:r>
        <w:rPr>
          <w:rFonts w:ascii="Arial" w:hAnsi="Arial" w:cs="Arial"/>
        </w:rPr>
        <w:t>≤</w:t>
      </w:r>
      <w:r>
        <w:rPr>
          <w:rFonts w:hint="eastAsia"/>
        </w:rPr>
        <w:t>10m时，应采用弧形立缘石；当10m＜R≤20m时，应采用梯形立缘石拼接，当R&gt;20m时可采用直线标准立缘石沿设计边线依次拼装。</w:t>
      </w:r>
    </w:p>
    <w:p w14:paraId="531C2711">
      <w:pPr>
        <w:pStyle w:val="165"/>
      </w:pPr>
      <w:r>
        <w:rPr>
          <w:rFonts w:hint="eastAsia"/>
        </w:rPr>
        <w:t>路缘石宜采用立式，人行过道宽度范围内路缘石也可做成斜式或平式，便于通行。</w:t>
      </w:r>
    </w:p>
    <w:p w14:paraId="3AF52346">
      <w:pPr>
        <w:pStyle w:val="165"/>
      </w:pPr>
      <w:r>
        <w:rPr>
          <w:rFonts w:hint="eastAsia"/>
        </w:rPr>
        <w:t>路缘石建议采用花岗岩、预制混凝土，也可采用花岗岩贴面处理，路缘石尺寸应与道路面层和路缘石基础相协调；</w:t>
      </w:r>
    </w:p>
    <w:p w14:paraId="54AB6F1E">
      <w:pPr>
        <w:pStyle w:val="165"/>
      </w:pPr>
      <w:r>
        <w:rPr>
          <w:rFonts w:hint="eastAsia"/>
        </w:rPr>
        <w:t>直线地段路缘石长度宜使用750</w:t>
      </w:r>
      <w:r>
        <w:rPr>
          <w:rFonts w:hint="eastAsia" w:hAnsi="宋体"/>
        </w:rPr>
        <w:t>～</w:t>
      </w:r>
      <w:r>
        <w:rPr>
          <w:rFonts w:hint="eastAsia"/>
        </w:rPr>
        <w:t>1000mm，当路缘石顶部宽度不大于150mm时，单块路缘石长度宜采用1000mm，当路缘石顶部宽度大于150mm时，单块路缘石长度宜采用800mm。</w:t>
      </w:r>
    </w:p>
    <w:p w14:paraId="5876CB24">
      <w:pPr>
        <w:pStyle w:val="165"/>
      </w:pPr>
      <w:r>
        <w:rPr>
          <w:rFonts w:hint="eastAsia"/>
        </w:rPr>
        <w:t>路缘石外露高度需考虑满足行人上下及车门开启的要求确定，一般高出路面10cm</w:t>
      </w:r>
      <w:r>
        <w:rPr>
          <w:rFonts w:hint="eastAsia" w:hAnsi="宋体"/>
        </w:rPr>
        <w:t>～</w:t>
      </w:r>
      <w:r>
        <w:rPr>
          <w:rFonts w:hint="eastAsia"/>
        </w:rPr>
        <w:t>20cm。当设置在中间分隔带及两侧分隔带时，外露高度宜为15cm</w:t>
      </w:r>
      <w:r>
        <w:rPr>
          <w:rFonts w:hint="eastAsia" w:hAnsi="宋体"/>
        </w:rPr>
        <w:t>～</w:t>
      </w:r>
      <w:r>
        <w:rPr>
          <w:rFonts w:hint="eastAsia"/>
        </w:rPr>
        <w:t>20cm；当设置在路侧带两侧时，外露高度宜为10cm</w:t>
      </w:r>
      <w:r>
        <w:rPr>
          <w:rFonts w:hint="eastAsia" w:hAnsi="宋体"/>
        </w:rPr>
        <w:t>～</w:t>
      </w:r>
      <w:r>
        <w:rPr>
          <w:rFonts w:hint="eastAsia"/>
        </w:rPr>
        <w:t>15cm。</w:t>
      </w:r>
    </w:p>
    <w:p w14:paraId="6303E6D2">
      <w:pPr>
        <w:pStyle w:val="165"/>
      </w:pPr>
      <w:r>
        <w:rPr>
          <w:rFonts w:hint="eastAsia"/>
        </w:rPr>
        <w:t>缘石应有足够的埋置深度，以保证稳定，机非车道缘石宽度应不低于150mm，人行道侧缘石宽度应不低于100mm；</w:t>
      </w:r>
    </w:p>
    <w:p w14:paraId="26CCBA54">
      <w:pPr>
        <w:pStyle w:val="165"/>
      </w:pPr>
      <w:r>
        <w:rPr>
          <w:rFonts w:hint="eastAsia"/>
        </w:rPr>
        <w:t>混凝土直线型路缘石弯拉强度不低于3MPa，抗压强度不低于C30。非直线型等不适合作抗折强度的路缘石应做抗压强度实验，其强度应达到C35的标准(平均值35MPa,单块最小值28MPa)。路缘石吸水率不大于7%。</w:t>
      </w:r>
    </w:p>
    <w:p w14:paraId="0E03B0DA">
      <w:pPr>
        <w:pStyle w:val="165"/>
      </w:pPr>
      <w:r>
        <w:rPr>
          <w:rFonts w:hint="eastAsia"/>
        </w:rPr>
        <w:t>石材路缘石具有耐风化和抗侵蚀性，天然石材路缘石的饱和极限抗压强度应不低于100MPa，饱和抗折强度应不低于9MPa，体积密度应不低于2.5g/cm，吸水率应小于1%，孔隙率应小于3%。有抗冻要求的天然石材路缘石经25次冻融试验(D25)后，无贯穿裂纹，质量损失率应小于5%，强度损失不大于25%。</w:t>
      </w:r>
    </w:p>
    <w:p w14:paraId="19AC5305">
      <w:pPr>
        <w:pStyle w:val="105"/>
        <w:spacing w:before="156" w:after="156"/>
      </w:pPr>
      <w:bookmarkStart w:id="295" w:name="_Toc178325018"/>
      <w:bookmarkStart w:id="296" w:name="_Toc177734879"/>
      <w:bookmarkStart w:id="297" w:name="_Toc177736943"/>
      <w:bookmarkStart w:id="298" w:name="_Toc177723452"/>
      <w:bookmarkStart w:id="299" w:name="_Toc177981374"/>
      <w:r>
        <w:rPr>
          <w:rFonts w:hint="eastAsia"/>
        </w:rPr>
        <w:t>市政管线</w:t>
      </w:r>
      <w:bookmarkEnd w:id="295"/>
      <w:bookmarkEnd w:id="296"/>
      <w:bookmarkEnd w:id="297"/>
      <w:bookmarkEnd w:id="298"/>
      <w:bookmarkEnd w:id="299"/>
    </w:p>
    <w:p w14:paraId="66AA63D5">
      <w:pPr>
        <w:pStyle w:val="165"/>
      </w:pPr>
      <w:r>
        <w:rPr>
          <w:rFonts w:hint="eastAsia"/>
        </w:rPr>
        <w:t>市政管线的设置应坚持统一规划、合理布局、保障安全的原则。</w:t>
      </w:r>
    </w:p>
    <w:p w14:paraId="2C80CAF1">
      <w:pPr>
        <w:pStyle w:val="165"/>
      </w:pPr>
      <w:r>
        <w:rPr>
          <w:rFonts w:hint="eastAsia"/>
        </w:rPr>
        <w:t>人行道上设置树池或带状绿化时，市政管线的设置应保证绿化有足够的生长空间。</w:t>
      </w:r>
    </w:p>
    <w:p w14:paraId="0E7E267A">
      <w:pPr>
        <w:pStyle w:val="165"/>
      </w:pPr>
      <w:r>
        <w:rPr>
          <w:rFonts w:hint="eastAsia"/>
        </w:rPr>
        <w:t>市政管线设置于人行道下的，埋深应满足相关规范要求，并遵循“先地下后地上”的原则同步实施，避免后期再破坏开挖人行道。</w:t>
      </w:r>
    </w:p>
    <w:p w14:paraId="5C8F429A">
      <w:pPr>
        <w:pStyle w:val="165"/>
      </w:pPr>
      <w:r>
        <w:rPr>
          <w:rFonts w:hint="eastAsia"/>
        </w:rPr>
        <w:t>市政管线之间及其与建（构）筑物之间的最小水平净距应符合国家标准GB50289</w:t>
      </w:r>
      <w:r>
        <w:t xml:space="preserve"> </w:t>
      </w:r>
      <w:r>
        <w:rPr>
          <w:rFonts w:hint="eastAsia"/>
        </w:rPr>
        <w:t>《城市工程管线综合规划规范》的相关要求。</w:t>
      </w:r>
    </w:p>
    <w:p w14:paraId="45328F70">
      <w:pPr>
        <w:pStyle w:val="165"/>
      </w:pPr>
      <w:r>
        <w:rPr>
          <w:rFonts w:hint="eastAsia"/>
        </w:rPr>
        <w:t>人行道下浅埋管线施工应在路基填筑后，反开挖沟槽施工，沟槽回填采用砂或粘土分层回填，并采用小型机械夯实。</w:t>
      </w:r>
    </w:p>
    <w:p w14:paraId="5F8E70ED">
      <w:pPr>
        <w:pStyle w:val="165"/>
      </w:pPr>
      <w:r>
        <w:rPr>
          <w:rFonts w:hint="eastAsia"/>
        </w:rPr>
        <w:t>各类市政管线顶面覆土厚度应满足相关规范要求，小于最小覆土厚度时，管线应采取措施加固处理。</w:t>
      </w:r>
      <w:r>
        <w:t xml:space="preserve"> </w:t>
      </w:r>
    </w:p>
    <w:p w14:paraId="6B0BC211">
      <w:pPr>
        <w:pStyle w:val="165"/>
      </w:pPr>
      <w:r>
        <w:rPr>
          <w:rFonts w:hint="eastAsia"/>
        </w:rPr>
        <w:t>人行道改扩建时，因管线埋深较浅影响铺装结构层铺设的，应协调管线权属单位将管线降至满足铺装结构层施工的深度以下；如不能降到满足规范最小覆土要求的，应对管线进行加固保护处理。</w:t>
      </w:r>
    </w:p>
    <w:p w14:paraId="133523A6">
      <w:pPr>
        <w:pStyle w:val="165"/>
      </w:pPr>
      <w:r>
        <w:rPr>
          <w:rFonts w:hint="eastAsia"/>
        </w:rPr>
        <w:t>人行道各类市政管线井盖宜采用隐形井盖，且不宜设置在坡道区域。</w:t>
      </w:r>
    </w:p>
    <w:p w14:paraId="30D26DB7">
      <w:pPr>
        <w:pStyle w:val="165"/>
      </w:pPr>
      <w:r>
        <w:rPr>
          <w:rFonts w:hint="eastAsia"/>
        </w:rPr>
        <w:t>路侧带内设置各类管线检查井应按规定位置设置，同一断面内不宜布置2种以上井盖，不同井盖间距不宜小于 5m。</w:t>
      </w:r>
    </w:p>
    <w:p w14:paraId="2C37545D">
      <w:pPr>
        <w:pStyle w:val="105"/>
        <w:spacing w:before="156" w:after="156"/>
      </w:pPr>
      <w:bookmarkStart w:id="300" w:name="_Toc177723453"/>
      <w:bookmarkStart w:id="301" w:name="_Toc178325019"/>
      <w:bookmarkStart w:id="302" w:name="_Toc177734880"/>
      <w:bookmarkStart w:id="303" w:name="_Toc177981375"/>
      <w:bookmarkStart w:id="304" w:name="_Toc177736944"/>
      <w:bookmarkStart w:id="305" w:name="_Toc177647714"/>
      <w:bookmarkStart w:id="306" w:name="_Toc177634244"/>
      <w:bookmarkStart w:id="307" w:name="_Toc177645344"/>
      <w:r>
        <w:rPr>
          <w:rFonts w:hint="eastAsia"/>
        </w:rPr>
        <w:t>市政箱体</w:t>
      </w:r>
      <w:bookmarkEnd w:id="300"/>
      <w:bookmarkEnd w:id="301"/>
      <w:bookmarkEnd w:id="302"/>
      <w:bookmarkEnd w:id="303"/>
      <w:bookmarkEnd w:id="304"/>
    </w:p>
    <w:p w14:paraId="0A4DD37C">
      <w:pPr>
        <w:pStyle w:val="165"/>
      </w:pPr>
      <w:r>
        <w:rPr>
          <w:rFonts w:hint="eastAsia"/>
        </w:rPr>
        <w:t>原则上不在人行道上设置箱式配电、变电设施。如因特殊情况必须在人行道设置的，应优先考虑采用地下式，无法设置时再将箱式配电、变电设施设置于距车行道边缘1～1.5 m人行道范围内，同时应至少保证2 m以上的通行带宽度；大型配电、变电设施应设置在道路规划红线以外。</w:t>
      </w:r>
    </w:p>
    <w:p w14:paraId="55DE1EF2">
      <w:pPr>
        <w:pStyle w:val="165"/>
      </w:pPr>
      <w:r>
        <w:rPr>
          <w:rFonts w:hint="eastAsia"/>
        </w:rPr>
        <w:t>市政箱体不得设置于街道转角处，避免影响行车视距、干扰行人过街。</w:t>
      </w:r>
    </w:p>
    <w:p w14:paraId="143A842F">
      <w:pPr>
        <w:pStyle w:val="165"/>
      </w:pPr>
      <w:r>
        <w:rPr>
          <w:rFonts w:hint="eastAsia"/>
        </w:rPr>
        <w:t>大型配电、变电设施应设置在道路规划红线以外。对有条件入室的箱式配电、变电设施，应设在建筑物内；对现有架空变压器应逐步下地。</w:t>
      </w:r>
    </w:p>
    <w:p w14:paraId="5886E969">
      <w:pPr>
        <w:pStyle w:val="165"/>
      </w:pPr>
      <w:r>
        <w:rPr>
          <w:rFonts w:hint="eastAsia"/>
        </w:rPr>
        <w:t>街道新改建工程中，应对各类通信、交通、市政箱体进行梳理和有序整合，采取多箱集中和多箱归并。</w:t>
      </w:r>
    </w:p>
    <w:p w14:paraId="29301DF6">
      <w:pPr>
        <w:pStyle w:val="165"/>
      </w:pPr>
      <w:r>
        <w:rPr>
          <w:rFonts w:hint="eastAsia"/>
        </w:rPr>
        <w:t>箱柜集并宜避开路口10米以外，间距不宜小于500米，新设箱柜集并的位置与原箱体之间距离宜控制在300米以内。</w:t>
      </w:r>
    </w:p>
    <w:p w14:paraId="5B4F40D1">
      <w:pPr>
        <w:pStyle w:val="165"/>
      </w:pPr>
      <w:r>
        <w:rPr>
          <w:rFonts w:hint="eastAsia"/>
        </w:rPr>
        <w:t>配电、变电设施的建筑设计应以隐蔽化为原则，与所处街道的景观环境和建筑风格、色调、形式相协调。建筑未进行隐蔽化设计的，应对建筑立面进行隐蔽化装饰，立面装饰可采用格栅装饰、彩绘美化等方式。</w:t>
      </w:r>
    </w:p>
    <w:p w14:paraId="083A6A5D">
      <w:pPr>
        <w:pStyle w:val="165"/>
      </w:pPr>
      <w:r>
        <w:rPr>
          <w:rFonts w:hint="eastAsia"/>
        </w:rPr>
        <w:t>室外落地式弱电箱体(如电缆、光缆交接箱等通信设施、有线电视等)宜设置于设施带、景观绿化带内。</w:t>
      </w:r>
    </w:p>
    <w:bookmarkEnd w:id="305"/>
    <w:bookmarkEnd w:id="306"/>
    <w:bookmarkEnd w:id="307"/>
    <w:p w14:paraId="24173FE4">
      <w:pPr>
        <w:pStyle w:val="105"/>
        <w:spacing w:before="156" w:after="156"/>
      </w:pPr>
      <w:bookmarkStart w:id="308" w:name="_Toc177734881"/>
      <w:bookmarkStart w:id="309" w:name="_Toc178325020"/>
      <w:bookmarkStart w:id="310" w:name="_Toc177981376"/>
      <w:bookmarkStart w:id="311" w:name="_Toc177736945"/>
      <w:bookmarkStart w:id="312" w:name="_Toc177723454"/>
      <w:r>
        <w:rPr>
          <w:rFonts w:hint="eastAsia"/>
        </w:rPr>
        <w:t>市政杆体</w:t>
      </w:r>
      <w:bookmarkEnd w:id="308"/>
      <w:bookmarkEnd w:id="309"/>
      <w:bookmarkEnd w:id="310"/>
      <w:bookmarkEnd w:id="311"/>
      <w:bookmarkEnd w:id="312"/>
      <w:r>
        <w:rPr>
          <w:rFonts w:hint="eastAsia"/>
        </w:rPr>
        <w:t xml:space="preserve"> </w:t>
      </w:r>
    </w:p>
    <w:p w14:paraId="1AF32EDF">
      <w:pPr>
        <w:pStyle w:val="165"/>
      </w:pPr>
      <w:r>
        <w:rPr>
          <w:rFonts w:hint="eastAsia"/>
        </w:rPr>
        <w:t>服务设施原则上不得占用人行道通行空间，不得影响交通及使用安全。</w:t>
      </w:r>
    </w:p>
    <w:p w14:paraId="692383AB">
      <w:pPr>
        <w:pStyle w:val="165"/>
      </w:pPr>
      <w:r>
        <w:rPr>
          <w:rFonts w:hint="eastAsia"/>
        </w:rPr>
        <w:t>设施设置应满足道路交通的视距要求和通透性要求。</w:t>
      </w:r>
    </w:p>
    <w:p w14:paraId="2C6460C6">
      <w:pPr>
        <w:pStyle w:val="165"/>
      </w:pPr>
      <w:r>
        <w:rPr>
          <w:rFonts w:hint="eastAsia"/>
        </w:rPr>
        <w:t>市政杆件应与人行道结构同步设计实施，各类杆件的法兰盘等连接件不宜高出人行道铺装面。</w:t>
      </w:r>
    </w:p>
    <w:p w14:paraId="796120A8">
      <w:pPr>
        <w:pStyle w:val="165"/>
      </w:pPr>
      <w:r>
        <w:rPr>
          <w:rFonts w:hint="eastAsia"/>
        </w:rPr>
        <w:t>市政杆件基座应精细化设计</w:t>
      </w:r>
    </w:p>
    <w:p w14:paraId="2DB00582">
      <w:pPr>
        <w:pStyle w:val="164"/>
      </w:pPr>
      <w:r>
        <w:rPr>
          <w:rFonts w:hint="eastAsia"/>
        </w:rPr>
        <w:t>新建道路立杆基座固定位于人行道铺装以下，立杆法兰盘或螺栓顶距离人行道铺装材料底面不小于50mm。保证立杆周边铺装平整，外表美观。详见图</w:t>
      </w:r>
      <w:r>
        <w:t>17</w:t>
      </w:r>
      <w:r>
        <w:rPr>
          <w:rFonts w:hint="eastAsia"/>
        </w:rPr>
        <w:t>。</w:t>
      </w:r>
    </w:p>
    <w:p w14:paraId="5AA89F3F">
      <w:pPr>
        <w:pStyle w:val="164"/>
      </w:pPr>
      <w:r>
        <w:rPr>
          <w:rFonts w:hint="eastAsia"/>
        </w:rPr>
        <w:t>改造道路实施条件受限时，立杆基础凸出人行道宜采用二次浇注C20混凝土并用与立杆颜色材质一致2mm厚钢板或其它装饰材料外包予以美化处理，如抗侵蚀要求较高可选用不锈钢板，注意柱脚包裹直角边的圆弧处理。详见图</w:t>
      </w:r>
      <w:r>
        <w:t>18</w:t>
      </w:r>
      <w:r>
        <w:rPr>
          <w:rFonts w:hint="eastAsia"/>
        </w:rPr>
        <w:t>。</w:t>
      </w:r>
    </w:p>
    <w:p w14:paraId="5EAE8F47">
      <w:pPr>
        <w:pStyle w:val="164"/>
      </w:pPr>
      <w:r>
        <w:rPr>
          <w:rFonts w:hint="eastAsia"/>
        </w:rPr>
        <w:t>基座立杆尽量设置在一块砖中心，避免切砖，把切砖的数量控制到最少。</w:t>
      </w:r>
    </w:p>
    <w:p w14:paraId="4643956F">
      <w:pPr>
        <w:pStyle w:val="164"/>
      </w:pPr>
      <w:r>
        <w:rPr>
          <w:rFonts w:hint="eastAsia"/>
        </w:rPr>
        <w:t>立杆周边铺装建议实施前均提前排版，出铺装方案。</w:t>
      </w:r>
    </w:p>
    <w:p w14:paraId="69DF4C23">
      <w:pPr>
        <w:ind w:firstLine="420"/>
      </w:pPr>
      <w:r>
        <w:t xml:space="preserve">  </w:t>
      </w:r>
    </w:p>
    <w:p w14:paraId="7EA1F28B">
      <w:pPr>
        <w:pStyle w:val="56"/>
        <w:ind w:firstLine="420"/>
        <w:jc w:val="center"/>
      </w:pPr>
      <w:r>
        <w:rPr>
          <w:rFonts w:hint="eastAsia"/>
        </w:rPr>
        <w:drawing>
          <wp:inline distT="0" distB="0" distL="114300" distR="114300">
            <wp:extent cx="3988435" cy="3088640"/>
            <wp:effectExtent l="0" t="0" r="0" b="0"/>
            <wp:docPr id="22" name="图片 22" descr="人行道规范插图092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人行道规范插图0923_16"/>
                    <pic:cNvPicPr>
                      <a:picLocks noChangeAspect="1"/>
                    </pic:cNvPicPr>
                  </pic:nvPicPr>
                  <pic:blipFill>
                    <a:blip r:embed="rId32"/>
                    <a:srcRect l="21452" t="18646" r="11278" b="7679"/>
                    <a:stretch>
                      <a:fillRect/>
                    </a:stretch>
                  </pic:blipFill>
                  <pic:spPr>
                    <a:xfrm>
                      <a:off x="0" y="0"/>
                      <a:ext cx="3988435" cy="3088640"/>
                    </a:xfrm>
                    <a:prstGeom prst="rect">
                      <a:avLst/>
                    </a:prstGeom>
                  </pic:spPr>
                </pic:pic>
              </a:graphicData>
            </a:graphic>
          </wp:inline>
        </w:drawing>
      </w:r>
    </w:p>
    <w:p w14:paraId="222822FD">
      <w:pPr>
        <w:pStyle w:val="114"/>
        <w:spacing w:before="156" w:after="156"/>
      </w:pPr>
      <w:r>
        <w:rPr>
          <w:rFonts w:hint="eastAsia"/>
        </w:rPr>
        <w:t xml:space="preserve">杆件基座隐形化处理              </w:t>
      </w:r>
    </w:p>
    <w:p w14:paraId="569F2FFC">
      <w:pPr>
        <w:pStyle w:val="56"/>
        <w:ind w:firstLine="420"/>
        <w:jc w:val="center"/>
      </w:pPr>
      <w:r>
        <w:rPr>
          <w:rFonts w:hint="eastAsia"/>
        </w:rPr>
        <w:drawing>
          <wp:inline distT="0" distB="0" distL="114300" distR="114300">
            <wp:extent cx="3935095" cy="3200400"/>
            <wp:effectExtent l="0" t="0" r="0" b="0"/>
            <wp:docPr id="23" name="图片 23" descr="人行道规范插图092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人行道规范插图0923_17"/>
                    <pic:cNvPicPr>
                      <a:picLocks noChangeAspect="1"/>
                    </pic:cNvPicPr>
                  </pic:nvPicPr>
                  <pic:blipFill>
                    <a:blip r:embed="rId33"/>
                    <a:srcRect l="13463" t="13405" r="20167" b="10254"/>
                    <a:stretch>
                      <a:fillRect/>
                    </a:stretch>
                  </pic:blipFill>
                  <pic:spPr>
                    <a:xfrm>
                      <a:off x="0" y="0"/>
                      <a:ext cx="3935095" cy="3200400"/>
                    </a:xfrm>
                    <a:prstGeom prst="rect">
                      <a:avLst/>
                    </a:prstGeom>
                  </pic:spPr>
                </pic:pic>
              </a:graphicData>
            </a:graphic>
          </wp:inline>
        </w:drawing>
      </w:r>
    </w:p>
    <w:p w14:paraId="18A9E924">
      <w:pPr>
        <w:pStyle w:val="114"/>
        <w:spacing w:before="156" w:after="156"/>
      </w:pPr>
      <w:r>
        <w:rPr>
          <w:rFonts w:hint="eastAsia"/>
        </w:rPr>
        <w:t>外露杆件基座美化处理</w:t>
      </w:r>
    </w:p>
    <w:p w14:paraId="1E1876E8">
      <w:pPr>
        <w:pStyle w:val="105"/>
        <w:spacing w:before="156" w:after="156"/>
      </w:pPr>
      <w:bookmarkStart w:id="313" w:name="_Toc178325021"/>
      <w:bookmarkStart w:id="314" w:name="_Toc177736946"/>
      <w:bookmarkStart w:id="315" w:name="_Toc177734882"/>
      <w:bookmarkStart w:id="316" w:name="_Toc177723455"/>
      <w:bookmarkStart w:id="317" w:name="_Toc177981377"/>
      <w:r>
        <w:rPr>
          <w:rFonts w:hint="eastAsia"/>
        </w:rPr>
        <w:t>装饰井盖</w:t>
      </w:r>
      <w:bookmarkEnd w:id="313"/>
      <w:bookmarkEnd w:id="314"/>
      <w:bookmarkEnd w:id="315"/>
      <w:bookmarkEnd w:id="316"/>
      <w:bookmarkEnd w:id="317"/>
    </w:p>
    <w:p w14:paraId="76B76A9B">
      <w:pPr>
        <w:pStyle w:val="165"/>
      </w:pPr>
      <w:r>
        <w:rPr>
          <w:rFonts w:hint="eastAsia"/>
        </w:rPr>
        <w:t xml:space="preserve"> 设置在人行道上的各类检查井必须符合相关技术标准，各类装饰井应具有防盗功能，方形井应与人行道平行设置。</w:t>
      </w:r>
    </w:p>
    <w:p w14:paraId="01CE5A41">
      <w:pPr>
        <w:pStyle w:val="165"/>
      </w:pPr>
      <w:r>
        <w:rPr>
          <w:rFonts w:hint="eastAsia"/>
        </w:rPr>
        <w:t xml:space="preserve"> 装饰井盖应选用填充式井盖，并应首选矩形。</w:t>
      </w:r>
    </w:p>
    <w:p w14:paraId="4C51656B">
      <w:pPr>
        <w:pStyle w:val="165"/>
      </w:pPr>
      <w:r>
        <w:rPr>
          <w:rFonts w:hint="eastAsia"/>
        </w:rPr>
        <w:t xml:space="preserve"> 装饰井盖应使用标准规范的专业标识，并应在其上面铺设与所在人行道统一协调的人行道砖，各类管井顶面标高应当与道路设计标高一致。</w:t>
      </w:r>
    </w:p>
    <w:p w14:paraId="20837AC5">
      <w:pPr>
        <w:pStyle w:val="165"/>
      </w:pPr>
      <w:r>
        <w:rPr>
          <w:rFonts w:hint="eastAsia"/>
        </w:rPr>
        <w:t>隐形井盖应做精细化设计并满足以下要求：</w:t>
      </w:r>
    </w:p>
    <w:p w14:paraId="440E6DCE">
      <w:pPr>
        <w:pStyle w:val="164"/>
      </w:pPr>
      <w:r>
        <w:rPr>
          <w:rFonts w:hint="eastAsia"/>
        </w:rPr>
        <w:t>平整度：检查井盖应与邻近铺装完成面齐平，井盖内铺装与周边保持一致，相互衔接，精美简洁，坡度一致高差≤3mm，人行道铺装应与检查井边缘收边完整，贴合紧密分缝宽度&lt;5mm；同一路段和区域井盖开启方向应一致，井框不能有变形起翘情况。</w:t>
      </w:r>
    </w:p>
    <w:p w14:paraId="4C809A4C">
      <w:pPr>
        <w:pStyle w:val="164"/>
      </w:pPr>
      <w:r>
        <w:rPr>
          <w:rFonts w:hint="eastAsia"/>
        </w:rPr>
        <w:t>井盖标识：隐形井盖标识通过汉字雕刻标注于角标钢板上，钢板厚度≥5mm。</w:t>
      </w:r>
    </w:p>
    <w:p w14:paraId="5F960C7F">
      <w:pPr>
        <w:pStyle w:val="164"/>
      </w:pPr>
      <w:r>
        <w:rPr>
          <w:rFonts w:hint="eastAsia"/>
        </w:rPr>
        <w:t>构造强度：人行道、绿化带隐形井盖构造应能满足人行荷载要求；有临时上车需求的人行道，其隐形井盖构造应能满足车行荷载要求；井跨度为0.8</w:t>
      </w:r>
      <w:r>
        <w:rPr>
          <w:rFonts w:hint="eastAsia" w:hAnsi="宋体"/>
        </w:rPr>
        <w:t>～</w:t>
      </w:r>
      <w:r>
        <w:rPr>
          <w:rFonts w:hint="eastAsia"/>
        </w:rPr>
        <w:t>1.2m，下部钢格栅可采用80mm(高)×6mm(宽)间距100mm的Q235B钢板焊接。具体隐形井盖规格根据步砖尺寸调整，保证隐形井盖边与砖缝对应。</w:t>
      </w:r>
    </w:p>
    <w:p w14:paraId="4C467BFF">
      <w:pPr>
        <w:pStyle w:val="105"/>
        <w:spacing w:before="156" w:after="156"/>
        <w:rPr>
          <w:rFonts w:cs="微软雅黑"/>
          <w:color w:val="000000" w:themeColor="text1"/>
          <w14:textFill>
            <w14:solidFill>
              <w14:schemeClr w14:val="tx1"/>
            </w14:solidFill>
          </w14:textFill>
        </w:rPr>
      </w:pPr>
      <w:bookmarkStart w:id="318" w:name="_Toc178325022"/>
      <w:bookmarkStart w:id="319" w:name="_Toc177734883"/>
      <w:bookmarkStart w:id="320" w:name="_Toc177736947"/>
      <w:bookmarkStart w:id="321" w:name="_Toc177723456"/>
      <w:bookmarkStart w:id="322" w:name="_Toc177981378"/>
      <w:r>
        <w:rPr>
          <w:rFonts w:hint="eastAsia"/>
          <w:color w:val="000000" w:themeColor="text1"/>
          <w14:textFill>
            <w14:solidFill>
              <w14:schemeClr w14:val="tx1"/>
            </w14:solidFill>
          </w14:textFill>
        </w:rPr>
        <w:t>阻车柱</w:t>
      </w:r>
      <w:bookmarkEnd w:id="318"/>
      <w:bookmarkEnd w:id="319"/>
      <w:bookmarkEnd w:id="320"/>
      <w:bookmarkEnd w:id="321"/>
      <w:bookmarkEnd w:id="322"/>
    </w:p>
    <w:p w14:paraId="73BFF780">
      <w:pPr>
        <w:pStyle w:val="16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为防止车辆驶入人非车道范围，在人行道缘石坡道处和机非车道衔接处应设置阻车柱。阻车柱宜设置在人行道立(平)缘石与盲道间，阻车柱外缘与立缘石净距为不小于100mm。</w:t>
      </w:r>
    </w:p>
    <w:p w14:paraId="7FD1B73E">
      <w:pPr>
        <w:pStyle w:val="16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阻车柱设置应当满足交通管理要求，不应妨碍行人通行安全，且不应妨碍无障碍通行，做到设置规范、整齐、美观，降低对道路景观的不良影响。</w:t>
      </w:r>
    </w:p>
    <w:p w14:paraId="431EE476">
      <w:pPr>
        <w:pStyle w:val="165"/>
      </w:pPr>
      <w:r>
        <w:rPr>
          <w:rFonts w:hint="eastAsia"/>
        </w:rPr>
        <w:t xml:space="preserve"> 阻车柱宜选用石材或金属材质，多以圆柱造型为主，直径宜为200</w:t>
      </w:r>
      <w:r>
        <w:rPr>
          <w:rFonts w:hint="eastAsia" w:hAnsi="宋体"/>
        </w:rPr>
        <w:t>～</w:t>
      </w:r>
      <w:r>
        <w:rPr>
          <w:rFonts w:hint="eastAsia"/>
        </w:rPr>
        <w:t>300mm，外露高度不宜低于450mm，阻车柱中心间距宜为1.3</w:t>
      </w:r>
      <w:r>
        <w:rPr>
          <w:rFonts w:hint="eastAsia" w:hAnsi="宋体"/>
        </w:rPr>
        <w:t>～</w:t>
      </w:r>
      <w:r>
        <w:rPr>
          <w:rFonts w:hint="eastAsia"/>
        </w:rPr>
        <w:t>1.8m，净间距不应小于900mm。阻车柱安装应保持竖直，施工时，其倾斜度不应大于2°。</w:t>
      </w:r>
    </w:p>
    <w:p w14:paraId="194215C2">
      <w:pPr>
        <w:pStyle w:val="165"/>
      </w:pPr>
      <w:r>
        <w:rPr>
          <w:rFonts w:hint="eastAsia"/>
        </w:rPr>
        <w:t>非机动车道设置阻车柱，可在铺装施工完成后，直接钻孔安装阻车柱；石柱加工成形后运至现场安装。钢柱先安装钢管，再用细石混凝土灌孔成形，钢管顶部安装定制盖帽；石柱适用于人行道，钢柱适用于车行道、渠化岛及二次过街安全岛采用警示柱;</w:t>
      </w:r>
    </w:p>
    <w:p w14:paraId="11474DE5">
      <w:pPr>
        <w:pStyle w:val="165"/>
        <w:rPr>
          <w:rFonts w:eastAsia="微软雅黑" w:cs="宋体"/>
        </w:rPr>
      </w:pPr>
      <w:r>
        <w:rPr>
          <w:rFonts w:hint="eastAsia"/>
        </w:rPr>
        <w:t xml:space="preserve"> 阻车柱要求坚固美观，与周边环境协调，并设置反光标识。</w:t>
      </w:r>
    </w:p>
    <w:p w14:paraId="5D28BC9C">
      <w:pPr>
        <w:pStyle w:val="105"/>
        <w:spacing w:before="156" w:after="156"/>
      </w:pPr>
      <w:bookmarkStart w:id="323" w:name="_Toc177734884"/>
      <w:bookmarkStart w:id="324" w:name="_Toc177736948"/>
      <w:bookmarkStart w:id="325" w:name="_Toc177723457"/>
      <w:bookmarkStart w:id="326" w:name="_Toc177981379"/>
      <w:bookmarkStart w:id="327" w:name="_Toc178325023"/>
      <w:r>
        <w:rPr>
          <w:rFonts w:hint="eastAsia"/>
        </w:rPr>
        <w:t>行道树与树池</w:t>
      </w:r>
      <w:bookmarkEnd w:id="323"/>
      <w:bookmarkEnd w:id="324"/>
      <w:bookmarkEnd w:id="325"/>
      <w:bookmarkEnd w:id="326"/>
      <w:bookmarkEnd w:id="327"/>
    </w:p>
    <w:p w14:paraId="0F47A027">
      <w:pPr>
        <w:pStyle w:val="165"/>
      </w:pPr>
      <w:r>
        <w:rPr>
          <w:rFonts w:hint="eastAsia"/>
        </w:rPr>
        <w:t>行道树布设在人行道与车行道之间，独立设置时占用宽度为1.2～1.5 m。</w:t>
      </w:r>
    </w:p>
    <w:p w14:paraId="53F78A02">
      <w:pPr>
        <w:pStyle w:val="165"/>
      </w:pPr>
      <w:r>
        <w:rPr>
          <w:rFonts w:hint="eastAsia"/>
        </w:rPr>
        <w:t>行道树种植株距应根据树种的青壮年期冠幅确定，最小种植株距宜为6.0m，冠幅较小的乔木种植株距可为4.0m。行道树种植点可根据路灯等设施适当调整，乔木与路灯最小距离不应小于2.0m。行道树为乔木时，树干中心至机动车道路缘石外侧距离不宜小于0.75m。</w:t>
      </w:r>
    </w:p>
    <w:p w14:paraId="4AAFB505">
      <w:pPr>
        <w:pStyle w:val="165"/>
      </w:pPr>
      <w:r>
        <w:rPr>
          <w:rFonts w:hint="eastAsia"/>
        </w:rPr>
        <w:t xml:space="preserve"> 行道树进入人行道或非机动车道路面的枝下净高不应小于2.5m，进入机动车道路面的枝下净高不应小于4.5m。行道树绿带净宽度不宜小于1.5m；表面根系发达的行道树宜采用连续树池，净宽度不宜小于2.0m。</w:t>
      </w:r>
    </w:p>
    <w:p w14:paraId="65974CCB">
      <w:pPr>
        <w:pStyle w:val="165"/>
      </w:pPr>
      <w:r>
        <w:rPr>
          <w:rFonts w:hint="eastAsia"/>
        </w:rPr>
        <w:t xml:space="preserve">被人行横道或道路出入口断开的分车绿带其端部应采取通透式配置，以满足停车视距要求。 </w:t>
      </w:r>
    </w:p>
    <w:p w14:paraId="3C420059">
      <w:pPr>
        <w:pStyle w:val="165"/>
      </w:pPr>
      <w:r>
        <w:rPr>
          <w:rFonts w:hint="eastAsia"/>
        </w:rPr>
        <w:t>行道树种植设计时，在路口范围应预留交通安全设施的安装位置和空间。</w:t>
      </w:r>
    </w:p>
    <w:p w14:paraId="210A3C7E">
      <w:pPr>
        <w:pStyle w:val="165"/>
      </w:pPr>
      <w:r>
        <w:rPr>
          <w:rFonts w:hint="eastAsia"/>
        </w:rPr>
        <w:t>树池内的土面宜采用树池篦子、草坪、碎石等覆盖，无泥土裸露。</w:t>
      </w:r>
    </w:p>
    <w:p w14:paraId="71099AC0">
      <w:pPr>
        <w:pStyle w:val="165"/>
      </w:pPr>
      <w:r>
        <w:rPr>
          <w:rFonts w:hint="eastAsia"/>
        </w:rPr>
        <w:t>树池框外缘的高度与铺装地面的高度相平。</w:t>
      </w:r>
    </w:p>
    <w:p w14:paraId="5CBD4D04">
      <w:pPr>
        <w:pStyle w:val="165"/>
      </w:pPr>
      <w:r>
        <w:rPr>
          <w:rFonts w:hint="eastAsia"/>
        </w:rPr>
        <w:t>树池设计，应符合下列规定：</w:t>
      </w:r>
    </w:p>
    <w:p w14:paraId="410042DC">
      <w:pPr>
        <w:pStyle w:val="174"/>
        <w:numPr>
          <w:ilvl w:val="0"/>
          <w:numId w:val="60"/>
        </w:numPr>
      </w:pPr>
      <w:r>
        <w:rPr>
          <w:rFonts w:hint="eastAsia"/>
        </w:rPr>
        <w:t>树池的间距一般为4m</w:t>
      </w:r>
      <w:r>
        <w:rPr>
          <w:rFonts w:hint="eastAsia" w:ascii="MS Gothic" w:hAnsi="MS Gothic" w:eastAsia="MS Gothic" w:cs="MS Gothic"/>
        </w:rPr>
        <w:t>〜</w:t>
      </w:r>
      <w:r>
        <w:rPr>
          <w:rFonts w:hint="eastAsia"/>
        </w:rPr>
        <w:t>6m。树池的大小应根据树木根系、土球直径和土壤情况而定，树池净宽不宜小于1.5m，不大于2m，最小种植土层厚度应大于植物主要根系分布深度；</w:t>
      </w:r>
    </w:p>
    <w:p w14:paraId="00A59C45">
      <w:pPr>
        <w:pStyle w:val="174"/>
      </w:pPr>
      <w:r>
        <w:rPr>
          <w:rFonts w:hint="eastAsia"/>
        </w:rPr>
        <w:t>树池框材料可采用石材或预制混凝土标准件材料，有景观要求的地段宜采用与人行道板铺材协调的材料；</w:t>
      </w:r>
    </w:p>
    <w:p w14:paraId="3FEF3A63">
      <w:pPr>
        <w:pStyle w:val="174"/>
      </w:pPr>
      <w:r>
        <w:rPr>
          <w:rFonts w:hint="eastAsia"/>
        </w:rPr>
        <w:t>方形树池框所用石材转角宜采用45°斜角拼缝；</w:t>
      </w:r>
    </w:p>
    <w:p w14:paraId="349B775A">
      <w:pPr>
        <w:pStyle w:val="174"/>
      </w:pPr>
      <w:r>
        <w:rPr>
          <w:rFonts w:hint="eastAsia"/>
        </w:rPr>
        <w:t>对树池框内部宜采用树池篦、陶粒、植被绿化等方式美化。</w:t>
      </w:r>
    </w:p>
    <w:p w14:paraId="729B49BB">
      <w:pPr>
        <w:pStyle w:val="165"/>
      </w:pPr>
      <w:r>
        <w:rPr>
          <w:rFonts w:hint="eastAsia"/>
        </w:rPr>
        <w:t>宽度大于5 m 的人行道，可在部分路段根据实际情况和景观需要，设置花池、放置花钵，但应符合表2要求。</w:t>
      </w:r>
    </w:p>
    <w:p w14:paraId="0EC720D7">
      <w:pPr>
        <w:pStyle w:val="165"/>
      </w:pPr>
      <w:r>
        <w:rPr>
          <w:rFonts w:hint="eastAsia"/>
        </w:rPr>
        <w:t>花盆的尺寸应适合所栽种植物的生长特性，有利于根茎的发育，一般可按以下标准选择：草本类盆深200 mm以上，灌木类盆深400 mm以上，乔木类盆深450 mm以上。</w:t>
      </w:r>
    </w:p>
    <w:bookmarkEnd w:id="287"/>
    <w:bookmarkEnd w:id="288"/>
    <w:bookmarkEnd w:id="289"/>
    <w:p w14:paraId="7DBD775B">
      <w:pPr>
        <w:pStyle w:val="104"/>
        <w:spacing w:before="312" w:after="312"/>
      </w:pPr>
      <w:bookmarkStart w:id="328" w:name="_Toc178325024"/>
      <w:bookmarkStart w:id="329" w:name="_Toc177647715"/>
      <w:bookmarkStart w:id="330" w:name="_Toc177645345"/>
      <w:bookmarkStart w:id="331" w:name="_Toc177627020"/>
      <w:bookmarkStart w:id="332" w:name="_Toc177734885"/>
      <w:bookmarkStart w:id="333" w:name="_Toc177723458"/>
      <w:bookmarkStart w:id="334" w:name="_Toc177736949"/>
      <w:bookmarkStart w:id="335" w:name="_Toc177634246"/>
      <w:bookmarkStart w:id="336" w:name="_Toc177981380"/>
      <w:r>
        <w:rPr>
          <w:rFonts w:hint="eastAsia"/>
        </w:rPr>
        <w:t>公共服务设施</w:t>
      </w:r>
      <w:bookmarkEnd w:id="328"/>
      <w:bookmarkEnd w:id="329"/>
      <w:bookmarkEnd w:id="330"/>
      <w:bookmarkEnd w:id="331"/>
      <w:bookmarkEnd w:id="332"/>
      <w:bookmarkEnd w:id="333"/>
      <w:bookmarkEnd w:id="334"/>
      <w:bookmarkEnd w:id="335"/>
      <w:bookmarkEnd w:id="336"/>
    </w:p>
    <w:p w14:paraId="2A3DF764">
      <w:pPr>
        <w:pStyle w:val="105"/>
        <w:spacing w:before="156" w:after="156"/>
        <w:rPr>
          <w:rFonts w:cs="微软雅黑"/>
        </w:rPr>
      </w:pPr>
      <w:bookmarkStart w:id="337" w:name="_Toc178325025"/>
      <w:bookmarkStart w:id="338" w:name="_Toc177734886"/>
      <w:bookmarkStart w:id="339" w:name="_Toc177736950"/>
      <w:bookmarkStart w:id="340" w:name="_Toc177981381"/>
      <w:bookmarkStart w:id="341" w:name="_Toc177723459"/>
      <w:bookmarkStart w:id="342" w:name="_Toc177634247"/>
      <w:bookmarkStart w:id="343" w:name="_Toc177647716"/>
      <w:bookmarkStart w:id="344" w:name="_Toc177645346"/>
      <w:r>
        <w:rPr>
          <w:rFonts w:cs="微软雅黑"/>
        </w:rPr>
        <w:t>一般规定</w:t>
      </w:r>
      <w:bookmarkEnd w:id="337"/>
      <w:bookmarkEnd w:id="338"/>
      <w:bookmarkEnd w:id="339"/>
      <w:bookmarkEnd w:id="340"/>
      <w:bookmarkEnd w:id="341"/>
    </w:p>
    <w:p w14:paraId="7C9822B8">
      <w:pPr>
        <w:pStyle w:val="165"/>
      </w:pPr>
      <w:r>
        <w:rPr>
          <w:rFonts w:hint="eastAsia"/>
        </w:rPr>
        <w:t>服务设施原则上不得占用人行道通行空间，不得影响交通及使用安全。</w:t>
      </w:r>
    </w:p>
    <w:p w14:paraId="364BF761">
      <w:pPr>
        <w:pStyle w:val="165"/>
      </w:pPr>
      <w:r>
        <w:rPr>
          <w:rFonts w:hint="eastAsia"/>
        </w:rPr>
        <w:t>各类设施应统筹考虑，综合协调，适当组合，减少占用路侧带公共空间。</w:t>
      </w:r>
    </w:p>
    <w:p w14:paraId="01BCC951">
      <w:pPr>
        <w:pStyle w:val="165"/>
      </w:pPr>
      <w:r>
        <w:rPr>
          <w:rFonts w:hint="eastAsia"/>
        </w:rPr>
        <w:t>设施设置应满足道路交通的视距要求和通透性要求。</w:t>
      </w:r>
    </w:p>
    <w:p w14:paraId="4B04E033">
      <w:pPr>
        <w:pStyle w:val="165"/>
      </w:pPr>
      <w:r>
        <w:rPr>
          <w:rFonts w:hint="eastAsia"/>
        </w:rPr>
        <w:t>设施外廓距路缘石外沿距离不小于 0.25m。</w:t>
      </w:r>
    </w:p>
    <w:p w14:paraId="0EA57034">
      <w:pPr>
        <w:pStyle w:val="165"/>
      </w:pPr>
      <w:r>
        <w:rPr>
          <w:rFonts w:hint="eastAsia"/>
        </w:rPr>
        <w:t>盲道及盲道两侧各 0.25m 范围内不应设置服务设施。</w:t>
      </w:r>
    </w:p>
    <w:p w14:paraId="3AD74802">
      <w:pPr>
        <w:pStyle w:val="165"/>
      </w:pPr>
      <w:r>
        <w:rPr>
          <w:rFonts w:hint="eastAsia"/>
        </w:rPr>
        <w:t>各类服务设施距绿化树池、市政管线检查井距离不小于1m。</w:t>
      </w:r>
    </w:p>
    <w:p w14:paraId="38A5BC17">
      <w:pPr>
        <w:pStyle w:val="165"/>
      </w:pPr>
      <w:r>
        <w:rPr>
          <w:rFonts w:hint="eastAsia"/>
        </w:rPr>
        <w:t>道路交叉口转弯半径及其两侧 20m 范围内，不应设置除交通设施、行人导引类指示牌、废物箱外的其他设施。</w:t>
      </w:r>
    </w:p>
    <w:p w14:paraId="3826C3E3">
      <w:pPr>
        <w:pStyle w:val="165"/>
      </w:pPr>
      <w:r>
        <w:rPr>
          <w:rFonts w:hint="eastAsia"/>
        </w:rPr>
        <w:t>人行地道内及出入口周边 20m 范围内，不应设置除行人导引类指示牌、废物箱外的其他设施；人行天桥引桥周边 20m 范围内，不应设置除行人导引类指示牌、废物箱、自行车存车设施和公交车站设施外的其他设施。</w:t>
      </w:r>
    </w:p>
    <w:p w14:paraId="620CBE3E">
      <w:pPr>
        <w:pStyle w:val="165"/>
      </w:pPr>
      <w:r>
        <w:rPr>
          <w:rFonts w:hint="eastAsia"/>
        </w:rPr>
        <w:t>设置在绿化设施带内的设施，外廓不应超出绿化设施带范围。</w:t>
      </w:r>
    </w:p>
    <w:p w14:paraId="42D09B42">
      <w:pPr>
        <w:pStyle w:val="165"/>
      </w:pPr>
      <w:r>
        <w:rPr>
          <w:rFonts w:hint="eastAsia"/>
        </w:rPr>
        <w:t>行道树设施带内不应设置设施宽度大于行道树设施带宽度的设施。</w:t>
      </w:r>
    </w:p>
    <w:p w14:paraId="7EA1C363">
      <w:pPr>
        <w:pStyle w:val="165"/>
      </w:pPr>
      <w:r>
        <w:rPr>
          <w:rFonts w:hint="eastAsia"/>
        </w:rPr>
        <w:t>交通枢纽、商业区、旅游景区、大型文化体育场馆场所周边，可适当缩小废物箱的设置间距，除公交车站和公共自行车外不应设置长度或宽度超过 2m 的设施。</w:t>
      </w:r>
    </w:p>
    <w:p w14:paraId="0E204733">
      <w:pPr>
        <w:pStyle w:val="165"/>
      </w:pPr>
      <w:r>
        <w:rPr>
          <w:rFonts w:hint="eastAsia"/>
        </w:rPr>
        <w:t>设施应安装牢固，安装后确保地面平整，铺装规范，铺装材质应与周边一致。</w:t>
      </w:r>
    </w:p>
    <w:p w14:paraId="233E48FE">
      <w:pPr>
        <w:pStyle w:val="105"/>
        <w:spacing w:before="156" w:after="156"/>
      </w:pPr>
      <w:bookmarkStart w:id="345" w:name="_Toc177734887"/>
      <w:bookmarkStart w:id="346" w:name="_Toc177723460"/>
      <w:bookmarkStart w:id="347" w:name="_Toc177981382"/>
      <w:bookmarkStart w:id="348" w:name="_Toc177736951"/>
      <w:bookmarkStart w:id="349" w:name="_Toc178325026"/>
      <w:r>
        <w:t>护围栏设施</w:t>
      </w:r>
      <w:bookmarkEnd w:id="345"/>
      <w:bookmarkEnd w:id="346"/>
      <w:bookmarkEnd w:id="347"/>
      <w:bookmarkEnd w:id="348"/>
      <w:bookmarkEnd w:id="349"/>
    </w:p>
    <w:p w14:paraId="1A0C4BD3">
      <w:pPr>
        <w:pStyle w:val="165"/>
      </w:pPr>
      <w:r>
        <w:rPr>
          <w:rFonts w:hint="eastAsia"/>
        </w:rPr>
        <w:t>人行道护栏要求如下：</w:t>
      </w:r>
    </w:p>
    <w:p w14:paraId="3CFD6729">
      <w:pPr>
        <w:pStyle w:val="174"/>
        <w:numPr>
          <w:ilvl w:val="0"/>
          <w:numId w:val="61"/>
        </w:numPr>
      </w:pPr>
      <w:r>
        <w:rPr>
          <w:rFonts w:hint="eastAsia"/>
        </w:rPr>
        <w:t>设置护栏后，人行道剩余宽度应符合表</w:t>
      </w:r>
      <w:r>
        <w:t>2</w:t>
      </w:r>
      <w:r>
        <w:rPr>
          <w:rFonts w:hint="eastAsia"/>
        </w:rPr>
        <w:t>的要求。</w:t>
      </w:r>
    </w:p>
    <w:p w14:paraId="204DF1C1">
      <w:pPr>
        <w:pStyle w:val="174"/>
      </w:pPr>
      <w:r>
        <w:rPr>
          <w:rFonts w:hint="eastAsia"/>
        </w:rPr>
        <w:t>应按功能需求间隔设置，且高度不应超过 1.0m。</w:t>
      </w:r>
    </w:p>
    <w:p w14:paraId="5F34A73C">
      <w:pPr>
        <w:pStyle w:val="174"/>
      </w:pPr>
      <w:r>
        <w:rPr>
          <w:rFonts w:hint="eastAsia"/>
        </w:rPr>
        <w:t>应紧贴车行道路缘石设置。</w:t>
      </w:r>
    </w:p>
    <w:p w14:paraId="3AA57889">
      <w:pPr>
        <w:pStyle w:val="174"/>
      </w:pPr>
      <w:r>
        <w:rPr>
          <w:rFonts w:hint="eastAsia"/>
        </w:rPr>
        <w:t>护栏的样式、颜色、材质等应与周边环境协调。</w:t>
      </w:r>
    </w:p>
    <w:p w14:paraId="6F43DC41">
      <w:pPr>
        <w:pStyle w:val="165"/>
      </w:pPr>
      <w:r>
        <w:rPr>
          <w:rFonts w:hint="eastAsia"/>
        </w:rPr>
        <w:t>公交站安全护栏宜与周边护栏的高度、样式、色彩、材质协调一致。</w:t>
      </w:r>
    </w:p>
    <w:p w14:paraId="2F40793B">
      <w:pPr>
        <w:pStyle w:val="165"/>
      </w:pPr>
      <w:r>
        <w:rPr>
          <w:rFonts w:hint="eastAsia"/>
        </w:rPr>
        <w:t>绿化设施带护栏要求如下：</w:t>
      </w:r>
    </w:p>
    <w:p w14:paraId="4E0123FA">
      <w:pPr>
        <w:pStyle w:val="174"/>
        <w:numPr>
          <w:ilvl w:val="0"/>
          <w:numId w:val="62"/>
        </w:numPr>
      </w:pPr>
      <w:r>
        <w:rPr>
          <w:rFonts w:hint="eastAsia"/>
        </w:rPr>
        <w:t>绿化设施带不宜设置护栏。</w:t>
      </w:r>
    </w:p>
    <w:p w14:paraId="68375741">
      <w:pPr>
        <w:pStyle w:val="174"/>
      </w:pPr>
      <w:r>
        <w:rPr>
          <w:rFonts w:hint="eastAsia"/>
        </w:rPr>
        <w:t>确需设置的，应与周边环境协调一致且高度不应超过 1m。</w:t>
      </w:r>
    </w:p>
    <w:p w14:paraId="6B5F67A4">
      <w:pPr>
        <w:pStyle w:val="105"/>
        <w:spacing w:before="156" w:after="156"/>
      </w:pPr>
      <w:bookmarkStart w:id="350" w:name="_Toc178325027"/>
      <w:bookmarkStart w:id="351" w:name="_Toc177981383"/>
      <w:bookmarkStart w:id="352" w:name="_Toc177736952"/>
      <w:bookmarkStart w:id="353" w:name="_Toc177723461"/>
      <w:bookmarkStart w:id="354" w:name="_Toc177734888"/>
      <w:r>
        <w:rPr>
          <w:rFonts w:hint="eastAsia"/>
        </w:rPr>
        <w:t>废物箱</w:t>
      </w:r>
      <w:bookmarkEnd w:id="350"/>
      <w:bookmarkEnd w:id="351"/>
      <w:bookmarkEnd w:id="352"/>
      <w:bookmarkEnd w:id="353"/>
      <w:bookmarkEnd w:id="354"/>
    </w:p>
    <w:p w14:paraId="3ED034C0">
      <w:pPr>
        <w:pStyle w:val="165"/>
      </w:pPr>
      <w:r>
        <w:rPr>
          <w:rFonts w:hint="eastAsia"/>
        </w:rPr>
        <w:t>废物箱应在公交车站、地铁车站、座椅旁设置，其他位置应按环卫主管部门要求设置。</w:t>
      </w:r>
    </w:p>
    <w:p w14:paraId="16A474F7">
      <w:pPr>
        <w:pStyle w:val="165"/>
      </w:pPr>
      <w:r>
        <w:rPr>
          <w:rFonts w:hint="eastAsia"/>
        </w:rPr>
        <w:t>废物箱高度不应超过 1.1m。</w:t>
      </w:r>
    </w:p>
    <w:p w14:paraId="588B5813">
      <w:pPr>
        <w:pStyle w:val="165"/>
      </w:pPr>
      <w:r>
        <w:rPr>
          <w:rFonts w:hint="eastAsia"/>
        </w:rPr>
        <w:t>为实现垃圾的分类处理，废物箱采用可回收物、其他垃圾两类垃圾分开投放、收集的分类废物箱，箱体上应有明显标识易于识别，标志应当符合国家标准GB/T 19095</w:t>
      </w:r>
      <w:r>
        <w:t xml:space="preserve"> 《</w:t>
      </w:r>
      <w:r>
        <w:rPr>
          <w:rFonts w:hint="eastAsia"/>
        </w:rPr>
        <w:t>城市生活垃圾分类标志</w:t>
      </w:r>
      <w:r>
        <w:t>》</w:t>
      </w:r>
      <w:r>
        <w:rPr>
          <w:rFonts w:hint="eastAsia"/>
        </w:rPr>
        <w:t>的规定。</w:t>
      </w:r>
    </w:p>
    <w:p w14:paraId="5A41518D">
      <w:pPr>
        <w:pStyle w:val="165"/>
        <w:rPr>
          <w:rFonts w:eastAsia="微软雅黑" w:cs="宋体"/>
        </w:rPr>
      </w:pPr>
      <w:r>
        <w:rPr>
          <w:rFonts w:hint="eastAsia"/>
        </w:rPr>
        <w:t>废物箱不应布置在人行道通行带上。</w:t>
      </w:r>
    </w:p>
    <w:p w14:paraId="695290A7">
      <w:pPr>
        <w:pStyle w:val="105"/>
        <w:spacing w:before="156" w:after="156"/>
      </w:pPr>
      <w:bookmarkStart w:id="355" w:name="_Toc177723462"/>
      <w:bookmarkStart w:id="356" w:name="_Toc177981384"/>
      <w:bookmarkStart w:id="357" w:name="_Toc177734889"/>
      <w:bookmarkStart w:id="358" w:name="_Toc178325028"/>
      <w:bookmarkStart w:id="359" w:name="_Toc177736953"/>
      <w:r>
        <w:rPr>
          <w:rFonts w:hint="eastAsia"/>
        </w:rPr>
        <w:t>行人导引类信息牌</w:t>
      </w:r>
      <w:bookmarkEnd w:id="355"/>
      <w:bookmarkEnd w:id="356"/>
      <w:bookmarkEnd w:id="357"/>
      <w:bookmarkEnd w:id="358"/>
      <w:bookmarkEnd w:id="359"/>
    </w:p>
    <w:p w14:paraId="737F531B">
      <w:pPr>
        <w:pStyle w:val="165"/>
      </w:pPr>
      <w:r>
        <w:rPr>
          <w:rFonts w:hint="eastAsia"/>
        </w:rPr>
        <w:t>步行目的地众多的区域、人流集散、换乘地点，行人面临多条路线选择的地点，应设置导引信息牌。</w:t>
      </w:r>
    </w:p>
    <w:p w14:paraId="0E09B478">
      <w:pPr>
        <w:pStyle w:val="165"/>
      </w:pPr>
      <w:r>
        <w:rPr>
          <w:rFonts w:hint="eastAsia"/>
        </w:rPr>
        <w:t>导向设施应以地图为主，辅以路线导向设施。</w:t>
      </w:r>
    </w:p>
    <w:p w14:paraId="622CA080">
      <w:pPr>
        <w:pStyle w:val="165"/>
      </w:pPr>
      <w:r>
        <w:rPr>
          <w:rFonts w:hint="eastAsia"/>
        </w:rPr>
        <w:t>人行导引设施应设置在设施带内，不应占用通行带，设置间距宜为200～300m。</w:t>
      </w:r>
    </w:p>
    <w:p w14:paraId="2B23E30B">
      <w:pPr>
        <w:pStyle w:val="165"/>
      </w:pPr>
      <w:r>
        <w:rPr>
          <w:rFonts w:hint="eastAsia"/>
        </w:rPr>
        <w:t>宽度3.5 m以下的人行道不得设置信息牌；距人行天桥、人行地道出入口、轨道交通站点出入口、公交车站的人流疏散方向15 m范围内的人行道不得设置信息牌。</w:t>
      </w:r>
    </w:p>
    <w:p w14:paraId="7B39E160">
      <w:pPr>
        <w:pStyle w:val="165"/>
      </w:pPr>
      <w:r>
        <w:rPr>
          <w:rFonts w:hint="eastAsia"/>
        </w:rPr>
        <w:t>一般道路人行道上信息牌同侧设置间隔应不小于1000 m；在临近火车站、商业集中区、长途汽车站、医院、学校等流动人口聚集区内的道路人行道上，设置间隔可根据需要适当加密。</w:t>
      </w:r>
    </w:p>
    <w:p w14:paraId="6527D2FE">
      <w:pPr>
        <w:pStyle w:val="165"/>
      </w:pPr>
      <w:r>
        <w:rPr>
          <w:rFonts w:hint="eastAsia"/>
        </w:rPr>
        <w:t>街牌应设置在道路交叉口路缘弧线切点附近明显位置。</w:t>
      </w:r>
    </w:p>
    <w:p w14:paraId="1E34AA67">
      <w:pPr>
        <w:pStyle w:val="165"/>
      </w:pPr>
      <w:r>
        <w:rPr>
          <w:rFonts w:hint="eastAsia"/>
        </w:rPr>
        <w:t>步行者导向牌高度不应高于 2.2m，宽度不应超过 1m，垂直投影面积不应大于 0.6</w:t>
      </w:r>
      <w:r>
        <w:t>m</w:t>
      </w:r>
      <w:r>
        <w:rPr>
          <w:vertAlign w:val="superscript"/>
        </w:rPr>
        <w:t>2</w:t>
      </w:r>
      <w:r>
        <w:rPr>
          <w:rFonts w:hint="eastAsia"/>
        </w:rPr>
        <w:t>；应设置在绿化设施带或行道树设施带内；应指引方位、区域、建筑物、旅游场所、公共设施或公共服务机构，不应显示企业名称、商标或产品等信息。</w:t>
      </w:r>
    </w:p>
    <w:p w14:paraId="41221ABC">
      <w:pPr>
        <w:pStyle w:val="165"/>
      </w:pPr>
      <w:r>
        <w:rPr>
          <w:rFonts w:hint="eastAsia"/>
        </w:rPr>
        <w:t>公厕指引牌、地铁指引牌、人行地道及人行天桥指引牌应合并设置，规格尺寸应符合相关标准要求。</w:t>
      </w:r>
    </w:p>
    <w:p w14:paraId="6636C3E1">
      <w:pPr>
        <w:pStyle w:val="105"/>
        <w:spacing w:before="156" w:after="156"/>
      </w:pPr>
      <w:bookmarkStart w:id="360" w:name="_Toc177981385"/>
      <w:bookmarkStart w:id="361" w:name="_Toc177723463"/>
      <w:bookmarkStart w:id="362" w:name="_Toc177734890"/>
      <w:bookmarkStart w:id="363" w:name="_Toc178325029"/>
      <w:bookmarkStart w:id="364" w:name="_Toc177736954"/>
      <w:r>
        <w:rPr>
          <w:rFonts w:hint="eastAsia"/>
        </w:rPr>
        <w:t>公交车站设施</w:t>
      </w:r>
      <w:bookmarkEnd w:id="360"/>
      <w:bookmarkEnd w:id="361"/>
      <w:bookmarkEnd w:id="362"/>
      <w:bookmarkEnd w:id="363"/>
      <w:bookmarkEnd w:id="364"/>
    </w:p>
    <w:p w14:paraId="43ACAE67">
      <w:pPr>
        <w:pStyle w:val="165"/>
      </w:pPr>
      <w:r>
        <w:t>一般规定</w:t>
      </w:r>
    </w:p>
    <w:p w14:paraId="3668C256">
      <w:pPr>
        <w:pStyle w:val="174"/>
        <w:numPr>
          <w:ilvl w:val="0"/>
          <w:numId w:val="63"/>
        </w:numPr>
      </w:pPr>
      <w:r>
        <w:rPr>
          <w:rFonts w:hint="eastAsia"/>
        </w:rPr>
        <w:t>人行道宽度小于 4m 时，不宜设置公交站亭，宜设置公交站牌;人行道宽度大于等于 4m 时，可设置公交站亭。公交站亭与公交站牌不宣同时设置。同一站台宜设置一座公交站亭。</w:t>
      </w:r>
    </w:p>
    <w:p w14:paraId="49FBEC69">
      <w:pPr>
        <w:pStyle w:val="174"/>
      </w:pPr>
      <w:r>
        <w:rPr>
          <w:rFonts w:hint="eastAsia"/>
        </w:rPr>
        <w:t>公交站亭的造型应简洁，满足线路指示、遮阳避雨、简易候车休憩、智能电子屏显示的功能。宜采用单排立柱，悬挑顶棚的结构形式。</w:t>
      </w:r>
    </w:p>
    <w:p w14:paraId="7B09E7ED">
      <w:pPr>
        <w:pStyle w:val="174"/>
      </w:pPr>
      <w:r>
        <w:rPr>
          <w:rFonts w:hint="eastAsia"/>
        </w:rPr>
        <w:t>有特殊要求的历史风貌街道、景观街道、商业街道，进行艺术设计，应结合要求美化公交站牌设计。</w:t>
      </w:r>
    </w:p>
    <w:p w14:paraId="5D2E1BE9">
      <w:pPr>
        <w:pStyle w:val="165"/>
      </w:pPr>
      <w:r>
        <w:rPr>
          <w:rFonts w:hint="eastAsia"/>
        </w:rPr>
        <w:t>站牌要求如下：</w:t>
      </w:r>
    </w:p>
    <w:p w14:paraId="3D5C773D">
      <w:pPr>
        <w:pStyle w:val="174"/>
        <w:numPr>
          <w:ilvl w:val="0"/>
          <w:numId w:val="64"/>
        </w:numPr>
      </w:pPr>
      <w:r>
        <w:rPr>
          <w:rFonts w:hint="eastAsia"/>
        </w:rPr>
        <w:t>在路边设置的站牌，牌面与车行道成垂直角度站牌，其侧边距路缘石距离应大于 0.3m；牌面与车行道平行的站牌，牌面距路缘石距离应大于0.6 m。</w:t>
      </w:r>
    </w:p>
    <w:p w14:paraId="4B8571C6">
      <w:pPr>
        <w:pStyle w:val="174"/>
      </w:pPr>
      <w:r>
        <w:rPr>
          <w:rFonts w:hint="eastAsia"/>
        </w:rPr>
        <w:t>同一区域、道路的站牌样式、规格应保持一致。</w:t>
      </w:r>
    </w:p>
    <w:p w14:paraId="57226015">
      <w:pPr>
        <w:pStyle w:val="165"/>
      </w:pPr>
      <w:r>
        <w:rPr>
          <w:rFonts w:hint="eastAsia"/>
        </w:rPr>
        <w:t>公交站台及候车亭：</w:t>
      </w:r>
    </w:p>
    <w:p w14:paraId="749E6497">
      <w:pPr>
        <w:pStyle w:val="174"/>
        <w:numPr>
          <w:ilvl w:val="0"/>
          <w:numId w:val="65"/>
        </w:numPr>
      </w:pPr>
      <w:r>
        <w:rPr>
          <w:rFonts w:hint="eastAsia"/>
        </w:rPr>
        <w:t>公交站点布局应注重与慢行空间、路边停车带、交叉口单位进出口等要素的协调。</w:t>
      </w:r>
    </w:p>
    <w:p w14:paraId="5F527703">
      <w:pPr>
        <w:pStyle w:val="174"/>
      </w:pPr>
      <w:r>
        <w:rPr>
          <w:rFonts w:hint="eastAsia"/>
        </w:rPr>
        <w:t>公交设站处应确保慢行交通连续性严禁压缩慢行交通空间，局部可考虑道路红线拓宽。</w:t>
      </w:r>
    </w:p>
    <w:p w14:paraId="1542358A">
      <w:pPr>
        <w:pStyle w:val="174"/>
      </w:pPr>
      <w:r>
        <w:rPr>
          <w:rFonts w:hint="eastAsia"/>
        </w:rPr>
        <w:t>公交站点应结合客流需求灵活布置和增设，宜采用港湾式、路侧式等布局模式。</w:t>
      </w:r>
    </w:p>
    <w:p w14:paraId="58051584">
      <w:pPr>
        <w:pStyle w:val="174"/>
      </w:pPr>
      <w:r>
        <w:rPr>
          <w:rFonts w:hint="eastAsia"/>
        </w:rPr>
        <w:t>公交车道停靠处车道宽度不低于2.75米，站台有效净宽不低于1.5米，线路停靠客流大的公交中途站宜分组设置或采取深港湾站。</w:t>
      </w:r>
    </w:p>
    <w:p w14:paraId="30C39DF9">
      <w:pPr>
        <w:pStyle w:val="105"/>
        <w:spacing w:before="156" w:after="156"/>
      </w:pPr>
      <w:bookmarkStart w:id="365" w:name="_Toc177723464"/>
      <w:bookmarkStart w:id="366" w:name="_Toc177736955"/>
      <w:bookmarkStart w:id="367" w:name="_Toc178325030"/>
      <w:bookmarkStart w:id="368" w:name="_Toc177734891"/>
      <w:bookmarkStart w:id="369" w:name="_Toc177981386"/>
      <w:r>
        <w:rPr>
          <w:rFonts w:hint="eastAsia"/>
        </w:rPr>
        <w:t>非机动车存车设施</w:t>
      </w:r>
      <w:bookmarkEnd w:id="365"/>
      <w:bookmarkEnd w:id="366"/>
      <w:bookmarkEnd w:id="367"/>
      <w:bookmarkEnd w:id="368"/>
      <w:bookmarkEnd w:id="369"/>
    </w:p>
    <w:p w14:paraId="7DDE949D">
      <w:pPr>
        <w:pStyle w:val="165"/>
      </w:pPr>
      <w:r>
        <w:t>一般规定</w:t>
      </w:r>
    </w:p>
    <w:p w14:paraId="652FCD89">
      <w:pPr>
        <w:pStyle w:val="174"/>
        <w:numPr>
          <w:ilvl w:val="0"/>
          <w:numId w:val="66"/>
        </w:numPr>
      </w:pPr>
      <w:r>
        <w:rPr>
          <w:rFonts w:hint="eastAsia"/>
        </w:rPr>
        <w:t>非机动车存车设施应设置在便捷的地点，在公共交通车站周边等存放需求集中的区域设置，按行道树设施带、机非隔离带、人行道、非机动车道的优先次序灵活利用空间。</w:t>
      </w:r>
    </w:p>
    <w:p w14:paraId="3AD60A3E">
      <w:pPr>
        <w:pStyle w:val="174"/>
      </w:pPr>
      <w:r>
        <w:rPr>
          <w:rFonts w:hint="eastAsia"/>
        </w:rPr>
        <w:t>存放点应当尽可能分散布置，且靠近目的地，充分利用道路、街巷空地设置。应当避免停放点的出入口直接对接交通干道。在道路交叉口缘石转弯半径范围及人行过街等候区内，不得设置非机动车存放设施。</w:t>
      </w:r>
    </w:p>
    <w:p w14:paraId="59D5C8DF">
      <w:pPr>
        <w:pStyle w:val="174"/>
      </w:pPr>
      <w:r>
        <w:rPr>
          <w:rFonts w:hint="eastAsia"/>
        </w:rPr>
        <w:t>非机动车存放设施宜设置在平缓的地面，坡度不宜大于4.0%。</w:t>
      </w:r>
    </w:p>
    <w:p w14:paraId="03BFC967">
      <w:pPr>
        <w:pStyle w:val="174"/>
      </w:pPr>
      <w:r>
        <w:rPr>
          <w:rFonts w:hint="eastAsia"/>
        </w:rPr>
        <w:t>设置非机动车存放设施后的人行通行带剩余宽度应符合表</w:t>
      </w:r>
      <w:r>
        <w:t>2</w:t>
      </w:r>
      <w:r>
        <w:rPr>
          <w:rFonts w:hint="eastAsia"/>
        </w:rPr>
        <w:t>的要求。</w:t>
      </w:r>
    </w:p>
    <w:p w14:paraId="4A6216EC">
      <w:pPr>
        <w:pStyle w:val="174"/>
      </w:pPr>
      <w:r>
        <w:rPr>
          <w:rFonts w:hint="eastAsia"/>
        </w:rPr>
        <w:t>利用行道树设施带和机非隔离带设置的非机动车停车设施，外廓不应超出其边界范围。</w:t>
      </w:r>
    </w:p>
    <w:p w14:paraId="194029C4">
      <w:pPr>
        <w:pStyle w:val="174"/>
      </w:pPr>
      <w:r>
        <w:rPr>
          <w:rFonts w:hint="eastAsia"/>
        </w:rPr>
        <w:t>行道树设施带和机非隔离带宽度大于等于2.0m时，宜设置垂直排列的非机动车停车设施。宽度小于2.0m时，宜根据宽度灵活设置斜向排列的非机动车存放设施。</w:t>
      </w:r>
    </w:p>
    <w:p w14:paraId="388EEE04">
      <w:pPr>
        <w:pStyle w:val="165"/>
      </w:pPr>
      <w:r>
        <w:rPr>
          <w:rFonts w:hint="eastAsia"/>
        </w:rPr>
        <w:t>非机动车存车架要求如下：</w:t>
      </w:r>
    </w:p>
    <w:p w14:paraId="191B3BAD">
      <w:pPr>
        <w:pStyle w:val="174"/>
        <w:numPr>
          <w:ilvl w:val="0"/>
          <w:numId w:val="67"/>
        </w:numPr>
      </w:pPr>
      <w:r>
        <w:rPr>
          <w:rFonts w:hint="eastAsia"/>
        </w:rPr>
        <w:t>停放非机动车后，人行通行带剩余宽度应符合表</w:t>
      </w:r>
      <w:r>
        <w:t>2</w:t>
      </w:r>
      <w:r>
        <w:rPr>
          <w:rFonts w:hint="eastAsia"/>
        </w:rPr>
        <w:t>的要求。</w:t>
      </w:r>
    </w:p>
    <w:p w14:paraId="46F1F727">
      <w:pPr>
        <w:pStyle w:val="174"/>
      </w:pPr>
      <w:r>
        <w:rPr>
          <w:rFonts w:hint="eastAsia"/>
        </w:rPr>
        <w:t>应保证停放非机动车后，车身不超过路缘石外沿，距盲道不小于 0.25m。</w:t>
      </w:r>
    </w:p>
    <w:p w14:paraId="7C6A4613">
      <w:pPr>
        <w:pStyle w:val="174"/>
      </w:pPr>
      <w:r>
        <w:rPr>
          <w:rFonts w:hint="eastAsia"/>
        </w:rPr>
        <w:t>样式、颜色应与周边环境相协调。</w:t>
      </w:r>
    </w:p>
    <w:p w14:paraId="5A6D3F8C">
      <w:pPr>
        <w:pStyle w:val="165"/>
      </w:pPr>
      <w:r>
        <w:rPr>
          <w:rFonts w:hint="eastAsia"/>
        </w:rPr>
        <w:t>非机动车存车围栏要求如下：</w:t>
      </w:r>
    </w:p>
    <w:p w14:paraId="1DED0777">
      <w:pPr>
        <w:pStyle w:val="174"/>
        <w:numPr>
          <w:ilvl w:val="0"/>
          <w:numId w:val="68"/>
        </w:numPr>
      </w:pPr>
      <w:r>
        <w:rPr>
          <w:rFonts w:hint="eastAsia"/>
        </w:rPr>
        <w:t>应靠近交通枢纽、轨道交通出入口设置。</w:t>
      </w:r>
    </w:p>
    <w:p w14:paraId="46B05701">
      <w:pPr>
        <w:pStyle w:val="174"/>
      </w:pPr>
      <w:r>
        <w:rPr>
          <w:rFonts w:hint="eastAsia"/>
        </w:rPr>
        <w:t>停放非机动车后，人行道剩余宽度应符合表</w:t>
      </w:r>
      <w:r>
        <w:t>2</w:t>
      </w:r>
      <w:r>
        <w:rPr>
          <w:rFonts w:hint="eastAsia"/>
        </w:rPr>
        <w:t>的要求</w:t>
      </w:r>
      <w:r>
        <w:t>。</w:t>
      </w:r>
    </w:p>
    <w:p w14:paraId="563F765B">
      <w:pPr>
        <w:pStyle w:val="174"/>
      </w:pPr>
      <w:r>
        <w:rPr>
          <w:rFonts w:hint="eastAsia"/>
        </w:rPr>
        <w:t>高度不应超过 1m。</w:t>
      </w:r>
    </w:p>
    <w:p w14:paraId="1A369186">
      <w:pPr>
        <w:pStyle w:val="165"/>
      </w:pPr>
      <w:r>
        <w:rPr>
          <w:rFonts w:hint="eastAsia"/>
        </w:rPr>
        <w:t>公共自行车设施要求如下：</w:t>
      </w:r>
    </w:p>
    <w:p w14:paraId="72965798">
      <w:pPr>
        <w:pStyle w:val="174"/>
        <w:numPr>
          <w:ilvl w:val="0"/>
          <w:numId w:val="69"/>
        </w:numPr>
      </w:pPr>
      <w:r>
        <w:rPr>
          <w:rFonts w:hint="eastAsia"/>
        </w:rPr>
        <w:t>停放公共自行车后，人行道剩余宽度应符合表</w:t>
      </w:r>
      <w:r>
        <w:t>2</w:t>
      </w:r>
      <w:r>
        <w:rPr>
          <w:rFonts w:hint="eastAsia"/>
        </w:rPr>
        <w:t>的要求。</w:t>
      </w:r>
    </w:p>
    <w:p w14:paraId="4033440E">
      <w:pPr>
        <w:pStyle w:val="174"/>
      </w:pPr>
      <w:r>
        <w:rPr>
          <w:rFonts w:hint="eastAsia"/>
        </w:rPr>
        <w:t>单独设置的公共自行车设施，不应设置围栏。</w:t>
      </w:r>
    </w:p>
    <w:p w14:paraId="52911B01">
      <w:pPr>
        <w:pStyle w:val="174"/>
      </w:pPr>
      <w:r>
        <w:rPr>
          <w:rFonts w:hint="eastAsia"/>
        </w:rPr>
        <w:t>道路交叉口转弯半径及其两侧20m范围内和医院、学校、旅游景区出入口两侧30m范围内，不应设置公共自行车设施。</w:t>
      </w:r>
    </w:p>
    <w:p w14:paraId="629F5248">
      <w:pPr>
        <w:pStyle w:val="105"/>
        <w:spacing w:before="156" w:after="156"/>
      </w:pPr>
      <w:bookmarkStart w:id="370" w:name="_Toc178325031"/>
      <w:bookmarkStart w:id="371" w:name="_Toc177981387"/>
      <w:bookmarkStart w:id="372" w:name="_Toc177734892"/>
      <w:bookmarkStart w:id="373" w:name="_Toc177736956"/>
      <w:bookmarkStart w:id="374" w:name="_Toc177723465"/>
      <w:r>
        <w:rPr>
          <w:rFonts w:hint="eastAsia"/>
        </w:rPr>
        <w:t>座椅</w:t>
      </w:r>
      <w:bookmarkEnd w:id="370"/>
      <w:bookmarkEnd w:id="371"/>
      <w:bookmarkEnd w:id="372"/>
      <w:bookmarkEnd w:id="373"/>
      <w:bookmarkEnd w:id="374"/>
    </w:p>
    <w:p w14:paraId="785C996A">
      <w:pPr>
        <w:pStyle w:val="165"/>
      </w:pPr>
      <w:r>
        <w:rPr>
          <w:rFonts w:hint="eastAsia"/>
        </w:rPr>
        <w:t>宽度5m以下的人行道不宜设置座椅</w:t>
      </w:r>
    </w:p>
    <w:p w14:paraId="33006CF4">
      <w:pPr>
        <w:pStyle w:val="165"/>
      </w:pPr>
      <w:r>
        <w:rPr>
          <w:rFonts w:hint="eastAsia"/>
        </w:rPr>
        <w:t>座椅长度宜小于 1.2m，宽度宜小于 0.5m，座面高度宜为0</w:t>
      </w:r>
      <w:r>
        <w:t>.38</w:t>
      </w:r>
      <w:r>
        <w:rPr>
          <w:rFonts w:hint="eastAsia" w:hAnsi="宋体"/>
        </w:rPr>
        <w:t>～</w:t>
      </w:r>
      <w:r>
        <w:rPr>
          <w:rFonts w:hint="eastAsia"/>
        </w:rPr>
        <w:t xml:space="preserve"> 0.4m，座面宽度宜小于 0.45m，转角处应作磨边倒角处理。</w:t>
      </w:r>
    </w:p>
    <w:p w14:paraId="1A0F47FE">
      <w:pPr>
        <w:pStyle w:val="165"/>
      </w:pPr>
      <w:r>
        <w:rPr>
          <w:rFonts w:hint="eastAsia"/>
        </w:rPr>
        <w:t>座椅宜结合绿化设施带或靠近道路红线一侧设置，设置后人行通行带剩余宽度应符合表</w:t>
      </w:r>
      <w:r>
        <w:t>2</w:t>
      </w:r>
      <w:r>
        <w:rPr>
          <w:rFonts w:hint="eastAsia"/>
        </w:rPr>
        <w:t>的要求。</w:t>
      </w:r>
    </w:p>
    <w:p w14:paraId="44C9097C">
      <w:pPr>
        <w:pStyle w:val="105"/>
        <w:spacing w:before="156" w:after="156"/>
      </w:pPr>
      <w:bookmarkStart w:id="375" w:name="_Toc177981388"/>
      <w:bookmarkStart w:id="376" w:name="_Toc178325032"/>
      <w:bookmarkStart w:id="377" w:name="_Toc177734893"/>
      <w:bookmarkStart w:id="378" w:name="_Toc177736957"/>
      <w:bookmarkStart w:id="379" w:name="_Toc177723466"/>
      <w:r>
        <w:rPr>
          <w:rFonts w:hint="eastAsia"/>
        </w:rPr>
        <w:t>活动式公共厕所</w:t>
      </w:r>
      <w:bookmarkEnd w:id="375"/>
      <w:bookmarkEnd w:id="376"/>
      <w:bookmarkEnd w:id="377"/>
      <w:bookmarkEnd w:id="378"/>
      <w:bookmarkEnd w:id="379"/>
    </w:p>
    <w:p w14:paraId="3E3215E9">
      <w:pPr>
        <w:pStyle w:val="165"/>
      </w:pPr>
      <w:r>
        <w:rPr>
          <w:rFonts w:hint="eastAsia"/>
        </w:rPr>
        <w:t>活动室公共厕所宜结合绿化设施带或靠近道路红线一侧设置，设置后人行道剩余宽度应符合表</w:t>
      </w:r>
      <w:r>
        <w:t>2</w:t>
      </w:r>
      <w:r>
        <w:rPr>
          <w:rFonts w:hint="eastAsia"/>
        </w:rPr>
        <w:t>的要求</w:t>
      </w:r>
      <w:r>
        <w:t>。</w:t>
      </w:r>
    </w:p>
    <w:p w14:paraId="1271DC30">
      <w:pPr>
        <w:pStyle w:val="165"/>
      </w:pPr>
      <w:r>
        <w:rPr>
          <w:rFonts w:hint="eastAsia"/>
        </w:rPr>
        <w:t>活动室公共厕所距盲道不应小于1m；</w:t>
      </w:r>
    </w:p>
    <w:bookmarkEnd w:id="342"/>
    <w:bookmarkEnd w:id="343"/>
    <w:bookmarkEnd w:id="344"/>
    <w:p w14:paraId="5698B7C6">
      <w:pPr>
        <w:pStyle w:val="105"/>
        <w:spacing w:before="156" w:after="156"/>
      </w:pPr>
      <w:bookmarkStart w:id="380" w:name="_Toc177634252"/>
      <w:bookmarkStart w:id="381" w:name="_Toc178325033"/>
      <w:bookmarkStart w:id="382" w:name="_Toc177723467"/>
      <w:bookmarkStart w:id="383" w:name="_Toc177736958"/>
      <w:bookmarkStart w:id="384" w:name="_Toc177645351"/>
      <w:bookmarkStart w:id="385" w:name="_Toc177647721"/>
      <w:bookmarkStart w:id="386" w:name="_Toc177981389"/>
      <w:bookmarkStart w:id="387" w:name="_Toc177734894"/>
      <w:r>
        <w:rPr>
          <w:rFonts w:hint="eastAsia"/>
        </w:rPr>
        <w:t>其他</w:t>
      </w:r>
      <w:bookmarkEnd w:id="380"/>
      <w:bookmarkEnd w:id="381"/>
      <w:bookmarkEnd w:id="382"/>
      <w:bookmarkEnd w:id="383"/>
      <w:bookmarkEnd w:id="384"/>
      <w:bookmarkEnd w:id="385"/>
      <w:bookmarkEnd w:id="386"/>
      <w:bookmarkEnd w:id="387"/>
    </w:p>
    <w:p w14:paraId="0AD3F13F">
      <w:pPr>
        <w:pStyle w:val="56"/>
        <w:ind w:firstLine="420"/>
      </w:pPr>
      <w:r>
        <w:rPr>
          <w:rFonts w:hint="eastAsia"/>
        </w:rPr>
        <w:t>阅报栏、书报亭、电话亭、邮筒等设置应结合街道功能与空间建设条件,不得影响交通通行,并符合下列规定:</w:t>
      </w:r>
    </w:p>
    <w:p w14:paraId="642B496C">
      <w:pPr>
        <w:pStyle w:val="165"/>
      </w:pPr>
      <w:r>
        <w:rPr>
          <w:rFonts w:hint="eastAsia"/>
        </w:rPr>
        <w:t>应设置在设施带或者指定区域内，不得影响沿街建筑物主要出人口的疏散，可结合公交车站站点设置。</w:t>
      </w:r>
    </w:p>
    <w:p w14:paraId="1815DA1F">
      <w:pPr>
        <w:pStyle w:val="165"/>
      </w:pPr>
      <w:r>
        <w:rPr>
          <w:rFonts w:hint="eastAsia"/>
        </w:rPr>
        <w:t>设置书报亭的人行道有效通行宽度应大于等于3.0m，设置电话亭、邮筒的人行道有效通行宽度应大于等于2.0m。</w:t>
      </w:r>
    </w:p>
    <w:p w14:paraId="17E90401">
      <w:pPr>
        <w:pStyle w:val="165"/>
      </w:pPr>
      <w:r>
        <w:rPr>
          <w:rFonts w:hint="eastAsia"/>
        </w:rPr>
        <w:t>主要的商业街、历史文化风貌区的阅报栏的色彩、形式等应符合街区风貌要求。</w:t>
      </w:r>
    </w:p>
    <w:p w14:paraId="11469B2F">
      <w:pPr>
        <w:pStyle w:val="104"/>
        <w:spacing w:before="312" w:after="312"/>
      </w:pPr>
      <w:bookmarkStart w:id="388" w:name="_Toc177981390"/>
      <w:bookmarkStart w:id="389" w:name="_Toc177734895"/>
      <w:bookmarkStart w:id="390" w:name="_Toc178325034"/>
      <w:bookmarkStart w:id="391" w:name="_Toc177736959"/>
      <w:r>
        <w:rPr>
          <w:rFonts w:hint="eastAsia"/>
        </w:rPr>
        <w:t>标准</w:t>
      </w:r>
      <w:r>
        <w:t>实施及评价</w:t>
      </w:r>
      <w:bookmarkEnd w:id="388"/>
      <w:bookmarkEnd w:id="389"/>
      <w:bookmarkEnd w:id="390"/>
      <w:bookmarkEnd w:id="391"/>
    </w:p>
    <w:p w14:paraId="69DAE3D0">
      <w:pPr>
        <w:pStyle w:val="162"/>
      </w:pPr>
      <w:r>
        <w:rPr>
          <w:rFonts w:hint="eastAsia"/>
        </w:rPr>
        <w:t>城市道路人行道及附属设施技术规程实施准备包括下列内容：</w:t>
      </w:r>
    </w:p>
    <w:p w14:paraId="678A6343">
      <w:pPr>
        <w:pStyle w:val="174"/>
        <w:numPr>
          <w:ilvl w:val="0"/>
          <w:numId w:val="70"/>
        </w:numPr>
      </w:pPr>
      <w:r>
        <w:rPr>
          <w:rFonts w:hint="eastAsia"/>
        </w:rPr>
        <w:t>方案准备：明确规程实施的目标和范围，确定所需要的资源和时间；</w:t>
      </w:r>
    </w:p>
    <w:p w14:paraId="53D63233">
      <w:pPr>
        <w:pStyle w:val="174"/>
      </w:pPr>
      <w:r>
        <w:rPr>
          <w:rFonts w:hint="eastAsia"/>
        </w:rPr>
        <w:t>组织准备：根据规程的复杂程度和规模，组建实施团队，确保具备所需的技术和专业知识；</w:t>
      </w:r>
    </w:p>
    <w:p w14:paraId="6D332919">
      <w:pPr>
        <w:pStyle w:val="174"/>
      </w:pPr>
      <w:r>
        <w:rPr>
          <w:rFonts w:hint="eastAsia"/>
        </w:rPr>
        <w:t>知识准备：对人员进行培训和教育，使其了解规程的内容、要求和实施方法；</w:t>
      </w:r>
    </w:p>
    <w:p w14:paraId="38424EC8">
      <w:pPr>
        <w:pStyle w:val="174"/>
      </w:pPr>
      <w:r>
        <w:rPr>
          <w:rFonts w:hint="eastAsia"/>
        </w:rPr>
        <w:t>手段准备：培训为先、流程优化、分步实施、重点把握；</w:t>
      </w:r>
    </w:p>
    <w:p w14:paraId="0E770238">
      <w:pPr>
        <w:pStyle w:val="174"/>
      </w:pPr>
      <w:r>
        <w:rPr>
          <w:rFonts w:hint="eastAsia"/>
        </w:rPr>
        <w:t>物质条件准备：配备相应的设施设备、资金等条件。</w:t>
      </w:r>
    </w:p>
    <w:p w14:paraId="18D8BAE8">
      <w:pPr>
        <w:pStyle w:val="162"/>
      </w:pPr>
      <w:r>
        <w:rPr>
          <w:rFonts w:hint="eastAsia"/>
        </w:rPr>
        <w:t>制定规程实施方案，明确适用对象和场景、提供实施必备条件和保障（组织、制度、资金、人员和设备仪器等）、推荐方法路径，确定资源要素配置、关键环节和控制点，提出规程实施中的注意事项。</w:t>
      </w:r>
    </w:p>
    <w:p w14:paraId="1EC7A322">
      <w:pPr>
        <w:pStyle w:val="174"/>
        <w:numPr>
          <w:ilvl w:val="0"/>
          <w:numId w:val="71"/>
        </w:numPr>
      </w:pPr>
      <w:r>
        <w:rPr>
          <w:rFonts w:hint="eastAsia"/>
        </w:rPr>
        <w:t>对规程涉及到的设施设备、器材、工具及相应的环境条件，应确认其达到标准要求后，方可投入使用；</w:t>
      </w:r>
    </w:p>
    <w:p w14:paraId="500BADD6">
      <w:pPr>
        <w:pStyle w:val="174"/>
      </w:pPr>
      <w:r>
        <w:rPr>
          <w:rFonts w:hint="eastAsia"/>
        </w:rPr>
        <w:t>对于施工技术人员，应通过考核确认其达到标准要求后，准予上岗；</w:t>
      </w:r>
    </w:p>
    <w:p w14:paraId="30C48867">
      <w:pPr>
        <w:pStyle w:val="174"/>
      </w:pPr>
      <w:r>
        <w:rPr>
          <w:rFonts w:hint="eastAsia"/>
        </w:rPr>
        <w:t>对于安全、环保方面的标准要求，应落实到具体关键点上，并有相应的保证措施。</w:t>
      </w:r>
    </w:p>
    <w:p w14:paraId="07ED812F">
      <w:pPr>
        <w:pStyle w:val="162"/>
      </w:pPr>
      <w:r>
        <w:rPr>
          <w:rFonts w:hint="eastAsia"/>
        </w:rPr>
        <w:t>针对相关方和具体对象/岗位进行标准宣贯和培训，结合标准要求，落实责任制，做到横向到边，纵向到底。</w:t>
      </w:r>
    </w:p>
    <w:p w14:paraId="37739DB6">
      <w:pPr>
        <w:pStyle w:val="174"/>
        <w:numPr>
          <w:ilvl w:val="0"/>
          <w:numId w:val="72"/>
        </w:numPr>
      </w:pPr>
      <w:r>
        <w:rPr>
          <w:rFonts w:hint="eastAsia"/>
        </w:rPr>
        <w:t>相关方和具体对象包括：设计方、施工方、监理方、业主方、材料供应商以及行政主管部门等；</w:t>
      </w:r>
    </w:p>
    <w:p w14:paraId="16B38941">
      <w:pPr>
        <w:pStyle w:val="174"/>
      </w:pPr>
      <w:r>
        <w:rPr>
          <w:rFonts w:hint="eastAsia"/>
        </w:rPr>
        <w:t>明确各岗位的责任，确保每个环节都有专人负责，并建立定期检查机制，确保各项工作符合规程要求。</w:t>
      </w:r>
    </w:p>
    <w:p w14:paraId="62A27486">
      <w:pPr>
        <w:pStyle w:val="162"/>
      </w:pPr>
      <w:r>
        <w:rPr>
          <w:rFonts w:hint="eastAsia"/>
        </w:rPr>
        <w:t>规程实施主要在工程建设、技术改造等活动中开展。规程实施的重点是落实国家的环境保护、健康、卫生、安全的要求。</w:t>
      </w:r>
    </w:p>
    <w:p w14:paraId="1DCAD48B">
      <w:pPr>
        <w:pStyle w:val="162"/>
      </w:pPr>
      <w:r>
        <w:rPr>
          <w:rFonts w:hint="eastAsia"/>
        </w:rPr>
        <w:t>规程实施的检查主要是检查规程实施方案的落实情况，需要逐条检查规程实施内容的落实，并记录未实施内容的理由或原因。规程实施检查也要检查规程实施的支持手段和物质条件的落实情况。做好规程实施验证记录，畅通规程实施信息采集的方式方法和反馈渠道，定期整理并处理收集到的意见建议。</w:t>
      </w:r>
    </w:p>
    <w:p w14:paraId="588ACED5">
      <w:pPr>
        <w:pStyle w:val="162"/>
      </w:pPr>
      <w:r>
        <w:rPr>
          <w:rFonts w:hint="eastAsia"/>
        </w:rPr>
        <w:t>对规程实施评价的基本依据是《中华人民共和国标准化法》等。</w:t>
      </w:r>
    </w:p>
    <w:p w14:paraId="04733448">
      <w:pPr>
        <w:pStyle w:val="162"/>
      </w:pPr>
      <w:r>
        <w:rPr>
          <w:rFonts w:hint="eastAsia"/>
        </w:rPr>
        <w:t>在规程实施一定时间后，对照实施方案，开展实施效果评价分析，总结实施经验成效，梳理存在的薄弱环节，规程实施的评价主要是评价规程实施的效果，主要从技术进步、质量水平提高、客户满意度、规范秩序、效率提高、节约费用、节省时间、履行社会责任等方面进行有益性评价，同时还要评价规程实施带来的问题，以便为未来改进提供参考。</w:t>
      </w:r>
    </w:p>
    <w:p w14:paraId="6FEAB1D6">
      <w:pPr>
        <w:pStyle w:val="174"/>
        <w:numPr>
          <w:ilvl w:val="0"/>
          <w:numId w:val="73"/>
        </w:numPr>
      </w:pPr>
      <w:r>
        <w:rPr>
          <w:rFonts w:hint="eastAsia"/>
        </w:rPr>
        <w:t>城市道路人行道及附属设施技术规程实施状况评价宜在该标准实施满1年后进行；</w:t>
      </w:r>
    </w:p>
    <w:p w14:paraId="2AC0CDD1">
      <w:pPr>
        <w:pStyle w:val="174"/>
      </w:pPr>
      <w:r>
        <w:rPr>
          <w:rFonts w:hint="eastAsia"/>
        </w:rPr>
        <w:t>城市道路人行道及附属设施技术规程实施效果评价宜在该标准实施满3年后进行；</w:t>
      </w:r>
    </w:p>
    <w:p w14:paraId="736E15C5">
      <w:pPr>
        <w:pStyle w:val="174"/>
      </w:pPr>
      <w:r>
        <w:rPr>
          <w:rFonts w:hint="eastAsia"/>
        </w:rPr>
        <w:t>城市道路人行道及附属设施技术规程科学性评价宜在该标准实施满2年后进行。</w:t>
      </w:r>
    </w:p>
    <w:p w14:paraId="4549822E">
      <w:pPr>
        <w:pStyle w:val="162"/>
      </w:pPr>
      <w:r>
        <w:rPr>
          <w:rFonts w:hint="eastAsia"/>
        </w:rPr>
        <w:t>适时向专业标准化技术委员会和标准归口管理单位反馈情况，提出规程推广、修改、补充、完善或者废止等意见建议。</w:t>
      </w:r>
    </w:p>
    <w:p w14:paraId="0306FA89">
      <w:pPr>
        <w:pStyle w:val="162"/>
      </w:pPr>
      <w:r>
        <w:rPr>
          <w:rFonts w:hint="eastAsia"/>
        </w:rPr>
        <w:t>规程实施信息及意见反馈表相关示例见附录A。</w:t>
      </w:r>
    </w:p>
    <w:p w14:paraId="12DBBF26">
      <w:pPr>
        <w:pStyle w:val="233"/>
        <w:jc w:val="center"/>
      </w:pPr>
    </w:p>
    <w:p w14:paraId="08DB4344">
      <w:pPr>
        <w:pStyle w:val="56"/>
        <w:ind w:firstLine="420"/>
      </w:pPr>
    </w:p>
    <w:p w14:paraId="3DA243AF">
      <w:pPr>
        <w:pStyle w:val="56"/>
        <w:ind w:firstLine="420"/>
        <w:sectPr>
          <w:pgSz w:w="11906" w:h="16838"/>
          <w:pgMar w:top="1928" w:right="1134" w:bottom="1134" w:left="1134" w:header="1418" w:footer="1134" w:gutter="284"/>
          <w:pgNumType w:start="1"/>
          <w:cols w:space="425" w:num="1"/>
          <w:formProt w:val="0"/>
          <w:docGrid w:type="lines" w:linePitch="312" w:charSpace="0"/>
        </w:sectPr>
      </w:pPr>
    </w:p>
    <w:bookmarkEnd w:id="30"/>
    <w:p w14:paraId="1386E8F5">
      <w:pPr>
        <w:pStyle w:val="198"/>
        <w:rPr>
          <w:rFonts w:hint="eastAsia"/>
          <w:vanish w:val="0"/>
        </w:rPr>
      </w:pPr>
      <w:bookmarkStart w:id="392" w:name="BookMark5"/>
    </w:p>
    <w:p w14:paraId="69312EA7">
      <w:pPr>
        <w:pStyle w:val="199"/>
        <w:rPr>
          <w:vanish w:val="0"/>
        </w:rPr>
      </w:pPr>
    </w:p>
    <w:p w14:paraId="4771DA3B">
      <w:pPr>
        <w:pStyle w:val="76"/>
        <w:spacing w:after="120"/>
      </w:pPr>
      <w:r>
        <w:br w:type="textWrapping"/>
      </w:r>
      <w:bookmarkStart w:id="393" w:name="_Toc177734896"/>
      <w:bookmarkStart w:id="394" w:name="_Toc177981391"/>
      <w:bookmarkStart w:id="395" w:name="_Toc177736960"/>
      <w:bookmarkStart w:id="396" w:name="_Toc178325035"/>
      <w:r>
        <w:rPr>
          <w:rFonts w:hint="eastAsia"/>
        </w:rPr>
        <w:t>（资料性）</w:t>
      </w:r>
      <w:r>
        <w:br w:type="textWrapping"/>
      </w:r>
      <w:r>
        <w:rPr>
          <w:rFonts w:hint="eastAsia"/>
        </w:rPr>
        <w:t>湖北省地方标准实施信息及意见反馈表</w:t>
      </w:r>
      <w:bookmarkEnd w:id="393"/>
      <w:bookmarkEnd w:id="394"/>
      <w:bookmarkEnd w:id="395"/>
      <w:bookmarkEnd w:id="396"/>
    </w:p>
    <w:p w14:paraId="0C586277">
      <w:pPr>
        <w:pStyle w:val="56"/>
        <w:ind w:firstLine="420"/>
        <w:rPr>
          <w:color w:val="000000"/>
          <w:szCs w:val="21"/>
        </w:rPr>
      </w:pPr>
      <w:r>
        <w:rPr>
          <w:rFonts w:hint="eastAsia"/>
          <w:color w:val="000000"/>
        </w:rPr>
        <w:t>湖北省地方标准实施信息及意见反馈表如表A.1所示。</w:t>
      </w:r>
    </w:p>
    <w:p w14:paraId="5250D257">
      <w:pPr>
        <w:pStyle w:val="77"/>
        <w:spacing w:before="120" w:after="120"/>
        <w:rPr>
          <w:color w:val="000000"/>
        </w:rPr>
      </w:pPr>
      <w:r>
        <w:rPr>
          <w:rFonts w:hint="eastAsia"/>
          <w:color w:val="000000"/>
        </w:rPr>
        <w:t>湖北省地方标准实施信息及意见反馈表</w:t>
      </w:r>
    </w:p>
    <w:tbl>
      <w:tblPr>
        <w:tblStyle w:val="26"/>
        <w:tblW w:w="90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823"/>
        <w:gridCol w:w="338"/>
        <w:gridCol w:w="2192"/>
        <w:gridCol w:w="3109"/>
        <w:gridCol w:w="1384"/>
      </w:tblGrid>
      <w:tr w14:paraId="2C65F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034" w:type="dxa"/>
            <w:gridSpan w:val="2"/>
            <w:tcBorders>
              <w:top w:val="single" w:color="auto" w:sz="12" w:space="0"/>
              <w:left w:val="single" w:color="auto" w:sz="12" w:space="0"/>
              <w:bottom w:val="single" w:color="000000" w:sz="2" w:space="0"/>
              <w:right w:val="single" w:color="auto" w:sz="4" w:space="0"/>
            </w:tcBorders>
            <w:vAlign w:val="center"/>
          </w:tcPr>
          <w:p w14:paraId="5067DE3E">
            <w:pPr>
              <w:widowControl/>
              <w:kinsoku w:val="0"/>
              <w:autoSpaceDE w:val="0"/>
              <w:autoSpaceDN w:val="0"/>
              <w:snapToGrid w:val="0"/>
              <w:ind w:left="115"/>
              <w:jc w:val="left"/>
              <w:textAlignment w:val="baseline"/>
              <w:rPr>
                <w:rFonts w:hint="eastAsia" w:ascii="宋体" w:hAnsi="宋体"/>
                <w:color w:val="000000"/>
                <w:kern w:val="0"/>
                <w:sz w:val="18"/>
                <w:szCs w:val="18"/>
              </w:rPr>
            </w:pPr>
            <w:r>
              <w:rPr>
                <w:rFonts w:hint="eastAsia" w:ascii="宋体" w:hAnsi="宋体"/>
                <w:color w:val="000000"/>
                <w:spacing w:val="9"/>
                <w:kern w:val="0"/>
                <w:sz w:val="18"/>
                <w:szCs w:val="18"/>
              </w:rPr>
              <w:t>标准名称及编号</w:t>
            </w:r>
          </w:p>
        </w:tc>
        <w:tc>
          <w:tcPr>
            <w:tcW w:w="7023" w:type="dxa"/>
            <w:gridSpan w:val="4"/>
            <w:tcBorders>
              <w:top w:val="single" w:color="auto" w:sz="12" w:space="0"/>
              <w:left w:val="nil"/>
              <w:bottom w:val="single" w:color="000000" w:sz="2" w:space="0"/>
              <w:right w:val="single" w:color="auto" w:sz="12" w:space="0"/>
            </w:tcBorders>
            <w:vAlign w:val="center"/>
          </w:tcPr>
          <w:p w14:paraId="5375323E">
            <w:pPr>
              <w:jc w:val="left"/>
              <w:rPr>
                <w:rFonts w:hint="eastAsia" w:ascii="宋体" w:hAnsi="宋体" w:cs="Arial"/>
                <w:color w:val="000000"/>
                <w:kern w:val="0"/>
                <w:sz w:val="18"/>
                <w:szCs w:val="18"/>
              </w:rPr>
            </w:pPr>
          </w:p>
        </w:tc>
      </w:tr>
      <w:tr w14:paraId="61127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1211" w:type="dxa"/>
            <w:vMerge w:val="restart"/>
            <w:tcBorders>
              <w:top w:val="single" w:color="auto" w:sz="12" w:space="0"/>
              <w:left w:val="single" w:color="auto" w:sz="12" w:space="0"/>
              <w:bottom w:val="single" w:color="auto" w:sz="4" w:space="0"/>
              <w:right w:val="single" w:color="auto" w:sz="4" w:space="0"/>
            </w:tcBorders>
            <w:vAlign w:val="center"/>
          </w:tcPr>
          <w:p w14:paraId="11A9420A">
            <w:pPr>
              <w:widowControl/>
              <w:kinsoku w:val="0"/>
              <w:autoSpaceDE w:val="0"/>
              <w:autoSpaceDN w:val="0"/>
              <w:snapToGrid w:val="0"/>
              <w:ind w:left="147"/>
              <w:jc w:val="left"/>
              <w:textAlignment w:val="baseline"/>
              <w:rPr>
                <w:rFonts w:hint="eastAsia" w:ascii="宋体" w:hAnsi="宋体"/>
                <w:color w:val="000000"/>
                <w:kern w:val="0"/>
                <w:sz w:val="18"/>
                <w:szCs w:val="18"/>
              </w:rPr>
            </w:pPr>
            <w:r>
              <w:rPr>
                <w:rFonts w:hint="eastAsia" w:ascii="宋体" w:hAnsi="宋体"/>
                <w:color w:val="000000"/>
                <w:spacing w:val="3"/>
                <w:kern w:val="0"/>
                <w:sz w:val="18"/>
                <w:szCs w:val="18"/>
              </w:rPr>
              <w:t>总体评价</w:t>
            </w:r>
          </w:p>
        </w:tc>
        <w:tc>
          <w:tcPr>
            <w:tcW w:w="1161" w:type="dxa"/>
            <w:gridSpan w:val="2"/>
            <w:tcBorders>
              <w:top w:val="single" w:color="auto" w:sz="12" w:space="0"/>
              <w:left w:val="nil"/>
              <w:bottom w:val="single" w:color="auto" w:sz="4" w:space="0"/>
              <w:right w:val="single" w:color="auto" w:sz="4" w:space="0"/>
            </w:tcBorders>
            <w:vAlign w:val="center"/>
          </w:tcPr>
          <w:p w14:paraId="00C57FD5">
            <w:pPr>
              <w:widowControl/>
              <w:kinsoku w:val="0"/>
              <w:autoSpaceDE w:val="0"/>
              <w:autoSpaceDN w:val="0"/>
              <w:snapToGrid w:val="0"/>
              <w:ind w:left="229"/>
              <w:jc w:val="left"/>
              <w:textAlignment w:val="baseline"/>
              <w:rPr>
                <w:rFonts w:hint="eastAsia" w:ascii="宋体" w:hAnsi="宋体"/>
                <w:color w:val="000000"/>
                <w:kern w:val="0"/>
                <w:sz w:val="18"/>
                <w:szCs w:val="18"/>
              </w:rPr>
            </w:pPr>
            <w:r>
              <w:rPr>
                <w:rFonts w:hint="eastAsia" w:ascii="宋体" w:hAnsi="宋体"/>
                <w:color w:val="000000"/>
                <w:spacing w:val="5"/>
                <w:kern w:val="0"/>
                <w:sz w:val="18"/>
                <w:szCs w:val="18"/>
              </w:rPr>
              <w:t>适用性</w:t>
            </w:r>
          </w:p>
        </w:tc>
        <w:tc>
          <w:tcPr>
            <w:tcW w:w="5301" w:type="dxa"/>
            <w:gridSpan w:val="2"/>
            <w:tcBorders>
              <w:top w:val="single" w:color="auto" w:sz="12" w:space="0"/>
              <w:left w:val="nil"/>
              <w:bottom w:val="single" w:color="auto" w:sz="4" w:space="0"/>
              <w:right w:val="single" w:color="auto" w:sz="4" w:space="0"/>
            </w:tcBorders>
            <w:vAlign w:val="center"/>
          </w:tcPr>
          <w:p w14:paraId="6B75E97C">
            <w:pPr>
              <w:widowControl/>
              <w:kinsoku w:val="0"/>
              <w:autoSpaceDE w:val="0"/>
              <w:autoSpaceDN w:val="0"/>
              <w:snapToGrid w:val="0"/>
              <w:ind w:left="116" w:right="103"/>
              <w:jc w:val="left"/>
              <w:textAlignment w:val="baseline"/>
              <w:rPr>
                <w:rFonts w:hint="eastAsia" w:ascii="宋体" w:hAnsi="宋体"/>
                <w:color w:val="000000"/>
                <w:spacing w:val="11"/>
                <w:kern w:val="0"/>
                <w:sz w:val="18"/>
                <w:szCs w:val="18"/>
              </w:rPr>
            </w:pPr>
            <w:r>
              <w:rPr>
                <w:rFonts w:hint="eastAsia" w:ascii="宋体" w:hAnsi="宋体"/>
                <w:color w:val="000000"/>
                <w:spacing w:val="11"/>
                <w:kern w:val="0"/>
                <w:sz w:val="18"/>
                <w:szCs w:val="18"/>
              </w:rPr>
              <w:t>该标准与当前所在地的产业或社会发展水平是否</w:t>
            </w:r>
          </w:p>
          <w:p w14:paraId="3FC7E0B7">
            <w:pPr>
              <w:widowControl/>
              <w:kinsoku w:val="0"/>
              <w:autoSpaceDE w:val="0"/>
              <w:autoSpaceDN w:val="0"/>
              <w:snapToGrid w:val="0"/>
              <w:ind w:left="116" w:right="103"/>
              <w:jc w:val="left"/>
              <w:textAlignment w:val="baseline"/>
              <w:rPr>
                <w:rFonts w:hint="eastAsia" w:ascii="宋体" w:hAnsi="宋体"/>
                <w:color w:val="000000"/>
                <w:kern w:val="0"/>
                <w:sz w:val="18"/>
                <w:szCs w:val="18"/>
              </w:rPr>
            </w:pPr>
            <w:r>
              <w:rPr>
                <w:rFonts w:hint="eastAsia" w:ascii="宋体" w:hAnsi="宋体"/>
                <w:color w:val="000000"/>
                <w:spacing w:val="11"/>
                <w:kern w:val="0"/>
                <w:sz w:val="18"/>
                <w:szCs w:val="18"/>
              </w:rPr>
              <w:t>相匹配？</w:t>
            </w:r>
          </w:p>
        </w:tc>
        <w:tc>
          <w:tcPr>
            <w:tcW w:w="1384" w:type="dxa"/>
            <w:tcBorders>
              <w:top w:val="single" w:color="auto" w:sz="12" w:space="0"/>
              <w:left w:val="nil"/>
              <w:bottom w:val="single" w:color="auto" w:sz="4" w:space="0"/>
              <w:right w:val="single" w:color="auto" w:sz="12" w:space="0"/>
            </w:tcBorders>
            <w:vAlign w:val="center"/>
          </w:tcPr>
          <w:p w14:paraId="7FE06126">
            <w:pPr>
              <w:widowControl/>
              <w:kinsoku w:val="0"/>
              <w:autoSpaceDE w:val="0"/>
              <w:autoSpaceDN w:val="0"/>
              <w:snapToGrid w:val="0"/>
              <w:ind w:left="127"/>
              <w:jc w:val="left"/>
              <w:textAlignment w:val="baseline"/>
              <w:rPr>
                <w:rFonts w:hint="eastAsia" w:ascii="宋体" w:hAnsi="宋体"/>
                <w:color w:val="000000"/>
                <w:kern w:val="0"/>
                <w:sz w:val="18"/>
                <w:szCs w:val="18"/>
              </w:rPr>
            </w:pPr>
            <w:r>
              <w:rPr>
                <w:rFonts w:hint="eastAsia" w:ascii="宋体" w:hAnsi="宋体"/>
                <w:color w:val="000000"/>
                <w:kern w:val="0"/>
              </w:rPr>
              <w:t>□</w:t>
            </w:r>
            <w:r>
              <w:rPr>
                <w:rFonts w:hint="eastAsia" w:ascii="宋体" w:hAnsi="宋体"/>
                <w:color w:val="000000"/>
                <w:spacing w:val="22"/>
                <w:kern w:val="0"/>
                <w:sz w:val="18"/>
                <w:szCs w:val="18"/>
              </w:rPr>
              <w:t xml:space="preserve">是  </w:t>
            </w:r>
            <w:r>
              <w:rPr>
                <w:rFonts w:hint="eastAsia" w:ascii="宋体" w:hAnsi="宋体"/>
                <w:color w:val="000000"/>
                <w:kern w:val="0"/>
              </w:rPr>
              <w:t>□</w:t>
            </w:r>
            <w:r>
              <w:rPr>
                <w:rFonts w:hint="eastAsia" w:ascii="宋体" w:hAnsi="宋体"/>
                <w:color w:val="000000"/>
                <w:spacing w:val="22"/>
                <w:kern w:val="0"/>
                <w:sz w:val="18"/>
                <w:szCs w:val="18"/>
              </w:rPr>
              <w:t>否</w:t>
            </w:r>
          </w:p>
        </w:tc>
      </w:tr>
      <w:tr w14:paraId="2BD2B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034" w:type="dxa"/>
            <w:vMerge w:val="continue"/>
            <w:tcBorders>
              <w:top w:val="single" w:color="auto" w:sz="12" w:space="0"/>
              <w:left w:val="single" w:color="auto" w:sz="12" w:space="0"/>
              <w:bottom w:val="single" w:color="auto" w:sz="4" w:space="0"/>
              <w:right w:val="single" w:color="auto" w:sz="4" w:space="0"/>
            </w:tcBorders>
            <w:vAlign w:val="center"/>
          </w:tcPr>
          <w:p w14:paraId="62C0052B">
            <w:pPr>
              <w:widowControl/>
              <w:jc w:val="left"/>
              <w:rPr>
                <w:rFonts w:hint="eastAsia" w:ascii="宋体" w:hAnsi="宋体"/>
                <w:color w:val="000000"/>
                <w:kern w:val="0"/>
                <w:sz w:val="18"/>
                <w:szCs w:val="18"/>
              </w:rPr>
            </w:pPr>
          </w:p>
        </w:tc>
        <w:tc>
          <w:tcPr>
            <w:tcW w:w="1161" w:type="dxa"/>
            <w:gridSpan w:val="2"/>
            <w:tcBorders>
              <w:top w:val="single" w:color="auto" w:sz="4" w:space="0"/>
              <w:left w:val="nil"/>
              <w:bottom w:val="single" w:color="auto" w:sz="4" w:space="0"/>
              <w:right w:val="single" w:color="auto" w:sz="4" w:space="0"/>
            </w:tcBorders>
            <w:vAlign w:val="center"/>
          </w:tcPr>
          <w:p w14:paraId="65E07991">
            <w:pPr>
              <w:widowControl/>
              <w:kinsoku w:val="0"/>
              <w:autoSpaceDE w:val="0"/>
              <w:autoSpaceDN w:val="0"/>
              <w:snapToGrid w:val="0"/>
              <w:ind w:left="229"/>
              <w:jc w:val="left"/>
              <w:textAlignment w:val="baseline"/>
              <w:rPr>
                <w:rFonts w:hint="eastAsia" w:ascii="宋体" w:hAnsi="宋体"/>
                <w:color w:val="000000"/>
                <w:kern w:val="0"/>
                <w:sz w:val="18"/>
                <w:szCs w:val="18"/>
              </w:rPr>
            </w:pPr>
            <w:r>
              <w:rPr>
                <w:rFonts w:hint="eastAsia" w:ascii="宋体" w:hAnsi="宋体"/>
                <w:color w:val="000000"/>
                <w:spacing w:val="5"/>
                <w:kern w:val="0"/>
                <w:sz w:val="18"/>
                <w:szCs w:val="18"/>
              </w:rPr>
              <w:t>协调性</w:t>
            </w:r>
          </w:p>
        </w:tc>
        <w:tc>
          <w:tcPr>
            <w:tcW w:w="5301" w:type="dxa"/>
            <w:gridSpan w:val="2"/>
            <w:tcBorders>
              <w:top w:val="single" w:color="auto" w:sz="4" w:space="0"/>
              <w:left w:val="nil"/>
              <w:bottom w:val="single" w:color="auto" w:sz="4" w:space="0"/>
              <w:right w:val="single" w:color="auto" w:sz="4" w:space="0"/>
            </w:tcBorders>
            <w:vAlign w:val="center"/>
          </w:tcPr>
          <w:p w14:paraId="7FBD4248">
            <w:pPr>
              <w:widowControl/>
              <w:kinsoku w:val="0"/>
              <w:autoSpaceDE w:val="0"/>
              <w:autoSpaceDN w:val="0"/>
              <w:snapToGrid w:val="0"/>
              <w:ind w:left="116" w:right="103"/>
              <w:jc w:val="left"/>
              <w:textAlignment w:val="baseline"/>
              <w:rPr>
                <w:rFonts w:hint="eastAsia" w:ascii="宋体" w:hAnsi="宋体"/>
                <w:color w:val="000000"/>
                <w:kern w:val="0"/>
                <w:sz w:val="18"/>
                <w:szCs w:val="18"/>
              </w:rPr>
            </w:pPr>
            <w:r>
              <w:rPr>
                <w:rFonts w:hint="eastAsia" w:ascii="宋体" w:hAnsi="宋体"/>
                <w:color w:val="000000"/>
                <w:spacing w:val="11"/>
                <w:kern w:val="0"/>
                <w:sz w:val="18"/>
                <w:szCs w:val="18"/>
              </w:rPr>
              <w:t>该标准的特色要求与其他强制性标准的主要技术指标、相关法律法规、部门规章或产业政策是否</w:t>
            </w:r>
            <w:r>
              <w:rPr>
                <w:rFonts w:hint="eastAsia" w:ascii="宋体" w:hAnsi="宋体"/>
                <w:color w:val="000000"/>
                <w:spacing w:val="2"/>
                <w:kern w:val="0"/>
                <w:sz w:val="18"/>
                <w:szCs w:val="18"/>
              </w:rPr>
              <w:t>协调？</w:t>
            </w:r>
          </w:p>
        </w:tc>
        <w:tc>
          <w:tcPr>
            <w:tcW w:w="1384" w:type="dxa"/>
            <w:tcBorders>
              <w:top w:val="single" w:color="auto" w:sz="4" w:space="0"/>
              <w:left w:val="nil"/>
              <w:bottom w:val="single" w:color="auto" w:sz="4" w:space="0"/>
              <w:right w:val="single" w:color="auto" w:sz="12" w:space="0"/>
            </w:tcBorders>
            <w:vAlign w:val="center"/>
          </w:tcPr>
          <w:p w14:paraId="2BAD4735">
            <w:pPr>
              <w:widowControl/>
              <w:kinsoku w:val="0"/>
              <w:autoSpaceDE w:val="0"/>
              <w:autoSpaceDN w:val="0"/>
              <w:snapToGrid w:val="0"/>
              <w:ind w:left="127"/>
              <w:jc w:val="left"/>
              <w:textAlignment w:val="baseline"/>
              <w:rPr>
                <w:rFonts w:hint="eastAsia" w:ascii="宋体" w:hAnsi="宋体"/>
                <w:color w:val="000000"/>
                <w:kern w:val="0"/>
                <w:sz w:val="18"/>
                <w:szCs w:val="18"/>
              </w:rPr>
            </w:pPr>
            <w:r>
              <w:rPr>
                <w:rFonts w:hint="eastAsia" w:ascii="宋体" w:hAnsi="宋体"/>
                <w:color w:val="000000"/>
                <w:kern w:val="0"/>
              </w:rPr>
              <w:t>□</w:t>
            </w:r>
            <w:r>
              <w:rPr>
                <w:rFonts w:hint="eastAsia" w:ascii="宋体" w:hAnsi="宋体"/>
                <w:color w:val="000000"/>
                <w:spacing w:val="22"/>
                <w:kern w:val="0"/>
                <w:sz w:val="18"/>
                <w:szCs w:val="18"/>
              </w:rPr>
              <w:t xml:space="preserve">是  </w:t>
            </w:r>
            <w:r>
              <w:rPr>
                <w:rFonts w:hint="eastAsia" w:ascii="宋体" w:hAnsi="宋体"/>
                <w:color w:val="000000"/>
                <w:kern w:val="0"/>
              </w:rPr>
              <w:t>□</w:t>
            </w:r>
            <w:r>
              <w:rPr>
                <w:rFonts w:hint="eastAsia" w:ascii="宋体" w:hAnsi="宋体"/>
                <w:color w:val="000000"/>
                <w:spacing w:val="22"/>
                <w:kern w:val="0"/>
                <w:sz w:val="18"/>
                <w:szCs w:val="18"/>
              </w:rPr>
              <w:t>否</w:t>
            </w:r>
          </w:p>
        </w:tc>
      </w:tr>
      <w:tr w14:paraId="52A8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034" w:type="dxa"/>
            <w:vMerge w:val="continue"/>
            <w:tcBorders>
              <w:top w:val="single" w:color="auto" w:sz="12" w:space="0"/>
              <w:left w:val="single" w:color="auto" w:sz="12" w:space="0"/>
              <w:bottom w:val="single" w:color="auto" w:sz="4" w:space="0"/>
              <w:right w:val="single" w:color="auto" w:sz="4" w:space="0"/>
            </w:tcBorders>
            <w:vAlign w:val="center"/>
          </w:tcPr>
          <w:p w14:paraId="5EFAFD5E">
            <w:pPr>
              <w:widowControl/>
              <w:jc w:val="left"/>
              <w:rPr>
                <w:rFonts w:hint="eastAsia" w:ascii="宋体" w:hAnsi="宋体"/>
                <w:color w:val="000000"/>
                <w:kern w:val="0"/>
                <w:sz w:val="18"/>
                <w:szCs w:val="18"/>
              </w:rPr>
            </w:pPr>
          </w:p>
        </w:tc>
        <w:tc>
          <w:tcPr>
            <w:tcW w:w="1161" w:type="dxa"/>
            <w:gridSpan w:val="2"/>
            <w:tcBorders>
              <w:top w:val="single" w:color="auto" w:sz="4" w:space="0"/>
              <w:left w:val="nil"/>
              <w:bottom w:val="single" w:color="auto" w:sz="4" w:space="0"/>
              <w:right w:val="single" w:color="auto" w:sz="4" w:space="0"/>
            </w:tcBorders>
            <w:vAlign w:val="center"/>
          </w:tcPr>
          <w:p w14:paraId="5780DCB1">
            <w:pPr>
              <w:widowControl/>
              <w:kinsoku w:val="0"/>
              <w:autoSpaceDE w:val="0"/>
              <w:autoSpaceDN w:val="0"/>
              <w:snapToGrid w:val="0"/>
              <w:ind w:left="351"/>
              <w:jc w:val="left"/>
              <w:textAlignment w:val="baseline"/>
              <w:rPr>
                <w:rFonts w:hint="eastAsia" w:ascii="宋体" w:hAnsi="宋体"/>
                <w:color w:val="000000"/>
                <w:kern w:val="0"/>
                <w:sz w:val="18"/>
                <w:szCs w:val="18"/>
              </w:rPr>
            </w:pPr>
            <w:r>
              <w:rPr>
                <w:rFonts w:hint="eastAsia" w:ascii="宋体" w:hAnsi="宋体"/>
                <w:color w:val="000000"/>
                <w:spacing w:val="2"/>
                <w:kern w:val="0"/>
                <w:position w:val="12"/>
                <w:sz w:val="18"/>
                <w:szCs w:val="18"/>
              </w:rPr>
              <w:t>执行</w:t>
            </w:r>
          </w:p>
          <w:p w14:paraId="211C6194">
            <w:pPr>
              <w:widowControl/>
              <w:kinsoku w:val="0"/>
              <w:autoSpaceDE w:val="0"/>
              <w:autoSpaceDN w:val="0"/>
              <w:snapToGrid w:val="0"/>
              <w:ind w:left="355"/>
              <w:jc w:val="left"/>
              <w:textAlignment w:val="baseline"/>
              <w:rPr>
                <w:rFonts w:hint="eastAsia" w:ascii="宋体" w:hAnsi="宋体"/>
                <w:color w:val="000000"/>
                <w:kern w:val="0"/>
                <w:sz w:val="18"/>
                <w:szCs w:val="18"/>
              </w:rPr>
            </w:pPr>
            <w:r>
              <w:rPr>
                <w:rFonts w:hint="eastAsia" w:ascii="宋体" w:hAnsi="宋体"/>
                <w:color w:val="000000"/>
                <w:kern w:val="0"/>
                <w:sz w:val="18"/>
                <w:szCs w:val="18"/>
              </w:rPr>
              <w:t>情况</w:t>
            </w:r>
          </w:p>
        </w:tc>
        <w:tc>
          <w:tcPr>
            <w:tcW w:w="5301" w:type="dxa"/>
            <w:gridSpan w:val="2"/>
            <w:tcBorders>
              <w:top w:val="single" w:color="auto" w:sz="4" w:space="0"/>
              <w:left w:val="nil"/>
              <w:bottom w:val="single" w:color="auto" w:sz="4" w:space="0"/>
              <w:right w:val="single" w:color="auto" w:sz="4" w:space="0"/>
            </w:tcBorders>
            <w:vAlign w:val="center"/>
          </w:tcPr>
          <w:p w14:paraId="3D7E6144">
            <w:pPr>
              <w:widowControl/>
              <w:kinsoku w:val="0"/>
              <w:autoSpaceDE w:val="0"/>
              <w:autoSpaceDN w:val="0"/>
              <w:snapToGrid w:val="0"/>
              <w:ind w:left="116" w:right="103"/>
              <w:jc w:val="left"/>
              <w:textAlignment w:val="baseline"/>
              <w:rPr>
                <w:rFonts w:hint="eastAsia" w:ascii="宋体" w:hAnsi="宋体"/>
                <w:color w:val="000000"/>
                <w:spacing w:val="11"/>
                <w:kern w:val="0"/>
                <w:sz w:val="18"/>
                <w:szCs w:val="18"/>
              </w:rPr>
            </w:pPr>
            <w:r>
              <w:rPr>
                <w:rFonts w:hint="eastAsia" w:ascii="宋体" w:hAnsi="宋体"/>
                <w:color w:val="000000"/>
                <w:spacing w:val="11"/>
                <w:kern w:val="0"/>
                <w:sz w:val="18"/>
                <w:szCs w:val="18"/>
              </w:rPr>
              <w:t>标准执行单位或人员是否按照标准要求组织开展</w:t>
            </w:r>
          </w:p>
          <w:p w14:paraId="3B8D5E2F">
            <w:pPr>
              <w:widowControl/>
              <w:kinsoku w:val="0"/>
              <w:autoSpaceDE w:val="0"/>
              <w:autoSpaceDN w:val="0"/>
              <w:snapToGrid w:val="0"/>
              <w:ind w:left="116" w:right="103"/>
              <w:jc w:val="left"/>
              <w:textAlignment w:val="baseline"/>
              <w:rPr>
                <w:rFonts w:hint="eastAsia" w:ascii="宋体" w:hAnsi="宋体"/>
                <w:color w:val="000000"/>
                <w:kern w:val="0"/>
                <w:sz w:val="18"/>
                <w:szCs w:val="18"/>
              </w:rPr>
            </w:pPr>
            <w:r>
              <w:rPr>
                <w:rFonts w:hint="eastAsia" w:ascii="宋体" w:hAnsi="宋体"/>
                <w:color w:val="000000"/>
                <w:spacing w:val="11"/>
                <w:kern w:val="0"/>
                <w:sz w:val="18"/>
                <w:szCs w:val="18"/>
              </w:rPr>
              <w:t>相关工作？</w:t>
            </w:r>
          </w:p>
        </w:tc>
        <w:tc>
          <w:tcPr>
            <w:tcW w:w="1384" w:type="dxa"/>
            <w:tcBorders>
              <w:top w:val="single" w:color="auto" w:sz="4" w:space="0"/>
              <w:left w:val="nil"/>
              <w:bottom w:val="single" w:color="auto" w:sz="4" w:space="0"/>
              <w:right w:val="single" w:color="auto" w:sz="12" w:space="0"/>
            </w:tcBorders>
            <w:vAlign w:val="center"/>
          </w:tcPr>
          <w:p w14:paraId="32627239">
            <w:pPr>
              <w:widowControl/>
              <w:kinsoku w:val="0"/>
              <w:autoSpaceDE w:val="0"/>
              <w:autoSpaceDN w:val="0"/>
              <w:snapToGrid w:val="0"/>
              <w:ind w:left="127"/>
              <w:jc w:val="left"/>
              <w:textAlignment w:val="baseline"/>
              <w:rPr>
                <w:rFonts w:hint="eastAsia" w:ascii="宋体" w:hAnsi="宋体"/>
                <w:color w:val="000000"/>
                <w:kern w:val="0"/>
                <w:sz w:val="18"/>
                <w:szCs w:val="18"/>
              </w:rPr>
            </w:pPr>
            <w:r>
              <w:rPr>
                <w:rFonts w:hint="eastAsia" w:ascii="宋体" w:hAnsi="宋体"/>
                <w:color w:val="000000"/>
                <w:kern w:val="0"/>
              </w:rPr>
              <w:t>□</w:t>
            </w:r>
            <w:r>
              <w:rPr>
                <w:rFonts w:hint="eastAsia" w:ascii="宋体" w:hAnsi="宋体"/>
                <w:color w:val="000000"/>
                <w:spacing w:val="22"/>
                <w:kern w:val="0"/>
                <w:sz w:val="18"/>
                <w:szCs w:val="18"/>
              </w:rPr>
              <w:t xml:space="preserve">是  </w:t>
            </w:r>
            <w:r>
              <w:rPr>
                <w:rFonts w:hint="eastAsia" w:ascii="宋体" w:hAnsi="宋体"/>
                <w:color w:val="000000"/>
                <w:kern w:val="0"/>
              </w:rPr>
              <w:t>□</w:t>
            </w:r>
            <w:r>
              <w:rPr>
                <w:rFonts w:hint="eastAsia" w:ascii="宋体" w:hAnsi="宋体"/>
                <w:color w:val="000000"/>
                <w:spacing w:val="22"/>
                <w:kern w:val="0"/>
                <w:sz w:val="18"/>
                <w:szCs w:val="18"/>
              </w:rPr>
              <w:t>否</w:t>
            </w:r>
          </w:p>
        </w:tc>
      </w:tr>
      <w:tr w14:paraId="0DE03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1211" w:type="dxa"/>
            <w:vMerge w:val="restart"/>
            <w:tcBorders>
              <w:top w:val="nil"/>
              <w:left w:val="single" w:color="auto" w:sz="12" w:space="0"/>
              <w:bottom w:val="single" w:color="auto" w:sz="4" w:space="0"/>
              <w:right w:val="single" w:color="auto" w:sz="4" w:space="0"/>
            </w:tcBorders>
            <w:vAlign w:val="center"/>
          </w:tcPr>
          <w:p w14:paraId="05BC42A4">
            <w:pPr>
              <w:widowControl/>
              <w:kinsoku w:val="0"/>
              <w:autoSpaceDE w:val="0"/>
              <w:autoSpaceDN w:val="0"/>
              <w:snapToGrid w:val="0"/>
              <w:ind w:left="143"/>
              <w:jc w:val="left"/>
              <w:textAlignment w:val="baseline"/>
              <w:rPr>
                <w:rFonts w:hint="eastAsia" w:ascii="宋体" w:hAnsi="宋体"/>
                <w:color w:val="000000"/>
                <w:kern w:val="0"/>
                <w:sz w:val="18"/>
                <w:szCs w:val="18"/>
              </w:rPr>
            </w:pPr>
            <w:r>
              <w:rPr>
                <w:rFonts w:hint="eastAsia" w:ascii="宋体" w:hAnsi="宋体"/>
                <w:color w:val="000000"/>
                <w:spacing w:val="4"/>
                <w:kern w:val="0"/>
                <w:sz w:val="18"/>
                <w:szCs w:val="18"/>
              </w:rPr>
              <w:t>实施信息</w:t>
            </w:r>
          </w:p>
        </w:tc>
        <w:tc>
          <w:tcPr>
            <w:tcW w:w="6462" w:type="dxa"/>
            <w:gridSpan w:val="4"/>
            <w:tcBorders>
              <w:top w:val="single" w:color="auto" w:sz="4" w:space="0"/>
              <w:left w:val="nil"/>
              <w:bottom w:val="single" w:color="auto" w:sz="4" w:space="0"/>
              <w:right w:val="single" w:color="auto" w:sz="4" w:space="0"/>
            </w:tcBorders>
            <w:vAlign w:val="center"/>
          </w:tcPr>
          <w:p w14:paraId="29D85C3F">
            <w:pPr>
              <w:widowControl/>
              <w:kinsoku w:val="0"/>
              <w:autoSpaceDE w:val="0"/>
              <w:autoSpaceDN w:val="0"/>
              <w:snapToGrid w:val="0"/>
              <w:ind w:left="111"/>
              <w:jc w:val="left"/>
              <w:textAlignment w:val="baseline"/>
              <w:rPr>
                <w:rFonts w:hint="eastAsia" w:ascii="宋体" w:hAnsi="宋体"/>
                <w:color w:val="000000"/>
                <w:kern w:val="0"/>
                <w:sz w:val="18"/>
                <w:szCs w:val="18"/>
              </w:rPr>
            </w:pPr>
            <w:r>
              <w:rPr>
                <w:rFonts w:hint="eastAsia" w:ascii="宋体" w:hAnsi="宋体"/>
                <w:color w:val="000000"/>
                <w:spacing w:val="8"/>
                <w:kern w:val="0"/>
                <w:sz w:val="18"/>
                <w:szCs w:val="18"/>
              </w:rPr>
              <w:t>标准实施过程中是否存在阻力和障碍？</w:t>
            </w:r>
          </w:p>
        </w:tc>
        <w:tc>
          <w:tcPr>
            <w:tcW w:w="1384" w:type="dxa"/>
            <w:tcBorders>
              <w:top w:val="single" w:color="auto" w:sz="4" w:space="0"/>
              <w:left w:val="nil"/>
              <w:bottom w:val="single" w:color="auto" w:sz="4" w:space="0"/>
              <w:right w:val="single" w:color="auto" w:sz="12" w:space="0"/>
            </w:tcBorders>
            <w:vAlign w:val="center"/>
          </w:tcPr>
          <w:p w14:paraId="1D889B4B">
            <w:pPr>
              <w:widowControl/>
              <w:kinsoku w:val="0"/>
              <w:autoSpaceDE w:val="0"/>
              <w:autoSpaceDN w:val="0"/>
              <w:snapToGrid w:val="0"/>
              <w:ind w:left="127"/>
              <w:jc w:val="left"/>
              <w:textAlignment w:val="baseline"/>
              <w:rPr>
                <w:rFonts w:hint="eastAsia" w:ascii="宋体" w:hAnsi="宋体"/>
                <w:color w:val="000000"/>
                <w:kern w:val="0"/>
                <w:sz w:val="18"/>
                <w:szCs w:val="18"/>
              </w:rPr>
            </w:pPr>
            <w:r>
              <w:rPr>
                <w:rFonts w:hint="eastAsia" w:ascii="宋体" w:hAnsi="宋体"/>
                <w:color w:val="000000"/>
                <w:kern w:val="0"/>
              </w:rPr>
              <w:t>□</w:t>
            </w:r>
            <w:r>
              <w:rPr>
                <w:rFonts w:hint="eastAsia" w:ascii="宋体" w:hAnsi="宋体"/>
                <w:color w:val="000000"/>
                <w:spacing w:val="22"/>
                <w:kern w:val="0"/>
                <w:sz w:val="18"/>
                <w:szCs w:val="18"/>
              </w:rPr>
              <w:t xml:space="preserve">是  </w:t>
            </w:r>
            <w:r>
              <w:rPr>
                <w:rFonts w:hint="eastAsia" w:ascii="宋体" w:hAnsi="宋体"/>
                <w:color w:val="000000"/>
                <w:kern w:val="0"/>
              </w:rPr>
              <w:t>□</w:t>
            </w:r>
            <w:r>
              <w:rPr>
                <w:rFonts w:hint="eastAsia" w:ascii="宋体" w:hAnsi="宋体"/>
                <w:color w:val="000000"/>
                <w:spacing w:val="22"/>
                <w:kern w:val="0"/>
                <w:sz w:val="18"/>
                <w:szCs w:val="18"/>
              </w:rPr>
              <w:t>否</w:t>
            </w:r>
          </w:p>
        </w:tc>
      </w:tr>
      <w:tr w14:paraId="309C3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034" w:type="dxa"/>
            <w:vMerge w:val="continue"/>
            <w:tcBorders>
              <w:top w:val="nil"/>
              <w:left w:val="single" w:color="auto" w:sz="12" w:space="0"/>
              <w:bottom w:val="single" w:color="auto" w:sz="4" w:space="0"/>
              <w:right w:val="single" w:color="auto" w:sz="4" w:space="0"/>
            </w:tcBorders>
            <w:vAlign w:val="center"/>
          </w:tcPr>
          <w:p w14:paraId="521B33B7">
            <w:pPr>
              <w:widowControl/>
              <w:jc w:val="left"/>
              <w:rPr>
                <w:rFonts w:hint="eastAsia" w:ascii="宋体" w:hAnsi="宋体"/>
                <w:color w:val="000000"/>
                <w:kern w:val="0"/>
                <w:sz w:val="18"/>
                <w:szCs w:val="18"/>
              </w:rPr>
            </w:pPr>
          </w:p>
        </w:tc>
        <w:tc>
          <w:tcPr>
            <w:tcW w:w="3353" w:type="dxa"/>
            <w:gridSpan w:val="3"/>
            <w:tcBorders>
              <w:top w:val="single" w:color="auto" w:sz="4" w:space="0"/>
              <w:left w:val="nil"/>
              <w:bottom w:val="single" w:color="auto" w:sz="4" w:space="0"/>
              <w:right w:val="single" w:color="auto" w:sz="4" w:space="0"/>
            </w:tcBorders>
            <w:vAlign w:val="center"/>
          </w:tcPr>
          <w:p w14:paraId="6B08A9E9">
            <w:pPr>
              <w:widowControl/>
              <w:kinsoku w:val="0"/>
              <w:autoSpaceDE w:val="0"/>
              <w:autoSpaceDN w:val="0"/>
              <w:snapToGrid w:val="0"/>
              <w:ind w:left="125"/>
              <w:jc w:val="left"/>
              <w:textAlignment w:val="baseline"/>
              <w:rPr>
                <w:rFonts w:hint="eastAsia" w:ascii="宋体" w:hAnsi="宋体"/>
                <w:color w:val="000000"/>
                <w:kern w:val="0"/>
                <w:sz w:val="18"/>
                <w:szCs w:val="18"/>
              </w:rPr>
            </w:pPr>
            <w:r>
              <w:rPr>
                <w:rFonts w:hint="eastAsia" w:ascii="宋体" w:hAnsi="宋体"/>
                <w:color w:val="000000"/>
                <w:spacing w:val="8"/>
                <w:kern w:val="0"/>
                <w:sz w:val="18"/>
                <w:szCs w:val="18"/>
              </w:rPr>
              <w:t>实施过程中存在的主要问题</w:t>
            </w:r>
          </w:p>
        </w:tc>
        <w:tc>
          <w:tcPr>
            <w:tcW w:w="4493" w:type="dxa"/>
            <w:gridSpan w:val="2"/>
            <w:tcBorders>
              <w:top w:val="single" w:color="auto" w:sz="4" w:space="0"/>
              <w:left w:val="nil"/>
              <w:bottom w:val="single" w:color="auto" w:sz="4" w:space="0"/>
              <w:right w:val="single" w:color="auto" w:sz="12" w:space="0"/>
            </w:tcBorders>
            <w:vAlign w:val="center"/>
          </w:tcPr>
          <w:p w14:paraId="3569A32B">
            <w:pPr>
              <w:jc w:val="left"/>
              <w:rPr>
                <w:rFonts w:hint="eastAsia" w:ascii="宋体" w:hAnsi="宋体" w:cs="Arial"/>
                <w:color w:val="000000"/>
                <w:kern w:val="0"/>
                <w:sz w:val="18"/>
                <w:szCs w:val="18"/>
              </w:rPr>
            </w:pPr>
          </w:p>
        </w:tc>
      </w:tr>
      <w:tr w14:paraId="1F1B7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1211" w:type="dxa"/>
            <w:vMerge w:val="restart"/>
            <w:tcBorders>
              <w:top w:val="nil"/>
              <w:left w:val="single" w:color="auto" w:sz="12" w:space="0"/>
              <w:bottom w:val="single" w:color="auto" w:sz="4" w:space="0"/>
              <w:right w:val="single" w:color="auto" w:sz="4" w:space="0"/>
            </w:tcBorders>
            <w:vAlign w:val="center"/>
          </w:tcPr>
          <w:p w14:paraId="18E55712">
            <w:pPr>
              <w:widowControl/>
              <w:kinsoku w:val="0"/>
              <w:autoSpaceDE w:val="0"/>
              <w:autoSpaceDN w:val="0"/>
              <w:snapToGrid w:val="0"/>
              <w:ind w:left="126"/>
              <w:jc w:val="left"/>
              <w:textAlignment w:val="baseline"/>
              <w:rPr>
                <w:rFonts w:hint="eastAsia" w:ascii="宋体" w:hAnsi="宋体"/>
                <w:color w:val="000000"/>
                <w:kern w:val="0"/>
                <w:sz w:val="18"/>
                <w:szCs w:val="18"/>
              </w:rPr>
            </w:pPr>
            <w:r>
              <w:rPr>
                <w:rFonts w:hint="eastAsia" w:ascii="宋体" w:hAnsi="宋体"/>
                <w:color w:val="000000"/>
                <w:spacing w:val="8"/>
                <w:kern w:val="0"/>
                <w:sz w:val="18"/>
                <w:szCs w:val="18"/>
              </w:rPr>
              <w:t>修改意见</w:t>
            </w:r>
          </w:p>
        </w:tc>
        <w:tc>
          <w:tcPr>
            <w:tcW w:w="1161" w:type="dxa"/>
            <w:gridSpan w:val="2"/>
            <w:tcBorders>
              <w:top w:val="single" w:color="auto" w:sz="4" w:space="0"/>
              <w:left w:val="nil"/>
              <w:bottom w:val="single" w:color="auto" w:sz="4" w:space="0"/>
              <w:right w:val="single" w:color="auto" w:sz="4" w:space="0"/>
            </w:tcBorders>
            <w:vAlign w:val="center"/>
          </w:tcPr>
          <w:p w14:paraId="1B3DE2A4">
            <w:pPr>
              <w:widowControl/>
              <w:kinsoku w:val="0"/>
              <w:autoSpaceDE w:val="0"/>
              <w:autoSpaceDN w:val="0"/>
              <w:snapToGrid w:val="0"/>
              <w:ind w:left="361"/>
              <w:jc w:val="left"/>
              <w:textAlignment w:val="baseline"/>
              <w:rPr>
                <w:rFonts w:hint="eastAsia" w:ascii="宋体" w:hAnsi="宋体"/>
                <w:color w:val="000000"/>
                <w:spacing w:val="-3"/>
                <w:kern w:val="0"/>
                <w:position w:val="12"/>
                <w:sz w:val="18"/>
                <w:szCs w:val="18"/>
              </w:rPr>
            </w:pPr>
            <w:r>
              <w:rPr>
                <w:rFonts w:hint="eastAsia" w:ascii="宋体" w:hAnsi="宋体"/>
                <w:color w:val="000000"/>
                <w:spacing w:val="-3"/>
                <w:kern w:val="0"/>
                <w:position w:val="12"/>
                <w:sz w:val="18"/>
                <w:szCs w:val="18"/>
              </w:rPr>
              <w:t>总体</w:t>
            </w:r>
          </w:p>
          <w:p w14:paraId="7BE3A5E1">
            <w:pPr>
              <w:widowControl/>
              <w:kinsoku w:val="0"/>
              <w:autoSpaceDE w:val="0"/>
              <w:autoSpaceDN w:val="0"/>
              <w:snapToGrid w:val="0"/>
              <w:ind w:left="361"/>
              <w:jc w:val="left"/>
              <w:textAlignment w:val="baseline"/>
              <w:rPr>
                <w:rFonts w:hint="eastAsia" w:ascii="宋体" w:hAnsi="宋体"/>
                <w:color w:val="000000"/>
                <w:kern w:val="0"/>
                <w:sz w:val="18"/>
                <w:szCs w:val="18"/>
              </w:rPr>
            </w:pPr>
            <w:r>
              <w:rPr>
                <w:rFonts w:hint="eastAsia" w:ascii="宋体" w:hAnsi="宋体"/>
                <w:color w:val="000000"/>
                <w:spacing w:val="-3"/>
                <w:kern w:val="0"/>
                <w:sz w:val="18"/>
                <w:szCs w:val="18"/>
              </w:rPr>
              <w:t>意见</w:t>
            </w:r>
          </w:p>
        </w:tc>
        <w:tc>
          <w:tcPr>
            <w:tcW w:w="6685" w:type="dxa"/>
            <w:gridSpan w:val="3"/>
            <w:tcBorders>
              <w:top w:val="single" w:color="auto" w:sz="4" w:space="0"/>
              <w:left w:val="nil"/>
              <w:bottom w:val="single" w:color="auto" w:sz="4" w:space="0"/>
              <w:right w:val="single" w:color="auto" w:sz="12" w:space="0"/>
            </w:tcBorders>
            <w:vAlign w:val="center"/>
          </w:tcPr>
          <w:p w14:paraId="61C54F8A">
            <w:pPr>
              <w:widowControl/>
              <w:kinsoku w:val="0"/>
              <w:autoSpaceDE w:val="0"/>
              <w:autoSpaceDN w:val="0"/>
              <w:snapToGrid w:val="0"/>
              <w:ind w:left="124"/>
              <w:jc w:val="left"/>
              <w:textAlignment w:val="baseline"/>
              <w:rPr>
                <w:rFonts w:hint="eastAsia" w:ascii="宋体" w:hAnsi="宋体"/>
                <w:color w:val="000000"/>
                <w:kern w:val="0"/>
                <w:sz w:val="18"/>
                <w:szCs w:val="18"/>
              </w:rPr>
            </w:pPr>
            <w:r>
              <w:rPr>
                <w:rFonts w:hint="eastAsia" w:ascii="宋体" w:hAnsi="宋体"/>
                <w:color w:val="000000"/>
                <w:kern w:val="0"/>
              </w:rPr>
              <w:t>□</w:t>
            </w:r>
            <w:r>
              <w:rPr>
                <w:rFonts w:hint="eastAsia" w:ascii="宋体" w:hAnsi="宋体"/>
                <w:color w:val="000000"/>
                <w:spacing w:val="14"/>
                <w:kern w:val="0"/>
                <w:sz w:val="18"/>
                <w:szCs w:val="18"/>
              </w:rPr>
              <w:t xml:space="preserve">适用    </w:t>
            </w:r>
            <w:r>
              <w:rPr>
                <w:rFonts w:hint="eastAsia" w:ascii="宋体" w:hAnsi="宋体"/>
                <w:color w:val="000000"/>
                <w:kern w:val="0"/>
              </w:rPr>
              <w:t>□</w:t>
            </w:r>
            <w:r>
              <w:rPr>
                <w:rFonts w:hint="eastAsia" w:ascii="宋体" w:hAnsi="宋体"/>
                <w:color w:val="000000"/>
                <w:spacing w:val="14"/>
                <w:kern w:val="0"/>
                <w:sz w:val="18"/>
                <w:szCs w:val="18"/>
              </w:rPr>
              <w:t xml:space="preserve">修改    </w:t>
            </w:r>
            <w:r>
              <w:rPr>
                <w:rFonts w:hint="eastAsia" w:ascii="宋体" w:hAnsi="宋体"/>
                <w:color w:val="000000"/>
                <w:kern w:val="0"/>
              </w:rPr>
              <w:t>□</w:t>
            </w:r>
            <w:r>
              <w:rPr>
                <w:rFonts w:hint="eastAsia" w:ascii="宋体" w:hAnsi="宋体"/>
                <w:color w:val="000000"/>
                <w:spacing w:val="14"/>
                <w:kern w:val="0"/>
                <w:sz w:val="18"/>
                <w:szCs w:val="18"/>
              </w:rPr>
              <w:t>废止</w:t>
            </w:r>
          </w:p>
        </w:tc>
      </w:tr>
      <w:tr w14:paraId="01346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034" w:type="dxa"/>
            <w:vMerge w:val="continue"/>
            <w:tcBorders>
              <w:top w:val="nil"/>
              <w:left w:val="single" w:color="auto" w:sz="12" w:space="0"/>
              <w:bottom w:val="single" w:color="auto" w:sz="4" w:space="0"/>
              <w:right w:val="single" w:color="auto" w:sz="4" w:space="0"/>
            </w:tcBorders>
            <w:vAlign w:val="center"/>
          </w:tcPr>
          <w:p w14:paraId="2847C07C">
            <w:pPr>
              <w:widowControl/>
              <w:jc w:val="left"/>
              <w:rPr>
                <w:rFonts w:hint="eastAsia" w:ascii="宋体" w:hAnsi="宋体"/>
                <w:color w:val="000000"/>
                <w:kern w:val="0"/>
                <w:sz w:val="18"/>
                <w:szCs w:val="18"/>
              </w:rPr>
            </w:pPr>
          </w:p>
        </w:tc>
        <w:tc>
          <w:tcPr>
            <w:tcW w:w="1161" w:type="dxa"/>
            <w:gridSpan w:val="2"/>
            <w:tcBorders>
              <w:top w:val="single" w:color="auto" w:sz="4" w:space="0"/>
              <w:left w:val="nil"/>
              <w:bottom w:val="single" w:color="000000" w:sz="2" w:space="0"/>
              <w:right w:val="single" w:color="auto" w:sz="4" w:space="0"/>
            </w:tcBorders>
            <w:vAlign w:val="center"/>
          </w:tcPr>
          <w:p w14:paraId="0C170462">
            <w:pPr>
              <w:widowControl/>
              <w:kinsoku w:val="0"/>
              <w:autoSpaceDE w:val="0"/>
              <w:autoSpaceDN w:val="0"/>
              <w:snapToGrid w:val="0"/>
              <w:ind w:left="233"/>
              <w:jc w:val="left"/>
              <w:textAlignment w:val="baseline"/>
              <w:rPr>
                <w:rFonts w:hint="eastAsia" w:ascii="宋体" w:hAnsi="宋体"/>
                <w:color w:val="000000"/>
                <w:kern w:val="0"/>
                <w:sz w:val="18"/>
                <w:szCs w:val="18"/>
              </w:rPr>
            </w:pPr>
            <w:r>
              <w:rPr>
                <w:rFonts w:hint="eastAsia" w:ascii="宋体" w:hAnsi="宋体"/>
                <w:color w:val="000000"/>
                <w:spacing w:val="4"/>
                <w:kern w:val="0"/>
                <w:position w:val="12"/>
                <w:sz w:val="18"/>
                <w:szCs w:val="18"/>
              </w:rPr>
              <w:t>具体修</w:t>
            </w:r>
          </w:p>
          <w:p w14:paraId="7F61EE37">
            <w:pPr>
              <w:widowControl/>
              <w:kinsoku w:val="0"/>
              <w:autoSpaceDE w:val="0"/>
              <w:autoSpaceDN w:val="0"/>
              <w:snapToGrid w:val="0"/>
              <w:ind w:left="251"/>
              <w:jc w:val="left"/>
              <w:textAlignment w:val="baseline"/>
              <w:rPr>
                <w:rFonts w:hint="eastAsia" w:ascii="宋体" w:hAnsi="宋体"/>
                <w:color w:val="000000"/>
                <w:kern w:val="0"/>
                <w:sz w:val="18"/>
                <w:szCs w:val="18"/>
              </w:rPr>
            </w:pPr>
            <w:r>
              <w:rPr>
                <w:rFonts w:hint="eastAsia" w:ascii="宋体" w:hAnsi="宋体"/>
                <w:color w:val="000000"/>
                <w:spacing w:val="-2"/>
                <w:kern w:val="0"/>
                <w:sz w:val="18"/>
                <w:szCs w:val="18"/>
              </w:rPr>
              <w:t>改意见</w:t>
            </w:r>
          </w:p>
        </w:tc>
        <w:tc>
          <w:tcPr>
            <w:tcW w:w="6685" w:type="dxa"/>
            <w:gridSpan w:val="3"/>
            <w:tcBorders>
              <w:top w:val="single" w:color="auto" w:sz="4" w:space="0"/>
              <w:left w:val="nil"/>
              <w:bottom w:val="single" w:color="000000" w:sz="2" w:space="0"/>
              <w:right w:val="single" w:color="auto" w:sz="12" w:space="0"/>
            </w:tcBorders>
            <w:vAlign w:val="center"/>
          </w:tcPr>
          <w:p w14:paraId="599521B8">
            <w:pPr>
              <w:widowControl/>
              <w:kinsoku w:val="0"/>
              <w:autoSpaceDE w:val="0"/>
              <w:autoSpaceDN w:val="0"/>
              <w:snapToGrid w:val="0"/>
              <w:ind w:left="127"/>
              <w:jc w:val="left"/>
              <w:textAlignment w:val="baseline"/>
              <w:rPr>
                <w:rFonts w:hint="eastAsia" w:ascii="宋体" w:hAnsi="宋体"/>
                <w:color w:val="000000"/>
                <w:kern w:val="0"/>
                <w:sz w:val="18"/>
                <w:szCs w:val="18"/>
              </w:rPr>
            </w:pPr>
            <w:r>
              <w:rPr>
                <w:rFonts w:hint="eastAsia" w:ascii="宋体" w:hAnsi="宋体"/>
                <w:color w:val="000000"/>
                <w:spacing w:val="4"/>
                <w:kern w:val="0"/>
                <w:sz w:val="18"/>
                <w:szCs w:val="18"/>
              </w:rPr>
              <w:t>需修改章节：</w:t>
            </w:r>
          </w:p>
          <w:p w14:paraId="4CB1A1CD">
            <w:pPr>
              <w:widowControl/>
              <w:kinsoku w:val="0"/>
              <w:autoSpaceDE w:val="0"/>
              <w:autoSpaceDN w:val="0"/>
              <w:snapToGrid w:val="0"/>
              <w:ind w:left="121"/>
              <w:jc w:val="left"/>
              <w:textAlignment w:val="baseline"/>
              <w:rPr>
                <w:rFonts w:hint="eastAsia" w:ascii="宋体" w:hAnsi="宋体"/>
                <w:color w:val="000000"/>
                <w:kern w:val="0"/>
                <w:sz w:val="18"/>
                <w:szCs w:val="18"/>
              </w:rPr>
            </w:pPr>
            <w:r>
              <w:rPr>
                <w:rFonts w:hint="eastAsia" w:ascii="宋体" w:hAnsi="宋体"/>
                <w:color w:val="000000"/>
                <w:spacing w:val="6"/>
                <w:kern w:val="0"/>
                <w:sz w:val="18"/>
                <w:szCs w:val="18"/>
              </w:rPr>
              <w:t>具体修改意见：</w:t>
            </w:r>
          </w:p>
        </w:tc>
      </w:tr>
      <w:tr w14:paraId="2BC9A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1211" w:type="dxa"/>
            <w:tcBorders>
              <w:top w:val="single" w:color="auto" w:sz="4" w:space="0"/>
              <w:left w:val="single" w:color="auto" w:sz="12" w:space="0"/>
              <w:bottom w:val="single" w:color="auto" w:sz="4" w:space="0"/>
              <w:right w:val="single" w:color="auto" w:sz="4" w:space="0"/>
            </w:tcBorders>
            <w:vAlign w:val="center"/>
          </w:tcPr>
          <w:p w14:paraId="043D28AA">
            <w:pPr>
              <w:widowControl/>
              <w:kinsoku w:val="0"/>
              <w:autoSpaceDE w:val="0"/>
              <w:autoSpaceDN w:val="0"/>
              <w:snapToGrid w:val="0"/>
              <w:ind w:left="132"/>
              <w:jc w:val="left"/>
              <w:textAlignment w:val="baseline"/>
              <w:rPr>
                <w:rFonts w:hint="eastAsia" w:ascii="宋体" w:hAnsi="宋体"/>
                <w:color w:val="000000"/>
                <w:kern w:val="0"/>
                <w:sz w:val="18"/>
                <w:szCs w:val="18"/>
              </w:rPr>
            </w:pPr>
            <w:r>
              <w:rPr>
                <w:rFonts w:hint="eastAsia" w:ascii="宋体" w:hAnsi="宋体"/>
                <w:color w:val="000000"/>
                <w:spacing w:val="7"/>
                <w:kern w:val="0"/>
                <w:sz w:val="18"/>
                <w:szCs w:val="18"/>
              </w:rPr>
              <w:t>反馈渠道</w:t>
            </w:r>
          </w:p>
        </w:tc>
        <w:tc>
          <w:tcPr>
            <w:tcW w:w="7846" w:type="dxa"/>
            <w:gridSpan w:val="5"/>
            <w:tcBorders>
              <w:top w:val="single" w:color="000000" w:sz="2" w:space="0"/>
              <w:left w:val="nil"/>
              <w:bottom w:val="single" w:color="000000" w:sz="2" w:space="0"/>
              <w:right w:val="single" w:color="auto" w:sz="12" w:space="0"/>
            </w:tcBorders>
            <w:vAlign w:val="center"/>
          </w:tcPr>
          <w:p w14:paraId="4E1C78AF">
            <w:pPr>
              <w:widowControl/>
              <w:kinsoku w:val="0"/>
              <w:autoSpaceDE w:val="0"/>
              <w:autoSpaceDN w:val="0"/>
              <w:snapToGrid w:val="0"/>
              <w:ind w:left="124"/>
              <w:jc w:val="left"/>
              <w:textAlignment w:val="baseline"/>
              <w:rPr>
                <w:rFonts w:hint="eastAsia" w:ascii="宋体" w:hAnsi="宋体"/>
                <w:color w:val="000000"/>
                <w:kern w:val="0"/>
                <w:sz w:val="18"/>
                <w:szCs w:val="18"/>
              </w:rPr>
            </w:pPr>
            <w:r>
              <w:rPr>
                <w:rFonts w:ascii="宋体" w:hAnsi="宋体"/>
                <w:color w:val="000000"/>
                <w:kern w:val="0"/>
              </w:rPr>
              <w:t>□</w:t>
            </w:r>
            <w:r>
              <w:rPr>
                <w:rFonts w:hint="eastAsia" w:ascii="宋体" w:hAnsi="宋体"/>
                <w:color w:val="000000"/>
                <w:spacing w:val="12"/>
                <w:kern w:val="0"/>
                <w:sz w:val="18"/>
                <w:szCs w:val="18"/>
              </w:rPr>
              <w:t>标准化行政主管部门</w:t>
            </w:r>
          </w:p>
          <w:p w14:paraId="3674DFBC">
            <w:pPr>
              <w:widowControl/>
              <w:kinsoku w:val="0"/>
              <w:autoSpaceDE w:val="0"/>
              <w:autoSpaceDN w:val="0"/>
              <w:snapToGrid w:val="0"/>
              <w:ind w:left="124"/>
              <w:jc w:val="left"/>
              <w:textAlignment w:val="baseline"/>
              <w:rPr>
                <w:rFonts w:hint="eastAsia" w:ascii="宋体" w:hAnsi="宋体"/>
                <w:color w:val="000000"/>
                <w:kern w:val="0"/>
                <w:sz w:val="18"/>
                <w:szCs w:val="18"/>
              </w:rPr>
            </w:pPr>
            <w:r>
              <w:rPr>
                <w:rFonts w:ascii="宋体" w:hAnsi="宋体"/>
                <w:color w:val="000000"/>
                <w:kern w:val="0"/>
              </w:rPr>
              <w:t>□</w:t>
            </w:r>
            <w:r>
              <w:rPr>
                <w:rFonts w:hint="eastAsia" w:ascii="宋体" w:hAnsi="宋体"/>
                <w:color w:val="000000"/>
                <w:spacing w:val="12"/>
                <w:kern w:val="0"/>
                <w:sz w:val="18"/>
                <w:szCs w:val="18"/>
              </w:rPr>
              <w:t>省直行业主管部门</w:t>
            </w:r>
          </w:p>
          <w:p w14:paraId="28A6E5FC">
            <w:pPr>
              <w:widowControl/>
              <w:kinsoku w:val="0"/>
              <w:autoSpaceDE w:val="0"/>
              <w:autoSpaceDN w:val="0"/>
              <w:snapToGrid w:val="0"/>
              <w:ind w:left="124"/>
              <w:jc w:val="left"/>
              <w:textAlignment w:val="baseline"/>
              <w:rPr>
                <w:rFonts w:hint="eastAsia" w:ascii="宋体" w:hAnsi="宋体"/>
                <w:color w:val="000000"/>
                <w:kern w:val="0"/>
                <w:sz w:val="18"/>
                <w:szCs w:val="18"/>
              </w:rPr>
            </w:pPr>
            <w:r>
              <w:rPr>
                <w:rFonts w:ascii="宋体" w:hAnsi="宋体"/>
                <w:color w:val="000000"/>
                <w:kern w:val="0"/>
              </w:rPr>
              <w:t>□</w:t>
            </w:r>
            <w:r>
              <w:rPr>
                <w:rFonts w:hint="eastAsia" w:ascii="宋体" w:hAnsi="宋体"/>
                <w:color w:val="000000"/>
                <w:spacing w:val="10"/>
                <w:kern w:val="0"/>
                <w:sz w:val="18"/>
                <w:szCs w:val="18"/>
              </w:rPr>
              <w:t>专业标准化技术委员会（工作组）</w:t>
            </w:r>
          </w:p>
          <w:p w14:paraId="220AD921">
            <w:pPr>
              <w:widowControl/>
              <w:kinsoku w:val="0"/>
              <w:autoSpaceDE w:val="0"/>
              <w:autoSpaceDN w:val="0"/>
              <w:snapToGrid w:val="0"/>
              <w:ind w:left="124"/>
              <w:jc w:val="left"/>
              <w:textAlignment w:val="baseline"/>
              <w:rPr>
                <w:rFonts w:hint="eastAsia" w:ascii="宋体" w:hAnsi="宋体"/>
                <w:color w:val="000000"/>
                <w:kern w:val="0"/>
                <w:sz w:val="18"/>
                <w:szCs w:val="18"/>
              </w:rPr>
            </w:pPr>
            <w:r>
              <w:rPr>
                <w:rFonts w:ascii="宋体" w:hAnsi="宋体"/>
                <w:color w:val="000000"/>
                <w:kern w:val="0"/>
              </w:rPr>
              <w:t>□</w:t>
            </w:r>
            <w:r>
              <w:rPr>
                <w:rFonts w:hint="eastAsia" w:ascii="宋体" w:hAnsi="宋体"/>
                <w:color w:val="000000"/>
                <w:spacing w:val="11"/>
                <w:kern w:val="0"/>
                <w:sz w:val="18"/>
                <w:szCs w:val="18"/>
              </w:rPr>
              <w:t>标准起草组（牵头起草单位）</w:t>
            </w:r>
          </w:p>
        </w:tc>
      </w:tr>
      <w:tr w14:paraId="0FF48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1211" w:type="dxa"/>
            <w:tcBorders>
              <w:top w:val="single" w:color="auto" w:sz="4" w:space="0"/>
              <w:left w:val="single" w:color="auto" w:sz="12" w:space="0"/>
              <w:bottom w:val="single" w:color="auto" w:sz="12" w:space="0"/>
              <w:right w:val="single" w:color="auto" w:sz="4" w:space="0"/>
            </w:tcBorders>
            <w:vAlign w:val="center"/>
          </w:tcPr>
          <w:p w14:paraId="0427900C">
            <w:pPr>
              <w:widowControl/>
              <w:kinsoku w:val="0"/>
              <w:autoSpaceDE w:val="0"/>
              <w:autoSpaceDN w:val="0"/>
              <w:snapToGrid w:val="0"/>
              <w:ind w:left="252"/>
              <w:jc w:val="left"/>
              <w:textAlignment w:val="baseline"/>
              <w:rPr>
                <w:rFonts w:hint="eastAsia" w:ascii="宋体" w:hAnsi="宋体"/>
                <w:color w:val="000000"/>
                <w:kern w:val="0"/>
                <w:sz w:val="18"/>
                <w:szCs w:val="18"/>
              </w:rPr>
            </w:pPr>
            <w:r>
              <w:rPr>
                <w:rFonts w:hint="eastAsia" w:ascii="宋体" w:hAnsi="宋体"/>
                <w:color w:val="000000"/>
                <w:spacing w:val="6"/>
                <w:kern w:val="0"/>
                <w:sz w:val="18"/>
                <w:szCs w:val="18"/>
              </w:rPr>
              <w:t>反馈人</w:t>
            </w:r>
          </w:p>
        </w:tc>
        <w:tc>
          <w:tcPr>
            <w:tcW w:w="7846" w:type="dxa"/>
            <w:gridSpan w:val="5"/>
            <w:tcBorders>
              <w:top w:val="single" w:color="000000" w:sz="2" w:space="0"/>
              <w:left w:val="nil"/>
              <w:bottom w:val="single" w:color="auto" w:sz="12" w:space="0"/>
              <w:right w:val="single" w:color="auto" w:sz="12" w:space="0"/>
            </w:tcBorders>
            <w:vAlign w:val="center"/>
          </w:tcPr>
          <w:p w14:paraId="649FF438">
            <w:pPr>
              <w:widowControl/>
              <w:kinsoku w:val="0"/>
              <w:autoSpaceDE w:val="0"/>
              <w:autoSpaceDN w:val="0"/>
              <w:snapToGrid w:val="0"/>
              <w:ind w:left="113"/>
              <w:jc w:val="left"/>
              <w:textAlignment w:val="baseline"/>
              <w:rPr>
                <w:rFonts w:hint="eastAsia" w:ascii="宋体" w:hAnsi="宋体"/>
                <w:color w:val="000000"/>
                <w:kern w:val="0"/>
                <w:sz w:val="18"/>
                <w:szCs w:val="18"/>
              </w:rPr>
            </w:pPr>
            <w:r>
              <w:rPr>
                <w:rFonts w:hint="eastAsia" w:ascii="宋体" w:hAnsi="宋体"/>
                <w:color w:val="000000"/>
                <w:spacing w:val="2"/>
                <w:kern w:val="0"/>
                <w:sz w:val="18"/>
                <w:szCs w:val="18"/>
              </w:rPr>
              <w:t>姓名：</w:t>
            </w:r>
            <w:r>
              <w:rPr>
                <w:rFonts w:hint="eastAsia" w:ascii="宋体" w:hAnsi="宋体"/>
                <w:color w:val="000000"/>
                <w:spacing w:val="8"/>
                <w:kern w:val="0"/>
                <w:sz w:val="18"/>
                <w:szCs w:val="18"/>
              </w:rPr>
              <w:t xml:space="preserve">           </w:t>
            </w:r>
            <w:r>
              <w:rPr>
                <w:rFonts w:hint="eastAsia" w:ascii="宋体" w:hAnsi="宋体"/>
                <w:color w:val="000000"/>
                <w:spacing w:val="2"/>
                <w:kern w:val="0"/>
                <w:sz w:val="18"/>
                <w:szCs w:val="18"/>
              </w:rPr>
              <w:t>单位：</w:t>
            </w:r>
            <w:r>
              <w:rPr>
                <w:rFonts w:hint="eastAsia" w:ascii="宋体" w:hAnsi="宋体"/>
                <w:color w:val="000000"/>
                <w:spacing w:val="1"/>
                <w:kern w:val="0"/>
                <w:sz w:val="18"/>
                <w:szCs w:val="18"/>
              </w:rPr>
              <w:t xml:space="preserve">                      </w:t>
            </w:r>
            <w:r>
              <w:rPr>
                <w:rFonts w:hint="eastAsia" w:ascii="宋体" w:hAnsi="宋体"/>
                <w:color w:val="000000"/>
                <w:spacing w:val="2"/>
                <w:kern w:val="0"/>
                <w:sz w:val="18"/>
                <w:szCs w:val="18"/>
              </w:rPr>
              <w:t>联系方式：</w:t>
            </w:r>
          </w:p>
        </w:tc>
      </w:tr>
    </w:tbl>
    <w:p w14:paraId="326E0F3C">
      <w:pPr>
        <w:jc w:val="left"/>
        <w:rPr>
          <w:rFonts w:hint="eastAsia" w:ascii="宋体" w:hAnsi="宋体"/>
          <w:color w:val="000000"/>
          <w:sz w:val="18"/>
          <w:szCs w:val="18"/>
        </w:rPr>
        <w:sectPr>
          <w:pgSz w:w="12240" w:h="15840"/>
          <w:pgMar w:top="1440" w:right="1800" w:bottom="1440" w:left="1800" w:header="720" w:footer="720" w:gutter="0"/>
          <w:cols w:space="720" w:num="1"/>
        </w:sectPr>
      </w:pPr>
      <w:r>
        <w:rPr>
          <w:rFonts w:hint="eastAsia" w:ascii="宋体" w:hAnsi="宋体"/>
          <w:color w:val="000000"/>
          <w:sz w:val="18"/>
          <w:szCs w:val="18"/>
        </w:rPr>
        <w:t>填表说明：为及时掌握标准实施情况，了解地方标准实施过程中存在的问题，并为标准复审提供科学依据，特制定《湖北省地方标准实施信息及意见反馈表》。可根据实际情况在表格中对应方框打勾，有需要文字说明的反馈意见可在相应位置进行文字描述，也可另附页。</w:t>
      </w:r>
    </w:p>
    <w:bookmarkEnd w:id="392"/>
    <w:p w14:paraId="2EB4C855">
      <w:pPr>
        <w:pStyle w:val="56"/>
        <w:ind w:firstLine="0" w:firstLineChars="0"/>
        <w:jc w:val="center"/>
      </w:pPr>
      <w:bookmarkStart w:id="397" w:name="BookMark8"/>
      <w:r>
        <w:drawing>
          <wp:inline distT="0" distB="0" distL="0" distR="0">
            <wp:extent cx="1485900" cy="317500"/>
            <wp:effectExtent l="0" t="0" r="0" b="6350"/>
            <wp:docPr id="1525101387" name="图片 7"/>
            <wp:cNvGraphicFramePr/>
            <a:graphic xmlns:a="http://schemas.openxmlformats.org/drawingml/2006/main">
              <a:graphicData uri="http://schemas.openxmlformats.org/drawingml/2006/picture">
                <pic:pic xmlns:pic="http://schemas.openxmlformats.org/drawingml/2006/picture">
                  <pic:nvPicPr>
                    <pic:cNvPr id="1525101387" name="图片 7"/>
                    <pic:cNvPicPr/>
                  </pic:nvPicPr>
                  <pic:blipFill>
                    <a:blip r:embed="rId3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397"/>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0397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A7030">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59771">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1A404">
    <w:pPr>
      <w:pStyle w:val="52"/>
    </w:pPr>
    <w:r>
      <w:fldChar w:fldCharType="begin"/>
    </w:r>
    <w:r>
      <w:instrText xml:space="preserve">PAGE   \* MERGEFORMAT</w:instrText>
    </w:r>
    <w:r>
      <w:fldChar w:fldCharType="separate"/>
    </w:r>
    <w:r>
      <w:rPr>
        <w:lang w:val="zh-CN"/>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82C73">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9BA34">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8054C">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0E54C">
    <w:pPr>
      <w:pStyle w:val="61"/>
      <w:rPr>
        <w:rFonts w:hint="eastAsia"/>
      </w:rPr>
    </w:pPr>
    <w:r>
      <w:fldChar w:fldCharType="begin"/>
    </w:r>
    <w:r>
      <w:instrText xml:space="preserve"> STYLEREF  标准文件_文件编号  \* MERGEFORMAT </w:instrText>
    </w:r>
    <w:r>
      <w:fldChar w:fldCharType="separate"/>
    </w:r>
    <w:r>
      <w:t>DB 42/T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9934C">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42/T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482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113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1701"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ZiYmYwMDA3NjM0MmUxOWZmY2ZlNTY3NWQ0OTlkY2EifQ=="/>
  </w:docVars>
  <w:rsids>
    <w:rsidRoot w:val="007600B3"/>
    <w:rsid w:val="0000040A"/>
    <w:rsid w:val="00000A94"/>
    <w:rsid w:val="00001972"/>
    <w:rsid w:val="00001D9A"/>
    <w:rsid w:val="000021D3"/>
    <w:rsid w:val="000056BD"/>
    <w:rsid w:val="00007B3A"/>
    <w:rsid w:val="000107E0"/>
    <w:rsid w:val="00011FDE"/>
    <w:rsid w:val="00012FFD"/>
    <w:rsid w:val="00014162"/>
    <w:rsid w:val="00014340"/>
    <w:rsid w:val="00016A9C"/>
    <w:rsid w:val="00016E08"/>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48DC"/>
    <w:rsid w:val="00047F28"/>
    <w:rsid w:val="000503AA"/>
    <w:rsid w:val="000506A1"/>
    <w:rsid w:val="000515DD"/>
    <w:rsid w:val="0005265A"/>
    <w:rsid w:val="0005276E"/>
    <w:rsid w:val="000539DD"/>
    <w:rsid w:val="00053BD3"/>
    <w:rsid w:val="00054ABA"/>
    <w:rsid w:val="000556ED"/>
    <w:rsid w:val="00055FE2"/>
    <w:rsid w:val="0005616F"/>
    <w:rsid w:val="00060C2E"/>
    <w:rsid w:val="00061033"/>
    <w:rsid w:val="000619E9"/>
    <w:rsid w:val="000622D4"/>
    <w:rsid w:val="0006357D"/>
    <w:rsid w:val="00064B6F"/>
    <w:rsid w:val="00067277"/>
    <w:rsid w:val="00067F1E"/>
    <w:rsid w:val="000706F5"/>
    <w:rsid w:val="00071CC0"/>
    <w:rsid w:val="00073C8C"/>
    <w:rsid w:val="00077B64"/>
    <w:rsid w:val="00080A1C"/>
    <w:rsid w:val="00082317"/>
    <w:rsid w:val="00082A98"/>
    <w:rsid w:val="00083395"/>
    <w:rsid w:val="00083D2C"/>
    <w:rsid w:val="00086AA1"/>
    <w:rsid w:val="00087A77"/>
    <w:rsid w:val="00090CA6"/>
    <w:rsid w:val="00092B8A"/>
    <w:rsid w:val="00092FB0"/>
    <w:rsid w:val="000934C5"/>
    <w:rsid w:val="0009351C"/>
    <w:rsid w:val="00093D25"/>
    <w:rsid w:val="00093DAB"/>
    <w:rsid w:val="00094D73"/>
    <w:rsid w:val="00096D63"/>
    <w:rsid w:val="000A0B60"/>
    <w:rsid w:val="000A0EB8"/>
    <w:rsid w:val="000A19FC"/>
    <w:rsid w:val="000A296B"/>
    <w:rsid w:val="000A7311"/>
    <w:rsid w:val="000B060F"/>
    <w:rsid w:val="000B1592"/>
    <w:rsid w:val="000B1FF2"/>
    <w:rsid w:val="000B3CDA"/>
    <w:rsid w:val="000B5136"/>
    <w:rsid w:val="000B56A6"/>
    <w:rsid w:val="000B6A0B"/>
    <w:rsid w:val="000C09E6"/>
    <w:rsid w:val="000C0F6C"/>
    <w:rsid w:val="000C11DB"/>
    <w:rsid w:val="000C1492"/>
    <w:rsid w:val="000C2AB9"/>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50A"/>
    <w:rsid w:val="000F4AEA"/>
    <w:rsid w:val="000F633F"/>
    <w:rsid w:val="000F67E9"/>
    <w:rsid w:val="00104926"/>
    <w:rsid w:val="00111778"/>
    <w:rsid w:val="00113B1E"/>
    <w:rsid w:val="0011711C"/>
    <w:rsid w:val="0012059C"/>
    <w:rsid w:val="0012490B"/>
    <w:rsid w:val="00124948"/>
    <w:rsid w:val="00124E4F"/>
    <w:rsid w:val="001260B7"/>
    <w:rsid w:val="001265CB"/>
    <w:rsid w:val="00126871"/>
    <w:rsid w:val="001321C6"/>
    <w:rsid w:val="001325C4"/>
    <w:rsid w:val="00133010"/>
    <w:rsid w:val="001338EE"/>
    <w:rsid w:val="00133AAE"/>
    <w:rsid w:val="00135323"/>
    <w:rsid w:val="001356C4"/>
    <w:rsid w:val="00136106"/>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D12"/>
    <w:rsid w:val="00164F7D"/>
    <w:rsid w:val="00164FA8"/>
    <w:rsid w:val="00165065"/>
    <w:rsid w:val="00165434"/>
    <w:rsid w:val="0016580B"/>
    <w:rsid w:val="00165F49"/>
    <w:rsid w:val="00166B88"/>
    <w:rsid w:val="0016770A"/>
    <w:rsid w:val="00170804"/>
    <w:rsid w:val="001708E9"/>
    <w:rsid w:val="0017340B"/>
    <w:rsid w:val="00173FB1"/>
    <w:rsid w:val="00174C26"/>
    <w:rsid w:val="00176DFD"/>
    <w:rsid w:val="00184411"/>
    <w:rsid w:val="001852C9"/>
    <w:rsid w:val="00190087"/>
    <w:rsid w:val="001913C4"/>
    <w:rsid w:val="0019348F"/>
    <w:rsid w:val="00193A07"/>
    <w:rsid w:val="00194C95"/>
    <w:rsid w:val="00195C34"/>
    <w:rsid w:val="00196EF5"/>
    <w:rsid w:val="001A1A53"/>
    <w:rsid w:val="001A234A"/>
    <w:rsid w:val="001A4CF3"/>
    <w:rsid w:val="001B06E8"/>
    <w:rsid w:val="001B6DAC"/>
    <w:rsid w:val="001B71D0"/>
    <w:rsid w:val="001B71EE"/>
    <w:rsid w:val="001C04A8"/>
    <w:rsid w:val="001C1077"/>
    <w:rsid w:val="001C2364"/>
    <w:rsid w:val="001C2C03"/>
    <w:rsid w:val="001C42F7"/>
    <w:rsid w:val="001C49E5"/>
    <w:rsid w:val="001C58E1"/>
    <w:rsid w:val="001C680C"/>
    <w:rsid w:val="001C7FEA"/>
    <w:rsid w:val="001D0499"/>
    <w:rsid w:val="001D0A8B"/>
    <w:rsid w:val="001D0BBE"/>
    <w:rsid w:val="001D0ED4"/>
    <w:rsid w:val="001D169A"/>
    <w:rsid w:val="001D212F"/>
    <w:rsid w:val="001D29D7"/>
    <w:rsid w:val="001D2DE7"/>
    <w:rsid w:val="001D411C"/>
    <w:rsid w:val="001E0239"/>
    <w:rsid w:val="001E1B6A"/>
    <w:rsid w:val="001E2154"/>
    <w:rsid w:val="001E2484"/>
    <w:rsid w:val="001E3CC4"/>
    <w:rsid w:val="001E4882"/>
    <w:rsid w:val="001E73AB"/>
    <w:rsid w:val="001F085D"/>
    <w:rsid w:val="001F092D"/>
    <w:rsid w:val="001F143A"/>
    <w:rsid w:val="001F1605"/>
    <w:rsid w:val="001F2508"/>
    <w:rsid w:val="001F4816"/>
    <w:rsid w:val="001F4EE9"/>
    <w:rsid w:val="001F57C7"/>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42F"/>
    <w:rsid w:val="002359CB"/>
    <w:rsid w:val="00243540"/>
    <w:rsid w:val="0024497B"/>
    <w:rsid w:val="0024515B"/>
    <w:rsid w:val="00246021"/>
    <w:rsid w:val="0024666E"/>
    <w:rsid w:val="00247F52"/>
    <w:rsid w:val="00250A3C"/>
    <w:rsid w:val="00250B25"/>
    <w:rsid w:val="00250BBE"/>
    <w:rsid w:val="002515C2"/>
    <w:rsid w:val="0025194F"/>
    <w:rsid w:val="00254FFC"/>
    <w:rsid w:val="0026148A"/>
    <w:rsid w:val="00262696"/>
    <w:rsid w:val="00263D25"/>
    <w:rsid w:val="002643C3"/>
    <w:rsid w:val="00264A04"/>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2DC8"/>
    <w:rsid w:val="002A329E"/>
    <w:rsid w:val="002A3AAB"/>
    <w:rsid w:val="002A4CEA"/>
    <w:rsid w:val="002A5977"/>
    <w:rsid w:val="002A5A13"/>
    <w:rsid w:val="002A757F"/>
    <w:rsid w:val="002A7F44"/>
    <w:rsid w:val="002B0C40"/>
    <w:rsid w:val="002B1966"/>
    <w:rsid w:val="002B25B3"/>
    <w:rsid w:val="002B4508"/>
    <w:rsid w:val="002B5779"/>
    <w:rsid w:val="002B7332"/>
    <w:rsid w:val="002B7F51"/>
    <w:rsid w:val="002C09E7"/>
    <w:rsid w:val="002C1E06"/>
    <w:rsid w:val="002C1E1C"/>
    <w:rsid w:val="002C3F07"/>
    <w:rsid w:val="002C5278"/>
    <w:rsid w:val="002C6C4E"/>
    <w:rsid w:val="002C7EBB"/>
    <w:rsid w:val="002D06C1"/>
    <w:rsid w:val="002D2377"/>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0AE0"/>
    <w:rsid w:val="00332AF7"/>
    <w:rsid w:val="003331E4"/>
    <w:rsid w:val="00336C64"/>
    <w:rsid w:val="00337162"/>
    <w:rsid w:val="0034194F"/>
    <w:rsid w:val="00344605"/>
    <w:rsid w:val="003474AA"/>
    <w:rsid w:val="003509B7"/>
    <w:rsid w:val="00350D1D"/>
    <w:rsid w:val="00352C83"/>
    <w:rsid w:val="00353A59"/>
    <w:rsid w:val="00353D1E"/>
    <w:rsid w:val="00360D28"/>
    <w:rsid w:val="00361375"/>
    <w:rsid w:val="003615D2"/>
    <w:rsid w:val="003633C6"/>
    <w:rsid w:val="0036429C"/>
    <w:rsid w:val="00364A53"/>
    <w:rsid w:val="003654CB"/>
    <w:rsid w:val="00365AA9"/>
    <w:rsid w:val="00365F86"/>
    <w:rsid w:val="00365F87"/>
    <w:rsid w:val="00366E89"/>
    <w:rsid w:val="003705F4"/>
    <w:rsid w:val="00370D58"/>
    <w:rsid w:val="00371316"/>
    <w:rsid w:val="00374BB7"/>
    <w:rsid w:val="00376713"/>
    <w:rsid w:val="003779E3"/>
    <w:rsid w:val="00381815"/>
    <w:rsid w:val="003819AF"/>
    <w:rsid w:val="003820E9"/>
    <w:rsid w:val="00382DE7"/>
    <w:rsid w:val="00384FFC"/>
    <w:rsid w:val="003860A2"/>
    <w:rsid w:val="003872FC"/>
    <w:rsid w:val="00387ADC"/>
    <w:rsid w:val="00390020"/>
    <w:rsid w:val="003903D6"/>
    <w:rsid w:val="00390EE6"/>
    <w:rsid w:val="0039118F"/>
    <w:rsid w:val="00392AD7"/>
    <w:rsid w:val="003938D9"/>
    <w:rsid w:val="00394376"/>
    <w:rsid w:val="003943FF"/>
    <w:rsid w:val="00395700"/>
    <w:rsid w:val="003974EB"/>
    <w:rsid w:val="00397CC5"/>
    <w:rsid w:val="003A10FE"/>
    <w:rsid w:val="003A1582"/>
    <w:rsid w:val="003A4077"/>
    <w:rsid w:val="003B09AD"/>
    <w:rsid w:val="003B1F18"/>
    <w:rsid w:val="003B5BF0"/>
    <w:rsid w:val="003B60BF"/>
    <w:rsid w:val="003B62A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1DC5"/>
    <w:rsid w:val="003F23D3"/>
    <w:rsid w:val="003F3F08"/>
    <w:rsid w:val="003F49F1"/>
    <w:rsid w:val="003F6272"/>
    <w:rsid w:val="00400E72"/>
    <w:rsid w:val="00401400"/>
    <w:rsid w:val="00404869"/>
    <w:rsid w:val="00405884"/>
    <w:rsid w:val="00407D39"/>
    <w:rsid w:val="0041477A"/>
    <w:rsid w:val="004167A3"/>
    <w:rsid w:val="00416BB5"/>
    <w:rsid w:val="004175BE"/>
    <w:rsid w:val="00432DAA"/>
    <w:rsid w:val="00434305"/>
    <w:rsid w:val="00435DF7"/>
    <w:rsid w:val="00436061"/>
    <w:rsid w:val="0044083F"/>
    <w:rsid w:val="00441AE7"/>
    <w:rsid w:val="00445574"/>
    <w:rsid w:val="00446361"/>
    <w:rsid w:val="004467FB"/>
    <w:rsid w:val="00452D6B"/>
    <w:rsid w:val="00454484"/>
    <w:rsid w:val="0045517B"/>
    <w:rsid w:val="00461CA6"/>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1E87"/>
    <w:rsid w:val="004A34E8"/>
    <w:rsid w:val="004A4B57"/>
    <w:rsid w:val="004A63FA"/>
    <w:rsid w:val="004B0272"/>
    <w:rsid w:val="004B2701"/>
    <w:rsid w:val="004B2E1B"/>
    <w:rsid w:val="004B3AA8"/>
    <w:rsid w:val="004B3E93"/>
    <w:rsid w:val="004C1888"/>
    <w:rsid w:val="004C1FBC"/>
    <w:rsid w:val="004C3F1D"/>
    <w:rsid w:val="004C42C5"/>
    <w:rsid w:val="004C458D"/>
    <w:rsid w:val="004C7556"/>
    <w:rsid w:val="004C7E8B"/>
    <w:rsid w:val="004C7E9D"/>
    <w:rsid w:val="004C7F67"/>
    <w:rsid w:val="004D076D"/>
    <w:rsid w:val="004D0EF1"/>
    <w:rsid w:val="004D2253"/>
    <w:rsid w:val="004D4406"/>
    <w:rsid w:val="004D5174"/>
    <w:rsid w:val="004D5820"/>
    <w:rsid w:val="004D7C42"/>
    <w:rsid w:val="004D7D92"/>
    <w:rsid w:val="004E0465"/>
    <w:rsid w:val="004E127B"/>
    <w:rsid w:val="004E1C0A"/>
    <w:rsid w:val="004E2B06"/>
    <w:rsid w:val="004E30C5"/>
    <w:rsid w:val="004E4AA5"/>
    <w:rsid w:val="004E4AEE"/>
    <w:rsid w:val="004E59E3"/>
    <w:rsid w:val="004E67C0"/>
    <w:rsid w:val="004E67FE"/>
    <w:rsid w:val="004F391A"/>
    <w:rsid w:val="004F3CFB"/>
    <w:rsid w:val="004F6456"/>
    <w:rsid w:val="004F696E"/>
    <w:rsid w:val="004F6C71"/>
    <w:rsid w:val="00501139"/>
    <w:rsid w:val="0050363E"/>
    <w:rsid w:val="005039BC"/>
    <w:rsid w:val="005043BB"/>
    <w:rsid w:val="00504A3D"/>
    <w:rsid w:val="00505598"/>
    <w:rsid w:val="00505767"/>
    <w:rsid w:val="00505C32"/>
    <w:rsid w:val="00506E0E"/>
    <w:rsid w:val="005073F0"/>
    <w:rsid w:val="00510A7B"/>
    <w:rsid w:val="00512F6E"/>
    <w:rsid w:val="00513038"/>
    <w:rsid w:val="00514174"/>
    <w:rsid w:val="00514B3C"/>
    <w:rsid w:val="00516088"/>
    <w:rsid w:val="005162E3"/>
    <w:rsid w:val="00516B0B"/>
    <w:rsid w:val="005220EC"/>
    <w:rsid w:val="0052393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6E0E"/>
    <w:rsid w:val="005479DA"/>
    <w:rsid w:val="00547BCC"/>
    <w:rsid w:val="0055013B"/>
    <w:rsid w:val="00551F6F"/>
    <w:rsid w:val="00554FB0"/>
    <w:rsid w:val="00555044"/>
    <w:rsid w:val="00561475"/>
    <w:rsid w:val="0056400F"/>
    <w:rsid w:val="0056487B"/>
    <w:rsid w:val="00564FB9"/>
    <w:rsid w:val="00565CBF"/>
    <w:rsid w:val="00573D9E"/>
    <w:rsid w:val="00573FE4"/>
    <w:rsid w:val="005801E3"/>
    <w:rsid w:val="00581749"/>
    <w:rsid w:val="00581802"/>
    <w:rsid w:val="00582AA3"/>
    <w:rsid w:val="005836A8"/>
    <w:rsid w:val="0058409C"/>
    <w:rsid w:val="00584262"/>
    <w:rsid w:val="00586630"/>
    <w:rsid w:val="00587ADD"/>
    <w:rsid w:val="00591A59"/>
    <w:rsid w:val="00591E27"/>
    <w:rsid w:val="00596160"/>
    <w:rsid w:val="005966E2"/>
    <w:rsid w:val="00597007"/>
    <w:rsid w:val="005A0966"/>
    <w:rsid w:val="005A11B7"/>
    <w:rsid w:val="005A25CA"/>
    <w:rsid w:val="005A260B"/>
    <w:rsid w:val="005A4A1B"/>
    <w:rsid w:val="005A6995"/>
    <w:rsid w:val="005A7830"/>
    <w:rsid w:val="005A7FCE"/>
    <w:rsid w:val="005B0F3F"/>
    <w:rsid w:val="005B4903"/>
    <w:rsid w:val="005B51CE"/>
    <w:rsid w:val="005B5885"/>
    <w:rsid w:val="005B5CD7"/>
    <w:rsid w:val="005B6CF6"/>
    <w:rsid w:val="005B7422"/>
    <w:rsid w:val="005C29B8"/>
    <w:rsid w:val="005C421A"/>
    <w:rsid w:val="005C5F21"/>
    <w:rsid w:val="005C68E9"/>
    <w:rsid w:val="005C7156"/>
    <w:rsid w:val="005D0C75"/>
    <w:rsid w:val="005D400B"/>
    <w:rsid w:val="005D4171"/>
    <w:rsid w:val="005D6A95"/>
    <w:rsid w:val="005D6B2C"/>
    <w:rsid w:val="005D6D9C"/>
    <w:rsid w:val="005E2335"/>
    <w:rsid w:val="005E34CA"/>
    <w:rsid w:val="005E3C18"/>
    <w:rsid w:val="005E6812"/>
    <w:rsid w:val="005E7881"/>
    <w:rsid w:val="005E78E0"/>
    <w:rsid w:val="005F0D9C"/>
    <w:rsid w:val="005F279E"/>
    <w:rsid w:val="005F284E"/>
    <w:rsid w:val="005F4712"/>
    <w:rsid w:val="006015CE"/>
    <w:rsid w:val="00604784"/>
    <w:rsid w:val="00606419"/>
    <w:rsid w:val="00607D29"/>
    <w:rsid w:val="00612952"/>
    <w:rsid w:val="00614CC1"/>
    <w:rsid w:val="00615A9D"/>
    <w:rsid w:val="00615E57"/>
    <w:rsid w:val="00617387"/>
    <w:rsid w:val="006205D6"/>
    <w:rsid w:val="006252D8"/>
    <w:rsid w:val="006259BC"/>
    <w:rsid w:val="0062636B"/>
    <w:rsid w:val="00632182"/>
    <w:rsid w:val="00632AE0"/>
    <w:rsid w:val="00633C17"/>
    <w:rsid w:val="00634BFD"/>
    <w:rsid w:val="00634D9E"/>
    <w:rsid w:val="00636E3E"/>
    <w:rsid w:val="006379F7"/>
    <w:rsid w:val="00637E4D"/>
    <w:rsid w:val="00640620"/>
    <w:rsid w:val="00641A1F"/>
    <w:rsid w:val="00641FE6"/>
    <w:rsid w:val="00645904"/>
    <w:rsid w:val="00651ACB"/>
    <w:rsid w:val="00651C47"/>
    <w:rsid w:val="00652AB2"/>
    <w:rsid w:val="00653F99"/>
    <w:rsid w:val="00653FED"/>
    <w:rsid w:val="00654EC0"/>
    <w:rsid w:val="0065525B"/>
    <w:rsid w:val="00655D4F"/>
    <w:rsid w:val="00656D29"/>
    <w:rsid w:val="006601D2"/>
    <w:rsid w:val="006640E5"/>
    <w:rsid w:val="006646F1"/>
    <w:rsid w:val="00664929"/>
    <w:rsid w:val="00664F62"/>
    <w:rsid w:val="006655E1"/>
    <w:rsid w:val="00672060"/>
    <w:rsid w:val="00672BFD"/>
    <w:rsid w:val="006770F4"/>
    <w:rsid w:val="00677A84"/>
    <w:rsid w:val="0068026D"/>
    <w:rsid w:val="00680A27"/>
    <w:rsid w:val="006816A4"/>
    <w:rsid w:val="006819B8"/>
    <w:rsid w:val="00682BE6"/>
    <w:rsid w:val="006840A6"/>
    <w:rsid w:val="006850CD"/>
    <w:rsid w:val="00685AAB"/>
    <w:rsid w:val="00692D5C"/>
    <w:rsid w:val="00695D22"/>
    <w:rsid w:val="006A07AA"/>
    <w:rsid w:val="006A25E5"/>
    <w:rsid w:val="006A26EE"/>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100"/>
    <w:rsid w:val="006D4515"/>
    <w:rsid w:val="006D4BB1"/>
    <w:rsid w:val="006D6593"/>
    <w:rsid w:val="006E23EA"/>
    <w:rsid w:val="006E5E2F"/>
    <w:rsid w:val="006E5E4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570"/>
    <w:rsid w:val="0074165C"/>
    <w:rsid w:val="00742C35"/>
    <w:rsid w:val="007432CA"/>
    <w:rsid w:val="007439EB"/>
    <w:rsid w:val="00743CB4"/>
    <w:rsid w:val="00743F0A"/>
    <w:rsid w:val="007444E8"/>
    <w:rsid w:val="0074464A"/>
    <w:rsid w:val="0074548E"/>
    <w:rsid w:val="00745773"/>
    <w:rsid w:val="00746800"/>
    <w:rsid w:val="007501A8"/>
    <w:rsid w:val="00750D61"/>
    <w:rsid w:val="00750EE1"/>
    <w:rsid w:val="00752B4D"/>
    <w:rsid w:val="00755402"/>
    <w:rsid w:val="00756B26"/>
    <w:rsid w:val="00756EDF"/>
    <w:rsid w:val="007600B3"/>
    <w:rsid w:val="007600D4"/>
    <w:rsid w:val="007600E3"/>
    <w:rsid w:val="00765C43"/>
    <w:rsid w:val="00765EFB"/>
    <w:rsid w:val="007667E2"/>
    <w:rsid w:val="007671CA"/>
    <w:rsid w:val="00767C61"/>
    <w:rsid w:val="0077008A"/>
    <w:rsid w:val="00773C1F"/>
    <w:rsid w:val="00774DA4"/>
    <w:rsid w:val="007756BB"/>
    <w:rsid w:val="00776599"/>
    <w:rsid w:val="0078114B"/>
    <w:rsid w:val="00781DD2"/>
    <w:rsid w:val="00783ECF"/>
    <w:rsid w:val="0078413A"/>
    <w:rsid w:val="00787055"/>
    <w:rsid w:val="007959E8"/>
    <w:rsid w:val="00795E9C"/>
    <w:rsid w:val="007A0521"/>
    <w:rsid w:val="007A2E12"/>
    <w:rsid w:val="007A3475"/>
    <w:rsid w:val="007A41C8"/>
    <w:rsid w:val="007A54CE"/>
    <w:rsid w:val="007A6FD9"/>
    <w:rsid w:val="007A7FFA"/>
    <w:rsid w:val="007B04EB"/>
    <w:rsid w:val="007B0D4F"/>
    <w:rsid w:val="007B5A3D"/>
    <w:rsid w:val="007B5B95"/>
    <w:rsid w:val="007B658A"/>
    <w:rsid w:val="007B68EA"/>
    <w:rsid w:val="007B7453"/>
    <w:rsid w:val="007C1E8B"/>
    <w:rsid w:val="007C2D89"/>
    <w:rsid w:val="007C4593"/>
    <w:rsid w:val="007C5309"/>
    <w:rsid w:val="007C6069"/>
    <w:rsid w:val="007D06C4"/>
    <w:rsid w:val="007D1352"/>
    <w:rsid w:val="007D2508"/>
    <w:rsid w:val="007D346A"/>
    <w:rsid w:val="007D3DFF"/>
    <w:rsid w:val="007D6518"/>
    <w:rsid w:val="007D76BD"/>
    <w:rsid w:val="007E0BF1"/>
    <w:rsid w:val="007E2427"/>
    <w:rsid w:val="007E5DDA"/>
    <w:rsid w:val="007F0ED8"/>
    <w:rsid w:val="007F0F63"/>
    <w:rsid w:val="007F75CE"/>
    <w:rsid w:val="008013A4"/>
    <w:rsid w:val="008027CE"/>
    <w:rsid w:val="00802F42"/>
    <w:rsid w:val="00804383"/>
    <w:rsid w:val="00804BB7"/>
    <w:rsid w:val="00804D41"/>
    <w:rsid w:val="00810257"/>
    <w:rsid w:val="008104F5"/>
    <w:rsid w:val="0081072E"/>
    <w:rsid w:val="00811072"/>
    <w:rsid w:val="00811369"/>
    <w:rsid w:val="00813CC7"/>
    <w:rsid w:val="00815419"/>
    <w:rsid w:val="008163C8"/>
    <w:rsid w:val="008164A1"/>
    <w:rsid w:val="0081689E"/>
    <w:rsid w:val="00817325"/>
    <w:rsid w:val="008209E6"/>
    <w:rsid w:val="00823303"/>
    <w:rsid w:val="008233B2"/>
    <w:rsid w:val="00823A9F"/>
    <w:rsid w:val="00823C85"/>
    <w:rsid w:val="00825138"/>
    <w:rsid w:val="0082688A"/>
    <w:rsid w:val="008269DD"/>
    <w:rsid w:val="00830621"/>
    <w:rsid w:val="0083348C"/>
    <w:rsid w:val="008373D3"/>
    <w:rsid w:val="00840617"/>
    <w:rsid w:val="00840950"/>
    <w:rsid w:val="00840F84"/>
    <w:rsid w:val="00842A47"/>
    <w:rsid w:val="00843C13"/>
    <w:rsid w:val="008454F8"/>
    <w:rsid w:val="00846709"/>
    <w:rsid w:val="00846E7F"/>
    <w:rsid w:val="0085173A"/>
    <w:rsid w:val="00852787"/>
    <w:rsid w:val="00856316"/>
    <w:rsid w:val="008603CE"/>
    <w:rsid w:val="008620FC"/>
    <w:rsid w:val="008627A5"/>
    <w:rsid w:val="00863E05"/>
    <w:rsid w:val="00865ACA"/>
    <w:rsid w:val="00865D28"/>
    <w:rsid w:val="00865F85"/>
    <w:rsid w:val="00867C10"/>
    <w:rsid w:val="00870439"/>
    <w:rsid w:val="00870DA1"/>
    <w:rsid w:val="00874797"/>
    <w:rsid w:val="00875EDD"/>
    <w:rsid w:val="00876803"/>
    <w:rsid w:val="00883F93"/>
    <w:rsid w:val="00884DB3"/>
    <w:rsid w:val="00885A9D"/>
    <w:rsid w:val="008864F6"/>
    <w:rsid w:val="0089049D"/>
    <w:rsid w:val="00891083"/>
    <w:rsid w:val="008921DB"/>
    <w:rsid w:val="008928C9"/>
    <w:rsid w:val="008930CB"/>
    <w:rsid w:val="008938DC"/>
    <w:rsid w:val="00893FAF"/>
    <w:rsid w:val="00893FD1"/>
    <w:rsid w:val="00894836"/>
    <w:rsid w:val="00894C4B"/>
    <w:rsid w:val="00895172"/>
    <w:rsid w:val="00895680"/>
    <w:rsid w:val="00896DFF"/>
    <w:rsid w:val="0089762C"/>
    <w:rsid w:val="008A065E"/>
    <w:rsid w:val="008A0D5D"/>
    <w:rsid w:val="008A1893"/>
    <w:rsid w:val="008A3215"/>
    <w:rsid w:val="008A57E6"/>
    <w:rsid w:val="008A6F81"/>
    <w:rsid w:val="008A769A"/>
    <w:rsid w:val="008A7E19"/>
    <w:rsid w:val="008B0C9C"/>
    <w:rsid w:val="008B166D"/>
    <w:rsid w:val="008B17F4"/>
    <w:rsid w:val="008B3615"/>
    <w:rsid w:val="008B4AC4"/>
    <w:rsid w:val="008B50C8"/>
    <w:rsid w:val="008B5281"/>
    <w:rsid w:val="008B6B5D"/>
    <w:rsid w:val="008B7E05"/>
    <w:rsid w:val="008C1797"/>
    <w:rsid w:val="008C219C"/>
    <w:rsid w:val="008C475E"/>
    <w:rsid w:val="008C619A"/>
    <w:rsid w:val="008D0CE8"/>
    <w:rsid w:val="008D1CB8"/>
    <w:rsid w:val="008D1F3E"/>
    <w:rsid w:val="008D2CD4"/>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250"/>
    <w:rsid w:val="008F0CDC"/>
    <w:rsid w:val="008F17A3"/>
    <w:rsid w:val="008F1ED3"/>
    <w:rsid w:val="008F23A5"/>
    <w:rsid w:val="008F4C29"/>
    <w:rsid w:val="008F70BD"/>
    <w:rsid w:val="008F788F"/>
    <w:rsid w:val="008F7EA2"/>
    <w:rsid w:val="0090195B"/>
    <w:rsid w:val="00901D5A"/>
    <w:rsid w:val="00902722"/>
    <w:rsid w:val="009027BC"/>
    <w:rsid w:val="00903310"/>
    <w:rsid w:val="009062E6"/>
    <w:rsid w:val="00911BE5"/>
    <w:rsid w:val="00913CA9"/>
    <w:rsid w:val="00913DC6"/>
    <w:rsid w:val="009145AE"/>
    <w:rsid w:val="009146CE"/>
    <w:rsid w:val="00914CA7"/>
    <w:rsid w:val="00915C3E"/>
    <w:rsid w:val="009161A8"/>
    <w:rsid w:val="009245F5"/>
    <w:rsid w:val="009249EC"/>
    <w:rsid w:val="009273B3"/>
    <w:rsid w:val="0093005F"/>
    <w:rsid w:val="009305B5"/>
    <w:rsid w:val="00933452"/>
    <w:rsid w:val="009429D5"/>
    <w:rsid w:val="00942BF1"/>
    <w:rsid w:val="00945180"/>
    <w:rsid w:val="00945428"/>
    <w:rsid w:val="0094607B"/>
    <w:rsid w:val="00953604"/>
    <w:rsid w:val="0095496B"/>
    <w:rsid w:val="009610DC"/>
    <w:rsid w:val="00961490"/>
    <w:rsid w:val="0096381A"/>
    <w:rsid w:val="00965E04"/>
    <w:rsid w:val="009674AD"/>
    <w:rsid w:val="009675FD"/>
    <w:rsid w:val="00967D39"/>
    <w:rsid w:val="00970CDC"/>
    <w:rsid w:val="00972BF6"/>
    <w:rsid w:val="00977010"/>
    <w:rsid w:val="00977D02"/>
    <w:rsid w:val="009809BB"/>
    <w:rsid w:val="0098364B"/>
    <w:rsid w:val="00985B79"/>
    <w:rsid w:val="009911AF"/>
    <w:rsid w:val="0099148C"/>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274"/>
    <w:rsid w:val="009D47FA"/>
    <w:rsid w:val="009D4C5B"/>
    <w:rsid w:val="009D50D2"/>
    <w:rsid w:val="009D6BCA"/>
    <w:rsid w:val="009D7BC5"/>
    <w:rsid w:val="009E0F62"/>
    <w:rsid w:val="009E150E"/>
    <w:rsid w:val="009E4570"/>
    <w:rsid w:val="009E4A58"/>
    <w:rsid w:val="009E5A2D"/>
    <w:rsid w:val="009E5AB2"/>
    <w:rsid w:val="009E6219"/>
    <w:rsid w:val="009F03B3"/>
    <w:rsid w:val="009F6E2F"/>
    <w:rsid w:val="00A0096C"/>
    <w:rsid w:val="00A010DD"/>
    <w:rsid w:val="00A01757"/>
    <w:rsid w:val="00A028C0"/>
    <w:rsid w:val="00A02BAE"/>
    <w:rsid w:val="00A06A6B"/>
    <w:rsid w:val="00A07E47"/>
    <w:rsid w:val="00A1188A"/>
    <w:rsid w:val="00A129D0"/>
    <w:rsid w:val="00A12C33"/>
    <w:rsid w:val="00A138BA"/>
    <w:rsid w:val="00A14C8E"/>
    <w:rsid w:val="00A153D9"/>
    <w:rsid w:val="00A15F09"/>
    <w:rsid w:val="00A169B6"/>
    <w:rsid w:val="00A2271D"/>
    <w:rsid w:val="00A237D5"/>
    <w:rsid w:val="00A23B8E"/>
    <w:rsid w:val="00A23E45"/>
    <w:rsid w:val="00A309C4"/>
    <w:rsid w:val="00A30EFC"/>
    <w:rsid w:val="00A31984"/>
    <w:rsid w:val="00A32D73"/>
    <w:rsid w:val="00A3367B"/>
    <w:rsid w:val="00A3597D"/>
    <w:rsid w:val="00A36DD1"/>
    <w:rsid w:val="00A4006C"/>
    <w:rsid w:val="00A40091"/>
    <w:rsid w:val="00A4030F"/>
    <w:rsid w:val="00A41C79"/>
    <w:rsid w:val="00A41CB5"/>
    <w:rsid w:val="00A42CDF"/>
    <w:rsid w:val="00A42DED"/>
    <w:rsid w:val="00A4452E"/>
    <w:rsid w:val="00A4472C"/>
    <w:rsid w:val="00A44E69"/>
    <w:rsid w:val="00A4661E"/>
    <w:rsid w:val="00A55BD6"/>
    <w:rsid w:val="00A55D50"/>
    <w:rsid w:val="00A57142"/>
    <w:rsid w:val="00A578F7"/>
    <w:rsid w:val="00A6063E"/>
    <w:rsid w:val="00A60CAC"/>
    <w:rsid w:val="00A648CD"/>
    <w:rsid w:val="00A6537A"/>
    <w:rsid w:val="00A67866"/>
    <w:rsid w:val="00A70B07"/>
    <w:rsid w:val="00A723F8"/>
    <w:rsid w:val="00A77332"/>
    <w:rsid w:val="00A77CCB"/>
    <w:rsid w:val="00A81350"/>
    <w:rsid w:val="00A82C12"/>
    <w:rsid w:val="00A83D8D"/>
    <w:rsid w:val="00A8446B"/>
    <w:rsid w:val="00A8473F"/>
    <w:rsid w:val="00A8570D"/>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2AC0"/>
    <w:rsid w:val="00AB41D5"/>
    <w:rsid w:val="00AB60D9"/>
    <w:rsid w:val="00AB6309"/>
    <w:rsid w:val="00AB6C5F"/>
    <w:rsid w:val="00AB7129"/>
    <w:rsid w:val="00AC25FB"/>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E6CDC"/>
    <w:rsid w:val="00AF0C18"/>
    <w:rsid w:val="00AF47C5"/>
    <w:rsid w:val="00AF5398"/>
    <w:rsid w:val="00B049AF"/>
    <w:rsid w:val="00B07242"/>
    <w:rsid w:val="00B10534"/>
    <w:rsid w:val="00B113DB"/>
    <w:rsid w:val="00B11D8A"/>
    <w:rsid w:val="00B12981"/>
    <w:rsid w:val="00B147DD"/>
    <w:rsid w:val="00B156FD"/>
    <w:rsid w:val="00B21A74"/>
    <w:rsid w:val="00B21F61"/>
    <w:rsid w:val="00B22487"/>
    <w:rsid w:val="00B22A88"/>
    <w:rsid w:val="00B261F1"/>
    <w:rsid w:val="00B265BC"/>
    <w:rsid w:val="00B31FB1"/>
    <w:rsid w:val="00B323A2"/>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1096"/>
    <w:rsid w:val="00B62B58"/>
    <w:rsid w:val="00B65149"/>
    <w:rsid w:val="00B66567"/>
    <w:rsid w:val="00B66F52"/>
    <w:rsid w:val="00B66FE5"/>
    <w:rsid w:val="00B6755C"/>
    <w:rsid w:val="00B72880"/>
    <w:rsid w:val="00B7378B"/>
    <w:rsid w:val="00B758BF"/>
    <w:rsid w:val="00B77EC8"/>
    <w:rsid w:val="00B827A6"/>
    <w:rsid w:val="00B831CE"/>
    <w:rsid w:val="00B86677"/>
    <w:rsid w:val="00B87131"/>
    <w:rsid w:val="00B939B1"/>
    <w:rsid w:val="00B93CCD"/>
    <w:rsid w:val="00B96145"/>
    <w:rsid w:val="00B96D40"/>
    <w:rsid w:val="00B97386"/>
    <w:rsid w:val="00BA263B"/>
    <w:rsid w:val="00BA42B2"/>
    <w:rsid w:val="00BA58D4"/>
    <w:rsid w:val="00BA5B9E"/>
    <w:rsid w:val="00BA7C9A"/>
    <w:rsid w:val="00BB1EB2"/>
    <w:rsid w:val="00BB203B"/>
    <w:rsid w:val="00BB2B9E"/>
    <w:rsid w:val="00BB5DDF"/>
    <w:rsid w:val="00BB5F8F"/>
    <w:rsid w:val="00BB657A"/>
    <w:rsid w:val="00BC1A4E"/>
    <w:rsid w:val="00BC4790"/>
    <w:rsid w:val="00BC5DC7"/>
    <w:rsid w:val="00BC6B8B"/>
    <w:rsid w:val="00BC73D8"/>
    <w:rsid w:val="00BD21C0"/>
    <w:rsid w:val="00BD352B"/>
    <w:rsid w:val="00BD52D7"/>
    <w:rsid w:val="00BD5AD2"/>
    <w:rsid w:val="00BD7416"/>
    <w:rsid w:val="00BE22F3"/>
    <w:rsid w:val="00BE5B52"/>
    <w:rsid w:val="00BE7B8D"/>
    <w:rsid w:val="00BF0993"/>
    <w:rsid w:val="00BF10A9"/>
    <w:rsid w:val="00BF1703"/>
    <w:rsid w:val="00BF231C"/>
    <w:rsid w:val="00BF51E5"/>
    <w:rsid w:val="00BF74A6"/>
    <w:rsid w:val="00C013AD"/>
    <w:rsid w:val="00C04904"/>
    <w:rsid w:val="00C056B3"/>
    <w:rsid w:val="00C074D9"/>
    <w:rsid w:val="00C103E5"/>
    <w:rsid w:val="00C12126"/>
    <w:rsid w:val="00C121BA"/>
    <w:rsid w:val="00C13319"/>
    <w:rsid w:val="00C13EE9"/>
    <w:rsid w:val="00C14D6E"/>
    <w:rsid w:val="00C21540"/>
    <w:rsid w:val="00C21906"/>
    <w:rsid w:val="00C21BFA"/>
    <w:rsid w:val="00C22148"/>
    <w:rsid w:val="00C24C8D"/>
    <w:rsid w:val="00C25FE2"/>
    <w:rsid w:val="00C26B53"/>
    <w:rsid w:val="00C279B2"/>
    <w:rsid w:val="00C3342A"/>
    <w:rsid w:val="00C33E50"/>
    <w:rsid w:val="00C34C20"/>
    <w:rsid w:val="00C35A3E"/>
    <w:rsid w:val="00C42130"/>
    <w:rsid w:val="00C423A4"/>
    <w:rsid w:val="00C44BF5"/>
    <w:rsid w:val="00C4592B"/>
    <w:rsid w:val="00C521D6"/>
    <w:rsid w:val="00C55232"/>
    <w:rsid w:val="00C553A4"/>
    <w:rsid w:val="00C55A06"/>
    <w:rsid w:val="00C55D03"/>
    <w:rsid w:val="00C57401"/>
    <w:rsid w:val="00C601BC"/>
    <w:rsid w:val="00C6329F"/>
    <w:rsid w:val="00C63340"/>
    <w:rsid w:val="00C643F9"/>
    <w:rsid w:val="00C64E95"/>
    <w:rsid w:val="00C65484"/>
    <w:rsid w:val="00C701AE"/>
    <w:rsid w:val="00C709B9"/>
    <w:rsid w:val="00C71372"/>
    <w:rsid w:val="00C72321"/>
    <w:rsid w:val="00C72410"/>
    <w:rsid w:val="00C7287F"/>
    <w:rsid w:val="00C80982"/>
    <w:rsid w:val="00C80CB8"/>
    <w:rsid w:val="00C819F8"/>
    <w:rsid w:val="00C8248C"/>
    <w:rsid w:val="00C84E33"/>
    <w:rsid w:val="00C85525"/>
    <w:rsid w:val="00C85D00"/>
    <w:rsid w:val="00C86D6F"/>
    <w:rsid w:val="00C87F09"/>
    <w:rsid w:val="00C903FB"/>
    <w:rsid w:val="00C905FC"/>
    <w:rsid w:val="00C92D03"/>
    <w:rsid w:val="00C9319C"/>
    <w:rsid w:val="00C9435D"/>
    <w:rsid w:val="00C94618"/>
    <w:rsid w:val="00C94DF2"/>
    <w:rsid w:val="00C96741"/>
    <w:rsid w:val="00CA19F7"/>
    <w:rsid w:val="00CA2D1B"/>
    <w:rsid w:val="00CA375D"/>
    <w:rsid w:val="00CA62E0"/>
    <w:rsid w:val="00CA662A"/>
    <w:rsid w:val="00CA7AFD"/>
    <w:rsid w:val="00CA7C3C"/>
    <w:rsid w:val="00CB0189"/>
    <w:rsid w:val="00CB0BA2"/>
    <w:rsid w:val="00CB1A42"/>
    <w:rsid w:val="00CB1B0C"/>
    <w:rsid w:val="00CB2BA6"/>
    <w:rsid w:val="00CB2C0B"/>
    <w:rsid w:val="00CB40A2"/>
    <w:rsid w:val="00CB517D"/>
    <w:rsid w:val="00CC038D"/>
    <w:rsid w:val="00CC08DB"/>
    <w:rsid w:val="00CC3028"/>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3BB6"/>
    <w:rsid w:val="00CF686F"/>
    <w:rsid w:val="00CF6E60"/>
    <w:rsid w:val="00CF7BCA"/>
    <w:rsid w:val="00D008FD"/>
    <w:rsid w:val="00D0321C"/>
    <w:rsid w:val="00D035EC"/>
    <w:rsid w:val="00D05765"/>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ACB"/>
    <w:rsid w:val="00D27EC4"/>
    <w:rsid w:val="00D32719"/>
    <w:rsid w:val="00D33333"/>
    <w:rsid w:val="00D33457"/>
    <w:rsid w:val="00D352A2"/>
    <w:rsid w:val="00D3660F"/>
    <w:rsid w:val="00D408A6"/>
    <w:rsid w:val="00D4162B"/>
    <w:rsid w:val="00D4514F"/>
    <w:rsid w:val="00D451E2"/>
    <w:rsid w:val="00D45E89"/>
    <w:rsid w:val="00D45E8D"/>
    <w:rsid w:val="00D466AE"/>
    <w:rsid w:val="00D4734F"/>
    <w:rsid w:val="00D5061A"/>
    <w:rsid w:val="00D513A0"/>
    <w:rsid w:val="00D51BF3"/>
    <w:rsid w:val="00D521E3"/>
    <w:rsid w:val="00D57F09"/>
    <w:rsid w:val="00D64DE3"/>
    <w:rsid w:val="00D66846"/>
    <w:rsid w:val="00D675FB"/>
    <w:rsid w:val="00D71F25"/>
    <w:rsid w:val="00D72A9C"/>
    <w:rsid w:val="00D77031"/>
    <w:rsid w:val="00D84941"/>
    <w:rsid w:val="00D84FA1"/>
    <w:rsid w:val="00D851F0"/>
    <w:rsid w:val="00D86DB7"/>
    <w:rsid w:val="00D90FBF"/>
    <w:rsid w:val="00D926D0"/>
    <w:rsid w:val="00D93030"/>
    <w:rsid w:val="00D950E1"/>
    <w:rsid w:val="00D952A6"/>
    <w:rsid w:val="00D97F99"/>
    <w:rsid w:val="00DA1E08"/>
    <w:rsid w:val="00DA24F8"/>
    <w:rsid w:val="00DA28E8"/>
    <w:rsid w:val="00DA38D3"/>
    <w:rsid w:val="00DA3932"/>
    <w:rsid w:val="00DA3AFC"/>
    <w:rsid w:val="00DA4005"/>
    <w:rsid w:val="00DA5191"/>
    <w:rsid w:val="00DA57A9"/>
    <w:rsid w:val="00DA64F8"/>
    <w:rsid w:val="00DA6C15"/>
    <w:rsid w:val="00DB0258"/>
    <w:rsid w:val="00DB38EE"/>
    <w:rsid w:val="00DB4215"/>
    <w:rsid w:val="00DB498B"/>
    <w:rsid w:val="00DB66CA"/>
    <w:rsid w:val="00DB6BCA"/>
    <w:rsid w:val="00DB73F7"/>
    <w:rsid w:val="00DC0321"/>
    <w:rsid w:val="00DC3067"/>
    <w:rsid w:val="00DC370B"/>
    <w:rsid w:val="00DC5B90"/>
    <w:rsid w:val="00DC7BBC"/>
    <w:rsid w:val="00DD00FF"/>
    <w:rsid w:val="00DD0619"/>
    <w:rsid w:val="00DD07FB"/>
    <w:rsid w:val="00DD25C6"/>
    <w:rsid w:val="00DD4FE5"/>
    <w:rsid w:val="00DD54B0"/>
    <w:rsid w:val="00DD57EE"/>
    <w:rsid w:val="00DD6BCC"/>
    <w:rsid w:val="00DE0A4B"/>
    <w:rsid w:val="00DE2410"/>
    <w:rsid w:val="00DE2939"/>
    <w:rsid w:val="00DE53A6"/>
    <w:rsid w:val="00DE5E5D"/>
    <w:rsid w:val="00DE6E81"/>
    <w:rsid w:val="00DE703F"/>
    <w:rsid w:val="00DE7595"/>
    <w:rsid w:val="00DE7D6E"/>
    <w:rsid w:val="00DF1961"/>
    <w:rsid w:val="00DF44DE"/>
    <w:rsid w:val="00DF573C"/>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0D74"/>
    <w:rsid w:val="00E3137A"/>
    <w:rsid w:val="00E32CCF"/>
    <w:rsid w:val="00E34A98"/>
    <w:rsid w:val="00E35D1E"/>
    <w:rsid w:val="00E364F9"/>
    <w:rsid w:val="00E365FA"/>
    <w:rsid w:val="00E36789"/>
    <w:rsid w:val="00E40E20"/>
    <w:rsid w:val="00E43B03"/>
    <w:rsid w:val="00E44A83"/>
    <w:rsid w:val="00E479D8"/>
    <w:rsid w:val="00E502C1"/>
    <w:rsid w:val="00E502DD"/>
    <w:rsid w:val="00E50D3A"/>
    <w:rsid w:val="00E51387"/>
    <w:rsid w:val="00E51E68"/>
    <w:rsid w:val="00E52EFD"/>
    <w:rsid w:val="00E53B0B"/>
    <w:rsid w:val="00E5408A"/>
    <w:rsid w:val="00E56800"/>
    <w:rsid w:val="00E5745A"/>
    <w:rsid w:val="00E60C63"/>
    <w:rsid w:val="00E62FF9"/>
    <w:rsid w:val="00E635D6"/>
    <w:rsid w:val="00E639BC"/>
    <w:rsid w:val="00E63B59"/>
    <w:rsid w:val="00E664CC"/>
    <w:rsid w:val="00E66B51"/>
    <w:rsid w:val="00E70388"/>
    <w:rsid w:val="00E70F92"/>
    <w:rsid w:val="00E73B1D"/>
    <w:rsid w:val="00E74C54"/>
    <w:rsid w:val="00E77A03"/>
    <w:rsid w:val="00E822E8"/>
    <w:rsid w:val="00E82554"/>
    <w:rsid w:val="00E82606"/>
    <w:rsid w:val="00E838FE"/>
    <w:rsid w:val="00E846C8"/>
    <w:rsid w:val="00E84957"/>
    <w:rsid w:val="00E84A55"/>
    <w:rsid w:val="00E85BFF"/>
    <w:rsid w:val="00E90391"/>
    <w:rsid w:val="00E906C2"/>
    <w:rsid w:val="00E9311F"/>
    <w:rsid w:val="00E934D1"/>
    <w:rsid w:val="00E93E4C"/>
    <w:rsid w:val="00E94AF0"/>
    <w:rsid w:val="00E95D13"/>
    <w:rsid w:val="00E95DD3"/>
    <w:rsid w:val="00E96918"/>
    <w:rsid w:val="00E969D5"/>
    <w:rsid w:val="00EA58D1"/>
    <w:rsid w:val="00EA61BC"/>
    <w:rsid w:val="00EA681A"/>
    <w:rsid w:val="00EA735B"/>
    <w:rsid w:val="00EB17DE"/>
    <w:rsid w:val="00EB1E69"/>
    <w:rsid w:val="00EB2086"/>
    <w:rsid w:val="00EB5EDF"/>
    <w:rsid w:val="00EB60FE"/>
    <w:rsid w:val="00EB74DB"/>
    <w:rsid w:val="00EC16E2"/>
    <w:rsid w:val="00EC1A05"/>
    <w:rsid w:val="00EC1A68"/>
    <w:rsid w:val="00EC5359"/>
    <w:rsid w:val="00EC562A"/>
    <w:rsid w:val="00EC6209"/>
    <w:rsid w:val="00ED067A"/>
    <w:rsid w:val="00ED2B50"/>
    <w:rsid w:val="00EE0350"/>
    <w:rsid w:val="00EE0719"/>
    <w:rsid w:val="00EE0E80"/>
    <w:rsid w:val="00EE54A6"/>
    <w:rsid w:val="00EE6073"/>
    <w:rsid w:val="00EE613F"/>
    <w:rsid w:val="00EE7295"/>
    <w:rsid w:val="00EE7869"/>
    <w:rsid w:val="00EF054A"/>
    <w:rsid w:val="00EF1BDA"/>
    <w:rsid w:val="00EF3235"/>
    <w:rsid w:val="00EF3FFD"/>
    <w:rsid w:val="00EF7E72"/>
    <w:rsid w:val="00F01D92"/>
    <w:rsid w:val="00F057CB"/>
    <w:rsid w:val="00F06C66"/>
    <w:rsid w:val="00F06D37"/>
    <w:rsid w:val="00F07B9D"/>
    <w:rsid w:val="00F11586"/>
    <w:rsid w:val="00F1183B"/>
    <w:rsid w:val="00F11C9F"/>
    <w:rsid w:val="00F12263"/>
    <w:rsid w:val="00F1409D"/>
    <w:rsid w:val="00F14214"/>
    <w:rsid w:val="00F157A9"/>
    <w:rsid w:val="00F22A0C"/>
    <w:rsid w:val="00F22D2F"/>
    <w:rsid w:val="00F25BB6"/>
    <w:rsid w:val="00F26B7E"/>
    <w:rsid w:val="00F27A3B"/>
    <w:rsid w:val="00F33817"/>
    <w:rsid w:val="00F3682B"/>
    <w:rsid w:val="00F420D5"/>
    <w:rsid w:val="00F451EA"/>
    <w:rsid w:val="00F45447"/>
    <w:rsid w:val="00F456C6"/>
    <w:rsid w:val="00F4577B"/>
    <w:rsid w:val="00F46496"/>
    <w:rsid w:val="00F474D0"/>
    <w:rsid w:val="00F50179"/>
    <w:rsid w:val="00F515EE"/>
    <w:rsid w:val="00F56511"/>
    <w:rsid w:val="00F56DBE"/>
    <w:rsid w:val="00F6194E"/>
    <w:rsid w:val="00F623AC"/>
    <w:rsid w:val="00F6412A"/>
    <w:rsid w:val="00F65893"/>
    <w:rsid w:val="00F66A4A"/>
    <w:rsid w:val="00F71E22"/>
    <w:rsid w:val="00F72142"/>
    <w:rsid w:val="00F72AE7"/>
    <w:rsid w:val="00F7694C"/>
    <w:rsid w:val="00F8060E"/>
    <w:rsid w:val="00F81141"/>
    <w:rsid w:val="00F833BA"/>
    <w:rsid w:val="00F84FD0"/>
    <w:rsid w:val="00F859A8"/>
    <w:rsid w:val="00F86D87"/>
    <w:rsid w:val="00F9067E"/>
    <w:rsid w:val="00F9108B"/>
    <w:rsid w:val="00F91349"/>
    <w:rsid w:val="00F93A8A"/>
    <w:rsid w:val="00F95248"/>
    <w:rsid w:val="00F955F5"/>
    <w:rsid w:val="00F956A9"/>
    <w:rsid w:val="00F963ED"/>
    <w:rsid w:val="00F966CF"/>
    <w:rsid w:val="00F96CAE"/>
    <w:rsid w:val="00F97C99"/>
    <w:rsid w:val="00FA1EF3"/>
    <w:rsid w:val="00FA4DAC"/>
    <w:rsid w:val="00FA662D"/>
    <w:rsid w:val="00FA73B1"/>
    <w:rsid w:val="00FB0CB9"/>
    <w:rsid w:val="00FB231D"/>
    <w:rsid w:val="00FB45F1"/>
    <w:rsid w:val="00FB4A72"/>
    <w:rsid w:val="00FB50B4"/>
    <w:rsid w:val="00FB54E8"/>
    <w:rsid w:val="00FB7054"/>
    <w:rsid w:val="00FC17B7"/>
    <w:rsid w:val="00FC2CB7"/>
    <w:rsid w:val="00FC4090"/>
    <w:rsid w:val="00FC55B4"/>
    <w:rsid w:val="00FD00E6"/>
    <w:rsid w:val="00FD09A1"/>
    <w:rsid w:val="00FD2A7C"/>
    <w:rsid w:val="00FD3713"/>
    <w:rsid w:val="00FD59EB"/>
    <w:rsid w:val="00FD7299"/>
    <w:rsid w:val="00FD7837"/>
    <w:rsid w:val="00FE1FBE"/>
    <w:rsid w:val="00FE3901"/>
    <w:rsid w:val="00FE39D3"/>
    <w:rsid w:val="00FE3AE1"/>
    <w:rsid w:val="00FE4BCE"/>
    <w:rsid w:val="00FE54AE"/>
    <w:rsid w:val="00FE55B6"/>
    <w:rsid w:val="00FE576A"/>
    <w:rsid w:val="00FE73BA"/>
    <w:rsid w:val="00FE7E79"/>
    <w:rsid w:val="00FF03E2"/>
    <w:rsid w:val="00FF3E7D"/>
    <w:rsid w:val="00FF5B99"/>
    <w:rsid w:val="00FF5EBC"/>
    <w:rsid w:val="00FF730C"/>
    <w:rsid w:val="00FF73F4"/>
    <w:rsid w:val="00FF7795"/>
    <w:rsid w:val="00FF7CE4"/>
    <w:rsid w:val="00FF7E39"/>
    <w:rsid w:val="13C13A17"/>
    <w:rsid w:val="19A136C8"/>
    <w:rsid w:val="1B935658"/>
    <w:rsid w:val="225B3186"/>
    <w:rsid w:val="23D95A7E"/>
    <w:rsid w:val="2FD01961"/>
    <w:rsid w:val="343C6B69"/>
    <w:rsid w:val="34DD7FE7"/>
    <w:rsid w:val="39840BD9"/>
    <w:rsid w:val="3E9F1629"/>
    <w:rsid w:val="40432600"/>
    <w:rsid w:val="44997717"/>
    <w:rsid w:val="69BB2D3B"/>
    <w:rsid w:val="6FFFE1FD"/>
    <w:rsid w:val="70030E47"/>
    <w:rsid w:val="770D2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99"/>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99"/>
    <w:rPr>
      <w:rFonts w:ascii="Arial" w:hAnsi="Arial" w:eastAsia="黑体"/>
      <w:b/>
      <w:bCs/>
      <w:kern w:val="2"/>
      <w:sz w:val="32"/>
      <w:szCs w:val="32"/>
    </w:rPr>
  </w:style>
  <w:style w:type="character" w:customStyle="1" w:styleId="36">
    <w:name w:val="标题 3 字符"/>
    <w:link w:val="4"/>
    <w:qFormat/>
    <w:uiPriority w:val="99"/>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tabs>
        <w:tab w:val="left" w:pos="360"/>
      </w:tabs>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ind w:left="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ind w:left="993"/>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vAnchor="page" w:hAnchor="page" w:x="1419" w:y="14097"/>
    </w:pPr>
  </w:style>
  <w:style w:type="paragraph" w:customStyle="1" w:styleId="194">
    <w:name w:val="其他实施日期"/>
    <w:basedOn w:val="154"/>
    <w:qFormat/>
    <w:uiPriority w:val="0"/>
    <w:pPr>
      <w:framePr w:w="3997" w:h="471" w:hRule="exact" w:vSpace="181"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表格5号字"/>
    <w:basedOn w:val="1"/>
    <w:semiHidden/>
    <w:qFormat/>
    <w:uiPriority w:val="0"/>
    <w:pPr>
      <w:adjustRightInd/>
      <w:snapToGrid w:val="0"/>
      <w:spacing w:before="24" w:after="24" w:line="240" w:lineRule="auto"/>
      <w:ind w:left="17"/>
      <w:jc w:val="center"/>
      <w:textAlignment w:val="center"/>
    </w:pPr>
    <w:rPr>
      <w:rFonts w:ascii="宋体" w:hAnsi="微软雅黑" w:cs="宋体"/>
      <w:color w:val="000000"/>
      <w:kern w:val="0"/>
      <w:sz w:val="18"/>
      <w:szCs w:val="18"/>
    </w:rPr>
  </w:style>
  <w:style w:type="paragraph" w:customStyle="1" w:styleId="231">
    <w:name w:val="Other|1"/>
    <w:basedOn w:val="1"/>
    <w:qFormat/>
    <w:uiPriority w:val="0"/>
    <w:pPr>
      <w:adjustRightInd/>
      <w:snapToGrid w:val="0"/>
      <w:spacing w:line="364" w:lineRule="auto"/>
      <w:ind w:firstLine="200" w:firstLineChars="200"/>
      <w:jc w:val="left"/>
    </w:pPr>
    <w:rPr>
      <w:rFonts w:ascii="微软雅黑" w:hAnsi="微软雅黑" w:eastAsia="微软雅黑" w:cs="宋体"/>
      <w:sz w:val="18"/>
      <w:szCs w:val="18"/>
    </w:rPr>
  </w:style>
  <w:style w:type="paragraph" w:customStyle="1" w:styleId="232">
    <w:name w:val="正文1"/>
    <w:qFormat/>
    <w:uiPriority w:val="0"/>
    <w:pPr>
      <w:jc w:val="both"/>
    </w:pPr>
    <w:rPr>
      <w:rFonts w:ascii="Calibri" w:hAnsi="Calibri" w:eastAsia="宋体" w:cs="Calibri"/>
      <w:kern w:val="2"/>
      <w:sz w:val="21"/>
      <w:szCs w:val="21"/>
      <w:lang w:val="en-US" w:eastAsia="zh-CN" w:bidi="ar-SA"/>
    </w:rPr>
  </w:style>
  <w:style w:type="paragraph" w:customStyle="1" w:styleId="233">
    <w:name w:val="正文2"/>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glossaryDocument" Target="glossary/document.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tif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ser\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148A8F5F2CE4AB7A486AADACB8AFFBF"/>
        <w:style w:val=""/>
        <w:category>
          <w:name w:val="常规"/>
          <w:gallery w:val="placeholder"/>
        </w:category>
        <w:types>
          <w:type w:val="bbPlcHdr"/>
        </w:types>
        <w:behaviors>
          <w:behavior w:val="content"/>
        </w:behaviors>
        <w:description w:val=""/>
        <w:guid w:val="{F199ED93-D89E-46A1-BEFC-C2A1508653E7}"/>
      </w:docPartPr>
      <w:docPartBody>
        <w:p w14:paraId="5FF98056">
          <w:pPr>
            <w:pStyle w:val="5"/>
            <w:rPr>
              <w:rFonts w:hint="eastAsia"/>
            </w:rPr>
          </w:pPr>
          <w:r>
            <w:rPr>
              <w:rStyle w:val="4"/>
              <w:rFonts w:hint="eastAsia"/>
            </w:rPr>
            <w:t>单击或点击此处输入文字。</w:t>
          </w:r>
        </w:p>
      </w:docPartBody>
    </w:docPart>
    <w:docPart>
      <w:docPartPr>
        <w:name w:val="6036A5734D5442AFA35D05CDD2C5513F"/>
        <w:style w:val=""/>
        <w:category>
          <w:name w:val="常规"/>
          <w:gallery w:val="placeholder"/>
        </w:category>
        <w:types>
          <w:type w:val="bbPlcHdr"/>
        </w:types>
        <w:behaviors>
          <w:behavior w:val="content"/>
        </w:behaviors>
        <w:description w:val=""/>
        <w:guid w:val="{D5CE5A10-00EE-4B0C-8BB8-8AE1BA1203CB}"/>
      </w:docPartPr>
      <w:docPartBody>
        <w:p w14:paraId="4C1654D8">
          <w:pPr>
            <w:pStyle w:val="6"/>
            <w:rPr>
              <w:rFonts w:hint="eastAsia"/>
            </w:rPr>
          </w:pPr>
          <w:r>
            <w:rPr>
              <w:rStyle w:val="4"/>
              <w:rFonts w:hint="eastAsia"/>
            </w:rPr>
            <w:t>选择一项。</w:t>
          </w:r>
        </w:p>
      </w:docPartBody>
    </w:docPart>
    <w:docPart>
      <w:docPartPr>
        <w:name w:val="F959A03B7B334695BEACED24EF3E0686"/>
        <w:style w:val=""/>
        <w:category>
          <w:name w:val="常规"/>
          <w:gallery w:val="placeholder"/>
        </w:category>
        <w:types>
          <w:type w:val="bbPlcHdr"/>
        </w:types>
        <w:behaviors>
          <w:behavior w:val="content"/>
        </w:behaviors>
        <w:description w:val=""/>
        <w:guid w:val="{A27B825D-92F2-48BF-AF24-D71EB6B06DEC}"/>
      </w:docPartPr>
      <w:docPartBody>
        <w:p w14:paraId="3C224C55">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98"/>
    <w:rsid w:val="0002213C"/>
    <w:rsid w:val="0013545C"/>
    <w:rsid w:val="001D7D12"/>
    <w:rsid w:val="001F35A8"/>
    <w:rsid w:val="00211526"/>
    <w:rsid w:val="002B25B3"/>
    <w:rsid w:val="00331DB4"/>
    <w:rsid w:val="003B0A7F"/>
    <w:rsid w:val="004C3650"/>
    <w:rsid w:val="004C5311"/>
    <w:rsid w:val="004E6B85"/>
    <w:rsid w:val="004F7D35"/>
    <w:rsid w:val="006477F6"/>
    <w:rsid w:val="006D7D98"/>
    <w:rsid w:val="007A4455"/>
    <w:rsid w:val="007D7213"/>
    <w:rsid w:val="008436E6"/>
    <w:rsid w:val="008B426F"/>
    <w:rsid w:val="0097024F"/>
    <w:rsid w:val="009B46A3"/>
    <w:rsid w:val="00A30202"/>
    <w:rsid w:val="00BD412F"/>
    <w:rsid w:val="00C8289E"/>
    <w:rsid w:val="00D27ACB"/>
    <w:rsid w:val="00D318C9"/>
    <w:rsid w:val="00DA4005"/>
    <w:rsid w:val="00DD31A7"/>
    <w:rsid w:val="00EB2BD2"/>
    <w:rsid w:val="00FA2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3148A8F5F2CE4AB7A486AADACB8AFF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036A5734D5442AFA35D05CDD2C551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F959A03B7B334695BEACED24EF3E068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32</Pages>
  <Words>2642</Words>
  <Characters>3157</Characters>
  <Lines>181</Lines>
  <Paragraphs>51</Paragraphs>
  <TotalTime>9</TotalTime>
  <ScaleCrop>false</ScaleCrop>
  <LinksUpToDate>false</LinksUpToDate>
  <CharactersWithSpaces>3551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2024-09-20T14:56:00Z</dcterms:created>
  <dc:creator>Administrator</dc:creator>
  <cp:lastModifiedBy>lenovo</cp:lastModifiedBy>
  <cp:lastPrinted>2024-09-20T13:30:00Z</cp:lastPrinted>
  <dcterms:modified xsi:type="dcterms:W3CDTF">2024-12-27T03:45:43Z</dcterms:modified>
  <dc:title>地方标准</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2052-12.1.0.19302</vt:lpwstr>
  </property>
  <property fmtid="{D5CDD505-2E9C-101B-9397-08002B2CF9AE}" pid="15" name="ICV">
    <vt:lpwstr>3DAA27DF075B4749979434673093B71A</vt:lpwstr>
  </property>
  <property fmtid="{D5CDD505-2E9C-101B-9397-08002B2CF9AE}" pid="16" name="KSOTemplateDocerSaveRecord">
    <vt:lpwstr>eyJoZGlkIjoiNWViMGQwMzI5YmU4MWRiMmMwYWE1MzljZTMxYzU0MzIifQ==</vt:lpwstr>
  </property>
</Properties>
</file>