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740F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43AF145">
            <w:pPr>
              <w:pStyle w:val="19"/>
              <w:framePr w:wrap="notBeside" w:vAnchor="page" w:hAnchor="page" w:x="1372" w:y="568"/>
              <w:tabs>
                <w:tab w:val="clear" w:pos="4153"/>
                <w:tab w:val="clear" w:pos="8306"/>
              </w:tabs>
              <w:spacing w:line="240" w:lineRule="auto"/>
              <w:jc w:val="left"/>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ICS</w:t>
            </w:r>
            <w:r>
              <w:rPr>
                <w:rFonts w:ascii="黑体" w:hAnsi="黑体" w:eastAsia="黑体"/>
                <w:color w:val="000000" w:themeColor="text1"/>
                <w:sz w:val="21"/>
                <w:szCs w:val="21"/>
                <w14:textFill>
                  <w14:solidFill>
                    <w14:schemeClr w14:val="tx1"/>
                  </w14:solidFill>
                </w14:textFill>
              </w:rPr>
              <w:t xml:space="preserve">  </w:t>
            </w:r>
          </w:p>
        </w:tc>
        <w:tc>
          <w:tcPr>
            <w:tcW w:w="8855" w:type="dxa"/>
          </w:tcPr>
          <w:p w14:paraId="3A322944">
            <w:pPr>
              <w:pStyle w:val="19"/>
              <w:framePr w:wrap="notBeside" w:vAnchor="page" w:hAnchor="page" w:x="1372" w:y="568"/>
              <w:tabs>
                <w:tab w:val="clear" w:pos="4153"/>
                <w:tab w:val="clear" w:pos="8306"/>
              </w:tabs>
              <w:spacing w:line="240" w:lineRule="auto"/>
              <w:jc w:val="both"/>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fldChar w:fldCharType="begin">
                <w:ffData>
                  <w:name w:val="ICS"/>
                  <w:enabled/>
                  <w:calcOnExit w:val="0"/>
                  <w:textInput>
                    <w:default w:val="13.060.30"/>
                  </w:textInput>
                </w:ffData>
              </w:fldChar>
            </w:r>
            <w:bookmarkStart w:id="0" w:name="ICS"/>
            <w:r>
              <w:rPr>
                <w:rFonts w:hint="eastAsia" w:ascii="黑体" w:hAnsi="黑体" w:eastAsia="黑体"/>
                <w:color w:val="000000" w:themeColor="text1"/>
                <w:sz w:val="21"/>
                <w:szCs w:val="21"/>
                <w14:textFill>
                  <w14:solidFill>
                    <w14:schemeClr w14:val="tx1"/>
                  </w14:solidFill>
                </w14:textFill>
              </w:rPr>
              <w:instrText xml:space="preserve"> </w:instrText>
            </w:r>
            <w:r>
              <w:rPr>
                <w:rFonts w:ascii="黑体" w:hAnsi="黑体" w:eastAsia="黑体"/>
                <w:color w:val="000000" w:themeColor="text1"/>
                <w:sz w:val="21"/>
                <w:szCs w:val="21"/>
                <w14:textFill>
                  <w14:solidFill>
                    <w14:schemeClr w14:val="tx1"/>
                  </w14:solidFill>
                </w14:textFill>
              </w:rPr>
              <w:instrText xml:space="preserve">FORMTEXT</w:instrText>
            </w:r>
            <w:r>
              <w:rPr>
                <w:rFonts w:hint="eastAsia" w:ascii="黑体" w:hAnsi="黑体" w:eastAsia="黑体"/>
                <w:color w:val="000000" w:themeColor="text1"/>
                <w:sz w:val="21"/>
                <w:szCs w:val="21"/>
                <w14:textFill>
                  <w14:solidFill>
                    <w14:schemeClr w14:val="tx1"/>
                  </w14:solidFill>
                </w14:textFill>
              </w:rPr>
              <w:instrText xml:space="preserve"> </w:instrText>
            </w:r>
            <w:r>
              <w:rPr>
                <w:rFonts w:hint="eastAsia" w:ascii="黑体" w:hAnsi="黑体" w:eastAsia="黑体"/>
                <w:color w:val="000000" w:themeColor="text1"/>
                <w:sz w:val="21"/>
                <w:szCs w:val="21"/>
                <w14:textFill>
                  <w14:solidFill>
                    <w14:schemeClr w14:val="tx1"/>
                  </w14:solidFill>
                </w14:textFill>
              </w:rPr>
              <w:fldChar w:fldCharType="separate"/>
            </w:r>
            <w:r>
              <w:rPr>
                <w:rFonts w:hint="eastAsia" w:ascii="黑体" w:hAnsi="黑体" w:eastAsia="黑体"/>
                <w:color w:val="000000" w:themeColor="text1"/>
                <w:sz w:val="21"/>
                <w:szCs w:val="21"/>
                <w14:textFill>
                  <w14:solidFill>
                    <w14:schemeClr w14:val="tx1"/>
                  </w14:solidFill>
                </w14:textFill>
              </w:rPr>
              <w:t>13.060.30</w:t>
            </w:r>
            <w:r>
              <w:rPr>
                <w:rFonts w:hint="eastAsia" w:ascii="黑体" w:hAnsi="黑体" w:eastAsia="黑体"/>
                <w:color w:val="000000" w:themeColor="text1"/>
                <w:sz w:val="21"/>
                <w:szCs w:val="21"/>
                <w14:textFill>
                  <w14:solidFill>
                    <w14:schemeClr w14:val="tx1"/>
                  </w14:solidFill>
                </w14:textFill>
              </w:rPr>
              <w:fldChar w:fldCharType="end"/>
            </w:r>
            <w:bookmarkEnd w:id="0"/>
          </w:p>
        </w:tc>
      </w:tr>
      <w:tr w14:paraId="78FBE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1DAB472A">
            <w:pPr>
              <w:pStyle w:val="19"/>
              <w:framePr w:wrap="notBeside" w:vAnchor="page" w:hAnchor="page" w:x="1372" w:y="568"/>
              <w:tabs>
                <w:tab w:val="clear" w:pos="4153"/>
                <w:tab w:val="clear" w:pos="8306"/>
              </w:tabs>
              <w:spacing w:before="40" w:line="240" w:lineRule="auto"/>
              <w:jc w:val="left"/>
              <w:rPr>
                <w:rFonts w:hint="eastAsia" w:ascii="黑体" w:hAnsi="黑体" w:eastAsia="黑体"/>
                <w:color w:val="000000" w:themeColor="text1"/>
                <w:sz w:val="21"/>
                <w:szCs w:val="21"/>
                <w14:textFill>
                  <w14:solidFill>
                    <w14:schemeClr w14:val="tx1"/>
                  </w14:solidFill>
                </w14:textFill>
              </w:rPr>
            </w:pPr>
            <w:r>
              <w:rPr>
                <w:rFonts w:ascii="Times New Roman" w:hAnsi="Times New Roman" w:eastAsia="黑体"/>
                <w:color w:val="000000" w:themeColor="text1"/>
                <w:sz w:val="21"/>
                <w:szCs w:val="21"/>
                <w14:textFill>
                  <w14:solidFill>
                    <w14:schemeClr w14:val="tx1"/>
                  </w14:solidFill>
                </w14:textFill>
              </w:rPr>
              <w:t xml:space="preserve">CCS </w:t>
            </w:r>
            <w:r>
              <w:rPr>
                <w:rFonts w:ascii="黑体" w:hAnsi="黑体" w:eastAsia="黑体"/>
                <w:color w:val="000000" w:themeColor="text1"/>
                <w:sz w:val="21"/>
                <w:szCs w:val="21"/>
                <w14:textFill>
                  <w14:solidFill>
                    <w14:schemeClr w14:val="tx1"/>
                  </w14:solidFill>
                </w14:textFill>
              </w:rPr>
              <w:t xml:space="preserve"> </w:t>
            </w:r>
          </w:p>
        </w:tc>
        <w:tc>
          <w:tcPr>
            <w:tcW w:w="8855" w:type="dxa"/>
          </w:tcPr>
          <w:p w14:paraId="7F8B5294">
            <w:pPr>
              <w:pStyle w:val="19"/>
              <w:framePr w:wrap="notBeside" w:vAnchor="page" w:hAnchor="page" w:x="1372" w:y="568"/>
              <w:tabs>
                <w:tab w:val="clear" w:pos="4153"/>
                <w:tab w:val="clear" w:pos="8306"/>
              </w:tabs>
              <w:spacing w:before="40" w:line="240" w:lineRule="auto"/>
              <w:jc w:val="left"/>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P41</w:t>
            </w:r>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5570DFF4">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32765C6F">
            <w:pPr>
              <w:pStyle w:val="52"/>
              <w:framePr w:w="0" w:hRule="auto" w:wrap="auto" w:vAnchor="margin" w:hAnchor="text" w:xAlign="left" w:yAlign="inline"/>
              <w:wordWrap w:val="0"/>
              <w:rPr>
                <w:rFonts w:hint="eastAsia" w:ascii="宋体" w:hAnsi="宋体"/>
                <w:color w:val="000000" w:themeColor="text1"/>
                <w:sz w:val="28"/>
                <w:szCs w:val="28"/>
                <w14:textFill>
                  <w14:solidFill>
                    <w14:schemeClr w14:val="tx1"/>
                  </w14:solidFill>
                </w14:textFill>
              </w:rPr>
            </w:pPr>
            <w:bookmarkStart w:id="1" w:name="_Hlk26473981"/>
            <w:r>
              <w:rPr>
                <w:color w:val="000000" w:themeColor="text1"/>
                <w14:textFill>
                  <w14:solidFill>
                    <w14:schemeClr w14:val="tx1"/>
                  </w14:solidFill>
                </w14:textFill>
              </w:rPr>
              <w:drawing>
                <wp:inline distT="0" distB="0" distL="0" distR="0">
                  <wp:extent cx="796290" cy="397510"/>
                  <wp:effectExtent l="0" t="0" r="3810" b="254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rFonts w:hint="eastAsia"/>
                <w:color w:val="000000" w:themeColor="text1"/>
                <w14:textFill>
                  <w14:solidFill>
                    <w14:schemeClr w14:val="tx1"/>
                  </w14:solidFill>
                </w14:textFill>
              </w:rPr>
              <w:t>42</w:t>
            </w:r>
          </w:p>
        </w:tc>
      </w:tr>
    </w:tbl>
    <w:p w14:paraId="59A72E06">
      <w:pPr>
        <w:pStyle w:val="53"/>
        <w:framePr w:w="9639" w:h="624" w:hRule="exact" w:hSpace="181" w:vSpace="181" w:hAnchor="page" w:x="1305" w:y="2269"/>
        <w:rPr>
          <w:rFonts w:hint="eastAsia" w:ascii="黑体" w:hAnsi="黑体" w:eastAsia="黑体"/>
          <w:b w:val="0"/>
          <w:bCs w:val="0"/>
          <w:color w:val="000000" w:themeColor="text1"/>
          <w:w w:val="100"/>
          <w:sz w:val="48"/>
          <w:szCs w:val="48"/>
          <w14:textFill>
            <w14:solidFill>
              <w14:schemeClr w14:val="tx1"/>
            </w14:solidFill>
          </w14:textFill>
        </w:rPr>
      </w:pPr>
      <w:r>
        <w:rPr>
          <w:rFonts w:hint="eastAsia" w:ascii="黑体" w:hAnsi="黑体" w:eastAsia="黑体"/>
          <w:b w:val="0"/>
          <w:bCs w:val="0"/>
          <w:color w:val="000000" w:themeColor="text1"/>
          <w:w w:val="100"/>
          <w:sz w:val="48"/>
          <w:szCs w:val="48"/>
          <w14:textFill>
            <w14:solidFill>
              <w14:schemeClr w14:val="tx1"/>
            </w14:solidFill>
          </w14:textFill>
        </w:rPr>
        <w:t>湖北省地方标准</w:t>
      </w:r>
    </w:p>
    <w:bookmarkEnd w:id="1"/>
    <w:p w14:paraId="5BE7AE24">
      <w:pPr>
        <w:pStyle w:val="198"/>
        <w:rPr>
          <w:color w:val="000000" w:themeColor="text1"/>
          <w:lang w:val="fr-FR"/>
          <w14:textFill>
            <w14:solidFill>
              <w14:schemeClr w14:val="tx1"/>
            </w14:solidFill>
          </w14:textFill>
        </w:rPr>
      </w:pPr>
      <w:r>
        <w:rPr>
          <w:color w:val="000000" w:themeColor="text1"/>
          <w:lang w:val="fr-FR"/>
          <w14:textFill>
            <w14:solidFill>
              <w14:schemeClr w14:val="tx1"/>
            </w14:solidFill>
          </w14:textFill>
        </w:rPr>
        <w:t>DB</w:t>
      </w:r>
      <w:r>
        <w:rPr>
          <w:color w:val="000000" w:themeColor="text1"/>
          <w:sz w:val="15"/>
          <w:szCs w:val="15"/>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文字1"/>
            <w:enabled/>
            <w:calcOnExit w:val="0"/>
            <w:textInput>
              <w:default w:val="42/T"/>
            </w:textInput>
          </w:ffData>
        </w:fldChar>
      </w:r>
      <w:bookmarkStart w:id="2" w:name="文字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42/T</w:t>
      </w:r>
      <w:r>
        <w:rPr>
          <w:color w:val="000000" w:themeColor="text1"/>
          <w14:textFill>
            <w14:solidFill>
              <w14:schemeClr w14:val="tx1"/>
            </w14:solidFill>
          </w14:textFill>
        </w:rPr>
        <w:fldChar w:fldCharType="end"/>
      </w:r>
      <w:bookmarkEnd w:id="2"/>
      <w:r>
        <w:rPr>
          <w:color w:val="000000" w:themeColor="text1"/>
          <w:lang w:val="fr-FR"/>
          <w14:textFill>
            <w14:solidFill>
              <w14:schemeClr w14:val="tx1"/>
            </w14:solidFill>
          </w14:textFill>
        </w:rPr>
        <w:t xml:space="preserve"> </w:t>
      </w:r>
      <w:r>
        <w:rPr>
          <w:color w:val="000000" w:themeColor="text1"/>
          <w14:textFill>
            <w14:solidFill>
              <w14:schemeClr w14:val="tx1"/>
            </w14:solidFill>
          </w14:textFill>
        </w:rPr>
        <w:fldChar w:fldCharType="begin">
          <w:ffData>
            <w:name w:val="NSTD_CODE_F"/>
            <w:enabled/>
            <w:calcOnExit w:val="0"/>
            <w:textInput>
              <w:default w:val="XXXX"/>
            </w:textInput>
          </w:ffData>
        </w:fldChar>
      </w:r>
      <w:bookmarkStart w:id="3" w:name="NSTD_CODE_F"/>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3"/>
      <w:r>
        <w:rPr>
          <w:rFonts w:hAnsi="黑体"/>
          <w:color w:val="000000" w:themeColor="text1"/>
          <w:lang w:val="fr-FR"/>
          <w14:textFill>
            <w14:solidFill>
              <w14:schemeClr w14:val="tx1"/>
            </w14:solidFill>
          </w14:textFill>
        </w:rPr>
        <w:t>—</w:t>
      </w:r>
      <w:r>
        <w:rPr>
          <w:color w:val="000000" w:themeColor="text1"/>
          <w14:textFill>
            <w14:solidFill>
              <w14:schemeClr w14:val="tx1"/>
            </w14:solidFill>
          </w14:textFill>
        </w:rPr>
        <w:fldChar w:fldCharType="begin">
          <w:ffData>
            <w:name w:val="NSTD_CODE_B"/>
            <w:enabled/>
            <w:calcOnExit w:val="0"/>
            <w:textInput>
              <w:default w:val="XXXX"/>
            </w:textInput>
          </w:ffData>
        </w:fldChar>
      </w:r>
      <w:bookmarkStart w:id="4" w:name="NSTD_CODE_B"/>
      <w:r>
        <w:rPr>
          <w:color w:val="000000" w:themeColor="text1"/>
          <w:lang w:val="fr-FR"/>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lang w:val="fr-FR"/>
          <w14:textFill>
            <w14:solidFill>
              <w14:schemeClr w14:val="tx1"/>
            </w14:solidFill>
          </w14:textFill>
        </w:rPr>
        <w:t>XXXX</w:t>
      </w:r>
      <w:r>
        <w:rPr>
          <w:color w:val="000000" w:themeColor="text1"/>
          <w14:textFill>
            <w14:solidFill>
              <w14:schemeClr w14:val="tx1"/>
            </w14:solidFill>
          </w14:textFill>
        </w:rPr>
        <w:fldChar w:fldCharType="end"/>
      </w:r>
      <w:bookmarkEnd w:id="4"/>
    </w:p>
    <w:p w14:paraId="481B13FC">
      <w:pPr>
        <w:pStyle w:val="199"/>
        <w:rPr>
          <w:rFonts w:hint="eastAsia" w:hAnsi="黑体"/>
          <w:color w:val="000000" w:themeColor="text1"/>
          <w14:textFill>
            <w14:solidFill>
              <w14:schemeClr w14:val="tx1"/>
            </w14:solidFill>
          </w14:textFill>
        </w:rPr>
      </w:pPr>
      <w:r>
        <w:rPr>
          <w:rFonts w:hAnsi="黑体"/>
          <w:color w:val="000000" w:themeColor="text1"/>
          <w14:textFill>
            <w14:solidFill>
              <w14:schemeClr w14:val="tx1"/>
            </w14:solidFill>
          </w14:textFill>
        </w:rPr>
        <w:fldChar w:fldCharType="begin">
          <w:ffData>
            <w:name w:val="OSTD_CODE"/>
            <w:enabled/>
            <w:calcOnExit w:val="0"/>
            <w:textInput/>
          </w:ffData>
        </w:fldChar>
      </w:r>
      <w:bookmarkStart w:id="5" w:name="OSTD_CODE"/>
      <w:r>
        <w:rPr>
          <w:rFonts w:hAnsi="黑体"/>
          <w:color w:val="000000" w:themeColor="text1"/>
          <w14:textFill>
            <w14:solidFill>
              <w14:schemeClr w14:val="tx1"/>
            </w14:solidFill>
          </w14:textFill>
        </w:rPr>
        <w:instrText xml:space="preserve"> FORMTEXT </w:instrText>
      </w:r>
      <w:r>
        <w:rPr>
          <w:rFonts w:hAnsi="黑体"/>
          <w:color w:val="000000" w:themeColor="text1"/>
          <w14:textFill>
            <w14:solidFill>
              <w14:schemeClr w14:val="tx1"/>
            </w14:solidFill>
          </w14:textFill>
        </w:rPr>
        <w:fldChar w:fldCharType="separate"/>
      </w:r>
      <w:r>
        <w:rPr>
          <w:rFonts w:hAnsi="黑体"/>
          <w:color w:val="000000" w:themeColor="text1"/>
          <w14:textFill>
            <w14:solidFill>
              <w14:schemeClr w14:val="tx1"/>
            </w14:solidFill>
          </w14:textFill>
        </w:rPr>
        <w:t>     </w:t>
      </w:r>
      <w:r>
        <w:rPr>
          <w:rFonts w:hAnsi="黑体"/>
          <w:color w:val="000000" w:themeColor="text1"/>
          <w14:textFill>
            <w14:solidFill>
              <w14:schemeClr w14:val="tx1"/>
            </w14:solidFill>
          </w14:textFill>
        </w:rPr>
        <w:fldChar w:fldCharType="end"/>
      </w:r>
      <w:bookmarkEnd w:id="5"/>
    </w:p>
    <w:p w14:paraId="089F3D33">
      <w:pPr>
        <w:spacing w:line="240" w:lineRule="auto"/>
        <w:rPr>
          <w:rFonts w:hint="eastAsia" w:ascii="黑体" w:hAnsi="黑体" w:eastAsia="黑体"/>
          <w:color w:val="000000" w:themeColor="text1"/>
          <w:kern w:val="0"/>
          <w:sz w:val="10"/>
          <w:szCs w:val="10"/>
          <w14:textFill>
            <w14:solidFill>
              <w14:schemeClr w14:val="tx1"/>
            </w14:solidFill>
          </w14:textFill>
        </w:rPr>
      </w:pPr>
      <w:r>
        <w:rPr>
          <w:rFonts w:ascii="黑体" w:hAnsi="黑体"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2"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GVcU0+UBAACr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06RS57Gk4IVbhcRT9u7aX4H8hMzBohVuo3K3N3tPCJOUUTxISQZ6&#10;qrXu3kFNMWIbIUvWN8EmSBKD9Xky+9NkVB+ZpMfzCa3OmIYmj75ClMdEHzC+VWBZulTcaJdEE6XY&#10;XWFMjYjyGJKeHVxqY/LgjWNdxd+cTc9yAoLRdXKmMAyb9cIEthNpdfKXWZHnfliArauHIsYdSCee&#10;g2JrqPercBSDZpi7OexbWpL7ds6++8f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GVcU&#10;0+UBAACrAwAADgAAAAAAAAABACAAAAAnAQAAZHJzL2Uyb0RvYy54bWxQSwUGAAAAAAYABgBZAQAA&#10;fgUAAAAA&#10;">
                <v:fill on="f" focussize="0,0"/>
                <v:stroke color="#000000" joinstyle="round"/>
                <v:imagedata o:title=""/>
                <o:lock v:ext="edit" aspectratio="f"/>
              </v:line>
            </w:pict>
          </mc:Fallback>
        </mc:AlternateContent>
      </w:r>
    </w:p>
    <w:p w14:paraId="6CAE7FD2">
      <w:pPr>
        <w:pStyle w:val="200"/>
        <w:framePr w:h="6974" w:hRule="exact" w:x="1419" w:anchorLock="1"/>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城镇污水处理厂绿色设计规程</w:t>
      </w:r>
    </w:p>
    <w:p w14:paraId="3DA8CEC1">
      <w:pPr>
        <w:framePr w:w="9639" w:h="6974" w:hRule="exact" w:wrap="around" w:vAnchor="page" w:hAnchor="page" w:x="1419" w:y="6408" w:anchorLock="1"/>
        <w:ind w:left="-1418"/>
        <w:rPr>
          <w:color w:val="000000" w:themeColor="text1"/>
          <w14:textFill>
            <w14:solidFill>
              <w14:schemeClr w14:val="tx1"/>
            </w14:solidFill>
          </w14:textFill>
        </w:rPr>
      </w:pPr>
    </w:p>
    <w:p w14:paraId="54E53BB0">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eastAsia="黑体"/>
          <w:color w:val="000000" w:themeColor="text1"/>
          <w:szCs w:val="28"/>
          <w14:textFill>
            <w14:solidFill>
              <w14:schemeClr w14:val="tx1"/>
            </w14:solidFill>
          </w14:textFill>
        </w:rPr>
        <w:t>P</w:t>
      </w:r>
      <w:r>
        <w:rPr>
          <w:rFonts w:hint="eastAsia" w:eastAsia="黑体"/>
          <w:color w:val="000000" w:themeColor="text1"/>
          <w:szCs w:val="28"/>
          <w14:textFill>
            <w14:solidFill>
              <w14:schemeClr w14:val="tx1"/>
            </w14:solidFill>
          </w14:textFill>
        </w:rPr>
        <w:t>roce</w:t>
      </w:r>
      <w:r>
        <w:rPr>
          <w:rFonts w:eastAsia="黑体"/>
          <w:color w:val="000000" w:themeColor="text1"/>
          <w:szCs w:val="28"/>
          <w14:textFill>
            <w14:solidFill>
              <w14:schemeClr w14:val="tx1"/>
            </w14:solidFill>
          </w14:textFill>
        </w:rPr>
        <w:t>dure for green design of urban sewage treatment plant</w:t>
      </w:r>
    </w:p>
    <w:p w14:paraId="12524FBD">
      <w:pPr>
        <w:framePr w:w="9639" w:h="6974" w:hRule="exact" w:wrap="around" w:vAnchor="page" w:hAnchor="page" w:x="1419" w:y="6408" w:anchorLock="1"/>
        <w:spacing w:line="760" w:lineRule="exact"/>
        <w:ind w:left="-1418"/>
        <w:rPr>
          <w:color w:val="000000" w:themeColor="text1"/>
          <w14:textFill>
            <w14:solidFill>
              <w14:schemeClr w14:val="tx1"/>
            </w14:solidFill>
          </w14:textFill>
        </w:rPr>
      </w:pPr>
    </w:p>
    <w:p w14:paraId="01AE38D4">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14:paraId="5E7F73AE">
      <w:pPr>
        <w:pStyle w:val="128"/>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bookmarkStart w:id="6" w:name="下拉1"/>
      <w:r>
        <w:rPr>
          <w:color w:val="000000" w:themeColor="text1"/>
          <w:sz w:val="24"/>
          <w:szCs w:val="28"/>
          <w14:textFill>
            <w14:solidFill>
              <w14:schemeClr w14:val="tx1"/>
            </w14:solidFill>
          </w14:textFill>
        </w:rPr>
        <w:fldChar w:fldCharType="begin">
          <w:ffData>
            <w:name w:val="下拉1"/>
            <w:enabled/>
            <w:calcOnExit w:val="0"/>
            <w:ddList>
              <w:listEntry w:val="（征求意见稿）"/>
              <w:listEntry w:val="草案版次选择"/>
              <w:listEntry w:val="（工作组讨论稿）"/>
              <w:listEntry w:val="（送审讨论稿）"/>
              <w:listEntry w:val="（送审稿）"/>
              <w:listEntry w:val="（报批稿）"/>
            </w:ddList>
          </w:ffData>
        </w:fldChar>
      </w:r>
      <w:r>
        <w:rPr>
          <w:color w:val="000000" w:themeColor="text1"/>
          <w:sz w:val="24"/>
          <w:szCs w:val="28"/>
          <w14:textFill>
            <w14:solidFill>
              <w14:schemeClr w14:val="tx1"/>
            </w14:solidFill>
          </w14:textFill>
        </w:rPr>
        <w:instrText xml:space="preserve">FORMDROPDOWN</w:instrText>
      </w:r>
      <w:r>
        <w:rPr>
          <w:color w:val="000000" w:themeColor="text1"/>
          <w:sz w:val="24"/>
          <w:szCs w:val="28"/>
          <w14:textFill>
            <w14:solidFill>
              <w14:schemeClr w14:val="tx1"/>
            </w14:solidFill>
          </w14:textFill>
        </w:rPr>
        <w:fldChar w:fldCharType="separate"/>
      </w:r>
      <w:r>
        <w:rPr>
          <w:color w:val="000000" w:themeColor="text1"/>
          <w:sz w:val="24"/>
          <w:szCs w:val="28"/>
          <w14:textFill>
            <w14:solidFill>
              <w14:schemeClr w14:val="tx1"/>
            </w14:solidFill>
          </w14:textFill>
        </w:rPr>
        <w:fldChar w:fldCharType="end"/>
      </w:r>
      <w:bookmarkEnd w:id="6"/>
    </w:p>
    <w:p w14:paraId="14663C0F">
      <w:pPr>
        <w:pStyle w:val="128"/>
        <w:framePr w:w="9639" w:h="6974" w:hRule="exact" w:wrap="around" w:vAnchor="page" w:hAnchor="page" w:x="1419" w:y="6408" w:anchorLock="1"/>
        <w:spacing w:before="180" w:line="240" w:lineRule="atLeast"/>
        <w:textAlignment w:val="bottom"/>
        <w:rPr>
          <w:color w:val="000000" w:themeColor="text1"/>
          <w:sz w:val="21"/>
          <w:szCs w:val="28"/>
          <w14:textFill>
            <w14:solidFill>
              <w14:schemeClr w14:val="tx1"/>
            </w14:solidFill>
          </w14:textFill>
        </w:rPr>
      </w:pPr>
      <w:r>
        <w:rPr>
          <w:color w:val="000000" w:themeColor="text1"/>
          <w:sz w:val="21"/>
          <w:szCs w:val="28"/>
          <w14:textFill>
            <w14:solidFill>
              <w14:schemeClr w14:val="tx1"/>
            </w14:solidFill>
          </w14:textFill>
        </w:rPr>
        <w:fldChar w:fldCharType="begin">
          <w:ffData>
            <w:name w:val="CMPLSH_DATE"/>
            <w:enabled/>
            <w:calcOnExit w:val="0"/>
            <w:textInput/>
          </w:ffData>
        </w:fldChar>
      </w:r>
      <w:bookmarkStart w:id="7" w:name="CMPLSH_DATE"/>
      <w:r>
        <w:rPr>
          <w:color w:val="000000" w:themeColor="text1"/>
          <w:sz w:val="21"/>
          <w:szCs w:val="28"/>
          <w14:textFill>
            <w14:solidFill>
              <w14:schemeClr w14:val="tx1"/>
            </w14:solidFill>
          </w14:textFill>
        </w:rPr>
        <w:instrText xml:space="preserve"> FORMTEXT </w:instrText>
      </w:r>
      <w:r>
        <w:rPr>
          <w:color w:val="000000" w:themeColor="text1"/>
          <w:sz w:val="21"/>
          <w:szCs w:val="28"/>
          <w14:textFill>
            <w14:solidFill>
              <w14:schemeClr w14:val="tx1"/>
            </w14:solidFill>
          </w14:textFill>
        </w:rPr>
        <w:fldChar w:fldCharType="separate"/>
      </w:r>
      <w:r>
        <w:rPr>
          <w:color w:val="000000" w:themeColor="text1"/>
          <w:sz w:val="21"/>
          <w:szCs w:val="28"/>
          <w14:textFill>
            <w14:solidFill>
              <w14:schemeClr w14:val="tx1"/>
            </w14:solidFill>
          </w14:textFill>
        </w:rPr>
        <w:t>     </w:t>
      </w:r>
      <w:r>
        <w:rPr>
          <w:color w:val="000000" w:themeColor="text1"/>
          <w:sz w:val="21"/>
          <w:szCs w:val="28"/>
          <w14:textFill>
            <w14:solidFill>
              <w14:schemeClr w14:val="tx1"/>
            </w14:solidFill>
          </w14:textFill>
        </w:rPr>
        <w:fldChar w:fldCharType="end"/>
      </w:r>
      <w:bookmarkEnd w:id="7"/>
    </w:p>
    <w:p w14:paraId="7D247F1F">
      <w:pPr>
        <w:pStyle w:val="128"/>
        <w:framePr w:w="9639" w:h="6974" w:hRule="exact" w:wrap="around" w:vAnchor="page" w:hAnchor="page" w:x="1419" w:y="6408" w:anchorLock="1"/>
        <w:spacing w:before="720" w:beforeLines="300" w:after="72" w:afterLines="30" w:line="240" w:lineRule="auto"/>
        <w:textAlignment w:val="bottom"/>
        <w:rPr>
          <w:b/>
          <w:color w:val="000000" w:themeColor="text1"/>
          <w:sz w:val="21"/>
          <w:szCs w:val="28"/>
          <w14:textFill>
            <w14:solidFill>
              <w14:schemeClr w14:val="tx1"/>
            </w14:solidFill>
          </w14:textFill>
        </w:rPr>
      </w:pPr>
      <w:r>
        <w:rPr>
          <w:b/>
          <w:color w:val="000000" w:themeColor="text1"/>
          <w:sz w:val="21"/>
          <w:szCs w:val="28"/>
          <w14:textFill>
            <w14:solidFill>
              <w14:schemeClr w14:val="tx1"/>
            </w14:solidFill>
          </w14:textFill>
        </w:rPr>
        <w:fldChar w:fldCharType="begin">
          <w:ffData>
            <w:name w:val="下拉2"/>
            <w:enabled/>
            <w:calcOnExit w:val="0"/>
            <w:ddList>
              <w:listEntry w:val=" "/>
              <w:listEntry w:val="在提交反馈意见时，请将您知道的相关专利连同支持性文件一并附上。"/>
            </w:ddList>
          </w:ffData>
        </w:fldChar>
      </w:r>
      <w:bookmarkStart w:id="8" w:name="下拉2"/>
      <w:r>
        <w:rPr>
          <w:b/>
          <w:color w:val="000000" w:themeColor="text1"/>
          <w:sz w:val="21"/>
          <w:szCs w:val="28"/>
          <w14:textFill>
            <w14:solidFill>
              <w14:schemeClr w14:val="tx1"/>
            </w14:solidFill>
          </w14:textFill>
        </w:rPr>
        <w:instrText xml:space="preserve"> FORMDROPDOWN </w:instrText>
      </w:r>
      <w:r>
        <w:rPr>
          <w:b/>
          <w:color w:val="000000" w:themeColor="text1"/>
          <w:sz w:val="21"/>
          <w:szCs w:val="28"/>
          <w14:textFill>
            <w14:solidFill>
              <w14:schemeClr w14:val="tx1"/>
            </w14:solidFill>
          </w14:textFill>
        </w:rPr>
        <w:fldChar w:fldCharType="separate"/>
      </w:r>
      <w:r>
        <w:rPr>
          <w:b/>
          <w:color w:val="000000" w:themeColor="text1"/>
          <w:sz w:val="21"/>
          <w:szCs w:val="28"/>
          <w14:textFill>
            <w14:solidFill>
              <w14:schemeClr w14:val="tx1"/>
            </w14:solidFill>
          </w14:textFill>
        </w:rPr>
        <w:fldChar w:fldCharType="end"/>
      </w:r>
      <w:bookmarkEnd w:id="8"/>
    </w:p>
    <w:p w14:paraId="7D870C85">
      <w:pPr>
        <w:pStyle w:val="196"/>
        <w:framePr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9" w:name="PLSH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9"/>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10" w:name="PLSH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1" w:name="PLSH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1"/>
      <w:r>
        <w:rPr>
          <w:rFonts w:hint="eastAsia"/>
          <w:color w:val="000000" w:themeColor="text1"/>
          <w14:textFill>
            <w14:solidFill>
              <w14:schemeClr w14:val="tx1"/>
            </w14:solidFill>
          </w14:textFill>
        </w:rPr>
        <w:t>发布</w:t>
      </w:r>
    </w:p>
    <w:p w14:paraId="1E2E0A24">
      <w:pPr>
        <w:pStyle w:val="197"/>
        <w:framePr w:y="1417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2" w:name="CROT_DATE_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12"/>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3" w:name="CROT_DATE_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3"/>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t>-</w:t>
      </w:r>
      <w:r>
        <w:rPr>
          <w:color w:val="000000" w:themeColor="text1"/>
          <w14:textFill>
            <w14:solidFill>
              <w14:schemeClr w14:val="tx1"/>
            </w14:solidFill>
          </w14:textFill>
        </w:rPr>
        <w:t xml:space="preserve"> </w:t>
      </w:r>
      <w:r>
        <w:rPr>
          <w:rFonts w:ascii="黑体"/>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4" w:name="CROT_DATE_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4"/>
      <w:r>
        <w:rPr>
          <w:rFonts w:hint="eastAsia"/>
          <w:color w:val="000000" w:themeColor="text1"/>
          <w14:textFill>
            <w14:solidFill>
              <w14:schemeClr w14:val="tx1"/>
            </w14:solidFill>
          </w14:textFill>
        </w:rPr>
        <w:t>实施</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2665"/>
      </w:tblGrid>
      <w:tr w14:paraId="4786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tcBorders>
              <w:top w:val="nil"/>
              <w:left w:val="nil"/>
              <w:bottom w:val="nil"/>
              <w:right w:val="nil"/>
            </w:tcBorders>
            <w:vAlign w:val="center"/>
          </w:tcPr>
          <w:p w14:paraId="0BA613E6">
            <w:pPr>
              <w:pStyle w:val="154"/>
              <w:framePr w:h="974" w:hRule="exact" w:hSpace="181" w:vSpace="181" w:vAnchor="page" w:y="14975"/>
              <w:rPr>
                <w:rFonts w:hint="eastAsia" w:hAnsi="黑体"/>
                <w:color w:val="000000" w:themeColor="text1"/>
                <w:w w:val="100"/>
                <w:sz w:val="28"/>
                <w14:textFill>
                  <w14:solidFill>
                    <w14:schemeClr w14:val="tx1"/>
                  </w14:solidFill>
                </w14:textFill>
              </w:rPr>
            </w:pPr>
            <w:r>
              <w:rPr>
                <w:rFonts w:hint="eastAsia" w:hAnsi="黑体"/>
                <w:color w:val="000000" w:themeColor="text1"/>
                <w:spacing w:val="56"/>
                <w:w w:val="100"/>
                <w:kern w:val="0"/>
                <w:sz w:val="28"/>
                <w:fitText w:val="4200" w:id="1150378754"/>
                <w14:textFill>
                  <w14:solidFill>
                    <w14:schemeClr w14:val="tx1"/>
                  </w14:solidFill>
                </w14:textFill>
              </w:rPr>
              <w:t>湖北省住房和城乡建设</w:t>
            </w:r>
            <w:r>
              <w:rPr>
                <w:rFonts w:hint="eastAsia" w:hAnsi="黑体"/>
                <w:color w:val="000000" w:themeColor="text1"/>
                <w:spacing w:val="0"/>
                <w:w w:val="100"/>
                <w:kern w:val="0"/>
                <w:sz w:val="28"/>
                <w:fitText w:val="4200" w:id="1150378754"/>
                <w14:textFill>
                  <w14:solidFill>
                    <w14:schemeClr w14:val="tx1"/>
                  </w14:solidFill>
                </w14:textFill>
              </w:rPr>
              <w:t>厅</w:t>
            </w:r>
          </w:p>
        </w:tc>
        <w:tc>
          <w:tcPr>
            <w:tcW w:w="2665" w:type="dxa"/>
            <w:vMerge w:val="restart"/>
            <w:tcBorders>
              <w:top w:val="nil"/>
              <w:left w:val="nil"/>
              <w:bottom w:val="nil"/>
              <w:right w:val="nil"/>
            </w:tcBorders>
            <w:vAlign w:val="center"/>
          </w:tcPr>
          <w:p w14:paraId="3F0E8BB6">
            <w:pPr>
              <w:pStyle w:val="154"/>
              <w:framePr w:h="974" w:hRule="exact" w:hSpace="181" w:vSpace="181" w:vAnchor="page" w:y="14975"/>
              <w:rPr>
                <w:rFonts w:hint="eastAsia" w:hAnsi="黑体"/>
                <w:color w:val="000000" w:themeColor="text1"/>
                <w:w w:val="100"/>
                <w:sz w:val="28"/>
                <w14:textFill>
                  <w14:solidFill>
                    <w14:schemeClr w14:val="tx1"/>
                  </w14:solidFill>
                </w14:textFill>
              </w:rPr>
            </w:pPr>
            <w:r>
              <w:rPr>
                <w:rStyle w:val="232"/>
                <w:rFonts w:hint="eastAsia" w:hAnsi="黑体"/>
                <w:color w:val="000000" w:themeColor="text1"/>
                <w:position w:val="0"/>
                <w14:textFill>
                  <w14:solidFill>
                    <w14:schemeClr w14:val="tx1"/>
                  </w14:solidFill>
                </w14:textFill>
              </w:rPr>
              <w:t>联合发</w:t>
            </w:r>
            <w:r>
              <w:rPr>
                <w:rStyle w:val="232"/>
                <w:rFonts w:hint="eastAsia" w:hAnsi="黑体"/>
                <w:color w:val="000000" w:themeColor="text1"/>
                <w:spacing w:val="0"/>
                <w:position w:val="0"/>
                <w14:textFill>
                  <w14:solidFill>
                    <w14:schemeClr w14:val="tx1"/>
                  </w14:solidFill>
                </w14:textFill>
              </w:rPr>
              <w:t>布</w:t>
            </w:r>
          </w:p>
        </w:tc>
      </w:tr>
      <w:tr w14:paraId="5FD7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3" w:type="dxa"/>
            <w:tcBorders>
              <w:top w:val="nil"/>
              <w:left w:val="nil"/>
              <w:bottom w:val="nil"/>
              <w:right w:val="nil"/>
            </w:tcBorders>
            <w:vAlign w:val="center"/>
          </w:tcPr>
          <w:p w14:paraId="20AA8936">
            <w:pPr>
              <w:pStyle w:val="154"/>
              <w:framePr w:h="974" w:hRule="exact" w:hSpace="181" w:vSpace="181" w:vAnchor="page" w:y="14975"/>
              <w:rPr>
                <w:rFonts w:hint="eastAsia" w:hAnsi="黑体"/>
                <w:color w:val="000000" w:themeColor="text1"/>
                <w:w w:val="100"/>
                <w:sz w:val="28"/>
                <w14:textFill>
                  <w14:solidFill>
                    <w14:schemeClr w14:val="tx1"/>
                  </w14:solidFill>
                </w14:textFill>
              </w:rPr>
            </w:pPr>
            <w:r>
              <w:rPr>
                <w:rFonts w:hint="eastAsia" w:hAnsi="黑体"/>
                <w:color w:val="000000" w:themeColor="text1"/>
                <w:spacing w:val="77"/>
                <w:w w:val="100"/>
                <w:kern w:val="0"/>
                <w:sz w:val="28"/>
                <w:fitText w:val="4200" w:id="2053318665"/>
                <w14:textFill>
                  <w14:solidFill>
                    <w14:schemeClr w14:val="tx1"/>
                  </w14:solidFill>
                </w14:textFill>
              </w:rPr>
              <w:t>湖北省市场监督管理</w:t>
            </w:r>
            <w:r>
              <w:rPr>
                <w:rFonts w:hint="eastAsia" w:hAnsi="黑体"/>
                <w:color w:val="000000" w:themeColor="text1"/>
                <w:spacing w:val="7"/>
                <w:w w:val="100"/>
                <w:kern w:val="0"/>
                <w:sz w:val="28"/>
                <w:fitText w:val="4200" w:id="2053318665"/>
                <w14:textFill>
                  <w14:solidFill>
                    <w14:schemeClr w14:val="tx1"/>
                  </w14:solidFill>
                </w14:textFill>
              </w:rPr>
              <w:t>局</w:t>
            </w:r>
          </w:p>
        </w:tc>
        <w:tc>
          <w:tcPr>
            <w:tcW w:w="2665" w:type="dxa"/>
            <w:vMerge w:val="continue"/>
            <w:tcBorders>
              <w:top w:val="nil"/>
              <w:left w:val="nil"/>
              <w:bottom w:val="nil"/>
              <w:right w:val="nil"/>
            </w:tcBorders>
            <w:vAlign w:val="center"/>
          </w:tcPr>
          <w:p w14:paraId="6CEEC1FF">
            <w:pPr>
              <w:pStyle w:val="154"/>
              <w:framePr w:h="974" w:hRule="exact" w:hSpace="181" w:vSpace="181" w:vAnchor="page" w:y="14975"/>
              <w:rPr>
                <w:rFonts w:hint="eastAsia" w:hAnsi="黑体"/>
                <w:color w:val="000000" w:themeColor="text1"/>
                <w:w w:val="100"/>
                <w:sz w:val="28"/>
                <w14:textFill>
                  <w14:solidFill>
                    <w14:schemeClr w14:val="tx1"/>
                  </w14:solidFill>
                </w14:textFill>
              </w:rPr>
            </w:pPr>
          </w:p>
        </w:tc>
      </w:tr>
    </w:tbl>
    <w:p w14:paraId="28F63F0B">
      <w:pPr>
        <w:pStyle w:val="154"/>
        <w:framePr w:h="974" w:hRule="exact" w:hSpace="181" w:vSpace="181" w:vAnchor="page" w:y="14975"/>
        <w:rPr>
          <w:rFonts w:hint="eastAsia" w:hAnsi="黑体"/>
          <w:color w:val="000000" w:themeColor="text1"/>
          <w:w w:val="100"/>
          <w:sz w:val="28"/>
          <w14:textFill>
            <w14:solidFill>
              <w14:schemeClr w14:val="tx1"/>
            </w14:solidFill>
          </w14:textFill>
        </w:rPr>
      </w:pPr>
    </w:p>
    <w:p w14:paraId="5CF64E0C">
      <w:pPr>
        <w:rPr>
          <w:rFonts w:hint="eastAsia" w:ascii="宋体" w:hAnsi="宋体"/>
          <w:color w:val="000000" w:themeColor="text1"/>
          <w:sz w:val="28"/>
          <w:szCs w:val="28"/>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5qzdH+MB&#10;AACqAwAADgAAAAAAAAABACAAAAAmAQAAZHJzL2Uyb0RvYy54bWxQSwUGAAAAAAYABgBZAQAAewUA&#10;AAAA&#10;">
                <v:fill on="f" focussize="0,0"/>
                <v:stroke color="#000000" joinstyle="round"/>
                <v:imagedata o:title=""/>
                <o:lock v:ext="edit" aspectratio="f"/>
                <w10:anchorlock/>
              </v:line>
            </w:pict>
          </mc:Fallback>
        </mc:AlternateContent>
      </w:r>
    </w:p>
    <w:p w14:paraId="24AD6670">
      <w:pPr>
        <w:pStyle w:val="94"/>
        <w:spacing w:after="468"/>
      </w:pPr>
      <w:bookmarkStart w:id="15" w:name="BookMark1"/>
      <w:bookmarkStart w:id="16" w:name="_Toc103085722"/>
      <w:bookmarkStart w:id="17" w:name="_Toc100822363"/>
      <w:bookmarkStart w:id="18" w:name="_Toc101962891"/>
      <w:bookmarkStart w:id="19" w:name="_Toc103243340"/>
      <w:bookmarkStart w:id="20" w:name="_Toc103242798"/>
      <w:bookmarkStart w:id="21" w:name="_Toc103242841"/>
      <w:r>
        <w:rPr>
          <w:rFonts w:hint="eastAsia"/>
          <w:spacing w:val="320"/>
        </w:rPr>
        <w:t>目</w:t>
      </w:r>
      <w:r>
        <w:rPr>
          <w:rFonts w:hint="eastAsia"/>
        </w:rPr>
        <w:t>次</w:t>
      </w:r>
    </w:p>
    <w:p w14:paraId="6DF4840B">
      <w:pPr>
        <w:pStyle w:val="20"/>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"_Toc23331" </w:instrText>
      </w:r>
      <w:r>
        <w:fldChar w:fldCharType="separate"/>
      </w:r>
      <w:r>
        <w:rPr>
          <w:spacing w:val="320"/>
        </w:rPr>
        <w:t>前</w:t>
      </w:r>
      <w:r>
        <w:t>言</w:t>
      </w:r>
      <w:r>
        <w:tab/>
      </w:r>
      <w:r>
        <w:fldChar w:fldCharType="begin"/>
      </w:r>
      <w:r>
        <w:instrText xml:space="preserve"> PAGEREF _Toc23331 \h </w:instrText>
      </w:r>
      <w:r>
        <w:fldChar w:fldCharType="separate"/>
      </w:r>
      <w:r>
        <w:t>III</w:t>
      </w:r>
      <w:r>
        <w:fldChar w:fldCharType="end"/>
      </w:r>
      <w:r>
        <w:fldChar w:fldCharType="end"/>
      </w:r>
    </w:p>
    <w:p w14:paraId="7C719812">
      <w:pPr>
        <w:pStyle w:val="20"/>
        <w:tabs>
          <w:tab w:val="right" w:leader="dot" w:pos="9354"/>
        </w:tabs>
      </w:pPr>
      <w:r>
        <w:fldChar w:fldCharType="begin"/>
      </w:r>
      <w:r>
        <w:instrText xml:space="preserve"> HYPERLINK \l "_Toc2473" </w:instrText>
      </w:r>
      <w:r>
        <w:fldChar w:fldCharType="separate"/>
      </w:r>
      <w:r>
        <w:rPr>
          <w:rFonts w:hint="eastAsia" w:ascii="黑体" w:eastAsia="黑体"/>
        </w:rPr>
        <w:t xml:space="preserve">1 </w:t>
      </w:r>
      <w:r>
        <w:rPr>
          <w:rFonts w:hint="eastAsia"/>
        </w:rPr>
        <w:t>范围</w:t>
      </w:r>
      <w:r>
        <w:tab/>
      </w:r>
      <w:r>
        <w:fldChar w:fldCharType="begin"/>
      </w:r>
      <w:r>
        <w:instrText xml:space="preserve"> PAGEREF _Toc2473 \h </w:instrText>
      </w:r>
      <w:r>
        <w:fldChar w:fldCharType="separate"/>
      </w:r>
      <w:r>
        <w:t>4</w:t>
      </w:r>
      <w:r>
        <w:fldChar w:fldCharType="end"/>
      </w:r>
      <w:r>
        <w:fldChar w:fldCharType="end"/>
      </w:r>
    </w:p>
    <w:p w14:paraId="1C86C39F">
      <w:pPr>
        <w:pStyle w:val="20"/>
        <w:tabs>
          <w:tab w:val="right" w:leader="dot" w:pos="9354"/>
        </w:tabs>
      </w:pPr>
      <w:r>
        <w:fldChar w:fldCharType="begin"/>
      </w:r>
      <w:r>
        <w:instrText xml:space="preserve"> HYPERLINK \l "_Toc24822" </w:instrText>
      </w:r>
      <w:r>
        <w:fldChar w:fldCharType="separate"/>
      </w:r>
      <w:r>
        <w:rPr>
          <w:rFonts w:hint="eastAsia" w:ascii="黑体" w:eastAsia="黑体"/>
        </w:rPr>
        <w:t xml:space="preserve">2 </w:t>
      </w:r>
      <w:r>
        <w:rPr>
          <w:rFonts w:hint="eastAsia"/>
        </w:rPr>
        <w:t>规范性引用文件</w:t>
      </w:r>
      <w:r>
        <w:tab/>
      </w:r>
      <w:r>
        <w:fldChar w:fldCharType="begin"/>
      </w:r>
      <w:r>
        <w:instrText xml:space="preserve"> PAGEREF _Toc24822 \h </w:instrText>
      </w:r>
      <w:r>
        <w:fldChar w:fldCharType="separate"/>
      </w:r>
      <w:r>
        <w:t>4</w:t>
      </w:r>
      <w:r>
        <w:fldChar w:fldCharType="end"/>
      </w:r>
      <w:r>
        <w:fldChar w:fldCharType="end"/>
      </w:r>
    </w:p>
    <w:p w14:paraId="2A8F60C0">
      <w:pPr>
        <w:pStyle w:val="20"/>
        <w:tabs>
          <w:tab w:val="right" w:leader="dot" w:pos="9354"/>
        </w:tabs>
      </w:pPr>
      <w:r>
        <w:fldChar w:fldCharType="begin"/>
      </w:r>
      <w:r>
        <w:instrText xml:space="preserve"> HYPERLINK \l "_Toc23587" </w:instrText>
      </w:r>
      <w:r>
        <w:fldChar w:fldCharType="separate"/>
      </w:r>
      <w:r>
        <w:rPr>
          <w:rFonts w:hint="eastAsia" w:ascii="黑体" w:eastAsia="黑体"/>
        </w:rPr>
        <w:t xml:space="preserve">3 </w:t>
      </w:r>
      <w:r>
        <w:rPr>
          <w:rFonts w:hint="eastAsia"/>
        </w:rPr>
        <w:t>术语和定义</w:t>
      </w:r>
      <w:r>
        <w:tab/>
      </w:r>
      <w:r>
        <w:fldChar w:fldCharType="begin"/>
      </w:r>
      <w:r>
        <w:instrText xml:space="preserve"> PAGEREF _Toc23587 \h </w:instrText>
      </w:r>
      <w:r>
        <w:fldChar w:fldCharType="separate"/>
      </w:r>
      <w:r>
        <w:t>5</w:t>
      </w:r>
      <w:r>
        <w:fldChar w:fldCharType="end"/>
      </w:r>
      <w:r>
        <w:fldChar w:fldCharType="end"/>
      </w:r>
    </w:p>
    <w:p w14:paraId="67293DA1">
      <w:pPr>
        <w:pStyle w:val="20"/>
        <w:tabs>
          <w:tab w:val="right" w:leader="dot" w:pos="9354"/>
        </w:tabs>
      </w:pPr>
      <w:r>
        <w:fldChar w:fldCharType="begin"/>
      </w:r>
      <w:r>
        <w:instrText xml:space="preserve"> HYPERLINK \l "_Toc10831" </w:instrText>
      </w:r>
      <w:r>
        <w:fldChar w:fldCharType="separate"/>
      </w:r>
      <w:r>
        <w:rPr>
          <w:rFonts w:hint="eastAsia" w:ascii="黑体" w:eastAsia="黑体"/>
        </w:rPr>
        <w:t xml:space="preserve">4 </w:t>
      </w:r>
      <w:r>
        <w:rPr>
          <w:rFonts w:hint="eastAsia"/>
        </w:rPr>
        <w:t>一般规定</w:t>
      </w:r>
      <w:r>
        <w:tab/>
      </w:r>
      <w:r>
        <w:fldChar w:fldCharType="begin"/>
      </w:r>
      <w:r>
        <w:instrText xml:space="preserve"> PAGEREF _Toc10831 \h </w:instrText>
      </w:r>
      <w:r>
        <w:fldChar w:fldCharType="separate"/>
      </w:r>
      <w:r>
        <w:t>5</w:t>
      </w:r>
      <w:r>
        <w:fldChar w:fldCharType="end"/>
      </w:r>
      <w:r>
        <w:fldChar w:fldCharType="end"/>
      </w:r>
    </w:p>
    <w:p w14:paraId="1A528DE1">
      <w:pPr>
        <w:pStyle w:val="25"/>
        <w:tabs>
          <w:tab w:val="right" w:leader="dot" w:pos="9354"/>
          <w:tab w:val="clear" w:pos="9344"/>
        </w:tabs>
      </w:pPr>
      <w:r>
        <w:fldChar w:fldCharType="begin"/>
      </w:r>
      <w:r>
        <w:instrText xml:space="preserve"> HYPERLINK \l "_Toc30687" </w:instrText>
      </w:r>
      <w:r>
        <w:fldChar w:fldCharType="separate"/>
      </w:r>
      <w:r>
        <w:rPr>
          <w:rFonts w:hint="eastAsia" w:ascii="黑体" w:hAnsi="Times New Roman" w:eastAsia="黑体"/>
          <w:kern w:val="0"/>
          <w14:scene3d>
            <w14:lightRig w14:rig="threePt" w14:dir="t">
              <w14:rot w14:lat="0" w14:lon="0" w14:rev="0"/>
            </w14:lightRig>
          </w14:scene3d>
        </w:rPr>
        <w:t xml:space="preserve">4.1 </w:t>
      </w:r>
      <w:r>
        <w:rPr>
          <w:rFonts w:hint="eastAsia"/>
        </w:rPr>
        <w:t>总体要求</w:t>
      </w:r>
      <w:r>
        <w:tab/>
      </w:r>
      <w:r>
        <w:fldChar w:fldCharType="begin"/>
      </w:r>
      <w:r>
        <w:instrText xml:space="preserve"> PAGEREF _Toc30687 \h </w:instrText>
      </w:r>
      <w:r>
        <w:fldChar w:fldCharType="separate"/>
      </w:r>
      <w:r>
        <w:t>6</w:t>
      </w:r>
      <w:r>
        <w:fldChar w:fldCharType="end"/>
      </w:r>
      <w:r>
        <w:fldChar w:fldCharType="end"/>
      </w:r>
    </w:p>
    <w:p w14:paraId="2510BF8E">
      <w:pPr>
        <w:pStyle w:val="20"/>
        <w:tabs>
          <w:tab w:val="right" w:leader="dot" w:pos="9354"/>
        </w:tabs>
      </w:pPr>
      <w:r>
        <w:fldChar w:fldCharType="begin"/>
      </w:r>
      <w:r>
        <w:instrText xml:space="preserve"> HYPERLINK \l "_Toc16739" </w:instrText>
      </w:r>
      <w:r>
        <w:fldChar w:fldCharType="separate"/>
      </w:r>
      <w:r>
        <w:rPr>
          <w:rFonts w:hint="eastAsia" w:ascii="黑体" w:eastAsia="黑体"/>
        </w:rPr>
        <w:t xml:space="preserve">5 </w:t>
      </w:r>
      <w:r>
        <w:rPr>
          <w:rFonts w:hint="eastAsia"/>
        </w:rPr>
        <w:t>污水处理和再生水资源化利用</w:t>
      </w:r>
      <w:r>
        <w:tab/>
      </w:r>
      <w:r>
        <w:fldChar w:fldCharType="begin"/>
      </w:r>
      <w:r>
        <w:instrText xml:space="preserve"> PAGEREF _Toc16739 \h </w:instrText>
      </w:r>
      <w:r>
        <w:fldChar w:fldCharType="separate"/>
      </w:r>
      <w:r>
        <w:t>6</w:t>
      </w:r>
      <w:r>
        <w:fldChar w:fldCharType="end"/>
      </w:r>
      <w:r>
        <w:fldChar w:fldCharType="end"/>
      </w:r>
    </w:p>
    <w:p w14:paraId="3495BCBA">
      <w:pPr>
        <w:pStyle w:val="25"/>
        <w:tabs>
          <w:tab w:val="right" w:leader="dot" w:pos="9354"/>
          <w:tab w:val="clear" w:pos="9344"/>
        </w:tabs>
      </w:pPr>
      <w:r>
        <w:fldChar w:fldCharType="begin"/>
      </w:r>
      <w:r>
        <w:instrText xml:space="preserve"> HYPERLINK \l "_Toc32491" </w:instrText>
      </w:r>
      <w:r>
        <w:fldChar w:fldCharType="separate"/>
      </w:r>
      <w:r>
        <w:rPr>
          <w:rFonts w:hint="eastAsia" w:ascii="黑体" w:hAnsi="Times New Roman" w:eastAsia="黑体"/>
          <w:kern w:val="0"/>
          <w14:scene3d>
            <w14:lightRig w14:rig="threePt" w14:dir="t">
              <w14:rot w14:lat="0" w14:lon="0" w14:rev="0"/>
            </w14:lightRig>
          </w14:scene3d>
        </w:rPr>
        <w:t xml:space="preserve">5.1 </w:t>
      </w:r>
      <w:r>
        <w:rPr>
          <w:rFonts w:hint="eastAsia"/>
        </w:rPr>
        <w:t>一般规定</w:t>
      </w:r>
      <w:r>
        <w:tab/>
      </w:r>
      <w:r>
        <w:fldChar w:fldCharType="begin"/>
      </w:r>
      <w:r>
        <w:instrText xml:space="preserve"> PAGEREF _Toc32491 \h </w:instrText>
      </w:r>
      <w:r>
        <w:fldChar w:fldCharType="separate"/>
      </w:r>
      <w:r>
        <w:t>6</w:t>
      </w:r>
      <w:r>
        <w:fldChar w:fldCharType="end"/>
      </w:r>
      <w:r>
        <w:fldChar w:fldCharType="end"/>
      </w:r>
    </w:p>
    <w:p w14:paraId="03AD98A8">
      <w:pPr>
        <w:pStyle w:val="25"/>
        <w:tabs>
          <w:tab w:val="right" w:leader="dot" w:pos="9354"/>
          <w:tab w:val="clear" w:pos="9344"/>
        </w:tabs>
      </w:pPr>
      <w:r>
        <w:fldChar w:fldCharType="begin"/>
      </w:r>
      <w:r>
        <w:instrText xml:space="preserve"> HYPERLINK \l "_Toc9739" </w:instrText>
      </w:r>
      <w:r>
        <w:fldChar w:fldCharType="separate"/>
      </w:r>
      <w:r>
        <w:rPr>
          <w:rFonts w:hint="eastAsia" w:ascii="黑体" w:hAnsi="Times New Roman" w:eastAsia="黑体"/>
          <w:kern w:val="0"/>
          <w14:scene3d>
            <w14:lightRig w14:rig="threePt" w14:dir="t">
              <w14:rot w14:lat="0" w14:lon="0" w14:rev="0"/>
            </w14:lightRig>
          </w14:scene3d>
        </w:rPr>
        <w:t xml:space="preserve">5.2 </w:t>
      </w:r>
      <w:r>
        <w:rPr>
          <w:rFonts w:hint="eastAsia"/>
        </w:rPr>
        <w:t>总体布置</w:t>
      </w:r>
      <w:r>
        <w:tab/>
      </w:r>
      <w:r>
        <w:fldChar w:fldCharType="begin"/>
      </w:r>
      <w:r>
        <w:instrText xml:space="preserve"> PAGEREF _Toc9739 \h </w:instrText>
      </w:r>
      <w:r>
        <w:fldChar w:fldCharType="separate"/>
      </w:r>
      <w:r>
        <w:t>6</w:t>
      </w:r>
      <w:r>
        <w:fldChar w:fldCharType="end"/>
      </w:r>
      <w:r>
        <w:fldChar w:fldCharType="end"/>
      </w:r>
    </w:p>
    <w:p w14:paraId="6F37EA3D">
      <w:pPr>
        <w:pStyle w:val="25"/>
        <w:tabs>
          <w:tab w:val="right" w:leader="dot" w:pos="9354"/>
          <w:tab w:val="clear" w:pos="9344"/>
        </w:tabs>
      </w:pPr>
      <w:r>
        <w:fldChar w:fldCharType="begin"/>
      </w:r>
      <w:r>
        <w:instrText xml:space="preserve"> HYPERLINK \l "_Toc18356" </w:instrText>
      </w:r>
      <w:r>
        <w:fldChar w:fldCharType="separate"/>
      </w:r>
      <w:r>
        <w:rPr>
          <w:rFonts w:hint="eastAsia" w:ascii="黑体" w:hAnsi="Times New Roman" w:eastAsia="黑体"/>
          <w:kern w:val="0"/>
          <w14:scene3d>
            <w14:lightRig w14:rig="threePt" w14:dir="t">
              <w14:rot w14:lat="0" w14:lon="0" w14:rev="0"/>
            </w14:lightRig>
          </w14:scene3d>
        </w:rPr>
        <w:t xml:space="preserve">5.3 </w:t>
      </w:r>
      <w:r>
        <w:rPr>
          <w:rFonts w:hint="eastAsia"/>
        </w:rPr>
        <w:t>预处理</w:t>
      </w:r>
      <w:r>
        <w:tab/>
      </w:r>
      <w:r>
        <w:fldChar w:fldCharType="begin"/>
      </w:r>
      <w:r>
        <w:instrText xml:space="preserve"> PAGEREF _Toc18356 \h </w:instrText>
      </w:r>
      <w:r>
        <w:fldChar w:fldCharType="separate"/>
      </w:r>
      <w:r>
        <w:t>6</w:t>
      </w:r>
      <w:r>
        <w:fldChar w:fldCharType="end"/>
      </w:r>
      <w:r>
        <w:fldChar w:fldCharType="end"/>
      </w:r>
    </w:p>
    <w:p w14:paraId="4468B194">
      <w:pPr>
        <w:pStyle w:val="25"/>
        <w:tabs>
          <w:tab w:val="right" w:leader="dot" w:pos="9354"/>
          <w:tab w:val="clear" w:pos="9344"/>
        </w:tabs>
      </w:pPr>
      <w:r>
        <w:fldChar w:fldCharType="begin"/>
      </w:r>
      <w:r>
        <w:instrText xml:space="preserve"> HYPERLINK \l "_Toc15117" </w:instrText>
      </w:r>
      <w:r>
        <w:fldChar w:fldCharType="separate"/>
      </w:r>
      <w:r>
        <w:rPr>
          <w:rFonts w:hint="eastAsia" w:ascii="黑体" w:hAnsi="Times New Roman" w:eastAsia="黑体"/>
          <w:kern w:val="0"/>
          <w14:scene3d>
            <w14:lightRig w14:rig="threePt" w14:dir="t">
              <w14:rot w14:lat="0" w14:lon="0" w14:rev="0"/>
            </w14:lightRig>
          </w14:scene3d>
        </w:rPr>
        <w:t xml:space="preserve">5.4 </w:t>
      </w:r>
      <w:r>
        <w:rPr>
          <w:rFonts w:hint="eastAsia"/>
        </w:rPr>
        <w:t>生物处理</w:t>
      </w:r>
      <w:r>
        <w:tab/>
      </w:r>
      <w:r>
        <w:fldChar w:fldCharType="begin"/>
      </w:r>
      <w:r>
        <w:instrText xml:space="preserve"> PAGEREF _Toc15117 \h </w:instrText>
      </w:r>
      <w:r>
        <w:fldChar w:fldCharType="separate"/>
      </w:r>
      <w:r>
        <w:t>7</w:t>
      </w:r>
      <w:r>
        <w:fldChar w:fldCharType="end"/>
      </w:r>
      <w:r>
        <w:fldChar w:fldCharType="end"/>
      </w:r>
    </w:p>
    <w:p w14:paraId="2912F541">
      <w:pPr>
        <w:pStyle w:val="25"/>
        <w:tabs>
          <w:tab w:val="right" w:leader="dot" w:pos="9354"/>
          <w:tab w:val="clear" w:pos="9344"/>
        </w:tabs>
      </w:pPr>
      <w:r>
        <w:fldChar w:fldCharType="begin"/>
      </w:r>
      <w:r>
        <w:instrText xml:space="preserve"> HYPERLINK \l "_Toc16305" </w:instrText>
      </w:r>
      <w:r>
        <w:fldChar w:fldCharType="separate"/>
      </w:r>
      <w:r>
        <w:rPr>
          <w:rFonts w:hint="eastAsia" w:ascii="黑体" w:hAnsi="Times New Roman" w:eastAsia="黑体"/>
          <w:kern w:val="0"/>
          <w14:scene3d>
            <w14:lightRig w14:rig="threePt" w14:dir="t">
              <w14:rot w14:lat="0" w14:lon="0" w14:rev="0"/>
            </w14:lightRig>
          </w14:scene3d>
        </w:rPr>
        <w:t xml:space="preserve">5.5 </w:t>
      </w:r>
      <w:r>
        <w:rPr>
          <w:rFonts w:hint="eastAsia"/>
        </w:rPr>
        <w:t>深度处理及再生水资源化利用</w:t>
      </w:r>
      <w:r>
        <w:tab/>
      </w:r>
      <w:r>
        <w:fldChar w:fldCharType="begin"/>
      </w:r>
      <w:r>
        <w:instrText xml:space="preserve"> PAGEREF _Toc16305 \h </w:instrText>
      </w:r>
      <w:r>
        <w:fldChar w:fldCharType="separate"/>
      </w:r>
      <w:r>
        <w:t>7</w:t>
      </w:r>
      <w:r>
        <w:fldChar w:fldCharType="end"/>
      </w:r>
      <w:r>
        <w:fldChar w:fldCharType="end"/>
      </w:r>
    </w:p>
    <w:p w14:paraId="696995D1">
      <w:pPr>
        <w:pStyle w:val="25"/>
        <w:tabs>
          <w:tab w:val="right" w:leader="dot" w:pos="9354"/>
          <w:tab w:val="clear" w:pos="9344"/>
        </w:tabs>
      </w:pPr>
      <w:r>
        <w:fldChar w:fldCharType="begin"/>
      </w:r>
      <w:r>
        <w:instrText xml:space="preserve"> HYPERLINK \l "_Toc7852" </w:instrText>
      </w:r>
      <w:r>
        <w:fldChar w:fldCharType="separate"/>
      </w:r>
      <w:r>
        <w:rPr>
          <w:rFonts w:hint="eastAsia" w:ascii="黑体" w:hAnsi="Times New Roman" w:eastAsia="黑体"/>
          <w:kern w:val="0"/>
          <w14:scene3d>
            <w14:lightRig w14:rig="threePt" w14:dir="t">
              <w14:rot w14:lat="0" w14:lon="0" w14:rev="0"/>
            </w14:lightRig>
          </w14:scene3d>
        </w:rPr>
        <w:t xml:space="preserve">5.6 </w:t>
      </w:r>
      <w:r>
        <w:rPr>
          <w:rFonts w:hint="eastAsia"/>
        </w:rPr>
        <w:t>自然处理</w:t>
      </w:r>
      <w:r>
        <w:tab/>
      </w:r>
      <w:r>
        <w:fldChar w:fldCharType="begin"/>
      </w:r>
      <w:r>
        <w:instrText xml:space="preserve"> PAGEREF _Toc7852 \h </w:instrText>
      </w:r>
      <w:r>
        <w:fldChar w:fldCharType="separate"/>
      </w:r>
      <w:r>
        <w:t>8</w:t>
      </w:r>
      <w:r>
        <w:fldChar w:fldCharType="end"/>
      </w:r>
      <w:r>
        <w:fldChar w:fldCharType="end"/>
      </w:r>
    </w:p>
    <w:p w14:paraId="66B51632">
      <w:pPr>
        <w:pStyle w:val="25"/>
        <w:tabs>
          <w:tab w:val="right" w:leader="dot" w:pos="9354"/>
          <w:tab w:val="clear" w:pos="9344"/>
        </w:tabs>
      </w:pPr>
      <w:r>
        <w:fldChar w:fldCharType="begin"/>
      </w:r>
      <w:r>
        <w:instrText xml:space="preserve"> HYPERLINK \l "_Toc24628" </w:instrText>
      </w:r>
      <w:r>
        <w:fldChar w:fldCharType="separate"/>
      </w:r>
      <w:r>
        <w:rPr>
          <w:rFonts w:hint="eastAsia" w:ascii="黑体" w:hAnsi="Times New Roman" w:eastAsia="黑体"/>
          <w:kern w:val="0"/>
          <w14:scene3d>
            <w14:lightRig w14:rig="threePt" w14:dir="t">
              <w14:rot w14:lat="0" w14:lon="0" w14:rev="0"/>
            </w14:lightRig>
          </w14:scene3d>
        </w:rPr>
        <w:t xml:space="preserve">5.7 </w:t>
      </w:r>
      <w:r>
        <w:rPr>
          <w:rFonts w:hint="eastAsia"/>
        </w:rPr>
        <w:t>消毒工艺</w:t>
      </w:r>
      <w:r>
        <w:tab/>
      </w:r>
      <w:r>
        <w:fldChar w:fldCharType="begin"/>
      </w:r>
      <w:r>
        <w:instrText xml:space="preserve"> PAGEREF _Toc24628 \h </w:instrText>
      </w:r>
      <w:r>
        <w:fldChar w:fldCharType="separate"/>
      </w:r>
      <w:r>
        <w:t>8</w:t>
      </w:r>
      <w:r>
        <w:fldChar w:fldCharType="end"/>
      </w:r>
      <w:r>
        <w:fldChar w:fldCharType="end"/>
      </w:r>
    </w:p>
    <w:p w14:paraId="176BA0B6">
      <w:pPr>
        <w:pStyle w:val="20"/>
        <w:tabs>
          <w:tab w:val="right" w:leader="dot" w:pos="9354"/>
        </w:tabs>
      </w:pPr>
      <w:r>
        <w:fldChar w:fldCharType="begin"/>
      </w:r>
      <w:r>
        <w:instrText xml:space="preserve"> HYPERLINK \l "_Toc20641" </w:instrText>
      </w:r>
      <w:r>
        <w:fldChar w:fldCharType="separate"/>
      </w:r>
      <w:r>
        <w:rPr>
          <w:rFonts w:hint="eastAsia" w:ascii="黑体" w:eastAsia="黑体"/>
        </w:rPr>
        <w:t xml:space="preserve">6 </w:t>
      </w:r>
      <w:r>
        <w:rPr>
          <w:rFonts w:hint="eastAsia"/>
        </w:rPr>
        <w:t>污泥处理和资源化处置</w:t>
      </w:r>
      <w:r>
        <w:tab/>
      </w:r>
      <w:r>
        <w:fldChar w:fldCharType="begin"/>
      </w:r>
      <w:r>
        <w:instrText xml:space="preserve"> PAGEREF _Toc20641 \h </w:instrText>
      </w:r>
      <w:r>
        <w:fldChar w:fldCharType="separate"/>
      </w:r>
      <w:r>
        <w:t>8</w:t>
      </w:r>
      <w:r>
        <w:fldChar w:fldCharType="end"/>
      </w:r>
      <w:r>
        <w:fldChar w:fldCharType="end"/>
      </w:r>
    </w:p>
    <w:p w14:paraId="1B7C1BDF">
      <w:pPr>
        <w:pStyle w:val="25"/>
        <w:tabs>
          <w:tab w:val="right" w:leader="dot" w:pos="9354"/>
          <w:tab w:val="clear" w:pos="9344"/>
        </w:tabs>
      </w:pPr>
      <w:r>
        <w:fldChar w:fldCharType="begin"/>
      </w:r>
      <w:r>
        <w:instrText xml:space="preserve"> HYPERLINK \l "_Toc12031" </w:instrText>
      </w:r>
      <w:r>
        <w:fldChar w:fldCharType="separate"/>
      </w:r>
      <w:r>
        <w:rPr>
          <w:rFonts w:hint="eastAsia" w:ascii="黑体" w:hAnsi="Times New Roman" w:eastAsia="黑体"/>
          <w:kern w:val="0"/>
          <w14:scene3d>
            <w14:lightRig w14:rig="threePt" w14:dir="t">
              <w14:rot w14:lat="0" w14:lon="0" w14:rev="0"/>
            </w14:lightRig>
          </w14:scene3d>
        </w:rPr>
        <w:t xml:space="preserve">6.1 </w:t>
      </w:r>
      <w:r>
        <w:rPr>
          <w:rFonts w:hint="eastAsia"/>
        </w:rPr>
        <w:t>一般规定</w:t>
      </w:r>
      <w:r>
        <w:tab/>
      </w:r>
      <w:r>
        <w:fldChar w:fldCharType="begin"/>
      </w:r>
      <w:r>
        <w:instrText xml:space="preserve"> PAGEREF _Toc12031 \h </w:instrText>
      </w:r>
      <w:r>
        <w:fldChar w:fldCharType="separate"/>
      </w:r>
      <w:r>
        <w:t>8</w:t>
      </w:r>
      <w:r>
        <w:fldChar w:fldCharType="end"/>
      </w:r>
      <w:r>
        <w:fldChar w:fldCharType="end"/>
      </w:r>
    </w:p>
    <w:p w14:paraId="4A0098E0">
      <w:pPr>
        <w:pStyle w:val="25"/>
        <w:tabs>
          <w:tab w:val="right" w:leader="dot" w:pos="9354"/>
          <w:tab w:val="clear" w:pos="9344"/>
        </w:tabs>
      </w:pPr>
      <w:r>
        <w:fldChar w:fldCharType="begin"/>
      </w:r>
      <w:r>
        <w:instrText xml:space="preserve"> HYPERLINK \l "_Toc22760" </w:instrText>
      </w:r>
      <w:r>
        <w:fldChar w:fldCharType="separate"/>
      </w:r>
      <w:r>
        <w:rPr>
          <w:rFonts w:hint="eastAsia" w:ascii="黑体" w:hAnsi="Times New Roman" w:eastAsia="黑体"/>
          <w:kern w:val="0"/>
          <w14:scene3d>
            <w14:lightRig w14:rig="threePt" w14:dir="t">
              <w14:rot w14:lat="0" w14:lon="0" w14:rev="0"/>
            </w14:lightRig>
          </w14:scene3d>
        </w:rPr>
        <w:t xml:space="preserve">6.2 </w:t>
      </w:r>
      <w:r>
        <w:rPr>
          <w:rFonts w:hint="eastAsia"/>
        </w:rPr>
        <w:t>污泥处理和资源化处置</w:t>
      </w:r>
      <w:r>
        <w:tab/>
      </w:r>
      <w:r>
        <w:fldChar w:fldCharType="begin"/>
      </w:r>
      <w:r>
        <w:instrText xml:space="preserve"> PAGEREF _Toc22760 \h </w:instrText>
      </w:r>
      <w:r>
        <w:fldChar w:fldCharType="separate"/>
      </w:r>
      <w:r>
        <w:t>9</w:t>
      </w:r>
      <w:r>
        <w:fldChar w:fldCharType="end"/>
      </w:r>
      <w:r>
        <w:fldChar w:fldCharType="end"/>
      </w:r>
    </w:p>
    <w:p w14:paraId="795B7EB7">
      <w:pPr>
        <w:pStyle w:val="20"/>
        <w:tabs>
          <w:tab w:val="right" w:leader="dot" w:pos="9354"/>
        </w:tabs>
      </w:pPr>
      <w:r>
        <w:fldChar w:fldCharType="begin"/>
      </w:r>
      <w:r>
        <w:instrText xml:space="preserve"> HYPERLINK \l "_Toc20562" </w:instrText>
      </w:r>
      <w:r>
        <w:fldChar w:fldCharType="separate"/>
      </w:r>
      <w:r>
        <w:rPr>
          <w:rFonts w:hint="eastAsia" w:ascii="黑体" w:eastAsia="黑体"/>
        </w:rPr>
        <w:t xml:space="preserve">7 </w:t>
      </w:r>
      <w:r>
        <w:rPr>
          <w:rFonts w:hint="eastAsia"/>
        </w:rPr>
        <w:t>能源利用与节能</w:t>
      </w:r>
      <w:r>
        <w:tab/>
      </w:r>
      <w:r>
        <w:fldChar w:fldCharType="begin"/>
      </w:r>
      <w:r>
        <w:instrText xml:space="preserve"> PAGEREF _Toc20562 \h </w:instrText>
      </w:r>
      <w:r>
        <w:fldChar w:fldCharType="separate"/>
      </w:r>
      <w:r>
        <w:t>9</w:t>
      </w:r>
      <w:r>
        <w:fldChar w:fldCharType="end"/>
      </w:r>
      <w:r>
        <w:fldChar w:fldCharType="end"/>
      </w:r>
    </w:p>
    <w:p w14:paraId="4AA86D1D">
      <w:pPr>
        <w:pStyle w:val="25"/>
        <w:tabs>
          <w:tab w:val="right" w:leader="dot" w:pos="9354"/>
          <w:tab w:val="clear" w:pos="9344"/>
        </w:tabs>
      </w:pPr>
      <w:r>
        <w:fldChar w:fldCharType="begin"/>
      </w:r>
      <w:r>
        <w:instrText xml:space="preserve"> HYPERLINK \l "_Toc32275" </w:instrText>
      </w:r>
      <w:r>
        <w:fldChar w:fldCharType="separate"/>
      </w:r>
      <w:r>
        <w:rPr>
          <w:rFonts w:hint="eastAsia" w:ascii="黑体" w:hAnsi="Times New Roman" w:eastAsia="黑体"/>
          <w:kern w:val="0"/>
          <w14:scene3d>
            <w14:lightRig w14:rig="threePt" w14:dir="t">
              <w14:rot w14:lat="0" w14:lon="0" w14:rev="0"/>
            </w14:lightRig>
          </w14:scene3d>
        </w:rPr>
        <w:t xml:space="preserve">7.1 </w:t>
      </w:r>
      <w:r>
        <w:rPr>
          <w:rFonts w:hint="eastAsia"/>
        </w:rPr>
        <w:t>一般规定</w:t>
      </w:r>
      <w:r>
        <w:tab/>
      </w:r>
      <w:r>
        <w:fldChar w:fldCharType="begin"/>
      </w:r>
      <w:r>
        <w:instrText xml:space="preserve"> PAGEREF _Toc32275 \h </w:instrText>
      </w:r>
      <w:r>
        <w:fldChar w:fldCharType="separate"/>
      </w:r>
      <w:r>
        <w:t>10</w:t>
      </w:r>
      <w:r>
        <w:fldChar w:fldCharType="end"/>
      </w:r>
      <w:r>
        <w:fldChar w:fldCharType="end"/>
      </w:r>
    </w:p>
    <w:p w14:paraId="1BA5F0AF">
      <w:pPr>
        <w:pStyle w:val="25"/>
        <w:tabs>
          <w:tab w:val="right" w:leader="dot" w:pos="9354"/>
          <w:tab w:val="clear" w:pos="9344"/>
        </w:tabs>
      </w:pPr>
      <w:r>
        <w:fldChar w:fldCharType="begin"/>
      </w:r>
      <w:r>
        <w:instrText xml:space="preserve"> HYPERLINK \l "_Toc7816" </w:instrText>
      </w:r>
      <w:r>
        <w:fldChar w:fldCharType="separate"/>
      </w:r>
      <w:r>
        <w:rPr>
          <w:rFonts w:hint="eastAsia" w:ascii="黑体" w:hAnsi="Times New Roman" w:eastAsia="黑体"/>
          <w:kern w:val="0"/>
          <w14:scene3d>
            <w14:lightRig w14:rig="threePt" w14:dir="t">
              <w14:rot w14:lat="0" w14:lon="0" w14:rev="0"/>
            </w14:lightRig>
          </w14:scene3d>
        </w:rPr>
        <w:t xml:space="preserve">7.2 </w:t>
      </w:r>
      <w:r>
        <w:rPr>
          <w:rFonts w:hint="eastAsia"/>
        </w:rPr>
        <w:t>太阳能光热及光伏系统</w:t>
      </w:r>
      <w:r>
        <w:tab/>
      </w:r>
      <w:r>
        <w:fldChar w:fldCharType="begin"/>
      </w:r>
      <w:r>
        <w:instrText xml:space="preserve"> PAGEREF _Toc7816 \h </w:instrText>
      </w:r>
      <w:r>
        <w:fldChar w:fldCharType="separate"/>
      </w:r>
      <w:r>
        <w:t>10</w:t>
      </w:r>
      <w:r>
        <w:fldChar w:fldCharType="end"/>
      </w:r>
      <w:r>
        <w:fldChar w:fldCharType="end"/>
      </w:r>
    </w:p>
    <w:p w14:paraId="1943C2D5">
      <w:pPr>
        <w:pStyle w:val="25"/>
        <w:tabs>
          <w:tab w:val="right" w:leader="dot" w:pos="9354"/>
          <w:tab w:val="clear" w:pos="9344"/>
        </w:tabs>
      </w:pPr>
      <w:r>
        <w:fldChar w:fldCharType="begin"/>
      </w:r>
      <w:r>
        <w:instrText xml:space="preserve"> HYPERLINK \l "_Toc20212" </w:instrText>
      </w:r>
      <w:r>
        <w:fldChar w:fldCharType="separate"/>
      </w:r>
      <w:r>
        <w:rPr>
          <w:rFonts w:hint="eastAsia" w:ascii="黑体" w:hAnsi="Times New Roman" w:eastAsia="黑体"/>
          <w:kern w:val="0"/>
          <w14:scene3d>
            <w14:lightRig w14:rig="threePt" w14:dir="t">
              <w14:rot w14:lat="0" w14:lon="0" w14:rev="0"/>
            </w14:lightRig>
          </w14:scene3d>
        </w:rPr>
        <w:t xml:space="preserve">7.3 </w:t>
      </w:r>
      <w:r>
        <w:rPr>
          <w:rFonts w:hint="eastAsia"/>
        </w:rPr>
        <w:t>再生水热能利用</w:t>
      </w:r>
      <w:r>
        <w:tab/>
      </w:r>
      <w:r>
        <w:fldChar w:fldCharType="begin"/>
      </w:r>
      <w:r>
        <w:instrText xml:space="preserve"> PAGEREF _Toc20212 \h </w:instrText>
      </w:r>
      <w:r>
        <w:fldChar w:fldCharType="separate"/>
      </w:r>
      <w:r>
        <w:t>11</w:t>
      </w:r>
      <w:r>
        <w:fldChar w:fldCharType="end"/>
      </w:r>
      <w:r>
        <w:fldChar w:fldCharType="end"/>
      </w:r>
    </w:p>
    <w:p w14:paraId="1004165D">
      <w:pPr>
        <w:pStyle w:val="25"/>
        <w:tabs>
          <w:tab w:val="right" w:leader="dot" w:pos="9354"/>
          <w:tab w:val="clear" w:pos="9344"/>
        </w:tabs>
      </w:pPr>
      <w:r>
        <w:fldChar w:fldCharType="begin"/>
      </w:r>
      <w:r>
        <w:instrText xml:space="preserve"> HYPERLINK \l "_Toc7038" </w:instrText>
      </w:r>
      <w:r>
        <w:fldChar w:fldCharType="separate"/>
      </w:r>
      <w:r>
        <w:rPr>
          <w:rFonts w:hint="eastAsia" w:ascii="黑体" w:hAnsi="Times New Roman" w:eastAsia="黑体"/>
          <w:kern w:val="0"/>
          <w14:scene3d>
            <w14:lightRig w14:rig="threePt" w14:dir="t">
              <w14:rot w14:lat="0" w14:lon="0" w14:rev="0"/>
            </w14:lightRig>
          </w14:scene3d>
        </w:rPr>
        <w:t xml:space="preserve">7.4 </w:t>
      </w:r>
      <w:r>
        <w:rPr>
          <w:rFonts w:hint="eastAsia"/>
        </w:rPr>
        <w:t>风能利用</w:t>
      </w:r>
      <w:r>
        <w:tab/>
      </w:r>
      <w:r>
        <w:fldChar w:fldCharType="begin"/>
      </w:r>
      <w:r>
        <w:instrText xml:space="preserve"> PAGEREF _Toc7038 \h </w:instrText>
      </w:r>
      <w:r>
        <w:fldChar w:fldCharType="separate"/>
      </w:r>
      <w:r>
        <w:t>11</w:t>
      </w:r>
      <w:r>
        <w:fldChar w:fldCharType="end"/>
      </w:r>
      <w:r>
        <w:fldChar w:fldCharType="end"/>
      </w:r>
    </w:p>
    <w:p w14:paraId="3CB80BB1">
      <w:pPr>
        <w:pStyle w:val="25"/>
        <w:tabs>
          <w:tab w:val="right" w:leader="dot" w:pos="9354"/>
          <w:tab w:val="clear" w:pos="9344"/>
        </w:tabs>
      </w:pPr>
      <w:r>
        <w:fldChar w:fldCharType="begin"/>
      </w:r>
      <w:r>
        <w:instrText xml:space="preserve"> HYPERLINK \l "_Toc8930" </w:instrText>
      </w:r>
      <w:r>
        <w:fldChar w:fldCharType="separate"/>
      </w:r>
      <w:r>
        <w:rPr>
          <w:rFonts w:hint="eastAsia" w:ascii="黑体" w:hAnsi="Times New Roman" w:eastAsia="黑体"/>
          <w:kern w:val="0"/>
          <w14:scene3d>
            <w14:lightRig w14:rig="threePt" w14:dir="t">
              <w14:rot w14:lat="0" w14:lon="0" w14:rev="0"/>
            </w14:lightRig>
          </w14:scene3d>
        </w:rPr>
        <w:t xml:space="preserve">7.5 </w:t>
      </w:r>
      <w:r>
        <w:rPr>
          <w:rFonts w:hint="eastAsia"/>
        </w:rPr>
        <w:t>沼气利用</w:t>
      </w:r>
      <w:r>
        <w:tab/>
      </w:r>
      <w:r>
        <w:fldChar w:fldCharType="begin"/>
      </w:r>
      <w:r>
        <w:instrText xml:space="preserve"> PAGEREF _Toc8930 \h </w:instrText>
      </w:r>
      <w:r>
        <w:fldChar w:fldCharType="separate"/>
      </w:r>
      <w:r>
        <w:t>11</w:t>
      </w:r>
      <w:r>
        <w:fldChar w:fldCharType="end"/>
      </w:r>
      <w:r>
        <w:fldChar w:fldCharType="end"/>
      </w:r>
    </w:p>
    <w:p w14:paraId="1FCBB94B">
      <w:pPr>
        <w:pStyle w:val="25"/>
        <w:tabs>
          <w:tab w:val="right" w:leader="dot" w:pos="9354"/>
          <w:tab w:val="clear" w:pos="9344"/>
        </w:tabs>
      </w:pPr>
      <w:r>
        <w:fldChar w:fldCharType="begin"/>
      </w:r>
      <w:r>
        <w:instrText xml:space="preserve"> HYPERLINK \l "_Toc29277" </w:instrText>
      </w:r>
      <w:r>
        <w:fldChar w:fldCharType="separate"/>
      </w:r>
      <w:r>
        <w:rPr>
          <w:rFonts w:hint="eastAsia" w:ascii="黑体" w:hAnsi="Times New Roman" w:eastAsia="黑体"/>
          <w:kern w:val="0"/>
          <w14:scene3d>
            <w14:lightRig w14:rig="threePt" w14:dir="t">
              <w14:rot w14:lat="0" w14:lon="0" w14:rev="0"/>
            </w14:lightRig>
          </w14:scene3d>
        </w:rPr>
        <w:t xml:space="preserve">7.6 </w:t>
      </w:r>
      <w:r>
        <w:rPr>
          <w:rFonts w:hint="eastAsia"/>
        </w:rPr>
        <w:t>建筑节能</w:t>
      </w:r>
      <w:r>
        <w:tab/>
      </w:r>
      <w:r>
        <w:fldChar w:fldCharType="begin"/>
      </w:r>
      <w:r>
        <w:instrText xml:space="preserve"> PAGEREF _Toc29277 \h </w:instrText>
      </w:r>
      <w:r>
        <w:fldChar w:fldCharType="separate"/>
      </w:r>
      <w:r>
        <w:t>11</w:t>
      </w:r>
      <w:r>
        <w:fldChar w:fldCharType="end"/>
      </w:r>
      <w:r>
        <w:fldChar w:fldCharType="end"/>
      </w:r>
    </w:p>
    <w:p w14:paraId="10712F2A">
      <w:pPr>
        <w:pStyle w:val="20"/>
        <w:tabs>
          <w:tab w:val="right" w:leader="dot" w:pos="9354"/>
        </w:tabs>
      </w:pPr>
      <w:r>
        <w:fldChar w:fldCharType="begin"/>
      </w:r>
      <w:r>
        <w:instrText xml:space="preserve"> HYPERLINK \l "_Toc3305" </w:instrText>
      </w:r>
      <w:r>
        <w:fldChar w:fldCharType="separate"/>
      </w:r>
      <w:r>
        <w:rPr>
          <w:rFonts w:hint="eastAsia" w:ascii="黑体" w:eastAsia="黑体"/>
        </w:rPr>
        <w:t xml:space="preserve">8 </w:t>
      </w:r>
      <w:r>
        <w:rPr>
          <w:rFonts w:hint="eastAsia"/>
        </w:rPr>
        <w:t>智慧控制系统</w:t>
      </w:r>
      <w:r>
        <w:tab/>
      </w:r>
      <w:r>
        <w:fldChar w:fldCharType="begin"/>
      </w:r>
      <w:r>
        <w:instrText xml:space="preserve"> PAGEREF _Toc3305 \h </w:instrText>
      </w:r>
      <w:r>
        <w:fldChar w:fldCharType="separate"/>
      </w:r>
      <w:r>
        <w:t>11</w:t>
      </w:r>
      <w:r>
        <w:fldChar w:fldCharType="end"/>
      </w:r>
      <w:r>
        <w:fldChar w:fldCharType="end"/>
      </w:r>
    </w:p>
    <w:p w14:paraId="0384CC0B">
      <w:pPr>
        <w:pStyle w:val="25"/>
        <w:tabs>
          <w:tab w:val="right" w:leader="dot" w:pos="9354"/>
          <w:tab w:val="clear" w:pos="9344"/>
        </w:tabs>
      </w:pPr>
      <w:r>
        <w:fldChar w:fldCharType="begin"/>
      </w:r>
      <w:r>
        <w:instrText xml:space="preserve"> HYPERLINK \l "_Toc13434" </w:instrText>
      </w:r>
      <w:r>
        <w:fldChar w:fldCharType="separate"/>
      </w:r>
      <w:r>
        <w:rPr>
          <w:rFonts w:hint="eastAsia" w:ascii="黑体" w:hAnsi="Times New Roman" w:eastAsia="黑体"/>
          <w:kern w:val="0"/>
          <w14:scene3d>
            <w14:lightRig w14:rig="threePt" w14:dir="t">
              <w14:rot w14:lat="0" w14:lon="0" w14:rev="0"/>
            </w14:lightRig>
          </w14:scene3d>
        </w:rPr>
        <w:t xml:space="preserve">8.1 </w:t>
      </w:r>
      <w:r>
        <w:rPr>
          <w:rFonts w:hint="eastAsia"/>
        </w:rPr>
        <w:t>一般规定</w:t>
      </w:r>
      <w:r>
        <w:tab/>
      </w:r>
      <w:r>
        <w:fldChar w:fldCharType="begin"/>
      </w:r>
      <w:r>
        <w:instrText xml:space="preserve"> PAGEREF _Toc13434 \h </w:instrText>
      </w:r>
      <w:r>
        <w:fldChar w:fldCharType="separate"/>
      </w:r>
      <w:r>
        <w:t>11</w:t>
      </w:r>
      <w:r>
        <w:fldChar w:fldCharType="end"/>
      </w:r>
      <w:r>
        <w:fldChar w:fldCharType="end"/>
      </w:r>
    </w:p>
    <w:p w14:paraId="20794ED8">
      <w:pPr>
        <w:pStyle w:val="25"/>
        <w:tabs>
          <w:tab w:val="right" w:leader="dot" w:pos="9354"/>
          <w:tab w:val="clear" w:pos="9344"/>
        </w:tabs>
      </w:pPr>
      <w:r>
        <w:fldChar w:fldCharType="begin"/>
      </w:r>
      <w:r>
        <w:instrText xml:space="preserve"> HYPERLINK \l "_Toc24989" </w:instrText>
      </w:r>
      <w:r>
        <w:fldChar w:fldCharType="separate"/>
      </w:r>
      <w:r>
        <w:rPr>
          <w:rFonts w:hint="eastAsia" w:ascii="黑体" w:hAnsi="Times New Roman" w:eastAsia="黑体"/>
          <w:kern w:val="0"/>
          <w14:scene3d>
            <w14:lightRig w14:rig="threePt" w14:dir="t">
              <w14:rot w14:lat="0" w14:lon="0" w14:rev="0"/>
            </w14:lightRig>
          </w14:scene3d>
        </w:rPr>
        <w:t xml:space="preserve">8.2 </w:t>
      </w:r>
      <w:r>
        <w:rPr>
          <w:rFonts w:hint="eastAsia"/>
        </w:rPr>
        <w:t>总体架构</w:t>
      </w:r>
      <w:r>
        <w:tab/>
      </w:r>
      <w:r>
        <w:fldChar w:fldCharType="begin"/>
      </w:r>
      <w:r>
        <w:instrText xml:space="preserve"> PAGEREF _Toc24989 \h </w:instrText>
      </w:r>
      <w:r>
        <w:fldChar w:fldCharType="separate"/>
      </w:r>
      <w:r>
        <w:t>12</w:t>
      </w:r>
      <w:r>
        <w:fldChar w:fldCharType="end"/>
      </w:r>
      <w:r>
        <w:fldChar w:fldCharType="end"/>
      </w:r>
    </w:p>
    <w:p w14:paraId="21E94F19">
      <w:pPr>
        <w:pStyle w:val="25"/>
        <w:tabs>
          <w:tab w:val="right" w:leader="dot" w:pos="9354"/>
          <w:tab w:val="clear" w:pos="9344"/>
        </w:tabs>
      </w:pPr>
      <w:r>
        <w:fldChar w:fldCharType="begin"/>
      </w:r>
      <w:r>
        <w:instrText xml:space="preserve"> HYPERLINK \l "_Toc4708" </w:instrText>
      </w:r>
      <w:r>
        <w:fldChar w:fldCharType="separate"/>
      </w:r>
      <w:r>
        <w:rPr>
          <w:rFonts w:hint="eastAsia" w:ascii="黑体" w:hAnsi="Times New Roman" w:eastAsia="黑体"/>
          <w:kern w:val="0"/>
          <w14:scene3d>
            <w14:lightRig w14:rig="threePt" w14:dir="t">
              <w14:rot w14:lat="0" w14:lon="0" w14:rev="0"/>
            </w14:lightRig>
          </w14:scene3d>
        </w:rPr>
        <w:t xml:space="preserve">8.3 </w:t>
      </w:r>
      <w:r>
        <w:rPr>
          <w:rFonts w:hint="eastAsia"/>
        </w:rPr>
        <w:t>物联网感知层</w:t>
      </w:r>
      <w:r>
        <w:tab/>
      </w:r>
      <w:r>
        <w:fldChar w:fldCharType="begin"/>
      </w:r>
      <w:r>
        <w:instrText xml:space="preserve"> PAGEREF _Toc4708 \h </w:instrText>
      </w:r>
      <w:r>
        <w:fldChar w:fldCharType="separate"/>
      </w:r>
      <w:r>
        <w:t>12</w:t>
      </w:r>
      <w:r>
        <w:fldChar w:fldCharType="end"/>
      </w:r>
      <w:r>
        <w:fldChar w:fldCharType="end"/>
      </w:r>
    </w:p>
    <w:p w14:paraId="0338D9C4">
      <w:pPr>
        <w:pStyle w:val="25"/>
        <w:tabs>
          <w:tab w:val="right" w:leader="dot" w:pos="9354"/>
          <w:tab w:val="clear" w:pos="9344"/>
        </w:tabs>
      </w:pPr>
      <w:r>
        <w:fldChar w:fldCharType="begin"/>
      </w:r>
      <w:r>
        <w:instrText xml:space="preserve"> HYPERLINK \l "_Toc11372" </w:instrText>
      </w:r>
      <w:r>
        <w:fldChar w:fldCharType="separate"/>
      </w:r>
      <w:r>
        <w:rPr>
          <w:rFonts w:hint="eastAsia" w:ascii="黑体" w:hAnsi="Times New Roman" w:eastAsia="黑体"/>
          <w:kern w:val="0"/>
          <w14:scene3d>
            <w14:lightRig w14:rig="threePt" w14:dir="t">
              <w14:rot w14:lat="0" w14:lon="0" w14:rev="0"/>
            </w14:lightRig>
          </w14:scene3d>
        </w:rPr>
        <w:t xml:space="preserve">8.4 </w:t>
      </w:r>
      <w:r>
        <w:rPr>
          <w:rFonts w:hint="eastAsia"/>
        </w:rPr>
        <w:t>数据层</w:t>
      </w:r>
      <w:r>
        <w:tab/>
      </w:r>
      <w:r>
        <w:fldChar w:fldCharType="begin"/>
      </w:r>
      <w:r>
        <w:instrText xml:space="preserve"> PAGEREF _Toc11372 \h </w:instrText>
      </w:r>
      <w:r>
        <w:fldChar w:fldCharType="separate"/>
      </w:r>
      <w:r>
        <w:t>13</w:t>
      </w:r>
      <w:r>
        <w:fldChar w:fldCharType="end"/>
      </w:r>
      <w:r>
        <w:fldChar w:fldCharType="end"/>
      </w:r>
    </w:p>
    <w:p w14:paraId="5B0753CF">
      <w:pPr>
        <w:pStyle w:val="25"/>
        <w:tabs>
          <w:tab w:val="right" w:leader="dot" w:pos="9354"/>
          <w:tab w:val="clear" w:pos="9344"/>
        </w:tabs>
      </w:pPr>
      <w:r>
        <w:fldChar w:fldCharType="begin"/>
      </w:r>
      <w:r>
        <w:instrText xml:space="preserve"> HYPERLINK \l "_Toc6761" </w:instrText>
      </w:r>
      <w:r>
        <w:fldChar w:fldCharType="separate"/>
      </w:r>
      <w:r>
        <w:rPr>
          <w:rFonts w:hint="eastAsia" w:ascii="黑体" w:hAnsi="Times New Roman" w:eastAsia="黑体"/>
          <w:kern w:val="0"/>
          <w14:scene3d>
            <w14:lightRig w14:rig="threePt" w14:dir="t">
              <w14:rot w14:lat="0" w14:lon="0" w14:rev="0"/>
            </w14:lightRig>
          </w14:scene3d>
        </w:rPr>
        <w:t xml:space="preserve">8.5 </w:t>
      </w:r>
      <w:r>
        <w:rPr>
          <w:rFonts w:hint="eastAsia"/>
        </w:rPr>
        <w:t>应用层</w:t>
      </w:r>
      <w:r>
        <w:tab/>
      </w:r>
      <w:r>
        <w:fldChar w:fldCharType="begin"/>
      </w:r>
      <w:r>
        <w:instrText xml:space="preserve"> PAGEREF _Toc6761 \h </w:instrText>
      </w:r>
      <w:r>
        <w:fldChar w:fldCharType="separate"/>
      </w:r>
      <w:r>
        <w:t>13</w:t>
      </w:r>
      <w:r>
        <w:fldChar w:fldCharType="end"/>
      </w:r>
      <w:r>
        <w:fldChar w:fldCharType="end"/>
      </w:r>
    </w:p>
    <w:p w14:paraId="4B087A59">
      <w:pPr>
        <w:pStyle w:val="20"/>
        <w:tabs>
          <w:tab w:val="right" w:leader="dot" w:pos="9354"/>
        </w:tabs>
      </w:pPr>
      <w:r>
        <w:fldChar w:fldCharType="begin"/>
      </w:r>
      <w:r>
        <w:instrText xml:space="preserve"> HYPERLINK \l "_Toc6310" </w:instrText>
      </w:r>
      <w:r>
        <w:fldChar w:fldCharType="separate"/>
      </w:r>
      <w:r>
        <w:rPr>
          <w:rFonts w:hint="eastAsia" w:ascii="黑体" w:eastAsia="黑体"/>
        </w:rPr>
        <w:t xml:space="preserve">9 </w:t>
      </w:r>
      <w:r>
        <w:rPr>
          <w:rFonts w:hint="eastAsia"/>
        </w:rPr>
        <w:t>绿色环境</w:t>
      </w:r>
      <w:r>
        <w:tab/>
      </w:r>
      <w:r>
        <w:fldChar w:fldCharType="begin"/>
      </w:r>
      <w:r>
        <w:instrText xml:space="preserve"> PAGEREF _Toc6310 \h </w:instrText>
      </w:r>
      <w:r>
        <w:fldChar w:fldCharType="separate"/>
      </w:r>
      <w:r>
        <w:t>14</w:t>
      </w:r>
      <w:r>
        <w:fldChar w:fldCharType="end"/>
      </w:r>
      <w:r>
        <w:fldChar w:fldCharType="end"/>
      </w:r>
    </w:p>
    <w:p w14:paraId="16E4D853">
      <w:pPr>
        <w:pStyle w:val="25"/>
        <w:tabs>
          <w:tab w:val="right" w:leader="dot" w:pos="9354"/>
          <w:tab w:val="clear" w:pos="9344"/>
        </w:tabs>
      </w:pPr>
      <w:r>
        <w:fldChar w:fldCharType="begin"/>
      </w:r>
      <w:r>
        <w:instrText xml:space="preserve"> HYPERLINK \l "_Toc4103" </w:instrText>
      </w:r>
      <w:r>
        <w:fldChar w:fldCharType="separate"/>
      </w:r>
      <w:r>
        <w:rPr>
          <w:rFonts w:hint="eastAsia" w:ascii="黑体" w:hAnsi="Times New Roman" w:eastAsia="黑体"/>
          <w:kern w:val="0"/>
          <w14:scene3d>
            <w14:lightRig w14:rig="threePt" w14:dir="t">
              <w14:rot w14:lat="0" w14:lon="0" w14:rev="0"/>
            </w14:lightRig>
          </w14:scene3d>
        </w:rPr>
        <w:t xml:space="preserve">9.1 </w:t>
      </w:r>
      <w:r>
        <w:rPr>
          <w:rFonts w:hint="eastAsia"/>
        </w:rPr>
        <w:t>一般规定</w:t>
      </w:r>
      <w:r>
        <w:tab/>
      </w:r>
      <w:r>
        <w:fldChar w:fldCharType="begin"/>
      </w:r>
      <w:r>
        <w:instrText xml:space="preserve"> PAGEREF _Toc4103 \h </w:instrText>
      </w:r>
      <w:r>
        <w:fldChar w:fldCharType="separate"/>
      </w:r>
      <w:r>
        <w:t>14</w:t>
      </w:r>
      <w:r>
        <w:fldChar w:fldCharType="end"/>
      </w:r>
      <w:r>
        <w:fldChar w:fldCharType="end"/>
      </w:r>
    </w:p>
    <w:p w14:paraId="5C52377A">
      <w:pPr>
        <w:pStyle w:val="25"/>
        <w:tabs>
          <w:tab w:val="right" w:leader="dot" w:pos="9354"/>
          <w:tab w:val="clear" w:pos="9344"/>
        </w:tabs>
      </w:pPr>
      <w:r>
        <w:fldChar w:fldCharType="begin"/>
      </w:r>
      <w:r>
        <w:instrText xml:space="preserve"> HYPERLINK \l "_Toc13198" </w:instrText>
      </w:r>
      <w:r>
        <w:fldChar w:fldCharType="separate"/>
      </w:r>
      <w:r>
        <w:rPr>
          <w:rFonts w:hint="eastAsia" w:ascii="黑体" w:hAnsi="Times New Roman" w:eastAsia="黑体"/>
          <w:kern w:val="0"/>
          <w14:scene3d>
            <w14:lightRig w14:rig="threePt" w14:dir="t">
              <w14:rot w14:lat="0" w14:lon="0" w14:rev="0"/>
            </w14:lightRig>
          </w14:scene3d>
        </w:rPr>
        <w:t xml:space="preserve">9.2 </w:t>
      </w:r>
      <w:r>
        <w:rPr>
          <w:rFonts w:hint="eastAsia"/>
        </w:rPr>
        <w:t>臭气控制</w:t>
      </w:r>
      <w:r>
        <w:tab/>
      </w:r>
      <w:r>
        <w:fldChar w:fldCharType="begin"/>
      </w:r>
      <w:r>
        <w:instrText xml:space="preserve"> PAGEREF _Toc13198 \h </w:instrText>
      </w:r>
      <w:r>
        <w:fldChar w:fldCharType="separate"/>
      </w:r>
      <w:r>
        <w:t>14</w:t>
      </w:r>
      <w:r>
        <w:fldChar w:fldCharType="end"/>
      </w:r>
      <w:r>
        <w:fldChar w:fldCharType="end"/>
      </w:r>
    </w:p>
    <w:p w14:paraId="68B04D56">
      <w:pPr>
        <w:pStyle w:val="25"/>
        <w:tabs>
          <w:tab w:val="right" w:leader="dot" w:pos="9354"/>
          <w:tab w:val="clear" w:pos="9344"/>
        </w:tabs>
      </w:pPr>
      <w:r>
        <w:fldChar w:fldCharType="begin"/>
      </w:r>
      <w:r>
        <w:instrText xml:space="preserve"> HYPERLINK \l "_Toc19497" </w:instrText>
      </w:r>
      <w:r>
        <w:fldChar w:fldCharType="separate"/>
      </w:r>
      <w:r>
        <w:rPr>
          <w:rFonts w:hint="eastAsia" w:ascii="黑体" w:hAnsi="Times New Roman" w:eastAsia="黑体"/>
          <w:kern w:val="0"/>
          <w14:scene3d>
            <w14:lightRig w14:rig="threePt" w14:dir="t">
              <w14:rot w14:lat="0" w14:lon="0" w14:rev="0"/>
            </w14:lightRig>
          </w14:scene3d>
        </w:rPr>
        <w:t xml:space="preserve">9.3 </w:t>
      </w:r>
      <w:r>
        <w:rPr>
          <w:rFonts w:hint="eastAsia"/>
        </w:rPr>
        <w:t>景观绿化</w:t>
      </w:r>
      <w:r>
        <w:tab/>
      </w:r>
      <w:r>
        <w:fldChar w:fldCharType="begin"/>
      </w:r>
      <w:r>
        <w:instrText xml:space="preserve"> PAGEREF _Toc19497 \h </w:instrText>
      </w:r>
      <w:r>
        <w:fldChar w:fldCharType="separate"/>
      </w:r>
      <w:r>
        <w:t>14</w:t>
      </w:r>
      <w:r>
        <w:fldChar w:fldCharType="end"/>
      </w:r>
      <w:r>
        <w:fldChar w:fldCharType="end"/>
      </w:r>
    </w:p>
    <w:p w14:paraId="6FF1FDF6">
      <w:pPr>
        <w:pStyle w:val="25"/>
        <w:tabs>
          <w:tab w:val="right" w:leader="dot" w:pos="9354"/>
          <w:tab w:val="clear" w:pos="9344"/>
        </w:tabs>
      </w:pPr>
      <w:r>
        <w:fldChar w:fldCharType="begin"/>
      </w:r>
      <w:r>
        <w:instrText xml:space="preserve"> HYPERLINK \l "_Toc22582" </w:instrText>
      </w:r>
      <w:r>
        <w:fldChar w:fldCharType="separate"/>
      </w:r>
      <w:r>
        <w:rPr>
          <w:rFonts w:hint="eastAsia" w:ascii="黑体" w:hAnsi="Times New Roman" w:eastAsia="黑体"/>
          <w:kern w:val="0"/>
          <w14:scene3d>
            <w14:lightRig w14:rig="threePt" w14:dir="t">
              <w14:rot w14:lat="0" w14:lon="0" w14:rev="0"/>
            </w14:lightRig>
          </w14:scene3d>
        </w:rPr>
        <w:t xml:space="preserve">9.4 </w:t>
      </w:r>
      <w:r>
        <w:rPr>
          <w:rFonts w:hint="eastAsia"/>
        </w:rPr>
        <w:t>海绵建设</w:t>
      </w:r>
      <w:r>
        <w:tab/>
      </w:r>
      <w:r>
        <w:fldChar w:fldCharType="begin"/>
      </w:r>
      <w:r>
        <w:instrText xml:space="preserve"> PAGEREF _Toc22582 \h </w:instrText>
      </w:r>
      <w:r>
        <w:fldChar w:fldCharType="separate"/>
      </w:r>
      <w:r>
        <w:t>15</w:t>
      </w:r>
      <w:r>
        <w:fldChar w:fldCharType="end"/>
      </w:r>
      <w:r>
        <w:fldChar w:fldCharType="end"/>
      </w:r>
    </w:p>
    <w:p w14:paraId="2FA2E5FC">
      <w:pPr>
        <w:pStyle w:val="25"/>
        <w:tabs>
          <w:tab w:val="right" w:leader="dot" w:pos="9354"/>
          <w:tab w:val="clear" w:pos="9344"/>
        </w:tabs>
      </w:pPr>
      <w:r>
        <w:fldChar w:fldCharType="begin"/>
      </w:r>
      <w:r>
        <w:instrText xml:space="preserve"> HYPERLINK \l "_Toc21545" </w:instrText>
      </w:r>
      <w:r>
        <w:fldChar w:fldCharType="separate"/>
      </w:r>
      <w:r>
        <w:rPr>
          <w:rFonts w:hint="eastAsia" w:ascii="黑体" w:hAnsi="Times New Roman" w:eastAsia="黑体"/>
          <w:kern w:val="0"/>
          <w14:scene3d>
            <w14:lightRig w14:rig="threePt" w14:dir="t">
              <w14:rot w14:lat="0" w14:lon="0" w14:rev="0"/>
            </w14:lightRig>
          </w14:scene3d>
        </w:rPr>
        <w:t xml:space="preserve">9.5 </w:t>
      </w:r>
      <w:r>
        <w:rPr>
          <w:rFonts w:hint="eastAsia"/>
        </w:rPr>
        <w:t>噪音控制</w:t>
      </w:r>
      <w:r>
        <w:tab/>
      </w:r>
      <w:r>
        <w:fldChar w:fldCharType="begin"/>
      </w:r>
      <w:r>
        <w:instrText xml:space="preserve"> PAGEREF _Toc21545 \h </w:instrText>
      </w:r>
      <w:r>
        <w:fldChar w:fldCharType="separate"/>
      </w:r>
      <w:r>
        <w:t>15</w:t>
      </w:r>
      <w:r>
        <w:fldChar w:fldCharType="end"/>
      </w:r>
      <w:r>
        <w:fldChar w:fldCharType="end"/>
      </w:r>
    </w:p>
    <w:p w14:paraId="2C4DEBAD">
      <w:pPr>
        <w:pStyle w:val="20"/>
        <w:tabs>
          <w:tab w:val="right" w:leader="dot" w:pos="9354"/>
        </w:tabs>
      </w:pPr>
      <w:r>
        <w:fldChar w:fldCharType="begin"/>
      </w:r>
      <w:r>
        <w:instrText xml:space="preserve"> HYPERLINK \l "_Toc23281" </w:instrText>
      </w:r>
      <w:r>
        <w:fldChar w:fldCharType="separate"/>
      </w:r>
      <w:r>
        <w:rPr>
          <w:rFonts w:hint="eastAsia" w:ascii="黑体" w:eastAsia="黑体"/>
        </w:rPr>
        <w:t xml:space="preserve">10 </w:t>
      </w:r>
      <w:r>
        <w:rPr>
          <w:rFonts w:hint="eastAsia"/>
        </w:rPr>
        <w:t>低碳排放</w:t>
      </w:r>
      <w:r>
        <w:tab/>
      </w:r>
      <w:r>
        <w:fldChar w:fldCharType="begin"/>
      </w:r>
      <w:r>
        <w:instrText xml:space="preserve"> PAGEREF _Toc23281 \h </w:instrText>
      </w:r>
      <w:r>
        <w:fldChar w:fldCharType="separate"/>
      </w:r>
      <w:r>
        <w:t>15</w:t>
      </w:r>
      <w:r>
        <w:fldChar w:fldCharType="end"/>
      </w:r>
      <w:r>
        <w:fldChar w:fldCharType="end"/>
      </w:r>
    </w:p>
    <w:p w14:paraId="292E2A8E">
      <w:pPr>
        <w:pStyle w:val="94"/>
        <w:spacing w:after="468"/>
        <w:jc w:val="both"/>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5"/>
    <w:p w14:paraId="22D2B94D">
      <w:pPr>
        <w:pStyle w:val="92"/>
        <w:spacing w:before="900" w:after="468"/>
        <w:rPr>
          <w:color w:val="000000" w:themeColor="text1"/>
          <w14:textFill>
            <w14:solidFill>
              <w14:schemeClr w14:val="tx1"/>
            </w14:solidFill>
          </w14:textFill>
        </w:rPr>
      </w:pPr>
      <w:bookmarkStart w:id="22" w:name="_Toc23331"/>
      <w:bookmarkStart w:id="23" w:name="_Toc19787"/>
      <w:bookmarkStart w:id="24" w:name="BookMark2"/>
      <w:r>
        <w:rPr>
          <w:color w:val="000000" w:themeColor="text1"/>
          <w:spacing w:val="320"/>
          <w14:textFill>
            <w14:solidFill>
              <w14:schemeClr w14:val="tx1"/>
            </w14:solidFill>
          </w14:textFill>
        </w:rPr>
        <w:t>前</w:t>
      </w:r>
      <w:r>
        <w:rPr>
          <w:color w:val="000000" w:themeColor="text1"/>
          <w14:textFill>
            <w14:solidFill>
              <w14:schemeClr w14:val="tx1"/>
            </w14:solidFill>
          </w14:textFill>
        </w:rPr>
        <w:t>言</w:t>
      </w:r>
      <w:bookmarkEnd w:id="16"/>
      <w:bookmarkEnd w:id="17"/>
      <w:bookmarkEnd w:id="18"/>
      <w:bookmarkEnd w:id="19"/>
      <w:bookmarkEnd w:id="20"/>
      <w:bookmarkEnd w:id="21"/>
      <w:bookmarkEnd w:id="22"/>
      <w:bookmarkEnd w:id="23"/>
    </w:p>
    <w:p w14:paraId="3253BE4B">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本文件按照GB/T 1.1—2020《标准化工作导则  第1部分：标准化文件的结构和起草规则》的规定起草。</w:t>
      </w:r>
    </w:p>
    <w:p w14:paraId="21CB970B">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请注意本文件的某些内容可能涉及专利。本文件的发布机构不承担识别专利的责任</w:t>
      </w:r>
      <w:r>
        <w:rPr>
          <w:rFonts w:hint="eastAsia"/>
          <w:color w:val="000000" w:themeColor="text1"/>
          <w14:textFill>
            <w14:solidFill>
              <w14:schemeClr w14:val="tx1"/>
            </w14:solidFill>
          </w14:textFill>
        </w:rPr>
        <w:t>。</w:t>
      </w:r>
    </w:p>
    <w:p w14:paraId="4A8E41EE">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本文件由湖北省住房</w:t>
      </w:r>
      <w:r>
        <w:rPr>
          <w:rFonts w:hint="eastAsia"/>
          <w:color w:val="000000" w:themeColor="text1"/>
          <w:lang w:eastAsia="zh-CN"/>
          <w14:textFill>
            <w14:solidFill>
              <w14:schemeClr w14:val="tx1"/>
            </w14:solidFill>
          </w14:textFill>
        </w:rPr>
        <w:t>和</w:t>
      </w:r>
      <w:bookmarkStart w:id="369" w:name="_GoBack"/>
      <w:bookmarkEnd w:id="369"/>
      <w:r>
        <w:rPr>
          <w:color w:val="000000" w:themeColor="text1"/>
          <w14:textFill>
            <w14:solidFill>
              <w14:schemeClr w14:val="tx1"/>
            </w14:solidFill>
          </w14:textFill>
        </w:rPr>
        <w:t>城乡建设厅</w:t>
      </w:r>
      <w:r>
        <w:rPr>
          <w:rFonts w:hint="eastAsia"/>
          <w:color w:val="000000" w:themeColor="text1"/>
          <w14:textFill>
            <w14:solidFill>
              <w14:schemeClr w14:val="tx1"/>
            </w14:solidFill>
          </w14:textFill>
        </w:rPr>
        <w:t>提出并</w:t>
      </w:r>
      <w:r>
        <w:rPr>
          <w:color w:val="000000" w:themeColor="text1"/>
          <w14:textFill>
            <w14:solidFill>
              <w14:schemeClr w14:val="tx1"/>
            </w14:solidFill>
          </w14:textFill>
        </w:rPr>
        <w:t>归口</w:t>
      </w:r>
      <w:r>
        <w:rPr>
          <w:rFonts w:hint="eastAsia"/>
          <w:color w:val="000000" w:themeColor="text1"/>
          <w14:textFill>
            <w14:solidFill>
              <w14:schemeClr w14:val="tx1"/>
            </w14:solidFill>
          </w14:textFill>
        </w:rPr>
        <w:t>。</w:t>
      </w:r>
    </w:p>
    <w:p w14:paraId="10B26A93">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本文件起草单位：武汉市政工程设计研究院有限责任公司、华中科技大学</w:t>
      </w:r>
      <w:r>
        <w:rPr>
          <w:rFonts w:hint="eastAsia"/>
          <w:color w:val="000000" w:themeColor="text1"/>
          <w14:textFill>
            <w14:solidFill>
              <w14:schemeClr w14:val="tx1"/>
            </w14:solidFill>
          </w14:textFill>
        </w:rPr>
        <w:t>、武汉三镇实业控股股份有限公司、武汉市城市排水发展有限公司、长江生态环保集团有限公司</w:t>
      </w:r>
      <w:r>
        <w:rPr>
          <w:color w:val="000000" w:themeColor="text1"/>
          <w14:textFill>
            <w14:solidFill>
              <w14:schemeClr w14:val="tx1"/>
            </w14:solidFill>
          </w14:textFill>
        </w:rPr>
        <w:t>。</w:t>
      </w:r>
    </w:p>
    <w:p w14:paraId="64AD353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本文件主要起草人：石亚军、李尔、王宗平、熊雪君、江山、肖雪莹、雷鸣、白杨、杜贞爱、王一行、杨浩然。</w:t>
      </w:r>
    </w:p>
    <w:p w14:paraId="5BB14DB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本文件实施应用中的疑问，可咨询湖北省住房和城乡建设厅，联系电话：027-68873088，邮箱：bkc@hbszjt.net.cn。在</w:t>
      </w:r>
      <w:r>
        <w:rPr>
          <w:color w:val="000000" w:themeColor="text1"/>
          <w14:textFill>
            <w14:solidFill>
              <w14:schemeClr w14:val="tx1"/>
            </w14:solidFill>
          </w14:textFill>
        </w:rPr>
        <w:t>执行过程中如有意见和建议，请寄送至武汉市政工程设计研究院有限责任公司（地址：武汉市汉口常青路40号；邮编：430023）。电话：85877780，传真: 85629124。</w:t>
      </w:r>
    </w:p>
    <w:p w14:paraId="6F99BCB8">
      <w:pPr>
        <w:pStyle w:val="59"/>
        <w:ind w:firstLine="420"/>
        <w:rPr>
          <w:color w:val="000000" w:themeColor="text1"/>
          <w14:textFill>
            <w14:solidFill>
              <w14:schemeClr w14:val="tx1"/>
            </w14:solidFill>
          </w14:textFill>
        </w:rPr>
        <w:sectPr>
          <w:pgSz w:w="11906" w:h="16838"/>
          <w:pgMar w:top="1928" w:right="1134" w:bottom="1134" w:left="1134" w:header="1418" w:footer="1134" w:gutter="284"/>
          <w:pgNumType w:fmt="upperRoman"/>
          <w:cols w:space="425" w:num="1"/>
          <w:formProt w:val="0"/>
          <w:docGrid w:type="lines" w:linePitch="312" w:charSpace="0"/>
        </w:sectPr>
      </w:pPr>
    </w:p>
    <w:bookmarkEnd w:id="24"/>
    <w:p w14:paraId="495B07A5">
      <w:pPr>
        <w:spacing w:line="20" w:lineRule="exact"/>
        <w:jc w:val="center"/>
        <w:rPr>
          <w:rFonts w:hint="eastAsia" w:ascii="黑体" w:hAnsi="黑体" w:eastAsia="黑体"/>
          <w:color w:val="000000" w:themeColor="text1"/>
          <w:sz w:val="32"/>
          <w:szCs w:val="32"/>
          <w14:textFill>
            <w14:solidFill>
              <w14:schemeClr w14:val="tx1"/>
            </w14:solidFill>
          </w14:textFill>
        </w:rPr>
      </w:pPr>
      <w:bookmarkStart w:id="25" w:name="BookMark4"/>
    </w:p>
    <w:p w14:paraId="3E13F4CD">
      <w:pPr>
        <w:spacing w:line="20" w:lineRule="exact"/>
        <w:jc w:val="center"/>
        <w:rPr>
          <w:rFonts w:hint="eastAsia" w:ascii="黑体" w:hAnsi="黑体" w:eastAsia="黑体"/>
          <w:color w:val="000000" w:themeColor="text1"/>
          <w:sz w:val="32"/>
          <w:szCs w:val="32"/>
          <w14:textFill>
            <w14:solidFill>
              <w14:schemeClr w14:val="tx1"/>
            </w14:solidFill>
          </w14:textFill>
        </w:rPr>
      </w:pPr>
    </w:p>
    <w:sdt>
      <w:sdtPr>
        <w:rPr>
          <w:color w:val="000000" w:themeColor="text1"/>
          <w14:textFill>
            <w14:solidFill>
              <w14:schemeClr w14:val="tx1"/>
            </w14:solidFill>
          </w14:textFill>
        </w:rPr>
        <w:tag w:val="NEW_STAND_NAME"/>
        <w:id w:val="595910757"/>
        <w:lock w:val="sdtLocked"/>
        <w:placeholder>
          <w:docPart w:val="92A9AA42FBFD485FB17C20A3864B194D"/>
        </w:placeholder>
      </w:sdtPr>
      <w:sdtEndPr>
        <w:rPr>
          <w:color w:val="000000" w:themeColor="text1"/>
          <w14:textFill>
            <w14:solidFill>
              <w14:schemeClr w14:val="tx1"/>
            </w14:solidFill>
          </w14:textFill>
        </w:rPr>
      </w:sdtEndPr>
      <w:sdtContent>
        <w:p w14:paraId="70EA8FAA">
          <w:pPr>
            <w:pStyle w:val="180"/>
            <w:spacing w:before="3" w:beforeLines="1" w:after="686" w:afterLines="220"/>
            <w:rPr>
              <w:rFonts w:hint="eastAsia"/>
              <w:color w:val="000000" w:themeColor="text1"/>
              <w14:textFill>
                <w14:solidFill>
                  <w14:schemeClr w14:val="tx1"/>
                </w14:solidFill>
              </w14:textFill>
            </w:rPr>
          </w:pPr>
          <w:bookmarkStart w:id="26" w:name="NEW_STAND_NAME"/>
          <w:r>
            <w:rPr>
              <w:rFonts w:hint="eastAsia"/>
              <w:color w:val="000000" w:themeColor="text1"/>
              <w14:textFill>
                <w14:solidFill>
                  <w14:schemeClr w14:val="tx1"/>
                </w14:solidFill>
              </w14:textFill>
            </w:rPr>
            <w:t>城镇污水处理厂绿色设计规程</w:t>
          </w:r>
        </w:p>
      </w:sdtContent>
    </w:sdt>
    <w:bookmarkEnd w:id="26"/>
    <w:p w14:paraId="3FC65776">
      <w:pPr>
        <w:pStyle w:val="107"/>
        <w:spacing w:before="312" w:after="312"/>
        <w:rPr>
          <w:color w:val="000000" w:themeColor="text1"/>
          <w14:textFill>
            <w14:solidFill>
              <w14:schemeClr w14:val="tx1"/>
            </w14:solidFill>
          </w14:textFill>
        </w:rPr>
      </w:pPr>
      <w:bookmarkStart w:id="27" w:name="_Toc2473"/>
      <w:bookmarkStart w:id="28" w:name="_Toc100821412"/>
      <w:bookmarkStart w:id="29" w:name="_Toc17233325"/>
      <w:bookmarkStart w:id="30" w:name="_Toc103243341"/>
      <w:bookmarkStart w:id="31" w:name="_Toc103242842"/>
      <w:bookmarkStart w:id="32" w:name="_Toc17233333"/>
      <w:bookmarkStart w:id="33" w:name="_Toc100822364"/>
      <w:bookmarkStart w:id="34" w:name="_Toc24884218"/>
      <w:bookmarkStart w:id="35" w:name="_Toc26986530"/>
      <w:bookmarkStart w:id="36" w:name="_Toc15097"/>
      <w:bookmarkStart w:id="37" w:name="_Toc26648465"/>
      <w:bookmarkStart w:id="38" w:name="_Toc24884211"/>
      <w:bookmarkStart w:id="39" w:name="_Toc26986771"/>
      <w:bookmarkStart w:id="40" w:name="_Toc103242799"/>
      <w:bookmarkStart w:id="41" w:name="_Toc101962892"/>
      <w:bookmarkStart w:id="42" w:name="_Toc26718930"/>
      <w:bookmarkStart w:id="43" w:name="_Toc97191423"/>
      <w:bookmarkStart w:id="44" w:name="_Toc103085723"/>
      <w:r>
        <w:rPr>
          <w:rFonts w:hint="eastAsia"/>
          <w:color w:val="000000" w:themeColor="text1"/>
          <w14:textFill>
            <w14:solidFill>
              <w14:schemeClr w14:val="tx1"/>
            </w14:solidFill>
          </w14:textFill>
        </w:rPr>
        <w:t>范围</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01659DC">
      <w:pPr>
        <w:pStyle w:val="59"/>
        <w:ind w:firstLine="420"/>
        <w:rPr>
          <w:color w:val="000000" w:themeColor="text1"/>
          <w:szCs w:val="21"/>
          <w14:textFill>
            <w14:solidFill>
              <w14:schemeClr w14:val="tx1"/>
            </w14:solidFill>
          </w14:textFill>
        </w:rPr>
      </w:pPr>
      <w:bookmarkStart w:id="45" w:name="_Toc17233334"/>
      <w:bookmarkStart w:id="46" w:name="_Toc24884219"/>
      <w:bookmarkStart w:id="47" w:name="_Toc17233326"/>
      <w:bookmarkStart w:id="48" w:name="_Toc26648466"/>
      <w:bookmarkStart w:id="49" w:name="_Toc24884212"/>
      <w:r>
        <w:rPr>
          <w:rFonts w:hint="eastAsia"/>
          <w:color w:val="000000" w:themeColor="text1"/>
          <w:szCs w:val="21"/>
          <w14:textFill>
            <w14:solidFill>
              <w14:schemeClr w14:val="tx1"/>
            </w14:solidFill>
          </w14:textFill>
        </w:rPr>
        <w:t>本文件规定了城镇污水处理厂绿色设计的术语和定义、目标原则和要求、污水处理和再生水资源化利用、污泥处理和资源化处置、能源利用与节能、智慧控制系统、绿色环境等。</w:t>
      </w:r>
    </w:p>
    <w:p w14:paraId="43969976">
      <w:pPr>
        <w:pStyle w:val="59"/>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本文件适用于湖北省城镇</w:t>
      </w:r>
      <w:r>
        <w:rPr>
          <w:color w:val="000000" w:themeColor="text1"/>
          <w:szCs w:val="21"/>
          <w14:textFill>
            <w14:solidFill>
              <w14:schemeClr w14:val="tx1"/>
            </w14:solidFill>
          </w14:textFill>
        </w:rPr>
        <w:t>新建、改建和扩建</w:t>
      </w:r>
      <w:r>
        <w:rPr>
          <w:rFonts w:hint="eastAsia"/>
          <w:color w:val="000000" w:themeColor="text1"/>
          <w:szCs w:val="21"/>
          <w14:textFill>
            <w14:solidFill>
              <w14:schemeClr w14:val="tx1"/>
            </w14:solidFill>
          </w14:textFill>
        </w:rPr>
        <w:t>城镇污水处理厂的</w:t>
      </w:r>
      <w:r>
        <w:rPr>
          <w:color w:val="000000" w:themeColor="text1"/>
          <w:szCs w:val="21"/>
          <w14:textFill>
            <w14:solidFill>
              <w14:schemeClr w14:val="tx1"/>
            </w14:solidFill>
          </w14:textFill>
        </w:rPr>
        <w:t>设计</w:t>
      </w:r>
      <w:r>
        <w:rPr>
          <w:rFonts w:hint="eastAsia"/>
          <w:color w:val="000000" w:themeColor="text1"/>
          <w:szCs w:val="21"/>
          <w14:textFill>
            <w14:solidFill>
              <w14:schemeClr w14:val="tx1"/>
            </w14:solidFill>
          </w14:textFill>
        </w:rPr>
        <w:t>。</w:t>
      </w:r>
    </w:p>
    <w:p w14:paraId="67B130DB">
      <w:pPr>
        <w:pStyle w:val="107"/>
        <w:spacing w:before="312" w:after="312"/>
        <w:rPr>
          <w:color w:val="000000" w:themeColor="text1"/>
          <w14:textFill>
            <w14:solidFill>
              <w14:schemeClr w14:val="tx1"/>
            </w14:solidFill>
          </w14:textFill>
        </w:rPr>
      </w:pPr>
      <w:bookmarkStart w:id="50" w:name="_Toc24822"/>
      <w:bookmarkStart w:id="51" w:name="_Toc100821413"/>
      <w:bookmarkStart w:id="52" w:name="_Toc97191424"/>
      <w:bookmarkStart w:id="53" w:name="_Toc26986531"/>
      <w:bookmarkStart w:id="54" w:name="_Toc26718931"/>
      <w:bookmarkStart w:id="55" w:name="_Toc100822365"/>
      <w:bookmarkStart w:id="56" w:name="_Toc101962893"/>
      <w:bookmarkStart w:id="57" w:name="_Toc103085724"/>
      <w:bookmarkStart w:id="58" w:name="_Toc26986772"/>
      <w:bookmarkStart w:id="59" w:name="_Toc103242843"/>
      <w:bookmarkStart w:id="60" w:name="_Toc2528"/>
      <w:bookmarkStart w:id="61" w:name="_Toc103242800"/>
      <w:bookmarkStart w:id="62" w:name="_Toc103243342"/>
      <w:r>
        <w:rPr>
          <w:rFonts w:hint="eastAsia"/>
          <w:color w:val="000000" w:themeColor="text1"/>
          <w14:textFill>
            <w14:solidFill>
              <w14:schemeClr w14:val="tx1"/>
            </w14:solidFill>
          </w14:textFill>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color w:val="000000" w:themeColor="text1"/>
          <w14:textFill>
            <w14:solidFill>
              <w14:schemeClr w14:val="tx1"/>
            </w14:solidFill>
          </w14:textFill>
        </w:rPr>
        <w:id w:val="715848253"/>
        <w:placeholder>
          <w:docPart w:val="97B401609DCD471F94E4039CD336E1A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000000" w:themeColor="text1"/>
          <w14:textFill>
            <w14:solidFill>
              <w14:schemeClr w14:val="tx1"/>
            </w14:solidFill>
          </w14:textFill>
        </w:rPr>
      </w:sdtEndPr>
      <w:sdtContent>
        <w:p w14:paraId="242E57CF">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CFBC296">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14554 恶臭污染物排放标准</w:t>
      </w:r>
    </w:p>
    <w:p w14:paraId="6558F2DF">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18485 生活垃圾焚烧污染控制标准</w:t>
      </w:r>
    </w:p>
    <w:p w14:paraId="329FD0FD">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18920 城市污水再生利用 城市杂用水水质</w:t>
      </w:r>
    </w:p>
    <w:p w14:paraId="7ED235B7">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18921 城市污水再生利用 景观环境用水水质</w:t>
      </w:r>
    </w:p>
    <w:p w14:paraId="12A02F58">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19409 水源热泵机组</w:t>
      </w:r>
    </w:p>
    <w:p w14:paraId="34884ADD">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19923 工业用水标准</w:t>
      </w:r>
    </w:p>
    <w:p w14:paraId="32B8F8F3">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19939 光伏系统并网技术要求</w:t>
      </w:r>
    </w:p>
    <w:p w14:paraId="7FFD5A0A">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19963 风电场接入电力系统技术规定</w:t>
      </w:r>
    </w:p>
    <w:p w14:paraId="0845AEB3">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21372 硅酸盐水泥熟料</w:t>
      </w:r>
    </w:p>
    <w:p w14:paraId="63F02876">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23484 城镇污水处理厂污泥处置分类</w:t>
      </w:r>
    </w:p>
    <w:p w14:paraId="3B9E2A33">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23486 城镇污水处理厂污泥处置 园林绿化用泥质</w:t>
      </w:r>
    </w:p>
    <w:p w14:paraId="1DCFF880">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24188 城镇污水处理厂污泥泥质</w:t>
      </w:r>
    </w:p>
    <w:p w14:paraId="37CDDEBA">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24600 城镇污水处理厂污泥处置 土地改良用泥质</w:t>
      </w:r>
    </w:p>
    <w:p w14:paraId="68B77D8A">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28751 企业能量平衡表编制方法</w:t>
      </w:r>
    </w:p>
    <w:p w14:paraId="6FBA6EA0">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50013 室外给水设计标准</w:t>
      </w:r>
    </w:p>
    <w:p w14:paraId="111A125A">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50014 室外排水设计标准</w:t>
      </w:r>
    </w:p>
    <w:p w14:paraId="55E8A835">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50015 建筑给水排水设计标准</w:t>
      </w:r>
    </w:p>
    <w:p w14:paraId="3F54E140">
      <w:pPr>
        <w:pStyle w:val="59"/>
        <w:tabs>
          <w:tab w:val="left" w:pos="4050"/>
        </w:tabs>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50189 公共建筑节能设计标准</w:t>
      </w:r>
      <w:r>
        <w:rPr>
          <w:rFonts w:hint="eastAsia"/>
          <w:color w:val="000000" w:themeColor="text1"/>
          <w:szCs w:val="22"/>
          <w14:textFill>
            <w14:solidFill>
              <w14:schemeClr w14:val="tx1"/>
            </w14:solidFill>
          </w14:textFill>
        </w:rPr>
        <w:tab/>
      </w:r>
    </w:p>
    <w:p w14:paraId="360E80EA">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50314 智能建筑设计标准</w:t>
      </w:r>
    </w:p>
    <w:p w14:paraId="3E109263">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50335 城镇污水再生利用工程设计规范</w:t>
      </w:r>
    </w:p>
    <w:p w14:paraId="3F262D47">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GB/T 50378 绿色建筑评价标准</w:t>
      </w:r>
    </w:p>
    <w:p w14:paraId="23122C0C">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50463 隔振设计规范</w:t>
      </w:r>
    </w:p>
    <w:p w14:paraId="57679B50">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50757 水泥窑协同处置污泥工程设计规范</w:t>
      </w:r>
    </w:p>
    <w:p w14:paraId="6440B481">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50788 城镇给水排水技术规范</w:t>
      </w:r>
    </w:p>
    <w:p w14:paraId="21623E82">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50797 光伏发电站设计规范</w:t>
      </w:r>
    </w:p>
    <w:p w14:paraId="6DF1B05D">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51221 城镇污水处理厂工程施工规范</w:t>
      </w:r>
    </w:p>
    <w:p w14:paraId="103B8B08">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51348 民用建筑电气设计标准</w:t>
      </w:r>
    </w:p>
    <w:p w14:paraId="06CEABAD">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GB 55015 建筑节能与可再生能源利用通用规范</w:t>
      </w:r>
    </w:p>
    <w:p w14:paraId="7CED5960">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CJJ 60 城镇污水处理厂运行、维护及安全技术规程</w:t>
      </w:r>
    </w:p>
    <w:p w14:paraId="5BF9B572">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CJJ 82 园林绿化工程施工及验收规范</w:t>
      </w:r>
    </w:p>
    <w:p w14:paraId="3DF474E9">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CJJ/T 243 城镇污水处理厂臭气处理技术规程</w:t>
      </w:r>
    </w:p>
    <w:p w14:paraId="2FB82B74">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CJ/T 309 城镇污水处理厂污泥处置 农用泥质</w:t>
      </w:r>
    </w:p>
    <w:p w14:paraId="30040E51">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CJ/T 362 城镇污水处理厂污泥处置 林地用泥质</w:t>
      </w:r>
    </w:p>
    <w:p w14:paraId="6188C3E3">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HJ/T 252 环境保护产品技术要求 中、微孔曝气器</w:t>
      </w:r>
    </w:p>
    <w:p w14:paraId="6C3CB8E8">
      <w:pPr>
        <w:pStyle w:val="59"/>
        <w:ind w:firstLine="420"/>
        <w:rPr>
          <w:color w:val="000000" w:themeColor="text1"/>
          <w:szCs w:val="22"/>
          <w14:textFill>
            <w14:solidFill>
              <w14:schemeClr w14:val="tx1"/>
            </w14:solidFill>
          </w14:textFill>
        </w:rPr>
      </w:pPr>
      <w:r>
        <w:rPr>
          <w:color w:val="000000" w:themeColor="text1"/>
          <w:szCs w:val="22"/>
          <w14:textFill>
            <w14:solidFill>
              <w14:schemeClr w14:val="tx1"/>
            </w14:solidFill>
          </w14:textFill>
        </w:rPr>
        <w:t>HJ</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2005 人工湿地污水处理工程技术规范</w:t>
      </w:r>
    </w:p>
    <w:p w14:paraId="53E46F96">
      <w:pPr>
        <w:pStyle w:val="107"/>
        <w:spacing w:before="312" w:after="312"/>
        <w:rPr>
          <w:color w:val="000000" w:themeColor="text1"/>
          <w14:textFill>
            <w14:solidFill>
              <w14:schemeClr w14:val="tx1"/>
            </w14:solidFill>
          </w14:textFill>
        </w:rPr>
      </w:pPr>
      <w:bookmarkStart w:id="63" w:name="_Toc103243343"/>
      <w:bookmarkStart w:id="64" w:name="_Toc100822366"/>
      <w:bookmarkStart w:id="65" w:name="_Toc103085725"/>
      <w:bookmarkStart w:id="66" w:name="_Toc103242844"/>
      <w:bookmarkStart w:id="67" w:name="_Toc101962894"/>
      <w:bookmarkStart w:id="68" w:name="_Toc97191425"/>
      <w:bookmarkStart w:id="69" w:name="_Toc23587"/>
      <w:bookmarkStart w:id="70" w:name="_Toc28229"/>
      <w:bookmarkStart w:id="71" w:name="_Toc103242801"/>
      <w:bookmarkStart w:id="72" w:name="_Toc100821414"/>
      <w:r>
        <w:rPr>
          <w:rFonts w:hint="eastAsia"/>
          <w:color w:val="000000" w:themeColor="text1"/>
          <w:szCs w:val="21"/>
          <w14:textFill>
            <w14:solidFill>
              <w14:schemeClr w14:val="tx1"/>
            </w14:solidFill>
          </w14:textFill>
        </w:rPr>
        <w:t>术语和定义</w:t>
      </w:r>
      <w:bookmarkEnd w:id="63"/>
      <w:bookmarkEnd w:id="64"/>
      <w:bookmarkEnd w:id="65"/>
      <w:bookmarkEnd w:id="66"/>
      <w:bookmarkEnd w:id="67"/>
      <w:bookmarkEnd w:id="68"/>
      <w:bookmarkEnd w:id="69"/>
      <w:bookmarkEnd w:id="70"/>
      <w:bookmarkEnd w:id="71"/>
      <w:bookmarkEnd w:id="72"/>
    </w:p>
    <w:sdt>
      <w:sdtPr>
        <w:rPr>
          <w:color w:val="000000" w:themeColor="text1"/>
          <w14:textFill>
            <w14:solidFill>
              <w14:schemeClr w14:val="tx1"/>
            </w14:solidFill>
          </w14:textFill>
        </w:rPr>
        <w:id w:val="-1909835108"/>
        <w:placeholder>
          <w:docPart w:val="753FF243419843BAB48069D6E9C6944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14:textFill>
            <w14:solidFill>
              <w14:schemeClr w14:val="tx1"/>
            </w14:solidFill>
          </w14:textFill>
        </w:rPr>
      </w:sdtEndPr>
      <w:sdtContent>
        <w:p w14:paraId="0C585707">
          <w:pPr>
            <w:pStyle w:val="59"/>
            <w:ind w:firstLine="420"/>
            <w:rPr>
              <w:color w:val="000000" w:themeColor="text1"/>
              <w14:textFill>
                <w14:solidFill>
                  <w14:schemeClr w14:val="tx1"/>
                </w14:solidFill>
              </w14:textFill>
            </w:rPr>
          </w:pPr>
          <w:bookmarkStart w:id="73" w:name="_Toc26986532"/>
          <w:bookmarkEnd w:id="73"/>
          <w:r>
            <w:rPr>
              <w:color w:val="000000" w:themeColor="text1"/>
              <w14:textFill>
                <w14:solidFill>
                  <w14:schemeClr w14:val="tx1"/>
                </w14:solidFill>
              </w14:textFill>
            </w:rPr>
            <w:t>下列术语和定义适用于本文件。</w:t>
          </w:r>
        </w:p>
      </w:sdtContent>
    </w:sdt>
    <w:p w14:paraId="79DBB896">
      <w:pPr>
        <w:pStyle w:val="226"/>
        <w:ind w:left="420" w:hanging="420" w:hangingChars="200"/>
        <w:rPr>
          <w:rFonts w:hint="eastAsia" w:ascii="黑体" w:hAnsi="黑体" w:eastAsia="黑体"/>
          <w:color w:val="000000" w:themeColor="text1"/>
          <w14:textFill>
            <w14:solidFill>
              <w14:schemeClr w14:val="tx1"/>
            </w14:solidFill>
          </w14:textFill>
        </w:rPr>
      </w:pPr>
    </w:p>
    <w:p w14:paraId="3AD92C35">
      <w:pPr>
        <w:pStyle w:val="226"/>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城镇污水处理厂绿色设计 green design of urban wastewater treatment plants</w:t>
      </w:r>
    </w:p>
    <w:p w14:paraId="32536E6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指在城镇污水处理厂设计过程中贯彻绿色设计概念，充分考虑环境保护、资源节约和生态平衡的原则。通过采用先进的工艺技术、节能环保的设备和科学管理手段，实现污水处理厂的低碳运行、高效节能和资源循环，将环境因素和预防污染的措施纳入城镇污水处理厂设计之中，以环境性能作为城镇污水处理厂设计目标和出发点，力求使污水处理厂对环境的影响最小。</w:t>
      </w:r>
    </w:p>
    <w:p w14:paraId="696F20D2">
      <w:pPr>
        <w:pStyle w:val="226"/>
        <w:ind w:left="420" w:hanging="420" w:hangingChars="200"/>
        <w:rPr>
          <w:rFonts w:hint="eastAsia" w:ascii="黑体" w:hAnsi="黑体"/>
          <w:color w:val="000000" w:themeColor="text1"/>
          <w14:textFill>
            <w14:solidFill>
              <w14:schemeClr w14:val="tx1"/>
            </w14:solidFill>
          </w14:textFill>
        </w:rPr>
      </w:pPr>
    </w:p>
    <w:p w14:paraId="535E90A2">
      <w:pPr>
        <w:pStyle w:val="226"/>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再生水 reclaimed water</w:t>
      </w:r>
    </w:p>
    <w:p w14:paraId="760F01C7">
      <w:pPr>
        <w:pStyle w:val="59"/>
        <w:ind w:firstLine="420"/>
        <w:rPr>
          <w:color w:val="000000" w:themeColor="text1"/>
          <w14:textFill>
            <w14:solidFill>
              <w14:schemeClr w14:val="tx1"/>
            </w14:solidFill>
          </w14:textFill>
        </w:rPr>
      </w:pPr>
      <w:r>
        <w:rPr>
          <w:color w:val="000000" w:themeColor="text1"/>
          <w14:textFill>
            <w14:solidFill>
              <w14:schemeClr w14:val="tx1"/>
            </w14:solidFill>
          </w14:textFill>
        </w:rPr>
        <w:t>污水（包括生活污水、工业废水、农业污水等）经过适当处理工艺后，达到一定水质标准，满足某种使用功能要求，可以再次利用的水。</w:t>
      </w:r>
    </w:p>
    <w:p w14:paraId="79D6876E">
      <w:pPr>
        <w:pStyle w:val="226"/>
        <w:ind w:left="420" w:hanging="420" w:hangingChars="200"/>
        <w:rPr>
          <w:rFonts w:hint="eastAsia" w:ascii="黑体" w:hAnsi="黑体" w:eastAsia="黑体"/>
          <w:color w:val="000000" w:themeColor="text1"/>
          <w14:textFill>
            <w14:solidFill>
              <w14:schemeClr w14:val="tx1"/>
            </w14:solidFill>
          </w14:textFill>
        </w:rPr>
      </w:pPr>
    </w:p>
    <w:p w14:paraId="592D6451">
      <w:pPr>
        <w:pStyle w:val="226"/>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绿色能源 green</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energy</w:t>
      </w:r>
    </w:p>
    <w:p w14:paraId="6775B8E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也称清洁能源。狭义的绿色能源是指可再生能源，如太阳能、风能、地热能、生物能和海洋能等。这些能源消耗之后可以恢复补充，很少产生污染。广义的绿色能源是指在能源生产及其消费过程中，选用对生态环境低污染或无污染的能源，如天然气、清洁煤和核能等。</w:t>
      </w:r>
    </w:p>
    <w:p w14:paraId="7A6C7836">
      <w:pPr>
        <w:pStyle w:val="226"/>
        <w:ind w:left="420" w:hanging="420" w:hangingChars="200"/>
        <w:rPr>
          <w:rFonts w:hint="eastAsia" w:ascii="黑体" w:hAnsi="黑体" w:eastAsia="黑体"/>
          <w:color w:val="000000" w:themeColor="text1"/>
          <w14:textFill>
            <w14:solidFill>
              <w14:schemeClr w14:val="tx1"/>
            </w14:solidFill>
          </w14:textFill>
        </w:rPr>
      </w:pPr>
    </w:p>
    <w:p w14:paraId="75843C3E">
      <w:pPr>
        <w:pStyle w:val="226"/>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污水处理厂碳排放 wastewater</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treatment</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plant</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carbon</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emission</w:t>
      </w:r>
    </w:p>
    <w:p w14:paraId="15BFDA6B">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污水处理厂在与其有关的建造及拆除、运行阶段产生的温室气体排放的总和，以二氧化碳当量表示。</w:t>
      </w:r>
    </w:p>
    <w:p w14:paraId="22672929">
      <w:pPr>
        <w:pStyle w:val="226"/>
        <w:ind w:left="420" w:hanging="420" w:hangingChars="200"/>
        <w:rPr>
          <w:rFonts w:hint="eastAsia" w:ascii="黑体" w:hAnsi="黑体" w:eastAsia="黑体"/>
          <w:color w:val="000000" w:themeColor="text1"/>
          <w14:textFill>
            <w14:solidFill>
              <w14:schemeClr w14:val="tx1"/>
            </w14:solidFill>
          </w14:textFill>
        </w:rPr>
      </w:pPr>
    </w:p>
    <w:p w14:paraId="05025D7F">
      <w:pPr>
        <w:pStyle w:val="226"/>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太阳能光伏系统 solar</w:t>
      </w:r>
      <w:r>
        <w:rPr>
          <w:rFonts w:ascii="黑体" w:hAnsi="黑体" w:eastAsia="黑体"/>
          <w:color w:val="000000" w:themeColor="text1"/>
          <w14:textFill>
            <w14:solidFill>
              <w14:schemeClr w14:val="tx1"/>
            </w14:solidFill>
          </w14:textFill>
        </w:rPr>
        <w:t xml:space="preserve"> </w:t>
      </w:r>
      <w:r>
        <w:rPr>
          <w:rFonts w:hint="eastAsia" w:ascii="黑体" w:hAnsi="黑体" w:eastAsia="黑体"/>
          <w:color w:val="000000" w:themeColor="text1"/>
          <w14:textFill>
            <w14:solidFill>
              <w14:schemeClr w14:val="tx1"/>
            </w14:solidFill>
          </w14:textFill>
        </w:rPr>
        <w:t>photovoltaic</w:t>
      </w:r>
      <w:r>
        <w:rPr>
          <w:rFonts w:ascii="黑体" w:hAnsi="黑体" w:eastAsia="黑体"/>
          <w:color w:val="000000" w:themeColor="text1"/>
          <w14:textFill>
            <w14:solidFill>
              <w14:schemeClr w14:val="tx1"/>
            </w14:solidFill>
          </w14:textFill>
        </w:rPr>
        <w:t xml:space="preserve"> system</w:t>
      </w:r>
    </w:p>
    <w:p w14:paraId="41F3E392">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利用光生伏打效应，将太阳能转变成电能，包含逆变器、平衡系统部件及太阳能电池方阵在内的系统。</w:t>
      </w:r>
    </w:p>
    <w:p w14:paraId="145BF385">
      <w:pPr>
        <w:pStyle w:val="226"/>
        <w:ind w:left="420" w:hanging="420" w:hangingChars="200"/>
        <w:rPr>
          <w:rFonts w:hint="eastAsia"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br w:type="textWrapping"/>
      </w:r>
      <w:r>
        <w:rPr>
          <w:rFonts w:hint="eastAsia" w:ascii="黑体" w:hAnsi="黑体" w:eastAsia="黑体"/>
          <w:color w:val="000000" w:themeColor="text1"/>
          <w14:textFill>
            <w14:solidFill>
              <w14:schemeClr w14:val="tx1"/>
            </w14:solidFill>
          </w14:textFill>
        </w:rPr>
        <w:t>太阳能光热系统s</w:t>
      </w:r>
      <w:r>
        <w:rPr>
          <w:rFonts w:ascii="黑体" w:hAnsi="黑体" w:eastAsia="黑体"/>
          <w:color w:val="000000" w:themeColor="text1"/>
          <w14:textFill>
            <w14:solidFill>
              <w14:schemeClr w14:val="tx1"/>
            </w14:solidFill>
          </w14:textFill>
        </w:rPr>
        <w:t>olar photothermal system</w:t>
      </w:r>
    </w:p>
    <w:p w14:paraId="52813BD5">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利用大规模阵列抛物或碟形镜面收集太阳热能，通过换热装置提供蒸汽，也可结合传统汽轮发电机的工艺进行发电。</w:t>
      </w:r>
    </w:p>
    <w:p w14:paraId="5DFB1F17">
      <w:pPr>
        <w:pStyle w:val="226"/>
        <w:ind w:left="420" w:hanging="420" w:hangingChars="200"/>
        <w:rPr>
          <w:rFonts w:hint="eastAsia" w:ascii="黑体" w:hAnsi="黑体" w:eastAsia="黑体"/>
          <w:color w:val="000000" w:themeColor="text1"/>
          <w14:textFill>
            <w14:solidFill>
              <w14:schemeClr w14:val="tx1"/>
            </w14:solidFill>
          </w14:textFill>
        </w:rPr>
      </w:pPr>
    </w:p>
    <w:p w14:paraId="38D67B81">
      <w:pPr>
        <w:pStyle w:val="226"/>
        <w:numPr>
          <w:ilvl w:val="0"/>
          <w:numId w:val="0"/>
        </w:numPr>
        <w:ind w:left="420"/>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 xml:space="preserve">精确曝气系统 </w:t>
      </w:r>
      <w:r>
        <w:rPr>
          <w:rFonts w:ascii="黑体" w:hAnsi="黑体" w:eastAsia="黑体"/>
          <w:color w:val="000000" w:themeColor="text1"/>
          <w14:textFill>
            <w14:solidFill>
              <w14:schemeClr w14:val="tx1"/>
            </w14:solidFill>
          </w14:textFill>
        </w:rPr>
        <w:t>precise aeration technology</w:t>
      </w:r>
    </w:p>
    <w:p w14:paraId="53C7F35E">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利用智能控制系统为生物处理工艺提供精确曝气，达到鼓风曝气系统的节能降耗和污水处理厂运行成本的降低。</w:t>
      </w:r>
    </w:p>
    <w:p w14:paraId="396F6C4E">
      <w:pPr>
        <w:pStyle w:val="107"/>
        <w:spacing w:before="312" w:after="312"/>
        <w:rPr>
          <w:color w:val="000000" w:themeColor="text1"/>
          <w14:textFill>
            <w14:solidFill>
              <w14:schemeClr w14:val="tx1"/>
            </w14:solidFill>
          </w14:textFill>
        </w:rPr>
      </w:pPr>
      <w:bookmarkStart w:id="74" w:name="_Toc10831"/>
      <w:bookmarkStart w:id="75" w:name="_Toc17140"/>
      <w:r>
        <w:rPr>
          <w:rFonts w:hint="eastAsia"/>
          <w:color w:val="000000" w:themeColor="text1"/>
          <w14:textFill>
            <w14:solidFill>
              <w14:schemeClr w14:val="tx1"/>
            </w14:solidFill>
          </w14:textFill>
        </w:rPr>
        <w:t>一般规定</w:t>
      </w:r>
      <w:bookmarkEnd w:id="74"/>
      <w:bookmarkEnd w:id="75"/>
    </w:p>
    <w:p w14:paraId="2721F24E">
      <w:pPr>
        <w:pStyle w:val="108"/>
        <w:spacing w:before="156" w:after="156"/>
        <w:rPr>
          <w:color w:val="000000" w:themeColor="text1"/>
          <w14:textFill>
            <w14:solidFill>
              <w14:schemeClr w14:val="tx1"/>
            </w14:solidFill>
          </w14:textFill>
        </w:rPr>
      </w:pPr>
      <w:bookmarkStart w:id="76" w:name="_Toc8127"/>
      <w:bookmarkStart w:id="77" w:name="_Toc30687"/>
      <w:r>
        <w:rPr>
          <w:rFonts w:hint="eastAsia"/>
          <w:color w:val="000000" w:themeColor="text1"/>
          <w14:textFill>
            <w14:solidFill>
              <w14:schemeClr w14:val="tx1"/>
            </w14:solidFill>
          </w14:textFill>
        </w:rPr>
        <w:t>总体要求</w:t>
      </w:r>
      <w:bookmarkEnd w:id="76"/>
      <w:bookmarkEnd w:id="77"/>
    </w:p>
    <w:p w14:paraId="67529C6D">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城镇污水处理厂绿色设计应落实上位法定规划及相关专项规划提出的绿色发展要求，结合海绵城市的理念，保持用地及周边地区的生态和谐，环境融合。</w:t>
      </w:r>
    </w:p>
    <w:p w14:paraId="73ACC02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城镇污水处理厂绿色设计除应符合本规程的规定外，尚应符合国家和湖北省现行有关标准的规定。</w:t>
      </w:r>
    </w:p>
    <w:p w14:paraId="30DE4C7D">
      <w:pPr>
        <w:pStyle w:val="168"/>
        <w:ind w:left="10" w:leftChars="0" w:hanging="1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的绿色设计阶段中，应考虑与周边企业在物质（如污水、污泥、肥料）和能量（如电力、热能）需求与供应方面的相互关联。旨在实现资源共享、循环利用和协同优化，从而降低能耗、减轻污染物排放，并提高整体生态效益。</w:t>
      </w:r>
    </w:p>
    <w:p w14:paraId="25D0E75B">
      <w:pPr>
        <w:pStyle w:val="107"/>
        <w:spacing w:before="312" w:after="312"/>
        <w:rPr>
          <w:color w:val="000000" w:themeColor="text1"/>
          <w14:textFill>
            <w14:solidFill>
              <w14:schemeClr w14:val="tx1"/>
            </w14:solidFill>
          </w14:textFill>
        </w:rPr>
      </w:pPr>
      <w:bookmarkStart w:id="78" w:name="_Toc6023"/>
      <w:bookmarkStart w:id="79" w:name="_Toc100821419"/>
      <w:bookmarkStart w:id="80" w:name="_Toc103085730"/>
      <w:bookmarkStart w:id="81" w:name="_Toc103243348"/>
      <w:bookmarkStart w:id="82" w:name="_Toc103242806"/>
      <w:bookmarkStart w:id="83" w:name="_Toc100822371"/>
      <w:bookmarkStart w:id="84" w:name="_Toc101962899"/>
      <w:bookmarkStart w:id="85" w:name="_Toc103242849"/>
      <w:bookmarkStart w:id="86" w:name="_Toc16739"/>
      <w:r>
        <w:rPr>
          <w:rFonts w:hint="eastAsia"/>
          <w:color w:val="000000" w:themeColor="text1"/>
          <w14:textFill>
            <w14:solidFill>
              <w14:schemeClr w14:val="tx1"/>
            </w14:solidFill>
          </w14:textFill>
        </w:rPr>
        <w:t>污水处理和再生水资源化利用</w:t>
      </w:r>
      <w:bookmarkEnd w:id="78"/>
      <w:bookmarkEnd w:id="79"/>
      <w:bookmarkEnd w:id="80"/>
      <w:bookmarkEnd w:id="81"/>
      <w:bookmarkEnd w:id="82"/>
      <w:bookmarkEnd w:id="83"/>
      <w:bookmarkEnd w:id="84"/>
      <w:bookmarkEnd w:id="85"/>
      <w:bookmarkEnd w:id="86"/>
    </w:p>
    <w:p w14:paraId="24EE05E9">
      <w:pPr>
        <w:pStyle w:val="108"/>
        <w:spacing w:before="156" w:after="156"/>
        <w:rPr>
          <w:color w:val="000000" w:themeColor="text1"/>
          <w14:textFill>
            <w14:solidFill>
              <w14:schemeClr w14:val="tx1"/>
            </w14:solidFill>
          </w14:textFill>
        </w:rPr>
      </w:pPr>
      <w:bookmarkStart w:id="87" w:name="_Toc103242807"/>
      <w:bookmarkStart w:id="88" w:name="_Toc103243349"/>
      <w:bookmarkStart w:id="89" w:name="_Toc101962900"/>
      <w:bookmarkStart w:id="90" w:name="_Toc100822372"/>
      <w:bookmarkStart w:id="91" w:name="_Toc27045"/>
      <w:bookmarkStart w:id="92" w:name="_Toc100821420"/>
      <w:bookmarkStart w:id="93" w:name="_Toc103242850"/>
      <w:bookmarkStart w:id="94" w:name="_Toc103085731"/>
      <w:bookmarkStart w:id="95" w:name="_Toc32491"/>
      <w:r>
        <w:rPr>
          <w:rFonts w:hint="eastAsia"/>
          <w:color w:val="000000" w:themeColor="text1"/>
          <w14:textFill>
            <w14:solidFill>
              <w14:schemeClr w14:val="tx1"/>
            </w14:solidFill>
          </w14:textFill>
        </w:rPr>
        <w:t>一般规定</w:t>
      </w:r>
      <w:bookmarkEnd w:id="87"/>
      <w:bookmarkEnd w:id="88"/>
      <w:bookmarkEnd w:id="89"/>
      <w:bookmarkEnd w:id="90"/>
      <w:bookmarkEnd w:id="91"/>
      <w:bookmarkEnd w:id="92"/>
      <w:bookmarkEnd w:id="93"/>
      <w:bookmarkEnd w:id="94"/>
      <w:bookmarkEnd w:id="95"/>
    </w:p>
    <w:p w14:paraId="40AF064C">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城镇污水处理厂绿色设计应以“低碳节能、资源利用、环境友好”为目标，并与城镇总体规划、排水专项规划及其它相关规划密切结合、统筹兼顾。</w:t>
      </w:r>
    </w:p>
    <w:p w14:paraId="447CAFBF">
      <w:pPr>
        <w:pStyle w:val="168"/>
        <w:ind w:left="9" w:leftChars="0" w:hanging="9"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城镇污水处理厂绿色设计是一种新的建设理念，应当统筹考虑与污水处理厂升级改造、固体废物及废气协同处理、物联网及信息化等新技术相结合。</w:t>
      </w:r>
    </w:p>
    <w:p w14:paraId="46EF628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城镇污水处理厂的整体布置、构筑物选型、设备选择应坚持低碳绿色、技术先进、资源可持续性等原则，在满足绿色低碳前提下，整体布局宜考虑未来水质提升、技术升级等发展需求。</w:t>
      </w:r>
    </w:p>
    <w:p w14:paraId="4C9ACA59">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厂址选择应符合 GB 50014 有关规定，应结合城镇总体规划和排水工程专业规划要求进行，综合考虑低碳节能、资源利用、环境友好等因素，实现城镇污水处理厂绿色设计的理念。</w:t>
      </w:r>
    </w:p>
    <w:p w14:paraId="48D6683E">
      <w:pPr>
        <w:pStyle w:val="108"/>
        <w:spacing w:before="156" w:after="156"/>
        <w:rPr>
          <w:color w:val="000000" w:themeColor="text1"/>
          <w14:textFill>
            <w14:solidFill>
              <w14:schemeClr w14:val="tx1"/>
            </w14:solidFill>
          </w14:textFill>
        </w:rPr>
      </w:pPr>
      <w:bookmarkStart w:id="96" w:name="_Toc103242851"/>
      <w:bookmarkStart w:id="97" w:name="_Toc23318"/>
      <w:bookmarkStart w:id="98" w:name="_Toc100821421"/>
      <w:bookmarkStart w:id="99" w:name="_Toc103243350"/>
      <w:bookmarkStart w:id="100" w:name="_Toc100822373"/>
      <w:bookmarkStart w:id="101" w:name="_Toc103242808"/>
      <w:bookmarkStart w:id="102" w:name="_Toc9739"/>
      <w:bookmarkStart w:id="103" w:name="_Toc101962901"/>
      <w:bookmarkStart w:id="104" w:name="_Toc103085732"/>
      <w:r>
        <w:rPr>
          <w:rFonts w:hint="eastAsia"/>
          <w:color w:val="000000" w:themeColor="text1"/>
          <w14:textFill>
            <w14:solidFill>
              <w14:schemeClr w14:val="tx1"/>
            </w14:solidFill>
          </w14:textFill>
        </w:rPr>
        <w:t>总体布置</w:t>
      </w:r>
      <w:bookmarkEnd w:id="96"/>
      <w:bookmarkEnd w:id="97"/>
      <w:bookmarkEnd w:id="98"/>
      <w:bookmarkEnd w:id="99"/>
      <w:bookmarkEnd w:id="100"/>
      <w:bookmarkEnd w:id="101"/>
      <w:bookmarkEnd w:id="102"/>
      <w:bookmarkEnd w:id="103"/>
      <w:bookmarkEnd w:id="104"/>
    </w:p>
    <w:p w14:paraId="00A97B78">
      <w:pPr>
        <w:pStyle w:val="168"/>
        <w:ind w:left="10" w:leftChars="0" w:hanging="1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城镇污水处理厂宜统筹考虑总体布局，可按建设污水处理、污泥处置、科研管理、生态环境等功能分区，打造出生态、生活、生产“三生”融合一体、低碳和谐的新型厂区空间。</w:t>
      </w:r>
    </w:p>
    <w:p w14:paraId="402426A2">
      <w:pPr>
        <w:pStyle w:val="168"/>
        <w:ind w:left="10" w:leftChars="0" w:hanging="1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城镇污水处理厂的总体布置、工艺选择应符合资源回收、低碳高效等要求，结合厂址地形、气候和地质条件，综合考虑运行成本和施工、维护、管理的便利性等因素。</w:t>
      </w:r>
    </w:p>
    <w:p w14:paraId="14BE8486">
      <w:pPr>
        <w:pStyle w:val="168"/>
        <w:ind w:left="10" w:leftChars="0" w:hanging="1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城镇污水处理厂厂区内各建筑物造型应简洁美观、节省材料、选材适当，并应使建筑物和构筑物群体的美观效果与周围环境协调。</w:t>
      </w:r>
    </w:p>
    <w:p w14:paraId="55EF63A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城镇污水处理厂厂区建筑的位置朝向，应便于风能、太阳能等绿色能源的利用。</w:t>
      </w:r>
    </w:p>
    <w:p w14:paraId="6DD7D6F7">
      <w:pPr>
        <w:pStyle w:val="108"/>
        <w:spacing w:before="156" w:after="156"/>
        <w:rPr>
          <w:color w:val="000000" w:themeColor="text1"/>
          <w14:textFill>
            <w14:solidFill>
              <w14:schemeClr w14:val="tx1"/>
            </w14:solidFill>
          </w14:textFill>
        </w:rPr>
      </w:pPr>
      <w:bookmarkStart w:id="105" w:name="_Toc21206"/>
      <w:bookmarkStart w:id="106" w:name="_Toc103243351"/>
      <w:bookmarkStart w:id="107" w:name="_Toc103242852"/>
      <w:bookmarkStart w:id="108" w:name="_Toc103242809"/>
      <w:bookmarkStart w:id="109" w:name="_Toc100821422"/>
      <w:bookmarkStart w:id="110" w:name="_Toc103085733"/>
      <w:bookmarkStart w:id="111" w:name="_Toc18356"/>
      <w:bookmarkStart w:id="112" w:name="_Toc100822374"/>
      <w:bookmarkStart w:id="113" w:name="_Toc101962902"/>
      <w:r>
        <w:rPr>
          <w:rFonts w:hint="eastAsia"/>
          <w:color w:val="000000" w:themeColor="text1"/>
          <w14:textFill>
            <w14:solidFill>
              <w14:schemeClr w14:val="tx1"/>
            </w14:solidFill>
          </w14:textFill>
        </w:rPr>
        <w:t>预处理</w:t>
      </w:r>
      <w:bookmarkEnd w:id="105"/>
      <w:bookmarkEnd w:id="106"/>
      <w:bookmarkEnd w:id="107"/>
      <w:bookmarkEnd w:id="108"/>
      <w:bookmarkEnd w:id="109"/>
      <w:bookmarkEnd w:id="110"/>
      <w:bookmarkEnd w:id="111"/>
      <w:bookmarkEnd w:id="112"/>
      <w:bookmarkEnd w:id="113"/>
    </w:p>
    <w:p w14:paraId="2BC91A15">
      <w:pPr>
        <w:pStyle w:val="168"/>
        <w:ind w:left="10" w:leftChars="0" w:hanging="1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城镇污水处理厂进水处应充分利用进水压力，减少泵站净扬程，减少能量损耗。</w:t>
      </w:r>
    </w:p>
    <w:p w14:paraId="7A52ED4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在保证处理效果的前提下，城镇污水处理厂的预处理系统宜采用低能耗工艺，如：平流式和旋流式沉砂池、平流式和辐流式沉淀池。</w:t>
      </w:r>
    </w:p>
    <w:p w14:paraId="5FF6E0D0">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预处理工艺应根据进水水质合理选用单元技术组合，从整体工艺角度出发，不过度处理。</w:t>
      </w:r>
    </w:p>
    <w:p w14:paraId="191F838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预处理阶段应设置沉砂池，沉砂池应按去除相对密度</w:t>
      </w:r>
      <w:r>
        <w:rPr>
          <w:color w:val="000000" w:themeColor="text1"/>
          <w14:textFill>
            <w14:solidFill>
              <w14:schemeClr w14:val="tx1"/>
            </w14:solidFill>
          </w14:textFill>
        </w:rPr>
        <w:t>2.65</w:t>
      </w:r>
      <w:r>
        <w:rPr>
          <w:rFonts w:hint="eastAsia"/>
          <w:color w:val="000000" w:themeColor="text1"/>
          <w14:textFill>
            <w14:solidFill>
              <w14:schemeClr w14:val="tx1"/>
            </w14:solidFill>
          </w14:textFill>
        </w:rPr>
        <w:t>、粒径</w:t>
      </w:r>
      <w:r>
        <w:rPr>
          <w:color w:val="000000" w:themeColor="text1"/>
          <w14:textFill>
            <w14:solidFill>
              <w14:schemeClr w14:val="tx1"/>
            </w14:solidFill>
          </w14:textFill>
        </w:rPr>
        <w:t>0.2 mm</w:t>
      </w:r>
      <w:r>
        <w:rPr>
          <w:rFonts w:hint="eastAsia"/>
          <w:color w:val="000000" w:themeColor="text1"/>
          <w14:textFill>
            <w14:solidFill>
              <w14:schemeClr w14:val="tx1"/>
            </w14:solidFill>
          </w14:textFill>
        </w:rPr>
        <w:t>以上的砂粒进行设计。可考虑采用高效多层平流除砂，去除100μm以上砂砾，减少后续生化反应器负荷与无效能耗。</w:t>
      </w:r>
    </w:p>
    <w:p w14:paraId="1C492318">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预处理可通过强化沉降、分离、絮凝等工序，提高格栅和沉砂池效率来强化预处理的处理程度，从而降低二级处理负荷，达到系统节能目的。</w:t>
      </w:r>
    </w:p>
    <w:p w14:paraId="027A761C">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在不采用生物脱氮技术的情况下，预处理阶段可采用磁分离技术。超磁分离技术水力停留时间宜在10min以内。</w:t>
      </w:r>
    </w:p>
    <w:p w14:paraId="552671C4">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预处理阶段的工艺设计应符合 GB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50014 及相关工程技术规范的规定。</w:t>
      </w:r>
    </w:p>
    <w:p w14:paraId="4209C5F3">
      <w:pPr>
        <w:pStyle w:val="108"/>
        <w:spacing w:before="156" w:after="156"/>
        <w:rPr>
          <w:rFonts w:ascii="宋体" w:eastAsia="宋体"/>
          <w:color w:val="000000" w:themeColor="text1"/>
          <w14:textFill>
            <w14:solidFill>
              <w14:schemeClr w14:val="tx1"/>
            </w14:solidFill>
          </w14:textFill>
        </w:rPr>
      </w:pPr>
      <w:bookmarkStart w:id="114" w:name="_Toc15117"/>
      <w:bookmarkStart w:id="115" w:name="_Toc103243352"/>
      <w:bookmarkStart w:id="116" w:name="_Toc103242810"/>
      <w:bookmarkStart w:id="117" w:name="_Toc103242853"/>
      <w:bookmarkStart w:id="118" w:name="_Toc15633"/>
      <w:r>
        <w:rPr>
          <w:rFonts w:hint="eastAsia" w:ascii="宋体" w:eastAsia="宋体"/>
          <w:color w:val="000000" w:themeColor="text1"/>
          <w14:textFill>
            <w14:solidFill>
              <w14:schemeClr w14:val="tx1"/>
            </w14:solidFill>
          </w14:textFill>
        </w:rPr>
        <w:t>生物处理</w:t>
      </w:r>
      <w:bookmarkEnd w:id="114"/>
      <w:bookmarkEnd w:id="115"/>
      <w:bookmarkEnd w:id="116"/>
      <w:bookmarkEnd w:id="117"/>
      <w:bookmarkEnd w:id="118"/>
    </w:p>
    <w:p w14:paraId="3C127BB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城镇污水处理厂绿色设计为满足绿色低碳、节能降耗的要求，应选择适宜的生物处理工艺。</w:t>
      </w:r>
    </w:p>
    <w:p w14:paraId="44DEA4CE">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采用生物膜法处理污水可节省能源，可单独应用，也可和其他污水处理工艺组合应用。</w:t>
      </w:r>
    </w:p>
    <w:p w14:paraId="011314A9">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城镇污水处理厂根据脱氮除磷的要求，经综合比较后可采用多模式生物池、连续流好氧颗粒污泥技术等新型低能耗生物处理工艺。</w:t>
      </w:r>
    </w:p>
    <w:p w14:paraId="0013FC6A">
      <w:pPr>
        <w:pStyle w:val="168"/>
        <w:ind w:left="0" w:leftChars="0" w:firstLine="0" w:firstLineChars="0"/>
        <w:rPr>
          <w:color w:val="000000" w:themeColor="text1"/>
          <w14:textFill>
            <w14:solidFill>
              <w14:schemeClr w14:val="tx1"/>
            </w14:solidFill>
          </w14:textFill>
        </w:rPr>
      </w:pPr>
      <w:bookmarkStart w:id="119" w:name="_Hlk102838459"/>
      <w:r>
        <w:rPr>
          <w:rFonts w:hint="eastAsia"/>
          <w:color w:val="000000" w:themeColor="text1"/>
          <w14:textFill>
            <w14:solidFill>
              <w14:schemeClr w14:val="tx1"/>
            </w14:solidFill>
          </w14:textFill>
        </w:rPr>
        <w:t>连续流好氧颗粒污泥技术的主要设计参数需要先根据污水水质进行试验后确定，水力停留时间为6~</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h，反应器宜采用时间间歇运作模式下的汽提式好氧颗粒污泥流化床。</w:t>
      </w:r>
    </w:p>
    <w:p w14:paraId="6C56AF4E">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应根据所选工艺、处理规模、进水水质等对曝气设备做出科学的选择，并应采用风量调节技术提高曝气效率。</w:t>
      </w:r>
    </w:p>
    <w:bookmarkEnd w:id="119"/>
    <w:p w14:paraId="5B2262A9">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鼓风曝气与精准加药的自动控制系统可采用PID控制法、模糊控制法和增益调度控制法等，利用现场PLC基站，通过分析生物池与深床滤池等工艺的运行参数和水质状况，实时计算溶解氧、ORP、污泥浓度、硝态氮的需求水平，并以此控制曝气调节阀门、鼓风机和投药量运行，实现精确曝气控制与精准加药，可达到降低电耗药耗的目的。</w:t>
      </w:r>
    </w:p>
    <w:p w14:paraId="1F007256">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精确曝气相关参数应通过实验或相关模型确定，通常控制精度需要达到工艺要求的溶解氧设定值的±0.5mg/L，实现每个曝气池每个廊道的曝气量按需分配。</w:t>
      </w:r>
    </w:p>
    <w:p w14:paraId="6538A92D">
      <w:pPr>
        <w:pStyle w:val="108"/>
        <w:spacing w:before="156" w:after="156"/>
        <w:rPr>
          <w:color w:val="000000" w:themeColor="text1"/>
          <w14:textFill>
            <w14:solidFill>
              <w14:schemeClr w14:val="tx1"/>
            </w14:solidFill>
          </w14:textFill>
        </w:rPr>
      </w:pPr>
      <w:bookmarkStart w:id="120" w:name="_Toc103085735"/>
      <w:bookmarkStart w:id="121" w:name="_Toc100822376"/>
      <w:bookmarkStart w:id="122" w:name="_Toc100821424"/>
      <w:bookmarkStart w:id="123" w:name="_Toc101962904"/>
      <w:bookmarkStart w:id="124" w:name="_Toc10461"/>
      <w:bookmarkStart w:id="125" w:name="_Toc103242811"/>
      <w:bookmarkStart w:id="126" w:name="_Toc16305"/>
      <w:bookmarkStart w:id="127" w:name="_Toc103242854"/>
      <w:bookmarkStart w:id="128" w:name="_Toc103243353"/>
      <w:r>
        <w:rPr>
          <w:rFonts w:hint="eastAsia"/>
          <w:color w:val="000000" w:themeColor="text1"/>
          <w14:textFill>
            <w14:solidFill>
              <w14:schemeClr w14:val="tx1"/>
            </w14:solidFill>
          </w14:textFill>
        </w:rPr>
        <w:t>深度处理及再生</w:t>
      </w:r>
      <w:bookmarkEnd w:id="120"/>
      <w:bookmarkEnd w:id="121"/>
      <w:bookmarkEnd w:id="122"/>
      <w:bookmarkEnd w:id="123"/>
      <w:r>
        <w:rPr>
          <w:rFonts w:hint="eastAsia"/>
          <w:color w:val="000000" w:themeColor="text1"/>
          <w14:textFill>
            <w14:solidFill>
              <w14:schemeClr w14:val="tx1"/>
            </w14:solidFill>
          </w14:textFill>
        </w:rPr>
        <w:t>水资源化利用</w:t>
      </w:r>
      <w:bookmarkEnd w:id="124"/>
      <w:bookmarkEnd w:id="125"/>
      <w:bookmarkEnd w:id="126"/>
      <w:bookmarkEnd w:id="127"/>
      <w:bookmarkEnd w:id="128"/>
    </w:p>
    <w:p w14:paraId="152540E9">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污水深度处理工艺应根据原水水质和不同水质目标选择，不同工艺单元及其组合形式应进行多方案综合比较后，选择技术可靠、经济适用、运行低耗、有利于实现污水资源化要求的处理工艺。</w:t>
      </w:r>
    </w:p>
    <w:p w14:paraId="0EB4EF5C">
      <w:pPr>
        <w:pStyle w:val="168"/>
        <w:tabs>
          <w:tab w:val="left" w:pos="840"/>
        </w:tabs>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滤池的进水SS不宜高于2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L，且宜采用预加氯等措施。</w:t>
      </w:r>
    </w:p>
    <w:p w14:paraId="209C9D6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为强化对总氮的去处效率，可采用硫自养反硝化工艺，满足极限脱氮的要求。</w:t>
      </w:r>
    </w:p>
    <w:p w14:paraId="3B86E29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硫自养反硝化工艺设计参数通常为pH应为6.5</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8，温度应为25</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35 </w:t>
      </w:r>
      <w:r>
        <w:rPr>
          <w:rFonts w:hint="eastAsia"/>
          <w:color w:val="000000" w:themeColor="text1"/>
          <w:vertAlign w:val="superscript"/>
          <w14:textFill>
            <w14:solidFill>
              <w14:schemeClr w14:val="tx1"/>
            </w14:solidFill>
          </w14:textFill>
        </w:rPr>
        <w:t>o</w:t>
      </w:r>
      <w:r>
        <w:rPr>
          <w:rFonts w:hint="eastAsia"/>
          <w:color w:val="000000" w:themeColor="text1"/>
          <w14:textFill>
            <w14:solidFill>
              <w14:schemeClr w14:val="tx1"/>
            </w14:solidFill>
          </w14:textFill>
        </w:rPr>
        <w:t>C，S/N 不宜低于为2.5 g S/g N，滤速宜为4m/h，水力停留时间宜为1</w:t>
      </w:r>
      <w:r>
        <w:rPr>
          <w:rFonts w:hint="eastAsia" w:ascii="Times New Roman"/>
          <w:color w:val="000000" w:themeColor="text1"/>
          <w14:textFill>
            <w14:solidFill>
              <w14:schemeClr w14:val="tx1"/>
            </w14:solidFill>
          </w14:textFill>
        </w:rPr>
        <w:t>~</w:t>
      </w:r>
      <w:r>
        <w:rPr>
          <w:rFonts w:hint="eastAsia"/>
          <w:color w:val="000000" w:themeColor="text1"/>
          <w14:textFill>
            <w14:solidFill>
              <w14:schemeClr w14:val="tx1"/>
            </w14:solidFill>
          </w14:textFill>
        </w:rPr>
        <w:t>2h。</w:t>
      </w:r>
    </w:p>
    <w:p w14:paraId="030C339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当原水组分复杂，难降解有机物含量较高时，污水深度处理工艺可考虑选择高级氧化工艺，利用臭氧等强氧化剂对水中色度、嗅味及有毒有害有机物等进行氧化去除，根据进水水质状况和出水水质要求还可以采用臭氧－过氧化氢、紫外－过氧化氢、过氧乙酸等高级氧化技术。</w:t>
      </w:r>
    </w:p>
    <w:p w14:paraId="4784B97D">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高级氧化工艺的设计参数宜通过试验确定，反应时间在1h以内，若采用臭氧催化氧化工艺，pH需为中性或碱性，投加量宜大于3mg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L，接触时间宜为5min</w:t>
      </w:r>
      <w:r>
        <w:rPr>
          <w:rFonts w:hint="eastAsia" w:ascii="Times New Roman"/>
          <w:color w:val="000000" w:themeColor="text1"/>
          <w14:textFill>
            <w14:solidFill>
              <w14:schemeClr w14:val="tx1"/>
            </w14:solidFill>
          </w14:textFill>
        </w:rPr>
        <w:t>~</w:t>
      </w:r>
      <w:r>
        <w:rPr>
          <w:color w:val="000000" w:themeColor="text1"/>
          <w14:textFill>
            <w14:solidFill>
              <w14:schemeClr w14:val="tx1"/>
            </w14:solidFill>
          </w14:textFill>
        </w:rPr>
        <w:t>60</w:t>
      </w:r>
      <w:r>
        <w:rPr>
          <w:rFonts w:hint="eastAsia"/>
          <w:color w:val="000000" w:themeColor="text1"/>
          <w14:textFill>
            <w14:solidFill>
              <w14:schemeClr w14:val="tx1"/>
            </w14:solidFill>
          </w14:textFill>
        </w:rPr>
        <w:t>min。</w:t>
      </w:r>
    </w:p>
    <w:p w14:paraId="6ABBC2FF">
      <w:pPr>
        <w:pStyle w:val="168"/>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当采用膜分离技术时，应有针对性地选择特定膜技术用于去除水中的某类特殊成分，具体技术选择可参考表1。</w:t>
      </w:r>
    </w:p>
    <w:p w14:paraId="5452C15D">
      <w:pPr>
        <w:pStyle w:val="115"/>
        <w:spacing w:before="156" w:after="156"/>
      </w:pPr>
      <w:r>
        <w:rPr>
          <w:rFonts w:hint="eastAsia"/>
        </w:rPr>
        <w:t>典型膜技术可去除水中的特殊成分</w:t>
      </w:r>
    </w:p>
    <w:tbl>
      <w:tblPr>
        <w:tblStyle w:val="2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2400"/>
        <w:gridCol w:w="1418"/>
        <w:gridCol w:w="1417"/>
        <w:gridCol w:w="1276"/>
        <w:gridCol w:w="1290"/>
      </w:tblGrid>
      <w:tr w14:paraId="656EEC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0" w:type="dxa"/>
            <w:tcBorders>
              <w:top w:val="single" w:color="auto" w:sz="8" w:space="0"/>
              <w:bottom w:val="single" w:color="auto" w:sz="8" w:space="0"/>
            </w:tcBorders>
            <w:vAlign w:val="center"/>
          </w:tcPr>
          <w:p w14:paraId="333B512C">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成分</w:t>
            </w:r>
          </w:p>
        </w:tc>
        <w:tc>
          <w:tcPr>
            <w:tcW w:w="1418" w:type="dxa"/>
            <w:tcBorders>
              <w:top w:val="single" w:color="auto" w:sz="8" w:space="0"/>
              <w:bottom w:val="single" w:color="auto" w:sz="8" w:space="0"/>
            </w:tcBorders>
            <w:vAlign w:val="center"/>
          </w:tcPr>
          <w:p w14:paraId="67871D3E">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微滤</w:t>
            </w:r>
          </w:p>
        </w:tc>
        <w:tc>
          <w:tcPr>
            <w:tcW w:w="1417" w:type="dxa"/>
            <w:tcBorders>
              <w:top w:val="single" w:color="auto" w:sz="8" w:space="0"/>
              <w:bottom w:val="single" w:color="auto" w:sz="8" w:space="0"/>
            </w:tcBorders>
            <w:vAlign w:val="center"/>
          </w:tcPr>
          <w:p w14:paraId="5FEE7A6A">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超滤</w:t>
            </w:r>
          </w:p>
        </w:tc>
        <w:tc>
          <w:tcPr>
            <w:tcW w:w="1276" w:type="dxa"/>
            <w:tcBorders>
              <w:top w:val="single" w:color="auto" w:sz="8" w:space="0"/>
              <w:bottom w:val="single" w:color="auto" w:sz="8" w:space="0"/>
            </w:tcBorders>
            <w:vAlign w:val="center"/>
          </w:tcPr>
          <w:p w14:paraId="0AAE52F8">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纳滤</w:t>
            </w:r>
          </w:p>
        </w:tc>
        <w:tc>
          <w:tcPr>
            <w:tcW w:w="1290" w:type="dxa"/>
            <w:tcBorders>
              <w:top w:val="single" w:color="auto" w:sz="8" w:space="0"/>
              <w:bottom w:val="single" w:color="auto" w:sz="8" w:space="0"/>
            </w:tcBorders>
            <w:vAlign w:val="center"/>
          </w:tcPr>
          <w:p w14:paraId="1BB5D285">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反渗透</w:t>
            </w:r>
          </w:p>
        </w:tc>
      </w:tr>
      <w:tr w14:paraId="565693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0" w:type="dxa"/>
            <w:tcBorders>
              <w:top w:val="single" w:color="auto" w:sz="8" w:space="0"/>
            </w:tcBorders>
            <w:vAlign w:val="center"/>
          </w:tcPr>
          <w:p w14:paraId="562141BD">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可生物降解性有机物</w:t>
            </w:r>
          </w:p>
        </w:tc>
        <w:tc>
          <w:tcPr>
            <w:tcW w:w="1418" w:type="dxa"/>
            <w:tcBorders>
              <w:top w:val="single" w:color="auto" w:sz="8" w:space="0"/>
            </w:tcBorders>
            <w:vAlign w:val="center"/>
          </w:tcPr>
          <w:p w14:paraId="1EBFA4A3">
            <w:pPr>
              <w:pStyle w:val="181"/>
              <w:rPr>
                <w:rFonts w:hint="eastAsia" w:hAnsi="宋体"/>
                <w:b/>
                <w:bCs/>
                <w:color w:val="000000" w:themeColor="text1"/>
                <w14:textFill>
                  <w14:solidFill>
                    <w14:schemeClr w14:val="tx1"/>
                  </w14:solidFill>
                </w14:textFill>
              </w:rPr>
            </w:pPr>
          </w:p>
        </w:tc>
        <w:tc>
          <w:tcPr>
            <w:tcW w:w="1417" w:type="dxa"/>
            <w:tcBorders>
              <w:top w:val="single" w:color="auto" w:sz="8" w:space="0"/>
            </w:tcBorders>
            <w:vAlign w:val="center"/>
          </w:tcPr>
          <w:p w14:paraId="3F9B6CA3">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76" w:type="dxa"/>
            <w:tcBorders>
              <w:top w:val="single" w:color="auto" w:sz="8" w:space="0"/>
            </w:tcBorders>
            <w:vAlign w:val="center"/>
          </w:tcPr>
          <w:p w14:paraId="6D39C935">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tcBorders>
              <w:top w:val="single" w:color="auto" w:sz="8" w:space="0"/>
            </w:tcBorders>
            <w:vAlign w:val="center"/>
          </w:tcPr>
          <w:p w14:paraId="319B92A3">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78D0DE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2BB7A53B">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硬度</w:t>
            </w:r>
          </w:p>
        </w:tc>
        <w:tc>
          <w:tcPr>
            <w:tcW w:w="1418" w:type="dxa"/>
            <w:vAlign w:val="center"/>
          </w:tcPr>
          <w:p w14:paraId="790D41BE">
            <w:pPr>
              <w:pStyle w:val="181"/>
              <w:rPr>
                <w:rFonts w:hint="eastAsia" w:hAnsi="宋体"/>
                <w:b/>
                <w:bCs/>
                <w:color w:val="000000" w:themeColor="text1"/>
                <w14:textFill>
                  <w14:solidFill>
                    <w14:schemeClr w14:val="tx1"/>
                  </w14:solidFill>
                </w14:textFill>
              </w:rPr>
            </w:pPr>
          </w:p>
        </w:tc>
        <w:tc>
          <w:tcPr>
            <w:tcW w:w="1417" w:type="dxa"/>
            <w:vAlign w:val="center"/>
          </w:tcPr>
          <w:p w14:paraId="053A2ADA">
            <w:pPr>
              <w:pStyle w:val="181"/>
              <w:rPr>
                <w:rFonts w:hint="eastAsia" w:hAnsi="宋体"/>
                <w:b/>
                <w:bCs/>
                <w:color w:val="000000" w:themeColor="text1"/>
                <w14:textFill>
                  <w14:solidFill>
                    <w14:schemeClr w14:val="tx1"/>
                  </w14:solidFill>
                </w14:textFill>
              </w:rPr>
            </w:pPr>
          </w:p>
        </w:tc>
        <w:tc>
          <w:tcPr>
            <w:tcW w:w="1276" w:type="dxa"/>
            <w:vAlign w:val="center"/>
          </w:tcPr>
          <w:p w14:paraId="2232F7C8">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08A6FA5C">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14B3AD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4FD5A507">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重金属</w:t>
            </w:r>
          </w:p>
        </w:tc>
        <w:tc>
          <w:tcPr>
            <w:tcW w:w="1418" w:type="dxa"/>
            <w:vAlign w:val="center"/>
          </w:tcPr>
          <w:p w14:paraId="2F66C065">
            <w:pPr>
              <w:pStyle w:val="181"/>
              <w:rPr>
                <w:rFonts w:hint="eastAsia" w:hAnsi="宋体"/>
                <w:b/>
                <w:bCs/>
                <w:color w:val="000000" w:themeColor="text1"/>
                <w14:textFill>
                  <w14:solidFill>
                    <w14:schemeClr w14:val="tx1"/>
                  </w14:solidFill>
                </w14:textFill>
              </w:rPr>
            </w:pPr>
          </w:p>
        </w:tc>
        <w:tc>
          <w:tcPr>
            <w:tcW w:w="1417" w:type="dxa"/>
            <w:vAlign w:val="center"/>
          </w:tcPr>
          <w:p w14:paraId="4C9461FE">
            <w:pPr>
              <w:pStyle w:val="181"/>
              <w:rPr>
                <w:rFonts w:hint="eastAsia" w:hAnsi="宋体"/>
                <w:b/>
                <w:bCs/>
                <w:color w:val="000000" w:themeColor="text1"/>
                <w14:textFill>
                  <w14:solidFill>
                    <w14:schemeClr w14:val="tx1"/>
                  </w14:solidFill>
                </w14:textFill>
              </w:rPr>
            </w:pPr>
          </w:p>
        </w:tc>
        <w:tc>
          <w:tcPr>
            <w:tcW w:w="1276" w:type="dxa"/>
            <w:vAlign w:val="center"/>
          </w:tcPr>
          <w:p w14:paraId="3830944A">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2689E758">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0E6196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61FD4421">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硝酸盐</w:t>
            </w:r>
          </w:p>
        </w:tc>
        <w:tc>
          <w:tcPr>
            <w:tcW w:w="1418" w:type="dxa"/>
            <w:vAlign w:val="center"/>
          </w:tcPr>
          <w:p w14:paraId="1996BC0F">
            <w:pPr>
              <w:pStyle w:val="181"/>
              <w:rPr>
                <w:rFonts w:hint="eastAsia" w:hAnsi="宋体"/>
                <w:b/>
                <w:bCs/>
                <w:color w:val="000000" w:themeColor="text1"/>
                <w14:textFill>
                  <w14:solidFill>
                    <w14:schemeClr w14:val="tx1"/>
                  </w14:solidFill>
                </w14:textFill>
              </w:rPr>
            </w:pPr>
          </w:p>
        </w:tc>
        <w:tc>
          <w:tcPr>
            <w:tcW w:w="1417" w:type="dxa"/>
            <w:vAlign w:val="center"/>
          </w:tcPr>
          <w:p w14:paraId="1D4D24BC">
            <w:pPr>
              <w:pStyle w:val="181"/>
              <w:rPr>
                <w:rFonts w:hint="eastAsia" w:hAnsi="宋体"/>
                <w:b/>
                <w:bCs/>
                <w:color w:val="000000" w:themeColor="text1"/>
                <w14:textFill>
                  <w14:solidFill>
                    <w14:schemeClr w14:val="tx1"/>
                  </w14:solidFill>
                </w14:textFill>
              </w:rPr>
            </w:pPr>
          </w:p>
        </w:tc>
        <w:tc>
          <w:tcPr>
            <w:tcW w:w="1276" w:type="dxa"/>
            <w:vAlign w:val="center"/>
          </w:tcPr>
          <w:p w14:paraId="31081FD1">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42EBD974">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3B8EC2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3DBA7D0D">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TDS</w:t>
            </w:r>
          </w:p>
        </w:tc>
        <w:tc>
          <w:tcPr>
            <w:tcW w:w="1418" w:type="dxa"/>
            <w:vAlign w:val="center"/>
          </w:tcPr>
          <w:p w14:paraId="1E250A61">
            <w:pPr>
              <w:pStyle w:val="181"/>
              <w:rPr>
                <w:rFonts w:hint="eastAsia" w:hAnsi="宋体"/>
                <w:b/>
                <w:bCs/>
                <w:color w:val="000000" w:themeColor="text1"/>
                <w14:textFill>
                  <w14:solidFill>
                    <w14:schemeClr w14:val="tx1"/>
                  </w14:solidFill>
                </w14:textFill>
              </w:rPr>
            </w:pPr>
          </w:p>
        </w:tc>
        <w:tc>
          <w:tcPr>
            <w:tcW w:w="1417" w:type="dxa"/>
            <w:vAlign w:val="center"/>
          </w:tcPr>
          <w:p w14:paraId="095F5C10">
            <w:pPr>
              <w:pStyle w:val="181"/>
              <w:rPr>
                <w:rFonts w:hint="eastAsia" w:hAnsi="宋体"/>
                <w:b/>
                <w:bCs/>
                <w:color w:val="000000" w:themeColor="text1"/>
                <w14:textFill>
                  <w14:solidFill>
                    <w14:schemeClr w14:val="tx1"/>
                  </w14:solidFill>
                </w14:textFill>
              </w:rPr>
            </w:pPr>
          </w:p>
        </w:tc>
        <w:tc>
          <w:tcPr>
            <w:tcW w:w="1276" w:type="dxa"/>
            <w:vAlign w:val="center"/>
          </w:tcPr>
          <w:p w14:paraId="3998A377">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35405334">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3C9B0C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4B668980">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TSS</w:t>
            </w:r>
          </w:p>
        </w:tc>
        <w:tc>
          <w:tcPr>
            <w:tcW w:w="1418" w:type="dxa"/>
            <w:vAlign w:val="center"/>
          </w:tcPr>
          <w:p w14:paraId="0E4CC10D">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417" w:type="dxa"/>
            <w:vAlign w:val="center"/>
          </w:tcPr>
          <w:p w14:paraId="54CBBA48">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76" w:type="dxa"/>
            <w:vAlign w:val="center"/>
          </w:tcPr>
          <w:p w14:paraId="4A788D0F">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2ABBF300">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0A950A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210EDB97">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细菌</w:t>
            </w:r>
          </w:p>
        </w:tc>
        <w:tc>
          <w:tcPr>
            <w:tcW w:w="1418" w:type="dxa"/>
            <w:vAlign w:val="center"/>
          </w:tcPr>
          <w:p w14:paraId="75736CCE">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417" w:type="dxa"/>
            <w:vAlign w:val="center"/>
          </w:tcPr>
          <w:p w14:paraId="00C8DB00">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76" w:type="dxa"/>
            <w:vAlign w:val="center"/>
          </w:tcPr>
          <w:p w14:paraId="6D6F4985">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4125A842">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01FA74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400" w:type="dxa"/>
            <w:vAlign w:val="center"/>
          </w:tcPr>
          <w:p w14:paraId="541878BA">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原生动物孢囊</w:t>
            </w:r>
          </w:p>
        </w:tc>
        <w:tc>
          <w:tcPr>
            <w:tcW w:w="1418" w:type="dxa"/>
            <w:vAlign w:val="center"/>
          </w:tcPr>
          <w:p w14:paraId="0FD375FA">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417" w:type="dxa"/>
            <w:vAlign w:val="center"/>
          </w:tcPr>
          <w:p w14:paraId="466123A9">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76" w:type="dxa"/>
            <w:vAlign w:val="center"/>
          </w:tcPr>
          <w:p w14:paraId="1D681974">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3A5C7A61">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r w14:paraId="32492C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0" w:type="dxa"/>
            <w:vAlign w:val="center"/>
          </w:tcPr>
          <w:p w14:paraId="153DADF1">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病毒</w:t>
            </w:r>
          </w:p>
        </w:tc>
        <w:tc>
          <w:tcPr>
            <w:tcW w:w="1418" w:type="dxa"/>
            <w:vAlign w:val="center"/>
          </w:tcPr>
          <w:p w14:paraId="3BD0ADBE">
            <w:pPr>
              <w:pStyle w:val="181"/>
              <w:rPr>
                <w:rFonts w:hint="eastAsia" w:hAnsi="宋体"/>
                <w:b/>
                <w:bCs/>
                <w:color w:val="000000" w:themeColor="text1"/>
                <w14:textFill>
                  <w14:solidFill>
                    <w14:schemeClr w14:val="tx1"/>
                  </w14:solidFill>
                </w14:textFill>
              </w:rPr>
            </w:pPr>
          </w:p>
        </w:tc>
        <w:tc>
          <w:tcPr>
            <w:tcW w:w="1417" w:type="dxa"/>
            <w:vAlign w:val="center"/>
          </w:tcPr>
          <w:p w14:paraId="6B42D132">
            <w:pPr>
              <w:pStyle w:val="181"/>
              <w:rPr>
                <w:rFonts w:hint="eastAsia" w:hAnsi="宋体"/>
                <w:b/>
                <w:bCs/>
                <w:color w:val="000000" w:themeColor="text1"/>
                <w14:textFill>
                  <w14:solidFill>
                    <w14:schemeClr w14:val="tx1"/>
                  </w14:solidFill>
                </w14:textFill>
              </w:rPr>
            </w:pPr>
          </w:p>
        </w:tc>
        <w:tc>
          <w:tcPr>
            <w:tcW w:w="1276" w:type="dxa"/>
            <w:vAlign w:val="center"/>
          </w:tcPr>
          <w:p w14:paraId="439F6395">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c>
          <w:tcPr>
            <w:tcW w:w="1290" w:type="dxa"/>
            <w:vAlign w:val="center"/>
          </w:tcPr>
          <w:p w14:paraId="5110521B">
            <w:pPr>
              <w:pStyle w:val="181"/>
              <w:rPr>
                <w:rFonts w:hint="eastAsia"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w:t>
            </w:r>
          </w:p>
        </w:tc>
      </w:tr>
    </w:tbl>
    <w:p w14:paraId="5D69FC7B">
      <w:pPr>
        <w:pStyle w:val="168"/>
        <w:ind w:left="0" w:leftChars="0" w:firstLine="0" w:firstLineChars="0"/>
        <w:rPr>
          <w:color w:val="000000" w:themeColor="text1"/>
          <w14:textFill>
            <w14:solidFill>
              <w14:schemeClr w14:val="tx1"/>
            </w14:solidFill>
          </w14:textFill>
        </w:rPr>
      </w:pPr>
      <w:bookmarkStart w:id="129" w:name="_Toc103242812"/>
      <w:bookmarkStart w:id="130" w:name="_Toc7852"/>
      <w:bookmarkStart w:id="131" w:name="_Toc103085736"/>
      <w:bookmarkStart w:id="132" w:name="_Toc103242855"/>
      <w:bookmarkStart w:id="133" w:name="_Toc100821425"/>
      <w:bookmarkStart w:id="134" w:name="_Toc103243354"/>
      <w:bookmarkStart w:id="135" w:name="_Toc101962905"/>
      <w:bookmarkStart w:id="136" w:name="_Toc18732"/>
      <w:bookmarkStart w:id="137" w:name="_Toc100822377"/>
      <w:r>
        <w:rPr>
          <w:rFonts w:hint="eastAsia"/>
          <w:color w:val="000000" w:themeColor="text1"/>
          <w14:textFill>
            <w14:solidFill>
              <w14:schemeClr w14:val="tx1"/>
            </w14:solidFill>
          </w14:textFill>
        </w:rPr>
        <w:t>当采用离子交换技术时，离子交换树脂的交换容量与实际运行情况有关。合成树脂的交换容量宜为2</w:t>
      </w:r>
      <w:r>
        <w:rPr>
          <w:rFonts w:hint="eastAsia" w:ascii="Times New Roman"/>
          <w:color w:val="000000" w:themeColor="text1"/>
          <w14:textFill>
            <w14:solidFill>
              <w14:schemeClr w14:val="tx1"/>
            </w14:solidFill>
          </w14:textFill>
        </w:rPr>
        <w:t>~</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mol</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kg，沸石阳离子交换树脂宜为0</w:t>
      </w:r>
      <w:r>
        <w:rPr>
          <w:color w:val="000000" w:themeColor="text1"/>
          <w14:textFill>
            <w14:solidFill>
              <w14:schemeClr w14:val="tx1"/>
            </w14:solidFill>
          </w14:textFill>
        </w:rPr>
        <w:t>.05</w:t>
      </w:r>
      <w:r>
        <w:rPr>
          <w:rFonts w:hint="eastAsia" w:ascii="Times New Roman"/>
          <w:color w:val="000000" w:themeColor="text1"/>
          <w14:textFill>
            <w14:solidFill>
              <w14:schemeClr w14:val="tx1"/>
            </w14:solidFill>
          </w14:textFill>
        </w:rPr>
        <w:t>~</w:t>
      </w:r>
      <w:r>
        <w:rPr>
          <w:color w:val="000000" w:themeColor="text1"/>
          <w14:textFill>
            <w14:solidFill>
              <w14:schemeClr w14:val="tx1"/>
            </w14:solidFill>
          </w14:textFill>
        </w:rPr>
        <w:t>0.1</w:t>
      </w:r>
      <w:r>
        <w:rPr>
          <w:rFonts w:hint="eastAsia"/>
          <w:color w:val="000000" w:themeColor="text1"/>
          <w14:textFill>
            <w14:solidFill>
              <w14:schemeClr w14:val="tx1"/>
            </w14:solidFill>
          </w14:textFill>
        </w:rPr>
        <w:t>mol</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kg。</w:t>
      </w:r>
    </w:p>
    <w:p w14:paraId="651A25D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当需要处理芳香溶剂类、氯化芳香烃类等容易被吸附的有机物时，应采用活性炭吸附法作为深度处理。</w:t>
      </w:r>
    </w:p>
    <w:p w14:paraId="73CFDC7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深度处理工艺设计与污水再生利用工艺设计应符合现行国家标准GB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50335和GB 50014中的有关规定。</w:t>
      </w:r>
    </w:p>
    <w:p w14:paraId="3D92546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城镇污水处理厂的再生水资源化利用应通过对当地环境的考察和技术经济的分析，选择有利于节能减排、绿色低碳的工艺。</w:t>
      </w:r>
    </w:p>
    <w:p w14:paraId="29E42B86">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再生水的利用方式主要包括景观用水、工业用水、城市杂用水等，当再生水需同时满足多种用途时，其水质应按最高水质标准确定。</w:t>
      </w:r>
    </w:p>
    <w:p w14:paraId="70CD94A7">
      <w:pPr>
        <w:pStyle w:val="168"/>
        <w:ind w:left="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再生水应优先使用在绿色城镇污水处理厂厂区内部，将其用于绿化、道路和广场浇洒、空调冷却、消防用水、工业冷却水和水景观等。</w:t>
      </w:r>
    </w:p>
    <w:p w14:paraId="4CAD85E9">
      <w:pPr>
        <w:pStyle w:val="108"/>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自然处理</w:t>
      </w:r>
      <w:bookmarkEnd w:id="129"/>
      <w:bookmarkEnd w:id="130"/>
      <w:bookmarkEnd w:id="131"/>
      <w:bookmarkEnd w:id="132"/>
      <w:bookmarkEnd w:id="133"/>
      <w:bookmarkEnd w:id="134"/>
      <w:bookmarkEnd w:id="135"/>
      <w:bookmarkEnd w:id="136"/>
      <w:bookmarkEnd w:id="137"/>
    </w:p>
    <w:p w14:paraId="6CB4066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结合污水处理规模，根据环境影响评价和景观的要求，按照因地制宜的原则设置污水自然处理。</w:t>
      </w:r>
    </w:p>
    <w:p w14:paraId="7434967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污水自然处理必须考虑对周围环境及水体的影响，不得降低周围环境的质量，应根据地区特点选择适宜的污水自然处理方式。</w:t>
      </w:r>
    </w:p>
    <w:p w14:paraId="790BD9A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污水自然处理可采用人工湿地和稳定塘等。</w:t>
      </w:r>
    </w:p>
    <w:p w14:paraId="14B01FB4">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采用人工湿地处理污水时，应进行预处理。人工湿地的主要设计参数宜根据试验资料确定；当无试验资料时，应符合现行国家标准GB 50014和</w:t>
      </w:r>
      <w:r>
        <w:rPr>
          <w:color w:val="000000" w:themeColor="text1"/>
          <w:szCs w:val="22"/>
          <w14:textFill>
            <w14:solidFill>
              <w14:schemeClr w14:val="tx1"/>
            </w14:solidFill>
          </w14:textFill>
        </w:rPr>
        <w:t>HJ</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2005</w:t>
      </w:r>
      <w:r>
        <w:rPr>
          <w:rFonts w:hint="eastAsia"/>
          <w:color w:val="000000" w:themeColor="text1"/>
          <w14:textFill>
            <w14:solidFill>
              <w14:schemeClr w14:val="tx1"/>
            </w14:solidFill>
          </w14:textFill>
        </w:rPr>
        <w:t>中的有关规定。</w:t>
      </w:r>
    </w:p>
    <w:p w14:paraId="7BF2302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在有可利用的荒地或闲地等条件下，可采用稳定塘处理污水。处理污水时，稳定塘的设计数据应根据试验资料确定；当无试验资料时，应符合现行国家标准GB 50014和</w:t>
      </w:r>
      <w:r>
        <w:rPr>
          <w:color w:val="000000" w:themeColor="text1"/>
          <w:szCs w:val="22"/>
          <w14:textFill>
            <w14:solidFill>
              <w14:schemeClr w14:val="tx1"/>
            </w14:solidFill>
          </w14:textFill>
        </w:rPr>
        <w:t>HJ</w:t>
      </w:r>
      <w:r>
        <w:rPr>
          <w:rFonts w:hint="eastAsia"/>
          <w:color w:val="000000" w:themeColor="text1"/>
          <w:szCs w:val="22"/>
          <w14:textFill>
            <w14:solidFill>
              <w14:schemeClr w14:val="tx1"/>
            </w14:solidFill>
          </w14:textFill>
        </w:rPr>
        <w:t xml:space="preserve"> </w:t>
      </w:r>
      <w:r>
        <w:rPr>
          <w:color w:val="000000" w:themeColor="text1"/>
          <w:szCs w:val="22"/>
          <w14:textFill>
            <w14:solidFill>
              <w14:schemeClr w14:val="tx1"/>
            </w14:solidFill>
          </w14:textFill>
        </w:rPr>
        <w:t>2005</w:t>
      </w:r>
      <w:r>
        <w:rPr>
          <w:rFonts w:hint="eastAsia"/>
          <w:color w:val="000000" w:themeColor="text1"/>
          <w14:textFill>
            <w14:solidFill>
              <w14:schemeClr w14:val="tx1"/>
            </w14:solidFill>
          </w14:textFill>
        </w:rPr>
        <w:t>中的有关规定。</w:t>
      </w:r>
    </w:p>
    <w:p w14:paraId="0DC2BCBE">
      <w:pPr>
        <w:pStyle w:val="108"/>
        <w:spacing w:before="156" w:after="156"/>
        <w:rPr>
          <w:color w:val="000000" w:themeColor="text1"/>
          <w14:textFill>
            <w14:solidFill>
              <w14:schemeClr w14:val="tx1"/>
            </w14:solidFill>
          </w14:textFill>
        </w:rPr>
      </w:pPr>
      <w:bookmarkStart w:id="138" w:name="_Toc103242813"/>
      <w:bookmarkStart w:id="139" w:name="_Toc21400"/>
      <w:bookmarkStart w:id="140" w:name="_Toc101962906"/>
      <w:bookmarkStart w:id="141" w:name="_Toc103085737"/>
      <w:bookmarkStart w:id="142" w:name="_Toc103242856"/>
      <w:bookmarkStart w:id="143" w:name="_Toc103243355"/>
      <w:bookmarkStart w:id="144" w:name="_Toc100821426"/>
      <w:bookmarkStart w:id="145" w:name="_Toc24628"/>
      <w:bookmarkStart w:id="146" w:name="_Toc100822378"/>
      <w:r>
        <w:rPr>
          <w:rFonts w:hint="eastAsia"/>
          <w:color w:val="000000" w:themeColor="text1"/>
          <w14:textFill>
            <w14:solidFill>
              <w14:schemeClr w14:val="tx1"/>
            </w14:solidFill>
          </w14:textFill>
        </w:rPr>
        <w:t>消毒工艺</w:t>
      </w:r>
      <w:bookmarkEnd w:id="138"/>
      <w:bookmarkEnd w:id="139"/>
      <w:bookmarkEnd w:id="140"/>
      <w:bookmarkEnd w:id="141"/>
      <w:bookmarkEnd w:id="142"/>
      <w:bookmarkEnd w:id="143"/>
      <w:bookmarkEnd w:id="144"/>
      <w:bookmarkEnd w:id="145"/>
      <w:bookmarkEnd w:id="146"/>
    </w:p>
    <w:p w14:paraId="398D323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城镇污水处理厂应根据污水性质、排放标准或再生利用等要求确定消毒工艺。</w:t>
      </w:r>
    </w:p>
    <w:p w14:paraId="1AFBC5D9">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城镇污水处理厂应尽量少采用投加氯方式进行消毒，可多考虑采用紫外消毒、臭氧紫外联用等不产生有毒有害消毒副产物的方式进行消毒。</w:t>
      </w:r>
    </w:p>
    <w:p w14:paraId="5A2A9A0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当采用投加氯进行消毒时，宜考虑与紫外消毒联用。</w:t>
      </w:r>
    </w:p>
    <w:p w14:paraId="76CDDD1D">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可采用臭氧与紫外联用来代替传统的加氯消毒方式，臭氧氧化系统中必须设施臭氧尾气破坏装置，臭氧尾气破坏装置应有备用。</w:t>
      </w:r>
    </w:p>
    <w:p w14:paraId="3D9A584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消毒设施的设计应符合现行国家标准GB</w:t>
      </w:r>
      <w:r>
        <w:rPr>
          <w:color w:val="000000" w:themeColor="text1"/>
          <w14:textFill>
            <w14:solidFill>
              <w14:schemeClr w14:val="tx1"/>
            </w14:solidFill>
          </w14:textFill>
        </w:rPr>
        <w:t xml:space="preserve"> 50013</w:t>
      </w:r>
      <w:r>
        <w:rPr>
          <w:rFonts w:hint="eastAsia"/>
          <w:color w:val="000000" w:themeColor="text1"/>
          <w14:textFill>
            <w14:solidFill>
              <w14:schemeClr w14:val="tx1"/>
            </w14:solidFill>
          </w14:textFill>
        </w:rPr>
        <w:t>的规定</w:t>
      </w:r>
    </w:p>
    <w:p w14:paraId="700D49B3">
      <w:pPr>
        <w:pStyle w:val="107"/>
        <w:spacing w:before="312" w:after="312"/>
        <w:rPr>
          <w:color w:val="000000" w:themeColor="text1"/>
          <w14:textFill>
            <w14:solidFill>
              <w14:schemeClr w14:val="tx1"/>
            </w14:solidFill>
          </w14:textFill>
        </w:rPr>
      </w:pPr>
      <w:bookmarkStart w:id="147" w:name="_Toc100821427"/>
      <w:bookmarkStart w:id="148" w:name="_Toc103085738"/>
      <w:bookmarkStart w:id="149" w:name="_Toc28412"/>
      <w:bookmarkStart w:id="150" w:name="_Toc103242857"/>
      <w:bookmarkStart w:id="151" w:name="_Toc100822379"/>
      <w:bookmarkStart w:id="152" w:name="_Toc101962907"/>
      <w:bookmarkStart w:id="153" w:name="_Toc103242814"/>
      <w:bookmarkStart w:id="154" w:name="_Toc103243356"/>
      <w:bookmarkStart w:id="155" w:name="_Toc20641"/>
      <w:r>
        <w:rPr>
          <w:rFonts w:hint="eastAsia"/>
          <w:color w:val="000000" w:themeColor="text1"/>
          <w14:textFill>
            <w14:solidFill>
              <w14:schemeClr w14:val="tx1"/>
            </w14:solidFill>
          </w14:textFill>
        </w:rPr>
        <w:t>污泥处理和资源化处置</w:t>
      </w:r>
      <w:bookmarkEnd w:id="147"/>
      <w:bookmarkEnd w:id="148"/>
      <w:bookmarkEnd w:id="149"/>
      <w:bookmarkEnd w:id="150"/>
      <w:bookmarkEnd w:id="151"/>
      <w:bookmarkEnd w:id="152"/>
      <w:bookmarkEnd w:id="153"/>
      <w:bookmarkEnd w:id="154"/>
      <w:bookmarkEnd w:id="155"/>
    </w:p>
    <w:p w14:paraId="033282FC">
      <w:pPr>
        <w:pStyle w:val="108"/>
        <w:spacing w:before="156" w:after="156"/>
        <w:rPr>
          <w:color w:val="000000" w:themeColor="text1"/>
          <w14:textFill>
            <w14:solidFill>
              <w14:schemeClr w14:val="tx1"/>
            </w14:solidFill>
          </w14:textFill>
        </w:rPr>
      </w:pPr>
      <w:bookmarkStart w:id="156" w:name="_Toc14020"/>
      <w:bookmarkStart w:id="157" w:name="_Toc103242858"/>
      <w:bookmarkStart w:id="158" w:name="_Toc100822380"/>
      <w:bookmarkStart w:id="159" w:name="_Toc103242815"/>
      <w:bookmarkStart w:id="160" w:name="_Toc103243357"/>
      <w:bookmarkStart w:id="161" w:name="_Toc100821428"/>
      <w:bookmarkStart w:id="162" w:name="_Toc12031"/>
      <w:bookmarkStart w:id="163" w:name="_Toc101962908"/>
      <w:bookmarkStart w:id="164" w:name="_Toc103085739"/>
      <w:r>
        <w:rPr>
          <w:rFonts w:hint="eastAsia"/>
          <w:color w:val="000000" w:themeColor="text1"/>
          <w14:textFill>
            <w14:solidFill>
              <w14:schemeClr w14:val="tx1"/>
            </w14:solidFill>
          </w14:textFill>
        </w:rPr>
        <w:t>一般规定</w:t>
      </w:r>
      <w:bookmarkEnd w:id="156"/>
      <w:bookmarkEnd w:id="157"/>
      <w:bookmarkEnd w:id="158"/>
      <w:bookmarkEnd w:id="159"/>
      <w:bookmarkEnd w:id="160"/>
      <w:bookmarkEnd w:id="161"/>
      <w:bookmarkEnd w:id="162"/>
      <w:bookmarkEnd w:id="163"/>
      <w:bookmarkEnd w:id="164"/>
    </w:p>
    <w:p w14:paraId="00C66E48">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处理与处置应遵循减量化、资源化、无害化、稳定化原则，污泥处理处置应按一体化全生命周期进行统筹考虑，选择合理的技术路线和各工艺段的处理工艺路线，以合理控制投资运行费用及污染物的排放，实现绿色、低碳、循环、可持续发展，满足城镇污水处理厂绿色涉及的理念。</w:t>
      </w:r>
    </w:p>
    <w:p w14:paraId="4A62FFC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污泥处理与处置规模应相互匹配。</w:t>
      </w:r>
    </w:p>
    <w:p w14:paraId="778E80B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城镇污水处理厂污泥处理设计应符合行业标准C</w:t>
      </w:r>
      <w:r>
        <w:rPr>
          <w:color w:val="000000" w:themeColor="text1"/>
          <w14:textFill>
            <w14:solidFill>
              <w14:schemeClr w14:val="tx1"/>
            </w14:solidFill>
          </w14:textFill>
        </w:rPr>
        <w:t>JJ 131</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2009</w:t>
      </w:r>
      <w:r>
        <w:rPr>
          <w:rFonts w:hint="eastAsia"/>
          <w:color w:val="000000" w:themeColor="text1"/>
          <w14:textFill>
            <w14:solidFill>
              <w14:schemeClr w14:val="tx1"/>
            </w14:solidFill>
          </w14:textFill>
        </w:rPr>
        <w:t>的相关规定。</w:t>
      </w:r>
    </w:p>
    <w:p w14:paraId="5277126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污泥产物资源利用时应符合国家现行有关标准的规定，以免有害物质迁移、进入食物链和污染地下水。</w:t>
      </w:r>
    </w:p>
    <w:p w14:paraId="5DCC30E8">
      <w:pPr>
        <w:pStyle w:val="108"/>
        <w:spacing w:before="156" w:after="156"/>
        <w:rPr>
          <w:color w:val="000000" w:themeColor="text1"/>
          <w14:textFill>
            <w14:solidFill>
              <w14:schemeClr w14:val="tx1"/>
            </w14:solidFill>
          </w14:textFill>
        </w:rPr>
      </w:pPr>
      <w:bookmarkStart w:id="165" w:name="_Toc100822381"/>
      <w:bookmarkStart w:id="166" w:name="_Toc103242859"/>
      <w:bookmarkStart w:id="167" w:name="_Toc100821429"/>
      <w:bookmarkStart w:id="168" w:name="_Toc101962909"/>
      <w:bookmarkStart w:id="169" w:name="_Toc103085740"/>
      <w:bookmarkStart w:id="170" w:name="_Toc103243358"/>
      <w:bookmarkStart w:id="171" w:name="_Toc103242816"/>
      <w:bookmarkStart w:id="172" w:name="_Toc29634"/>
      <w:bookmarkStart w:id="173" w:name="_Toc22760"/>
      <w:r>
        <w:rPr>
          <w:rFonts w:hint="eastAsia"/>
          <w:color w:val="000000" w:themeColor="text1"/>
          <w14:textFill>
            <w14:solidFill>
              <w14:schemeClr w14:val="tx1"/>
            </w14:solidFill>
          </w14:textFill>
        </w:rPr>
        <w:t>污泥处理</w:t>
      </w:r>
      <w:bookmarkEnd w:id="165"/>
      <w:bookmarkEnd w:id="166"/>
      <w:bookmarkEnd w:id="167"/>
      <w:bookmarkEnd w:id="168"/>
      <w:bookmarkEnd w:id="169"/>
      <w:bookmarkEnd w:id="170"/>
      <w:bookmarkEnd w:id="171"/>
      <w:r>
        <w:rPr>
          <w:rFonts w:hint="eastAsia"/>
          <w:color w:val="000000" w:themeColor="text1"/>
          <w14:textFill>
            <w14:solidFill>
              <w14:schemeClr w14:val="tx1"/>
            </w14:solidFill>
          </w14:textFill>
        </w:rPr>
        <w:t>和资源化处置</w:t>
      </w:r>
      <w:bookmarkEnd w:id="172"/>
      <w:bookmarkEnd w:id="173"/>
    </w:p>
    <w:p w14:paraId="701A962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不同城镇污水处理厂污泥的脱水性质不同，泥饼的产率和含水率变化较大，应根据试验资料或参照相似污泥的数据确定适合的污泥脱水设备。当缺少试验资料时，可采用螺旋压榨脱水机进行脱水，其具有低能耗、低转速、低维护费用、高产出等优点。螺旋压榨脱水机的进料浓度宜为2%~3%。</w:t>
      </w:r>
    </w:p>
    <w:p w14:paraId="3AA206F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在污泥浓缩、调理和脱水等实现污泥减量化的常规处理工艺基础上，根据污泥处置要求和相应的泥质标准，选择适宜的污泥深度处理技术路线，如石灰稳定、热干化、协同焚烧等。</w:t>
      </w:r>
    </w:p>
    <w:p w14:paraId="1C77E82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有初沉池系统的污水处理厂，剩余污泥宜和初沉污泥合并进行厌氧消化处理。当有条件时，污泥可和餐厨垃圾协同厌氧消化。</w:t>
      </w:r>
    </w:p>
    <w:p w14:paraId="1F7C0AC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污泥餐厨垃圾协同消化处理主要工艺和设计参数，宜通过试验来确定碳氮比、污泥和餐厨垃圾的比例。通常碳氮比为10</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，污泥和餐厨垃圾的比例为1:1。</w:t>
      </w:r>
    </w:p>
    <w:p w14:paraId="7E1BCD1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城镇污水处理厂宜采用厌氧消化法处理污泥，在污泥减量化、稳定化的同时，也能产生清洁能源沼气。中温厌氧消化温度宜维持在3</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℃，停留时间大于2</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d；高温厌氧消化温度宜维持在</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5℃±2℃，停留时间宜为1</w:t>
      </w:r>
      <w:r>
        <w:rPr>
          <w:color w:val="000000" w:themeColor="text1"/>
          <w14:textFill>
            <w14:solidFill>
              <w14:schemeClr w14:val="tx1"/>
            </w14:solidFill>
          </w14:textFill>
        </w:rPr>
        <w:t>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d。</w:t>
      </w:r>
    </w:p>
    <w:p w14:paraId="7E27D29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污泥厌氧处理过程中产生的沼气应优先作为能源综合利用，优先满足厂区内的自身需求。</w:t>
      </w:r>
    </w:p>
    <w:p w14:paraId="60E0F10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发酵处理可考虑采用DANAS干式厌氧发酵技术，针对含固量15-35%的物料进行厌氧消化。单元组成为物料预处理和进料单元、干式厌氧发酵单元、消化物料固液分离单元、沼气处理与利用单元、沼渣好氧发酵制有机肥单元、臭气处理单元。主要设计参数通常为温度3</w:t>
      </w:r>
      <w:r>
        <w:rPr>
          <w:color w:val="000000" w:themeColor="text1"/>
          <w14:textFill>
            <w14:solidFill>
              <w14:schemeClr w14:val="tx1"/>
            </w14:solidFill>
          </w14:textFill>
        </w:rPr>
        <w:t>5-38</w:t>
      </w:r>
      <w:r>
        <w:rPr>
          <w:rFonts w:hint="eastAsia"/>
          <w:color w:val="000000" w:themeColor="text1"/>
          <w14:textFill>
            <w14:solidFill>
              <w14:schemeClr w14:val="tx1"/>
            </w14:solidFill>
          </w14:textFill>
        </w:rPr>
        <w:t>℃或5</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℃，工作压力正常2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kPa，最大不超过6kPa，有机负荷4</w:t>
      </w:r>
      <w:r>
        <w:rPr>
          <w:color w:val="000000" w:themeColor="text1"/>
          <w14:textFill>
            <w14:solidFill>
              <w14:schemeClr w14:val="tx1"/>
            </w14:solidFill>
          </w14:textFill>
        </w:rPr>
        <w:t>-5kg·VS/</w:t>
      </w:r>
      <w:r>
        <w:rPr>
          <w:rFonts w:hint="eastAsia"/>
          <w:color w:val="000000" w:themeColor="text1"/>
          <w14:textFill>
            <w14:solidFill>
              <w14:schemeClr w14:val="tx1"/>
            </w14:solidFill>
          </w14:textFill>
        </w:rPr>
        <w:t>（m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·d）。</w:t>
      </w:r>
    </w:p>
    <w:p w14:paraId="09F64FB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DANAS干式厌氧发酵技术的物料预处理阶段，宜添加外来有机质进行混合发酵，污泥和外来有机质的比例宜为1:3。</w:t>
      </w:r>
    </w:p>
    <w:p w14:paraId="3A74C840">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采用DANAS干式厌氧发酵方式的城镇污水处理厂可提取沼气进行发电，沼渣可经过好氧发酵处理为营养土进行二次销售。</w:t>
      </w:r>
    </w:p>
    <w:p w14:paraId="5DC64B4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采用污泥与生活垃圾、水泥生料、电厂燃煤等协同焚烧处置时，应符合下列规定：</w:t>
      </w:r>
    </w:p>
    <w:p w14:paraId="08337859">
      <w:pPr>
        <w:pStyle w:val="112"/>
        <w:ind w:left="1276" w:leftChars="0" w:hanging="436" w:firstLineChars="0"/>
        <w:rPr>
          <w:rFonts w:hint="eastAsia"/>
        </w:rPr>
      </w:pPr>
      <w:r>
        <w:rPr>
          <w:rFonts w:hint="eastAsia"/>
        </w:rPr>
        <w:t>在焚烧前应对污泥进行干化预处理，应结合生活垃圾、水泥生料、电厂燃煤焚烧系统的设计和运行要求，合理制定污泥掺烧比，参与焚烧的污泥含水率一般为20%~40%，与生活垃圾协同焚烧时掺烧比不宜高于10%，与水泥生料协同焚烧时掺烧比不宜高于15%，与电厂燃煤协同焚烧时掺烧比不宜高于10%；</w:t>
      </w:r>
    </w:p>
    <w:p w14:paraId="65698996">
      <w:pPr>
        <w:pStyle w:val="112"/>
        <w:rPr>
          <w:rFonts w:hint="eastAsia"/>
        </w:rPr>
      </w:pPr>
      <w:r>
        <w:rPr>
          <w:rFonts w:hint="eastAsia"/>
        </w:rPr>
        <w:t>分散的飞灰及废气处理应满足相关环保要求；</w:t>
      </w:r>
    </w:p>
    <w:p w14:paraId="2456621C">
      <w:pPr>
        <w:pStyle w:val="112"/>
        <w:rPr>
          <w:rFonts w:hint="eastAsia"/>
        </w:rPr>
      </w:pPr>
      <w:r>
        <w:rPr>
          <w:rFonts w:hint="eastAsia"/>
        </w:rPr>
        <w:t>水泥窑协同处置污泥的设计应满足现行国家标准</w:t>
      </w:r>
      <w:r>
        <w:t>GB 50757</w:t>
      </w:r>
      <w:r>
        <w:rPr>
          <w:rFonts w:hint="eastAsia"/>
        </w:rPr>
        <w:t>的规定，处置污泥后，水泥熟料的产品质量应符合现行国家标准</w:t>
      </w:r>
      <w:r>
        <w:t>GB/T 21372</w:t>
      </w:r>
      <w:r>
        <w:rPr>
          <w:rFonts w:hint="eastAsia"/>
        </w:rPr>
        <w:t>的有关规定。</w:t>
      </w:r>
    </w:p>
    <w:p w14:paraId="7E95C7D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城镇污水处理厂可采用污泥碳化技术，可广泛用于吸附除臭、污水过滤、环保融雪剂、燃料、土壤改良、活性炭等诸多用途。高温碳化温度一般为6</w:t>
      </w:r>
      <w:r>
        <w:rPr>
          <w:color w:val="000000" w:themeColor="text1"/>
          <w14:textFill>
            <w14:solidFill>
              <w14:schemeClr w14:val="tx1"/>
            </w14:solidFill>
          </w14:textFill>
        </w:rPr>
        <w:t>49-982</w:t>
      </w:r>
      <w:r>
        <w:rPr>
          <w:rFonts w:hint="eastAsia"/>
          <w:color w:val="000000" w:themeColor="text1"/>
          <w14:textFill>
            <w14:solidFill>
              <w14:schemeClr w14:val="tx1"/>
            </w14:solidFill>
          </w14:textFill>
        </w:rPr>
        <w:t>℃，中温碳化温度一般为4</w:t>
      </w:r>
      <w:r>
        <w:rPr>
          <w:color w:val="000000" w:themeColor="text1"/>
          <w14:textFill>
            <w14:solidFill>
              <w14:schemeClr w14:val="tx1"/>
            </w14:solidFill>
          </w14:textFill>
        </w:rPr>
        <w:t>26-537</w:t>
      </w:r>
      <w:r>
        <w:rPr>
          <w:rFonts w:hint="eastAsia"/>
          <w:color w:val="000000" w:themeColor="text1"/>
          <w14:textFill>
            <w14:solidFill>
              <w14:schemeClr w14:val="tx1"/>
            </w14:solidFill>
          </w14:textFill>
        </w:rPr>
        <w:t>摄氏度，低温碳化时需加压至6</w:t>
      </w:r>
      <w:r>
        <w:rPr>
          <w:color w:val="000000" w:themeColor="text1"/>
          <w14:textFill>
            <w14:solidFill>
              <w14:schemeClr w14:val="tx1"/>
            </w14:solidFill>
          </w14:textFill>
        </w:rPr>
        <w:t>-8</w:t>
      </w:r>
      <w:r>
        <w:rPr>
          <w:rFonts w:hint="eastAsia"/>
          <w:color w:val="000000" w:themeColor="text1"/>
          <w14:textFill>
            <w14:solidFill>
              <w14:schemeClr w14:val="tx1"/>
            </w14:solidFill>
          </w14:textFill>
        </w:rPr>
        <w:t>MPa，温度为3</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℃左右。</w:t>
      </w:r>
    </w:p>
    <w:p w14:paraId="6B0504A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用作建材利用时，应进行脱水处理，并视情况进行干化处理。有条件的地区，应积极推广污泥建筑材料综合利用，污泥建筑材料利用应符合国家和地方的相关标准和规范要求，并严格防范在生产和使用中造成二次污染。</w:t>
      </w:r>
    </w:p>
    <w:p w14:paraId="40C4699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污泥磷资源回收技术可采用鸟粪石沉淀技术、污泥焚烧灰烬回收等技术。鸟粪石沉淀技术主要涉及参数通常pH宜为9~</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，镁氮比约为1</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，磷氮比约为0</w:t>
      </w:r>
      <w:r>
        <w:rPr>
          <w:color w:val="000000" w:themeColor="text1"/>
          <w14:textFill>
            <w14:solidFill>
              <w14:schemeClr w14:val="tx1"/>
            </w14:solidFill>
          </w14:textFill>
        </w:rPr>
        <w:t>.6</w:t>
      </w:r>
      <w:r>
        <w:rPr>
          <w:rFonts w:hint="eastAsia"/>
          <w:color w:val="000000" w:themeColor="text1"/>
          <w14:textFill>
            <w14:solidFill>
              <w14:schemeClr w14:val="tx1"/>
            </w14:solidFill>
          </w14:textFill>
        </w:rPr>
        <w:t>。</w:t>
      </w:r>
    </w:p>
    <w:p w14:paraId="3F60BB5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污泥产物资源利用时应符合国家现行标准GB</w:t>
      </w:r>
      <w:r>
        <w:rPr>
          <w:color w:val="000000" w:themeColor="text1"/>
          <w14:textFill>
            <w14:solidFill>
              <w14:schemeClr w14:val="tx1"/>
            </w14:solidFill>
          </w14:textFill>
        </w:rPr>
        <w:t xml:space="preserve"> 50788</w:t>
      </w:r>
      <w:r>
        <w:rPr>
          <w:rFonts w:hint="eastAsia"/>
          <w:color w:val="000000" w:themeColor="text1"/>
          <w14:textFill>
            <w14:solidFill>
              <w14:schemeClr w14:val="tx1"/>
            </w14:solidFill>
          </w14:textFill>
        </w:rPr>
        <w:t>和GB</w:t>
      </w:r>
      <w:r>
        <w:rPr>
          <w:color w:val="000000" w:themeColor="text1"/>
          <w14:textFill>
            <w14:solidFill>
              <w14:schemeClr w14:val="tx1"/>
            </w14:solidFill>
          </w14:textFill>
        </w:rPr>
        <w:t xml:space="preserve"> 50014</w:t>
      </w:r>
      <w:r>
        <w:rPr>
          <w:rFonts w:hint="eastAsia"/>
          <w:color w:val="000000" w:themeColor="text1"/>
          <w14:textFill>
            <w14:solidFill>
              <w14:schemeClr w14:val="tx1"/>
            </w14:solidFill>
          </w14:textFill>
        </w:rPr>
        <w:t>等规定。</w:t>
      </w:r>
    </w:p>
    <w:p w14:paraId="0521A5CC">
      <w:pPr>
        <w:pStyle w:val="107"/>
        <w:spacing w:before="312" w:after="312"/>
        <w:rPr>
          <w:color w:val="000000" w:themeColor="text1"/>
          <w14:textFill>
            <w14:solidFill>
              <w14:schemeClr w14:val="tx1"/>
            </w14:solidFill>
          </w14:textFill>
        </w:rPr>
      </w:pPr>
      <w:bookmarkStart w:id="174" w:name="_Toc6450"/>
      <w:bookmarkStart w:id="175" w:name="_Toc103242818"/>
      <w:bookmarkStart w:id="176" w:name="_Toc100821431"/>
      <w:bookmarkStart w:id="177" w:name="_Toc101962911"/>
      <w:bookmarkStart w:id="178" w:name="_Toc103243360"/>
      <w:bookmarkStart w:id="179" w:name="_Toc103085742"/>
      <w:bookmarkStart w:id="180" w:name="_Toc103242861"/>
      <w:bookmarkStart w:id="181" w:name="_Toc20562"/>
      <w:bookmarkStart w:id="182" w:name="_Toc100822383"/>
      <w:r>
        <w:rPr>
          <w:rFonts w:hint="eastAsia"/>
          <w:color w:val="000000" w:themeColor="text1"/>
          <w14:textFill>
            <w14:solidFill>
              <w14:schemeClr w14:val="tx1"/>
            </w14:solidFill>
          </w14:textFill>
        </w:rPr>
        <w:t>能源利用与节能</w:t>
      </w:r>
      <w:bookmarkEnd w:id="174"/>
      <w:bookmarkEnd w:id="175"/>
      <w:bookmarkEnd w:id="176"/>
      <w:bookmarkEnd w:id="177"/>
      <w:bookmarkEnd w:id="178"/>
      <w:bookmarkEnd w:id="179"/>
      <w:bookmarkEnd w:id="180"/>
      <w:bookmarkEnd w:id="181"/>
      <w:bookmarkEnd w:id="182"/>
    </w:p>
    <w:p w14:paraId="7683881A">
      <w:pPr>
        <w:pStyle w:val="108"/>
        <w:spacing w:before="156" w:after="156"/>
        <w:rPr>
          <w:color w:val="000000" w:themeColor="text1"/>
          <w14:textFill>
            <w14:solidFill>
              <w14:schemeClr w14:val="tx1"/>
            </w14:solidFill>
          </w14:textFill>
        </w:rPr>
      </w:pPr>
      <w:bookmarkStart w:id="183" w:name="_Toc103243361"/>
      <w:bookmarkStart w:id="184" w:name="_Toc101962912"/>
      <w:bookmarkStart w:id="185" w:name="_Toc100821432"/>
      <w:bookmarkStart w:id="186" w:name="_Toc1879"/>
      <w:bookmarkStart w:id="187" w:name="_Toc103085743"/>
      <w:bookmarkStart w:id="188" w:name="_Toc32275"/>
      <w:bookmarkStart w:id="189" w:name="_Toc103242819"/>
      <w:bookmarkStart w:id="190" w:name="_Toc100822384"/>
      <w:bookmarkStart w:id="191" w:name="_Toc103242862"/>
      <w:r>
        <w:rPr>
          <w:rFonts w:hint="eastAsia"/>
          <w:color w:val="000000" w:themeColor="text1"/>
          <w14:textFill>
            <w14:solidFill>
              <w14:schemeClr w14:val="tx1"/>
            </w14:solidFill>
          </w14:textFill>
        </w:rPr>
        <w:t>一般规定</w:t>
      </w:r>
      <w:bookmarkEnd w:id="183"/>
      <w:bookmarkEnd w:id="184"/>
      <w:bookmarkEnd w:id="185"/>
      <w:bookmarkEnd w:id="186"/>
      <w:bookmarkEnd w:id="187"/>
      <w:bookmarkEnd w:id="188"/>
      <w:bookmarkEnd w:id="189"/>
      <w:bookmarkEnd w:id="190"/>
      <w:bookmarkEnd w:id="191"/>
    </w:p>
    <w:p w14:paraId="4424978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城镇污水处理厂绿色设计中的用能应通过对当地环境资源条件和技术经济的分析，结合国家相关政策，优先应用自身产能和可再生能源。可再生能源利用设施应与主体工程同步设计。</w:t>
      </w:r>
    </w:p>
    <w:p w14:paraId="4F423C8D">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当环境条件允许且经济技术合理时，宜采用太阳能、风能等可再生能源直接并网供电。</w:t>
      </w:r>
    </w:p>
    <w:p w14:paraId="69CA575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城镇污水处理厂绿色设计应充分利用余热、废热等资源，热水制备应积极采用太阳能、地热能、空气能(热水系统)等可再生能源。</w:t>
      </w:r>
    </w:p>
    <w:p w14:paraId="380F493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高温热排水宜实施热能回收，通过污水源热泵充分回收利用其潜在能源。</w:t>
      </w:r>
    </w:p>
    <w:p w14:paraId="5DECE016">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城镇污水处理厂单位污水处理综合能耗限额如表2所示，计算方法如公式1所示：</w:t>
      </w:r>
    </w:p>
    <w:p w14:paraId="46DE9519">
      <w:pPr>
        <w:pStyle w:val="115"/>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城镇污水处理厂绿色设计污水处理能耗限额</w:t>
      </w:r>
    </w:p>
    <w:tbl>
      <w:tblPr>
        <w:tblStyle w:val="29"/>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128"/>
        <w:gridCol w:w="2926"/>
        <w:gridCol w:w="3280"/>
      </w:tblGrid>
      <w:tr w14:paraId="558D0B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8" w:type="dxa"/>
            <w:tcBorders>
              <w:top w:val="single" w:color="auto" w:sz="8" w:space="0"/>
              <w:bottom w:val="single" w:color="auto" w:sz="8" w:space="0"/>
            </w:tcBorders>
          </w:tcPr>
          <w:p w14:paraId="706A6191">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规模（10</w:t>
            </w:r>
            <w:r>
              <w:rPr>
                <w:rFonts w:hAnsi="宋体"/>
                <w:color w:val="000000" w:themeColor="text1"/>
                <w:vertAlign w:val="superscript"/>
                <w14:textFill>
                  <w14:solidFill>
                    <w14:schemeClr w14:val="tx1"/>
                  </w14:solidFill>
                </w14:textFill>
              </w:rPr>
              <w:t xml:space="preserve">4 </w:t>
            </w:r>
            <w:r>
              <w:rPr>
                <w:rFonts w:hAnsi="宋体"/>
                <w:color w:val="000000" w:themeColor="text1"/>
                <w14:textFill>
                  <w14:solidFill>
                    <w14:schemeClr w14:val="tx1"/>
                  </w14:solidFill>
                </w14:textFill>
              </w:rPr>
              <w:t>m</w:t>
            </w:r>
            <w:r>
              <w:rPr>
                <w:rFonts w:hAnsi="宋体"/>
                <w:color w:val="000000" w:themeColor="text1"/>
                <w:vertAlign w:val="superscript"/>
                <w14:textFill>
                  <w14:solidFill>
                    <w14:schemeClr w14:val="tx1"/>
                  </w14:solidFill>
                </w14:textFill>
              </w:rPr>
              <w:t>3</w:t>
            </w:r>
            <w:r>
              <w:rPr>
                <w:rFonts w:hAnsi="宋体"/>
                <w:color w:val="000000" w:themeColor="text1"/>
                <w14:textFill>
                  <w14:solidFill>
                    <w14:schemeClr w14:val="tx1"/>
                  </w14:solidFill>
                </w14:textFill>
              </w:rPr>
              <w:t>/d）</w:t>
            </w:r>
            <w:r>
              <w:rPr>
                <w:rFonts w:hAnsi="宋体"/>
                <w:color w:val="000000" w:themeColor="text1"/>
                <w:vertAlign w:val="superscript"/>
                <w14:textFill>
                  <w14:solidFill>
                    <w14:schemeClr w14:val="tx1"/>
                  </w14:solidFill>
                </w14:textFill>
              </w:rPr>
              <w:t>a</w:t>
            </w:r>
          </w:p>
        </w:tc>
        <w:tc>
          <w:tcPr>
            <w:tcW w:w="2926" w:type="dxa"/>
            <w:tcBorders>
              <w:top w:val="single" w:color="auto" w:sz="8" w:space="0"/>
              <w:bottom w:val="single" w:color="auto" w:sz="8" w:space="0"/>
            </w:tcBorders>
          </w:tcPr>
          <w:p w14:paraId="298D5FD8">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综合能耗限额</w:t>
            </w:r>
            <w:r>
              <w:rPr>
                <w:rFonts w:hint="eastAsia" w:hAnsi="宋体"/>
                <w:color w:val="000000" w:themeColor="text1"/>
                <w14:textFill>
                  <w14:solidFill>
                    <w14:schemeClr w14:val="tx1"/>
                  </w14:solidFill>
                </w14:textFill>
              </w:rPr>
              <w:t>限定值</w:t>
            </w:r>
            <w:r>
              <w:rPr>
                <w:rFonts w:hAnsi="宋体"/>
                <w:color w:val="000000" w:themeColor="text1"/>
                <w14:textFill>
                  <w14:solidFill>
                    <w14:schemeClr w14:val="tx1"/>
                  </w14:solidFill>
                </w14:textFill>
              </w:rPr>
              <w:t>（kgce/m</w:t>
            </w:r>
            <w:r>
              <w:rPr>
                <w:rFonts w:hAnsi="宋体"/>
                <w:color w:val="000000" w:themeColor="text1"/>
                <w:vertAlign w:val="superscript"/>
                <w14:textFill>
                  <w14:solidFill>
                    <w14:schemeClr w14:val="tx1"/>
                  </w14:solidFill>
                </w14:textFill>
              </w:rPr>
              <w:t>3</w:t>
            </w:r>
            <w:r>
              <w:rPr>
                <w:rFonts w:hAnsi="宋体"/>
                <w:color w:val="000000" w:themeColor="text1"/>
                <w14:textFill>
                  <w14:solidFill>
                    <w14:schemeClr w14:val="tx1"/>
                  </w14:solidFill>
                </w14:textFill>
              </w:rPr>
              <w:t>）</w:t>
            </w:r>
          </w:p>
        </w:tc>
        <w:tc>
          <w:tcPr>
            <w:tcW w:w="3280" w:type="dxa"/>
            <w:tcBorders>
              <w:top w:val="single" w:color="auto" w:sz="8" w:space="0"/>
              <w:bottom w:val="single" w:color="auto" w:sz="8" w:space="0"/>
            </w:tcBorders>
          </w:tcPr>
          <w:p w14:paraId="46FF015B">
            <w:pPr>
              <w:pStyle w:val="181"/>
              <w:rPr>
                <w:rFonts w:hint="eastAsia" w:hAnsi="宋体"/>
                <w:color w:val="000000" w:themeColor="text1"/>
                <w14:textFill>
                  <w14:solidFill>
                    <w14:schemeClr w14:val="tx1"/>
                  </w14:solidFill>
                </w14:textFill>
              </w:rPr>
            </w:pPr>
            <w:bookmarkStart w:id="192" w:name="_Hlk99699332"/>
            <w:r>
              <w:rPr>
                <w:rFonts w:hAnsi="宋体"/>
                <w:color w:val="000000" w:themeColor="text1"/>
                <w14:textFill>
                  <w14:solidFill>
                    <w14:schemeClr w14:val="tx1"/>
                  </w14:solidFill>
                </w14:textFill>
              </w:rPr>
              <w:t>综合能耗限额</w:t>
            </w:r>
            <w:bookmarkEnd w:id="192"/>
            <w:r>
              <w:rPr>
                <w:rFonts w:hint="eastAsia" w:hAnsi="宋体"/>
                <w:color w:val="000000" w:themeColor="text1"/>
                <w14:textFill>
                  <w14:solidFill>
                    <w14:schemeClr w14:val="tx1"/>
                  </w14:solidFill>
                </w14:textFill>
              </w:rPr>
              <w:t>先进值</w:t>
            </w:r>
            <w:r>
              <w:rPr>
                <w:rFonts w:hAnsi="宋体"/>
                <w:color w:val="000000" w:themeColor="text1"/>
                <w14:textFill>
                  <w14:solidFill>
                    <w14:schemeClr w14:val="tx1"/>
                  </w14:solidFill>
                </w14:textFill>
              </w:rPr>
              <w:t>（kgce/m</w:t>
            </w:r>
            <w:r>
              <w:rPr>
                <w:rFonts w:hAnsi="宋体"/>
                <w:color w:val="000000" w:themeColor="text1"/>
                <w:vertAlign w:val="superscript"/>
                <w14:textFill>
                  <w14:solidFill>
                    <w14:schemeClr w14:val="tx1"/>
                  </w14:solidFill>
                </w14:textFill>
              </w:rPr>
              <w:t>3</w:t>
            </w:r>
            <w:r>
              <w:rPr>
                <w:rFonts w:hAnsi="宋体"/>
                <w:color w:val="000000" w:themeColor="text1"/>
                <w14:textFill>
                  <w14:solidFill>
                    <w14:schemeClr w14:val="tx1"/>
                  </w14:solidFill>
                </w14:textFill>
              </w:rPr>
              <w:t>）</w:t>
            </w:r>
          </w:p>
        </w:tc>
      </w:tr>
      <w:tr w14:paraId="2CED26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tcBorders>
              <w:top w:val="single" w:color="auto" w:sz="8" w:space="0"/>
            </w:tcBorders>
          </w:tcPr>
          <w:p w14:paraId="138DFCA3">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50</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100</w:t>
            </w:r>
          </w:p>
        </w:tc>
        <w:tc>
          <w:tcPr>
            <w:tcW w:w="2926" w:type="dxa"/>
            <w:tcBorders>
              <w:top w:val="single" w:color="auto" w:sz="8" w:space="0"/>
            </w:tcBorders>
          </w:tcPr>
          <w:p w14:paraId="54CB02EB">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731</w:t>
            </w:r>
          </w:p>
        </w:tc>
        <w:tc>
          <w:tcPr>
            <w:tcW w:w="3280" w:type="dxa"/>
            <w:tcBorders>
              <w:top w:val="single" w:color="auto" w:sz="8" w:space="0"/>
            </w:tcBorders>
          </w:tcPr>
          <w:p w14:paraId="0621A4D9">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585</w:t>
            </w:r>
          </w:p>
        </w:tc>
      </w:tr>
      <w:tr w14:paraId="2EA187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tcPr>
          <w:p w14:paraId="15B13B4C">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50</w:t>
            </w:r>
          </w:p>
        </w:tc>
        <w:tc>
          <w:tcPr>
            <w:tcW w:w="2926" w:type="dxa"/>
          </w:tcPr>
          <w:p w14:paraId="6B20CB8C">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755</w:t>
            </w:r>
          </w:p>
        </w:tc>
        <w:tc>
          <w:tcPr>
            <w:tcW w:w="3280" w:type="dxa"/>
          </w:tcPr>
          <w:p w14:paraId="66909D14">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604</w:t>
            </w:r>
          </w:p>
        </w:tc>
      </w:tr>
      <w:tr w14:paraId="123282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tcPr>
          <w:p w14:paraId="403A42A8">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10</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w:t>
            </w:r>
          </w:p>
        </w:tc>
        <w:tc>
          <w:tcPr>
            <w:tcW w:w="2926" w:type="dxa"/>
          </w:tcPr>
          <w:p w14:paraId="589310FE">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821</w:t>
            </w:r>
          </w:p>
        </w:tc>
        <w:tc>
          <w:tcPr>
            <w:tcW w:w="3280" w:type="dxa"/>
          </w:tcPr>
          <w:p w14:paraId="6EBE696F">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657</w:t>
            </w:r>
          </w:p>
        </w:tc>
      </w:tr>
      <w:tr w14:paraId="508900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tcPr>
          <w:p w14:paraId="1BBC4141">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10</w:t>
            </w:r>
          </w:p>
        </w:tc>
        <w:tc>
          <w:tcPr>
            <w:tcW w:w="2926" w:type="dxa"/>
          </w:tcPr>
          <w:p w14:paraId="706E21A3">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868</w:t>
            </w:r>
          </w:p>
        </w:tc>
        <w:tc>
          <w:tcPr>
            <w:tcW w:w="3280" w:type="dxa"/>
          </w:tcPr>
          <w:p w14:paraId="7FE6874D">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694</w:t>
            </w:r>
          </w:p>
        </w:tc>
      </w:tr>
      <w:tr w14:paraId="2EC8E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28" w:type="dxa"/>
            <w:tcBorders>
              <w:bottom w:val="single" w:color="auto" w:sz="8" w:space="0"/>
            </w:tcBorders>
          </w:tcPr>
          <w:p w14:paraId="0CCFB0DF">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5</w:t>
            </w:r>
          </w:p>
        </w:tc>
        <w:tc>
          <w:tcPr>
            <w:tcW w:w="2926" w:type="dxa"/>
            <w:tcBorders>
              <w:bottom w:val="single" w:color="auto" w:sz="8" w:space="0"/>
            </w:tcBorders>
          </w:tcPr>
          <w:p w14:paraId="1C905D91">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912</w:t>
            </w:r>
          </w:p>
        </w:tc>
        <w:tc>
          <w:tcPr>
            <w:tcW w:w="3280" w:type="dxa"/>
            <w:tcBorders>
              <w:bottom w:val="single" w:color="auto" w:sz="8" w:space="0"/>
            </w:tcBorders>
          </w:tcPr>
          <w:p w14:paraId="3C01A04E">
            <w:pPr>
              <w:pStyle w:val="181"/>
              <w:rPr>
                <w:rFonts w:hint="eastAsia" w:hAnsi="宋体"/>
                <w:color w:val="000000" w:themeColor="text1"/>
                <w14:textFill>
                  <w14:solidFill>
                    <w14:schemeClr w14:val="tx1"/>
                  </w14:solidFill>
                </w14:textFill>
              </w:rPr>
            </w:pPr>
            <w:r>
              <w:rPr>
                <w:rFonts w:hAnsi="宋体"/>
                <w:color w:val="000000" w:themeColor="text1"/>
                <w14:textFill>
                  <w14:solidFill>
                    <w14:schemeClr w14:val="tx1"/>
                  </w14:solidFill>
                </w14:textFill>
              </w:rPr>
              <w:t>≤0.0</w:t>
            </w:r>
            <w:r>
              <w:rPr>
                <w:rFonts w:hint="eastAsia" w:hAnsi="宋体"/>
                <w:color w:val="000000" w:themeColor="text1"/>
                <w14:textFill>
                  <w14:solidFill>
                    <w14:schemeClr w14:val="tx1"/>
                  </w14:solidFill>
                </w14:textFill>
              </w:rPr>
              <w:t>730</w:t>
            </w:r>
          </w:p>
        </w:tc>
      </w:tr>
      <w:tr w14:paraId="1137B4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34" w:type="dxa"/>
            <w:gridSpan w:val="3"/>
            <w:tcBorders>
              <w:top w:val="single" w:color="auto" w:sz="8" w:space="0"/>
              <w:bottom w:val="single" w:color="auto" w:sz="8" w:space="0"/>
            </w:tcBorders>
          </w:tcPr>
          <w:p w14:paraId="327A9221">
            <w:pPr>
              <w:pStyle w:val="104"/>
              <w:rPr>
                <w:rFonts w:hint="eastAsia"/>
                <w:color w:val="000000" w:themeColor="text1"/>
                <w14:textFill>
                  <w14:solidFill>
                    <w14:schemeClr w14:val="tx1"/>
                  </w14:solidFill>
                </w14:textFill>
              </w:rPr>
            </w:pPr>
            <w:r>
              <w:rPr>
                <w:color w:val="000000" w:themeColor="text1"/>
                <w14:textFill>
                  <w14:solidFill>
                    <w14:schemeClr w14:val="tx1"/>
                  </w14:solidFill>
                </w14:textFill>
              </w:rPr>
              <w:t>规模中的数值含上限</w:t>
            </w:r>
          </w:p>
        </w:tc>
      </w:tr>
    </w:tbl>
    <w:p w14:paraId="5776A390">
      <w:pPr>
        <w:pStyle w:val="116"/>
        <w:rPr>
          <w:rFonts w:hint="eastAsia"/>
          <w:color w:val="000000" w:themeColor="text1"/>
          <w14:textFill>
            <w14:solidFill>
              <w14:schemeClr w14:val="tx1"/>
            </w14:solidFill>
          </w14:textFill>
        </w:rPr>
      </w:pPr>
      <w:r>
        <w:rPr>
          <w:color w:val="000000" w:themeColor="text1"/>
          <w14:textFill>
            <w14:solidFill>
              <w14:schemeClr w14:val="tx1"/>
            </w14:solidFill>
          </w14:textFill>
        </w:rPr>
        <w:tab/>
      </w:r>
      <m:oMath>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E</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ZN</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f>
          <m:fPr>
            <m:ctrlPr>
              <w:rPr>
                <w:rFonts w:ascii="Cambria Math" w:hAnsi="Cambria Math"/>
                <w:i/>
                <w:color w:val="000000" w:themeColor="text1"/>
                <w14:textFill>
                  <w14:solidFill>
                    <w14:schemeClr w14:val="tx1"/>
                  </w14:solidFill>
                </w14:textFill>
              </w:rPr>
            </m:ctrlPr>
          </m:fPr>
          <m:num>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ZN</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num>
          <m:den>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WS</m:t>
                </m:r>
                <m:ctrlPr>
                  <w:rPr>
                    <w:rFonts w:ascii="Cambria Math" w:hAnsi="Cambria Math"/>
                    <w:i/>
                    <w:color w:val="000000" w:themeColor="text1"/>
                    <w14:textFill>
                      <w14:solidFill>
                        <w14:schemeClr w14:val="tx1"/>
                      </w14:solidFill>
                    </w14:textFill>
                  </w:rPr>
                </m:ctrlPr>
              </m:sub>
            </m:sSub>
            <m:ctrlPr>
              <w:rPr>
                <w:rFonts w:ascii="Cambria Math" w:hAnsi="Cambria Math"/>
                <w:i/>
                <w:color w:val="000000" w:themeColor="text1"/>
                <w14:textFill>
                  <w14:solidFill>
                    <w14:schemeClr w14:val="tx1"/>
                  </w14:solidFill>
                </w14:textFill>
              </w:rPr>
            </m:ctrlPr>
          </m:den>
        </m:f>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seq fulu_equation_13294372536982739</w:instrText>
      </w:r>
      <w:r>
        <w:rPr>
          <w:rFonts w:hint="eastAsia"/>
          <w:color w:val="000000" w:themeColor="text1"/>
          <w14:textFill>
            <w14:solidFill>
              <w14:schemeClr w14:val="tx1"/>
            </w14:solidFill>
          </w14:textFill>
        </w:rPr>
        <w:instrText xml:space="preserve">3</w:instrText>
      </w:r>
      <w:r>
        <w:rPr>
          <w:color w:val="000000" w:themeColor="text1"/>
          <w14:textFill>
            <w14:solidFill>
              <w14:schemeClr w14:val="tx1"/>
            </w14:solidFill>
          </w14:textFill>
        </w:rPr>
        <w:instrText xml:space="preserve"> </w:instrText>
      </w:r>
      <w:r>
        <w:rPr>
          <w:color w:val="000000" w:themeColor="text1"/>
          <w14:textFill>
            <w14:solidFill>
              <w14:schemeClr w14:val="tx1"/>
            </w14:solidFill>
          </w14:textFill>
        </w:rPr>
        <w:fldChar w:fldCharType="separate"/>
      </w:r>
      <w:r>
        <w:rPr>
          <w:rFonts w:hint="eastAsia"/>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p>
    <w:p w14:paraId="259A0396">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14:paraId="057C8E6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E</w:t>
      </w:r>
      <w:r>
        <w:rPr>
          <w:color w:val="000000" w:themeColor="text1"/>
          <w:vertAlign w:val="subscript"/>
          <w14:textFill>
            <w14:solidFill>
              <w14:schemeClr w14:val="tx1"/>
            </w14:solidFill>
          </w14:textFill>
        </w:rPr>
        <w:t>ZN</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单位污水处理综合能耗，单位为</w:t>
      </w:r>
      <w:r>
        <w:rPr>
          <w:color w:val="000000" w:themeColor="text1"/>
          <w14:textFill>
            <w14:solidFill>
              <w14:schemeClr w14:val="tx1"/>
            </w14:solidFill>
          </w14:textFill>
        </w:rPr>
        <w:t>kgce/m</w:t>
      </w:r>
      <w:r>
        <w:rPr>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p w14:paraId="512C56DB">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Q</w:t>
      </w:r>
      <w:r>
        <w:rPr>
          <w:color w:val="000000" w:themeColor="text1"/>
          <w:vertAlign w:val="subscript"/>
          <w14:textFill>
            <w14:solidFill>
              <w14:schemeClr w14:val="tx1"/>
            </w14:solidFill>
          </w14:textFill>
        </w:rPr>
        <w:t>ZN</w:t>
      </w:r>
      <w:r>
        <w:rPr>
          <w:color w:val="000000" w:themeColor="text1"/>
          <w14:textFill>
            <w14:solidFill>
              <w14:schemeClr w14:val="tx1"/>
            </w14:solidFill>
          </w14:textFill>
        </w:rPr>
        <w:t>—</w:t>
      </w:r>
      <w:r>
        <w:rPr>
          <w:color w:val="000000" w:themeColor="text1"/>
          <w:kern w:val="21"/>
          <w14:textFill>
            <w14:solidFill>
              <w14:schemeClr w14:val="tx1"/>
            </w14:solidFill>
          </w14:textFill>
        </w:rPr>
        <w:t>统计报告期内，污水处理能源消耗总量，单位为千克标煤（kgce）；</w:t>
      </w:r>
    </w:p>
    <w:p w14:paraId="2E289B75">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Q</w:t>
      </w:r>
      <w:r>
        <w:rPr>
          <w:rFonts w:hint="eastAsia"/>
          <w:color w:val="000000" w:themeColor="text1"/>
          <w:vertAlign w:val="subscript"/>
          <w14:textFill>
            <w14:solidFill>
              <w14:schemeClr w14:val="tx1"/>
            </w14:solidFill>
          </w14:textFill>
        </w:rPr>
        <w:t>ws</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处理污水量，单位为m</w:t>
      </w:r>
      <w:r>
        <w:rPr>
          <w:rFonts w:hint="eastAsia"/>
          <w:color w:val="000000" w:themeColor="text1"/>
          <w:vertAlign w:val="superscript"/>
          <w14:textFill>
            <w14:solidFill>
              <w14:schemeClr w14:val="tx1"/>
            </w14:solidFill>
          </w14:textFill>
        </w:rPr>
        <w:t>3</w:t>
      </w:r>
      <w:r>
        <w:rPr>
          <w:rFonts w:hint="eastAsia"/>
          <w:color w:val="000000" w:themeColor="text1"/>
          <w14:textFill>
            <w14:solidFill>
              <w14:schemeClr w14:val="tx1"/>
            </w14:solidFill>
          </w14:textFill>
        </w:rPr>
        <w:t>。</w:t>
      </w:r>
    </w:p>
    <w:p w14:paraId="306DE72E">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城镇污水处理厂应定期进行能量平衡计算，编制能量平衡表，建立能源管理体系，提高能源利用水平。</w:t>
      </w:r>
    </w:p>
    <w:p w14:paraId="5084F72A">
      <w:pPr>
        <w:pStyle w:val="108"/>
        <w:spacing w:before="156" w:after="156"/>
        <w:rPr>
          <w:color w:val="000000" w:themeColor="text1"/>
          <w14:textFill>
            <w14:solidFill>
              <w14:schemeClr w14:val="tx1"/>
            </w14:solidFill>
          </w14:textFill>
        </w:rPr>
      </w:pPr>
      <w:bookmarkStart w:id="193" w:name="_Toc1658"/>
      <w:bookmarkStart w:id="194" w:name="_Toc7816"/>
      <w:r>
        <w:rPr>
          <w:rFonts w:hint="eastAsia"/>
          <w:color w:val="000000" w:themeColor="text1"/>
          <w14:textFill>
            <w14:solidFill>
              <w14:schemeClr w14:val="tx1"/>
            </w14:solidFill>
          </w14:textFill>
        </w:rPr>
        <w:t>太阳能光热及光伏系统</w:t>
      </w:r>
      <w:bookmarkEnd w:id="193"/>
      <w:bookmarkEnd w:id="194"/>
    </w:p>
    <w:p w14:paraId="32A1CE9B">
      <w:pPr>
        <w:pStyle w:val="168"/>
        <w:ind w:left="0" w:leftChars="0" w:firstLine="0" w:firstLineChars="0"/>
      </w:pPr>
      <w:r>
        <w:rPr>
          <w:rFonts w:hint="eastAsia"/>
        </w:rPr>
        <w:t>城镇污水处理厂太阳能光热系统应充分利用给水压力。</w:t>
      </w:r>
    </w:p>
    <w:p w14:paraId="26040C5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太阳能热水系统应设置自动控制系统，自动控制系统应保证最大限度的利用太阳能。</w:t>
      </w:r>
    </w:p>
    <w:p w14:paraId="57C3674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处理规模在1万吨/天以上的大中型污水处理厂宜装设光伏发电等可再生能源系统，并采用“自发自用、余电上网”模式。</w:t>
      </w:r>
    </w:p>
    <w:p w14:paraId="1099742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城镇污水处理厂光伏发电系统储能装置的选择应符合下列规定：</w:t>
      </w:r>
    </w:p>
    <w:p w14:paraId="14644510">
      <w:pPr>
        <w:pStyle w:val="112"/>
        <w:numPr>
          <w:ilvl w:val="1"/>
          <w:numId w:val="0"/>
        </w:numPr>
        <w:tabs>
          <w:tab w:val="clear" w:pos="851"/>
          <w:tab w:val="clear" w:pos="1276"/>
        </w:tabs>
        <w:ind w:leftChars="304"/>
        <w:rPr>
          <w:rFonts w:hint="eastAsia"/>
        </w:rPr>
      </w:pPr>
      <w:r>
        <w:rPr>
          <w:rFonts w:hint="eastAsia"/>
          <w:lang w:val="en-US" w:eastAsia="zh-CN"/>
        </w:rPr>
        <w:t>a)</w:t>
      </w:r>
      <w:r>
        <w:rPr>
          <w:rFonts w:hint="eastAsia"/>
        </w:rPr>
        <w:t>应配置适当容量的储能装置，并满足向处理工艺提供持续、稳定电力的要求；</w:t>
      </w:r>
    </w:p>
    <w:p w14:paraId="02FE3C60">
      <w:pPr>
        <w:pStyle w:val="112"/>
        <w:numPr>
          <w:ilvl w:val="1"/>
          <w:numId w:val="0"/>
        </w:numPr>
        <w:tabs>
          <w:tab w:val="clear" w:pos="851"/>
          <w:tab w:val="clear" w:pos="1276"/>
        </w:tabs>
        <w:ind w:leftChars="303"/>
        <w:rPr>
          <w:rFonts w:hint="eastAsia"/>
        </w:rPr>
      </w:pPr>
      <w:r>
        <w:rPr>
          <w:rFonts w:hint="eastAsia"/>
          <w:lang w:val="en-US" w:eastAsia="zh-CN"/>
        </w:rPr>
        <w:t>b)</w:t>
      </w:r>
      <w:r>
        <w:rPr>
          <w:rFonts w:hint="eastAsia"/>
        </w:rPr>
        <w:t>储能系统容量应根据实际占地面积、当地气候条件、负载的电能需要和所配电池的技术特性来确定；</w:t>
      </w:r>
    </w:p>
    <w:p w14:paraId="53C18716">
      <w:pPr>
        <w:pStyle w:val="112"/>
        <w:numPr>
          <w:ilvl w:val="1"/>
          <w:numId w:val="0"/>
        </w:numPr>
        <w:tabs>
          <w:tab w:val="clear" w:pos="1276"/>
        </w:tabs>
        <w:ind w:leftChars="304"/>
        <w:rPr>
          <w:rFonts w:hint="eastAsia"/>
        </w:rPr>
      </w:pPr>
      <w:r>
        <w:rPr>
          <w:rFonts w:hint="eastAsia"/>
          <w:lang w:val="en-US" w:eastAsia="zh-CN"/>
        </w:rPr>
        <w:t>c)</w:t>
      </w:r>
      <w:r>
        <w:rPr>
          <w:rFonts w:hint="eastAsia"/>
        </w:rPr>
        <w:t>光伏储能电池宜根据储能效率、循环寿命、能量密度、功率密度、响应时间、环境适应能力、充放电效率、自放电率、深放电能力等技术条件进行选择；</w:t>
      </w:r>
    </w:p>
    <w:p w14:paraId="13F4F93B">
      <w:pPr>
        <w:pStyle w:val="112"/>
        <w:numPr>
          <w:ilvl w:val="1"/>
          <w:numId w:val="0"/>
        </w:numPr>
        <w:tabs>
          <w:tab w:val="clear" w:pos="1276"/>
        </w:tabs>
        <w:ind w:leftChars="304"/>
        <w:rPr>
          <w:rFonts w:hint="eastAsia"/>
        </w:rPr>
      </w:pPr>
      <w:r>
        <w:rPr>
          <w:rFonts w:hint="eastAsia"/>
          <w:lang w:val="en-US" w:eastAsia="zh-CN"/>
        </w:rPr>
        <w:t>d)</w:t>
      </w:r>
      <w:r>
        <w:rPr>
          <w:rFonts w:hint="eastAsia"/>
        </w:rPr>
        <w:t>光伏发电的储能系统应接入城镇污水处理厂智能控制系统，在线检测装置进行智能化实时检测，应具有在线识别电池组落后单体、判断储能电池整体性能、充放电管理等功能，宜具有人机界面和通讯接口。</w:t>
      </w:r>
    </w:p>
    <w:p w14:paraId="5589ACC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光伏发电系统的主要设计参数应符合GB 50797和GB/T 19939中有关规定。</w:t>
      </w:r>
    </w:p>
    <w:p w14:paraId="5BF54320">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光伏方阵布置位置应充分利用场地空间，在条件允许的情况下，宜在生物池等构筑物上方有选择地铺设支架光伏。</w:t>
      </w:r>
    </w:p>
    <w:p w14:paraId="5D19E8D6">
      <w:pPr>
        <w:pStyle w:val="108"/>
        <w:spacing w:before="156" w:after="156"/>
        <w:rPr>
          <w:color w:val="000000" w:themeColor="text1"/>
          <w14:textFill>
            <w14:solidFill>
              <w14:schemeClr w14:val="tx1"/>
            </w14:solidFill>
          </w14:textFill>
        </w:rPr>
      </w:pPr>
      <w:bookmarkStart w:id="195" w:name="_Toc100821434"/>
      <w:bookmarkStart w:id="196" w:name="_Toc103243364"/>
      <w:bookmarkStart w:id="197" w:name="_Toc100822386"/>
      <w:bookmarkStart w:id="198" w:name="_Toc20212"/>
      <w:bookmarkStart w:id="199" w:name="_Toc101962914"/>
      <w:bookmarkStart w:id="200" w:name="_Toc103242865"/>
      <w:bookmarkStart w:id="201" w:name="_Toc103085746"/>
      <w:bookmarkStart w:id="202" w:name="_Toc15754"/>
      <w:bookmarkStart w:id="203" w:name="_Toc103242822"/>
      <w:r>
        <w:rPr>
          <w:rFonts w:hint="eastAsia"/>
          <w:color w:val="000000" w:themeColor="text1"/>
          <w14:textFill>
            <w14:solidFill>
              <w14:schemeClr w14:val="tx1"/>
            </w14:solidFill>
          </w14:textFill>
        </w:rPr>
        <w:t>再生水热能利用</w:t>
      </w:r>
      <w:bookmarkEnd w:id="195"/>
      <w:bookmarkEnd w:id="196"/>
      <w:bookmarkEnd w:id="197"/>
      <w:bookmarkEnd w:id="198"/>
      <w:bookmarkEnd w:id="199"/>
      <w:bookmarkEnd w:id="200"/>
      <w:bookmarkEnd w:id="201"/>
      <w:bookmarkEnd w:id="202"/>
      <w:bookmarkEnd w:id="203"/>
    </w:p>
    <w:p w14:paraId="1C8202C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城镇污水处理厂宜在出水处，即工艺末端设置水源热泵系统，提取潜热用于厂区内供热制冷，也可用于维持厌氧消化所需温度进行热电联产。</w:t>
      </w:r>
    </w:p>
    <w:p w14:paraId="5E44F3F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再生水换热系统应符合下列规定：</w:t>
      </w:r>
    </w:p>
    <w:p w14:paraId="2237C118">
      <w:pPr>
        <w:pStyle w:val="112"/>
        <w:numPr>
          <w:ilvl w:val="1"/>
          <w:numId w:val="32"/>
        </w:numPr>
        <w:ind w:left="638" w:leftChars="304" w:firstLine="0" w:firstLineChars="0"/>
        <w:rPr>
          <w:rFonts w:hint="eastAsia"/>
        </w:rPr>
      </w:pPr>
      <w:r>
        <w:rPr>
          <w:rFonts w:hint="eastAsia"/>
        </w:rPr>
        <w:t>再生水换热系统的退水水温，供冷工况不应高于35℃，供热工况不应低于4℃；</w:t>
      </w:r>
    </w:p>
    <w:p w14:paraId="3D93DE11">
      <w:pPr>
        <w:pStyle w:val="112"/>
        <w:numPr>
          <w:ilvl w:val="1"/>
          <w:numId w:val="33"/>
        </w:numPr>
        <w:ind w:left="638" w:leftChars="304" w:firstLine="0" w:firstLineChars="0"/>
        <w:rPr>
          <w:rFonts w:hint="eastAsia"/>
        </w:rPr>
      </w:pPr>
      <w:r>
        <w:rPr>
          <w:rFonts w:hint="eastAsia"/>
        </w:rPr>
        <w:t>再生水换热系统应采用闭式，并宜直接进入水源热泵机组；</w:t>
      </w:r>
    </w:p>
    <w:p w14:paraId="4771112F">
      <w:pPr>
        <w:pStyle w:val="112"/>
        <w:numPr>
          <w:ilvl w:val="1"/>
          <w:numId w:val="33"/>
        </w:numPr>
        <w:ind w:left="638" w:leftChars="304" w:firstLine="0" w:firstLineChars="0"/>
        <w:rPr>
          <w:rFonts w:hint="eastAsia"/>
        </w:rPr>
      </w:pPr>
      <w:r>
        <w:rPr>
          <w:rFonts w:hint="eastAsia"/>
        </w:rPr>
        <w:t>再生水换热系统的设计，应采取措施保证再生水水质不受污染；</w:t>
      </w:r>
    </w:p>
    <w:p w14:paraId="496FC19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水源热泵机组应按实际运行参数选型，其性能应符合现行国家标准GB/T 19409和GB 30721的相关规定，且应满足污水源热泵系统运行参数的要求。</w:t>
      </w:r>
    </w:p>
    <w:p w14:paraId="3A59D2E9">
      <w:pPr>
        <w:pStyle w:val="108"/>
        <w:spacing w:before="156" w:after="156"/>
        <w:rPr>
          <w:color w:val="000000" w:themeColor="text1"/>
          <w14:textFill>
            <w14:solidFill>
              <w14:schemeClr w14:val="tx1"/>
            </w14:solidFill>
          </w14:textFill>
        </w:rPr>
      </w:pPr>
      <w:bookmarkStart w:id="204" w:name="_Toc7038"/>
      <w:bookmarkStart w:id="205" w:name="_Toc100821435"/>
      <w:bookmarkStart w:id="206" w:name="_Toc103085747"/>
      <w:bookmarkStart w:id="207" w:name="_Toc100822387"/>
      <w:bookmarkStart w:id="208" w:name="_Toc1888"/>
      <w:bookmarkStart w:id="209" w:name="_Toc101962915"/>
      <w:bookmarkStart w:id="210" w:name="_Toc103242866"/>
      <w:bookmarkStart w:id="211" w:name="_Toc103243365"/>
      <w:bookmarkStart w:id="212" w:name="_Toc103242823"/>
      <w:r>
        <w:rPr>
          <w:rFonts w:hint="eastAsia"/>
          <w:color w:val="000000" w:themeColor="text1"/>
          <w14:textFill>
            <w14:solidFill>
              <w14:schemeClr w14:val="tx1"/>
            </w14:solidFill>
          </w14:textFill>
        </w:rPr>
        <w:t>风能利用</w:t>
      </w:r>
      <w:bookmarkEnd w:id="204"/>
      <w:bookmarkEnd w:id="205"/>
      <w:bookmarkEnd w:id="206"/>
      <w:bookmarkEnd w:id="207"/>
      <w:bookmarkEnd w:id="208"/>
      <w:bookmarkEnd w:id="209"/>
      <w:bookmarkEnd w:id="210"/>
      <w:bookmarkEnd w:id="211"/>
      <w:bookmarkEnd w:id="212"/>
    </w:p>
    <w:p w14:paraId="25872414">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城镇污水处理厂绿色设计应根据当地气象资料对厂址所在地的风能资源基本情况进行分析，并对相关的地理条件和气候特征进行适应性分析。</w:t>
      </w:r>
    </w:p>
    <w:p w14:paraId="215CC794">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风力发电机组应符合现行国家标准</w:t>
      </w:r>
      <w:r>
        <w:rPr>
          <w:color w:val="000000" w:themeColor="text1"/>
          <w14:textFill>
            <w14:solidFill>
              <w14:schemeClr w14:val="tx1"/>
            </w14:solidFill>
          </w14:textFill>
        </w:rPr>
        <w:t>GB/T 18451.1</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GB/T 19963</w:t>
      </w:r>
      <w:r>
        <w:rPr>
          <w:rFonts w:hint="eastAsia"/>
          <w:color w:val="000000" w:themeColor="text1"/>
          <w14:textFill>
            <w14:solidFill>
              <w14:schemeClr w14:val="tx1"/>
            </w14:solidFill>
          </w14:textFill>
        </w:rPr>
        <w:t>的有关规定。</w:t>
      </w:r>
    </w:p>
    <w:p w14:paraId="6A3E355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风力发电机组的位置布置除考虑风能资源外，也应考虑其对周围环境的影响。</w:t>
      </w:r>
    </w:p>
    <w:p w14:paraId="7521813D">
      <w:pPr>
        <w:pStyle w:val="108"/>
        <w:spacing w:before="156" w:after="156"/>
        <w:rPr>
          <w:color w:val="000000" w:themeColor="text1"/>
          <w14:textFill>
            <w14:solidFill>
              <w14:schemeClr w14:val="tx1"/>
            </w14:solidFill>
          </w14:textFill>
        </w:rPr>
      </w:pPr>
      <w:bookmarkStart w:id="213" w:name="_Toc100822388"/>
      <w:bookmarkStart w:id="214" w:name="_Toc30586"/>
      <w:bookmarkStart w:id="215" w:name="_Toc103242867"/>
      <w:bookmarkStart w:id="216" w:name="_Toc100821436"/>
      <w:bookmarkStart w:id="217" w:name="_Toc103243366"/>
      <w:bookmarkStart w:id="218" w:name="_Toc103242824"/>
      <w:bookmarkStart w:id="219" w:name="_Toc101962916"/>
      <w:bookmarkStart w:id="220" w:name="_Toc103085748"/>
      <w:bookmarkStart w:id="221" w:name="_Toc8930"/>
      <w:r>
        <w:rPr>
          <w:rFonts w:hint="eastAsia"/>
          <w:color w:val="000000" w:themeColor="text1"/>
          <w14:textFill>
            <w14:solidFill>
              <w14:schemeClr w14:val="tx1"/>
            </w14:solidFill>
          </w14:textFill>
        </w:rPr>
        <w:t>沼气利用</w:t>
      </w:r>
      <w:bookmarkEnd w:id="213"/>
      <w:bookmarkEnd w:id="214"/>
      <w:bookmarkEnd w:id="215"/>
      <w:bookmarkEnd w:id="216"/>
      <w:bookmarkEnd w:id="217"/>
      <w:bookmarkEnd w:id="218"/>
      <w:bookmarkEnd w:id="219"/>
      <w:bookmarkEnd w:id="220"/>
      <w:bookmarkEnd w:id="221"/>
    </w:p>
    <w:p w14:paraId="1BD670F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宜采用厌氧消化处理污泥进行热电联产，既可以用清洁能源沼气发电用于污水厂厂内自用，节省外购能源消耗，也能利用发电机烟气余热和缸套水余热回收的能量来提高厌氧消化效率。热电联产的年平均总热效率应大于45%，年平均热电比应大于50%。</w:t>
      </w:r>
    </w:p>
    <w:p w14:paraId="00F0EE2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城镇污水处理厂在条件允许时可选择建设沼气处理站，将沼气进行提纯并压缩产生压缩天然气供给车辆使用，从而减少汽油用量和温室气体排放。</w:t>
      </w:r>
    </w:p>
    <w:p w14:paraId="52F77CD8">
      <w:pPr>
        <w:pStyle w:val="108"/>
        <w:spacing w:before="156" w:after="156"/>
        <w:rPr>
          <w:color w:val="000000" w:themeColor="text1"/>
          <w14:textFill>
            <w14:solidFill>
              <w14:schemeClr w14:val="tx1"/>
            </w14:solidFill>
          </w14:textFill>
        </w:rPr>
      </w:pPr>
      <w:bookmarkStart w:id="222" w:name="_Toc103242825"/>
      <w:bookmarkStart w:id="223" w:name="_Toc29277"/>
      <w:bookmarkStart w:id="224" w:name="_Toc11851"/>
      <w:bookmarkStart w:id="225" w:name="_Toc100822390"/>
      <w:bookmarkStart w:id="226" w:name="_Toc103243367"/>
      <w:bookmarkStart w:id="227" w:name="_Toc103242868"/>
      <w:bookmarkStart w:id="228" w:name="_Toc100821438"/>
      <w:bookmarkStart w:id="229" w:name="_Toc103085749"/>
      <w:bookmarkStart w:id="230" w:name="_Toc101962918"/>
      <w:r>
        <w:rPr>
          <w:rFonts w:hint="eastAsia"/>
          <w:color w:val="000000" w:themeColor="text1"/>
          <w14:textFill>
            <w14:solidFill>
              <w14:schemeClr w14:val="tx1"/>
            </w14:solidFill>
          </w14:textFill>
        </w:rPr>
        <w:t>建筑节能</w:t>
      </w:r>
      <w:bookmarkEnd w:id="222"/>
      <w:bookmarkEnd w:id="223"/>
      <w:bookmarkEnd w:id="224"/>
      <w:bookmarkEnd w:id="225"/>
      <w:bookmarkEnd w:id="226"/>
      <w:bookmarkEnd w:id="227"/>
      <w:bookmarkEnd w:id="228"/>
      <w:bookmarkEnd w:id="229"/>
      <w:bookmarkEnd w:id="230"/>
    </w:p>
    <w:p w14:paraId="31AF123C">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城镇污水处理厂建筑节能设计应符合下列规定：</w:t>
      </w:r>
    </w:p>
    <w:p w14:paraId="396499D8">
      <w:pPr>
        <w:pStyle w:val="112"/>
        <w:numPr>
          <w:ilvl w:val="1"/>
          <w:numId w:val="34"/>
        </w:numPr>
        <w:tabs>
          <w:tab w:val="left" w:pos="640"/>
          <w:tab w:val="clear" w:pos="1276"/>
        </w:tabs>
        <w:ind w:left="656" w:leftChars="0" w:hanging="16" w:firstLineChars="0"/>
        <w:rPr>
          <w:rFonts w:hint="eastAsia"/>
        </w:rPr>
      </w:pPr>
      <w:r>
        <w:rPr>
          <w:rFonts w:hint="eastAsia"/>
        </w:rPr>
        <w:t>办公建筑和工艺设施应遵循被动节能措施优先的原则，充分利用天然采光、自然通风，结合围护结构保温隔热和遮阳措施，降低用能需求；</w:t>
      </w:r>
    </w:p>
    <w:p w14:paraId="4E4028A4">
      <w:pPr>
        <w:pStyle w:val="112"/>
        <w:numPr>
          <w:ilvl w:val="1"/>
          <w:numId w:val="34"/>
        </w:numPr>
        <w:tabs>
          <w:tab w:val="left" w:pos="640"/>
          <w:tab w:val="clear" w:pos="1276"/>
        </w:tabs>
        <w:ind w:left="1276" w:leftChars="0" w:hanging="636" w:firstLineChars="0"/>
        <w:rPr>
          <w:rFonts w:hint="eastAsia"/>
        </w:rPr>
      </w:pPr>
      <w:r>
        <w:rPr>
          <w:rFonts w:hint="eastAsia"/>
        </w:rPr>
        <w:t>建筑中庭应充分利用自然通风降温，并可设置机械排风装置加强自然补风；</w:t>
      </w:r>
    </w:p>
    <w:p w14:paraId="07DD91A6">
      <w:pPr>
        <w:pStyle w:val="112"/>
        <w:numPr>
          <w:ilvl w:val="1"/>
          <w:numId w:val="34"/>
        </w:numPr>
        <w:ind w:left="1276" w:leftChars="0" w:hanging="636" w:firstLineChars="0"/>
        <w:rPr>
          <w:rFonts w:hint="eastAsia"/>
          <w:color w:val="000000" w:themeColor="text1"/>
          <w14:textFill>
            <w14:solidFill>
              <w14:schemeClr w14:val="tx1"/>
            </w14:solidFill>
          </w14:textFill>
        </w:rPr>
      </w:pPr>
      <w:r>
        <w:rPr>
          <w:rFonts w:hint="eastAsia"/>
        </w:rPr>
        <w:t>应充分利用天然采光，天然采光不足时宜采用导光、反光等装置将自然光引入室内。</w:t>
      </w:r>
    </w:p>
    <w:p w14:paraId="54A103C6">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变压器、电动机等电气设备应采用高效节能型产品，变压器负载率不宜大于70%。</w:t>
      </w:r>
    </w:p>
    <w:p w14:paraId="1FE1B91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照明系统应选择LED等高效、节能光源及灯具，地下污水处理厂宜采用智能照明控制系统。</w:t>
      </w:r>
    </w:p>
    <w:p w14:paraId="3CAD2FD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供暖空调冷热源设置应符合GB 55015和GB 50189的相关规定。</w:t>
      </w:r>
    </w:p>
    <w:p w14:paraId="07A962CC">
      <w:pPr>
        <w:pStyle w:val="107"/>
        <w:spacing w:before="312" w:after="312"/>
        <w:rPr>
          <w:color w:val="000000" w:themeColor="text1"/>
          <w14:textFill>
            <w14:solidFill>
              <w14:schemeClr w14:val="tx1"/>
            </w14:solidFill>
          </w14:textFill>
        </w:rPr>
      </w:pPr>
      <w:bookmarkStart w:id="231" w:name="_Toc103242826"/>
      <w:bookmarkStart w:id="232" w:name="_Toc103242869"/>
      <w:bookmarkStart w:id="233" w:name="_Toc3305"/>
      <w:bookmarkStart w:id="234" w:name="_Toc101962921"/>
      <w:bookmarkStart w:id="235" w:name="_Toc103243368"/>
      <w:bookmarkStart w:id="236" w:name="_Toc103085750"/>
      <w:bookmarkStart w:id="237" w:name="_Toc100822393"/>
      <w:bookmarkStart w:id="238" w:name="_Toc25773"/>
      <w:bookmarkStart w:id="239" w:name="_Toc100821441"/>
      <w:r>
        <w:rPr>
          <w:rFonts w:hint="eastAsia"/>
          <w:color w:val="000000" w:themeColor="text1"/>
          <w14:textFill>
            <w14:solidFill>
              <w14:schemeClr w14:val="tx1"/>
            </w14:solidFill>
          </w14:textFill>
        </w:rPr>
        <w:t>智慧控制系统</w:t>
      </w:r>
      <w:bookmarkEnd w:id="231"/>
      <w:bookmarkEnd w:id="232"/>
      <w:bookmarkEnd w:id="233"/>
      <w:bookmarkEnd w:id="234"/>
      <w:bookmarkEnd w:id="235"/>
      <w:bookmarkEnd w:id="236"/>
      <w:bookmarkEnd w:id="237"/>
      <w:bookmarkEnd w:id="238"/>
      <w:bookmarkEnd w:id="239"/>
    </w:p>
    <w:p w14:paraId="3A122AEE">
      <w:pPr>
        <w:pStyle w:val="108"/>
        <w:spacing w:before="156" w:after="156"/>
        <w:rPr>
          <w:color w:val="000000" w:themeColor="text1"/>
          <w14:textFill>
            <w14:solidFill>
              <w14:schemeClr w14:val="tx1"/>
            </w14:solidFill>
          </w14:textFill>
        </w:rPr>
      </w:pPr>
      <w:bookmarkStart w:id="240" w:name="_Toc103085751"/>
      <w:bookmarkStart w:id="241" w:name="_Toc100822394"/>
      <w:bookmarkStart w:id="242" w:name="_Toc13434"/>
      <w:bookmarkStart w:id="243" w:name="_Toc103242870"/>
      <w:bookmarkStart w:id="244" w:name="_Toc8312"/>
      <w:bookmarkStart w:id="245" w:name="_Toc101962922"/>
      <w:bookmarkStart w:id="246" w:name="_Toc103242827"/>
      <w:bookmarkStart w:id="247" w:name="_Toc103243369"/>
      <w:bookmarkStart w:id="248" w:name="_Toc100821442"/>
      <w:r>
        <w:rPr>
          <w:rFonts w:hint="eastAsia"/>
          <w:color w:val="000000" w:themeColor="text1"/>
          <w14:textFill>
            <w14:solidFill>
              <w14:schemeClr w14:val="tx1"/>
            </w14:solidFill>
          </w14:textFill>
        </w:rPr>
        <w:t>一般规定</w:t>
      </w:r>
      <w:bookmarkEnd w:id="240"/>
      <w:bookmarkEnd w:id="241"/>
      <w:bookmarkEnd w:id="242"/>
      <w:bookmarkEnd w:id="243"/>
      <w:bookmarkEnd w:id="244"/>
      <w:bookmarkEnd w:id="245"/>
      <w:bookmarkEnd w:id="246"/>
      <w:bookmarkEnd w:id="247"/>
      <w:bookmarkEnd w:id="248"/>
    </w:p>
    <w:p w14:paraId="02C8F86A">
      <w:pPr>
        <w:pStyle w:val="168"/>
        <w:ind w:left="0" w:leftChars="0" w:firstLine="0" w:firstLineChars="0"/>
      </w:pPr>
      <w:r>
        <w:rPr>
          <w:rFonts w:hint="eastAsia"/>
          <w:color w:val="000000" w:themeColor="text1"/>
          <w14:textFill>
            <w14:solidFill>
              <w14:schemeClr w14:val="tx1"/>
            </w14:solidFill>
          </w14:textFill>
        </w:rPr>
        <w:t>城镇污水处理厂应具备智慧控制系统，对厂区内生产运行及运维管理进行协调控制。</w:t>
      </w:r>
    </w:p>
    <w:p w14:paraId="607C0CD3">
      <w:pPr>
        <w:pStyle w:val="168"/>
        <w:ind w:left="0" w:leftChars="0" w:firstLine="0" w:firstLineChars="0"/>
      </w:pPr>
      <w:r>
        <w:rPr>
          <w:rFonts w:hint="eastAsia"/>
          <w:color w:val="000000" w:themeColor="text1"/>
          <w14:textFill>
            <w14:solidFill>
              <w14:schemeClr w14:val="tx1"/>
            </w14:solidFill>
          </w14:textFill>
        </w:rPr>
        <w:t>城镇污水处理厂的智慧控制系统设计应以数据为基础，以日常生产和运行管理需求为导向，充分整合及利用现有设施设备和信息资源，综合运用地理信息系统、大数据、云计算、物联网、移动互联、人工智能、自动化控制、数字模型等，并满足可运行、可维护、可扩展的要求。</w:t>
      </w:r>
    </w:p>
    <w:p w14:paraId="433F3306">
      <w:pPr>
        <w:pStyle w:val="168"/>
        <w:ind w:left="0" w:leftChars="0" w:firstLine="0" w:firstLineChars="0"/>
      </w:pPr>
      <w:r>
        <w:rPr>
          <w:rFonts w:hint="eastAsia"/>
          <w:color w:val="000000" w:themeColor="text1"/>
          <w14:textFill>
            <w14:solidFill>
              <w14:schemeClr w14:val="tx1"/>
            </w14:solidFill>
          </w14:textFill>
        </w:rPr>
        <w:t>城镇污水处理厂智慧系统应对能源利用、减排降碳等绿色设施设备进行监测，并根据监测结果进行反馈自行调整相关运行参数，保证绿色设施设备的正常运行。</w:t>
      </w:r>
    </w:p>
    <w:p w14:paraId="328599BF">
      <w:pPr>
        <w:pStyle w:val="108"/>
        <w:spacing w:before="156" w:after="156"/>
        <w:rPr>
          <w:color w:val="000000" w:themeColor="text1"/>
          <w14:textFill>
            <w14:solidFill>
              <w14:schemeClr w14:val="tx1"/>
            </w14:solidFill>
          </w14:textFill>
        </w:rPr>
      </w:pPr>
      <w:bookmarkStart w:id="249" w:name="_Toc16884"/>
      <w:bookmarkStart w:id="250" w:name="_Toc103242828"/>
      <w:bookmarkStart w:id="251" w:name="_Toc103243370"/>
      <w:bookmarkStart w:id="252" w:name="_Toc103242871"/>
      <w:bookmarkStart w:id="253" w:name="_Toc24989"/>
      <w:r>
        <w:rPr>
          <w:rFonts w:hint="eastAsia"/>
          <w:color w:val="000000" w:themeColor="text1"/>
          <w14:textFill>
            <w14:solidFill>
              <w14:schemeClr w14:val="tx1"/>
            </w14:solidFill>
          </w14:textFill>
        </w:rPr>
        <w:t>总体架构</w:t>
      </w:r>
      <w:bookmarkEnd w:id="249"/>
      <w:bookmarkEnd w:id="250"/>
      <w:bookmarkEnd w:id="251"/>
      <w:bookmarkEnd w:id="252"/>
      <w:bookmarkEnd w:id="253"/>
    </w:p>
    <w:p w14:paraId="3B95A6C7">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根据城镇污水处理厂的规模和工艺流程的复杂程度，选择合适的控制系统结构，可以选择中央控制系统、分散控制系统或者混合控制系统。可将整个智慧控制系统分成物联感知层、数据层和应用层，每个层次的控制任务不同，需要针对性地设计控制策略和算法。</w:t>
      </w:r>
    </w:p>
    <w:p w14:paraId="2D1B9DF8">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物联感知层包括在线监测、网络通信，该层级主要通过传感器仪表、网络设备和生产控制设备实现数据的采集传输，实现对工艺和设备等进行实时监测。在线监测以物联网技术为核心，通过将仪表、摄像头及其他终端设备的数据及信息进行自动化采集实现全流程监测、监视和监控，为业务应用提供实时动态数据支撑；网络通信通过网络基础设施实现人与人、人与设备设施、设备设施与设备设施之间的连接。</w:t>
      </w:r>
    </w:p>
    <w:p w14:paraId="424DDA16">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层包括大数据与云技术，大数据包括通用数据库及数据管理，云技术包括云基础设施及云计算。通用数据库构建相关数据的采集汇聚存储体系、治理管控平台、可视化资产运营能力以及数据挖掘能力；云技术通过云基础设施的构建为上层系统提供算力。</w:t>
      </w:r>
    </w:p>
    <w:p w14:paraId="45FF939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用层包括应用支撑及服务、业务应用系统和平台展示。应用支撑及服务为智慧控制系统业务应用进行数据赋能、业务赋能和技术赋能，减少业务应用开发难度，降低应用开发工作量；业务应用系统包括数字化管理、智能控制和智慧决策，满足水厂的管理需求，实现资源共享与业务协同；平台展示可通过大屏、电脑端、移动端等客户端满足不同场景及不同岗位用户的需求。</w:t>
      </w:r>
    </w:p>
    <w:p w14:paraId="468BC650">
      <w:pPr>
        <w:pStyle w:val="108"/>
        <w:spacing w:before="156" w:after="156"/>
        <w:rPr>
          <w:color w:val="000000" w:themeColor="text1"/>
          <w14:textFill>
            <w14:solidFill>
              <w14:schemeClr w14:val="tx1"/>
            </w14:solidFill>
          </w14:textFill>
        </w:rPr>
      </w:pPr>
      <w:bookmarkStart w:id="254" w:name="_Toc103242875"/>
      <w:bookmarkStart w:id="255" w:name="_Toc103242832"/>
      <w:bookmarkStart w:id="256" w:name="_Toc101962926"/>
      <w:bookmarkStart w:id="257" w:name="_Toc103085755"/>
      <w:bookmarkStart w:id="258" w:name="_Toc100821446"/>
      <w:bookmarkStart w:id="259" w:name="_Toc103243374"/>
      <w:bookmarkStart w:id="260" w:name="_Toc100822398"/>
      <w:bookmarkStart w:id="261" w:name="_Toc18902"/>
      <w:bookmarkStart w:id="262" w:name="_Toc4708"/>
      <w:r>
        <w:rPr>
          <w:rFonts w:hint="eastAsia"/>
          <w:color w:val="000000" w:themeColor="text1"/>
          <w14:textFill>
            <w14:solidFill>
              <w14:schemeClr w14:val="tx1"/>
            </w14:solidFill>
          </w14:textFill>
        </w:rPr>
        <w:t>物联网感知</w:t>
      </w:r>
      <w:bookmarkEnd w:id="254"/>
      <w:bookmarkEnd w:id="255"/>
      <w:bookmarkEnd w:id="256"/>
      <w:bookmarkEnd w:id="257"/>
      <w:bookmarkEnd w:id="258"/>
      <w:bookmarkEnd w:id="259"/>
      <w:bookmarkEnd w:id="260"/>
      <w:r>
        <w:rPr>
          <w:rFonts w:hint="eastAsia"/>
          <w:color w:val="000000" w:themeColor="text1"/>
          <w14:textFill>
            <w14:solidFill>
              <w14:schemeClr w14:val="tx1"/>
            </w14:solidFill>
          </w14:textFill>
        </w:rPr>
        <w:t>层</w:t>
      </w:r>
      <w:bookmarkEnd w:id="261"/>
      <w:bookmarkEnd w:id="262"/>
    </w:p>
    <w:p w14:paraId="78153850">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智慧控制系统应构建物联网监测感知系统，将物联检测设备和移动办公设备通过移动互联网介入，可随时通过移动设备在线查看污水厂各处理单元的监控实时视频、以及运用AR等技术进行可视化巡检。</w:t>
      </w:r>
    </w:p>
    <w:p w14:paraId="742A1633">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城镇污水处理厂运行参数监测内容应根据业务应用进行需求分析后确定。</w:t>
      </w:r>
    </w:p>
    <w:p w14:paraId="2C0261F6">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视频监控布点设计宜参考以下设计要求：</w:t>
      </w:r>
    </w:p>
    <w:p w14:paraId="13C0F8BB">
      <w:pPr>
        <w:pStyle w:val="112"/>
        <w:numPr>
          <w:ilvl w:val="1"/>
          <w:numId w:val="35"/>
        </w:numPr>
        <w:tabs>
          <w:tab w:val="left" w:pos="420"/>
          <w:tab w:val="clear" w:pos="1276"/>
        </w:tabs>
        <w:ind w:left="656" w:leftChars="0" w:hanging="16" w:firstLineChars="0"/>
        <w:rPr>
          <w:rFonts w:hint="eastAsia"/>
        </w:rPr>
      </w:pPr>
      <w:r>
        <w:rPr>
          <w:rFonts w:hint="eastAsia"/>
        </w:rPr>
        <w:t>应优先考虑无遮挡、取电方便、接地条件好的位置布设；</w:t>
      </w:r>
    </w:p>
    <w:p w14:paraId="12F60EB0">
      <w:pPr>
        <w:pStyle w:val="112"/>
        <w:numPr>
          <w:ilvl w:val="1"/>
          <w:numId w:val="35"/>
        </w:numPr>
        <w:tabs>
          <w:tab w:val="left" w:pos="420"/>
          <w:tab w:val="clear" w:pos="1276"/>
        </w:tabs>
        <w:ind w:left="656" w:leftChars="0" w:hanging="16" w:firstLineChars="0"/>
        <w:rPr>
          <w:rFonts w:hint="eastAsia"/>
        </w:rPr>
      </w:pPr>
      <w:r>
        <w:rPr>
          <w:rFonts w:hint="eastAsia"/>
        </w:rPr>
        <w:t>对于采光条件比较差的场所，可设置红外夜视及红外补光或在监控点配置补光灯，在监控现场环境及设备不满足监控要求时开启周围的灯光；</w:t>
      </w:r>
    </w:p>
    <w:p w14:paraId="008C0FCF">
      <w:pPr>
        <w:pStyle w:val="112"/>
        <w:numPr>
          <w:ilvl w:val="1"/>
          <w:numId w:val="35"/>
        </w:numPr>
        <w:tabs>
          <w:tab w:val="left" w:pos="420"/>
          <w:tab w:val="clear" w:pos="1276"/>
        </w:tabs>
        <w:ind w:left="656" w:leftChars="0" w:hanging="16" w:firstLineChars="0"/>
        <w:rPr>
          <w:rFonts w:hint="eastAsia"/>
        </w:rPr>
      </w:pPr>
      <w:r>
        <w:rPr>
          <w:rFonts w:hint="eastAsia"/>
        </w:rPr>
        <w:t>布点宜参考水质和流量计布点原则，宜结合视频AI识别技术。</w:t>
      </w:r>
    </w:p>
    <w:p w14:paraId="7D34B0E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监测设备仪表应符合以下要求：</w:t>
      </w:r>
    </w:p>
    <w:p w14:paraId="049ADF35">
      <w:pPr>
        <w:pStyle w:val="112"/>
        <w:numPr>
          <w:ilvl w:val="1"/>
          <w:numId w:val="36"/>
        </w:numPr>
        <w:tabs>
          <w:tab w:val="clear" w:pos="1276"/>
        </w:tabs>
        <w:ind w:left="656" w:leftChars="0" w:hanging="16" w:firstLineChars="0"/>
        <w:rPr>
          <w:rFonts w:hint="eastAsia"/>
        </w:rPr>
      </w:pPr>
      <w:r>
        <w:rPr>
          <w:rFonts w:hint="eastAsia"/>
        </w:rPr>
        <w:t>监测布点应满足应用需要，同时要科学合理，做到协同无盲区、建设无重复.能够用有限的监测布点全面、准确地反映厂区内各环节、各要素的运行状态；</w:t>
      </w:r>
    </w:p>
    <w:p w14:paraId="77137EA1">
      <w:pPr>
        <w:pStyle w:val="112"/>
        <w:numPr>
          <w:ilvl w:val="1"/>
          <w:numId w:val="36"/>
        </w:numPr>
        <w:tabs>
          <w:tab w:val="clear" w:pos="1276"/>
        </w:tabs>
        <w:ind w:left="656" w:leftChars="0" w:hanging="16" w:firstLineChars="0"/>
        <w:rPr>
          <w:rFonts w:hint="eastAsia"/>
        </w:rPr>
      </w:pPr>
      <w:r>
        <w:rPr>
          <w:rFonts w:hint="eastAsia"/>
        </w:rPr>
        <w:t>监测频次应满足实际管理需要，并能根据持续监测结果进行动态调整；</w:t>
      </w:r>
    </w:p>
    <w:p w14:paraId="51C836BD">
      <w:pPr>
        <w:pStyle w:val="112"/>
        <w:numPr>
          <w:ilvl w:val="1"/>
          <w:numId w:val="36"/>
        </w:numPr>
        <w:tabs>
          <w:tab w:val="clear" w:pos="1276"/>
        </w:tabs>
        <w:ind w:left="656" w:leftChars="0" w:hanging="16" w:firstLineChars="0"/>
        <w:rPr>
          <w:rFonts w:hint="eastAsia"/>
        </w:rPr>
      </w:pPr>
      <w:r>
        <w:rPr>
          <w:rFonts w:hint="eastAsia"/>
        </w:rPr>
        <w:t>设备仪表选型应根据现场工况、安全可靠性、经济性和技术可靠性综合考虑宜选用低功耗设备，尽量选用成熟产品；</w:t>
      </w:r>
    </w:p>
    <w:p w14:paraId="7126B9DB">
      <w:pPr>
        <w:pStyle w:val="112"/>
        <w:numPr>
          <w:ilvl w:val="1"/>
          <w:numId w:val="36"/>
        </w:numPr>
        <w:tabs>
          <w:tab w:val="clear" w:pos="1276"/>
        </w:tabs>
        <w:ind w:left="656" w:leftChars="0" w:hanging="16" w:firstLineChars="0"/>
        <w:rPr>
          <w:rFonts w:hint="eastAsia"/>
        </w:rPr>
      </w:pPr>
      <w:r>
        <w:rPr>
          <w:rFonts w:hint="eastAsia"/>
        </w:rPr>
        <w:t>采集数据的格式应满足行业相关技术要求和标准。</w:t>
      </w:r>
    </w:p>
    <w:p w14:paraId="04DCFEB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物联网感知层的网络通信应符合以下要求：</w:t>
      </w:r>
    </w:p>
    <w:p w14:paraId="0AB74F26">
      <w:pPr>
        <w:pStyle w:val="112"/>
        <w:numPr>
          <w:ilvl w:val="1"/>
          <w:numId w:val="37"/>
        </w:numPr>
        <w:rPr>
          <w:rFonts w:hint="eastAsia"/>
        </w:rPr>
      </w:pPr>
      <w:r>
        <w:rPr>
          <w:rFonts w:hint="eastAsia"/>
        </w:rPr>
        <w:t>网络架构应遵循“分区十分层十安全”的设计理念，建立安全物理隔离的内网和逻辑隔离的外网，并具备高安全性、高扩展能力和可管理性；</w:t>
      </w:r>
    </w:p>
    <w:p w14:paraId="6F4DD8E2">
      <w:pPr>
        <w:pStyle w:val="112"/>
        <w:numPr>
          <w:ilvl w:val="1"/>
          <w:numId w:val="37"/>
        </w:numPr>
        <w:rPr>
          <w:rFonts w:hint="eastAsia"/>
        </w:rPr>
      </w:pPr>
      <w:r>
        <w:rPr>
          <w:rFonts w:hint="eastAsia"/>
        </w:rPr>
        <w:t>网络应支持 4G、5G、F5G、NB-IOT 等技术，并支持 IP 及其后续扩展。此外，应能够根据业务需求提供独立网络切片、动态弹性扩容、带宽自动负载均衡，实现端到端多业务承载；</w:t>
      </w:r>
    </w:p>
    <w:p w14:paraId="250FAF17">
      <w:pPr>
        <w:pStyle w:val="112"/>
        <w:numPr>
          <w:ilvl w:val="1"/>
          <w:numId w:val="37"/>
        </w:numPr>
        <w:rPr>
          <w:rFonts w:hint="eastAsia"/>
        </w:rPr>
      </w:pPr>
      <w:r>
        <w:rPr>
          <w:rFonts w:hint="eastAsia"/>
        </w:rPr>
        <w:t>基础设施环境应满足电子设备和工作人员对温度、湿度、电磁场强度、噪声干扰、防雷与接地等要求</w:t>
      </w:r>
    </w:p>
    <w:p w14:paraId="544909D0">
      <w:pPr>
        <w:pStyle w:val="108"/>
        <w:spacing w:before="156" w:after="156"/>
        <w:rPr>
          <w:color w:val="000000" w:themeColor="text1"/>
          <w14:textFill>
            <w14:solidFill>
              <w14:schemeClr w14:val="tx1"/>
            </w14:solidFill>
          </w14:textFill>
        </w:rPr>
      </w:pPr>
      <w:bookmarkStart w:id="263" w:name="_Toc27743"/>
      <w:bookmarkStart w:id="264" w:name="_Toc11372"/>
      <w:r>
        <w:rPr>
          <w:rFonts w:hint="eastAsia"/>
          <w:color w:val="000000" w:themeColor="text1"/>
          <w14:textFill>
            <w14:solidFill>
              <w14:schemeClr w14:val="tx1"/>
            </w14:solidFill>
          </w14:textFill>
        </w:rPr>
        <w:t>数据层</w:t>
      </w:r>
      <w:bookmarkEnd w:id="263"/>
      <w:bookmarkEnd w:id="264"/>
    </w:p>
    <w:p w14:paraId="351558D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数据层中的大数据通用数据库应符合以下要求：</w:t>
      </w:r>
    </w:p>
    <w:p w14:paraId="45A1B707">
      <w:pPr>
        <w:pStyle w:val="112"/>
        <w:numPr>
          <w:ilvl w:val="1"/>
          <w:numId w:val="38"/>
        </w:numPr>
        <w:rPr>
          <w:rFonts w:hint="eastAsia"/>
        </w:rPr>
      </w:pPr>
      <w:r>
        <w:rPr>
          <w:rFonts w:hint="eastAsia"/>
        </w:rPr>
        <w:t>应具备数据汇聚、存储、管理、开发与利用、共享与交换等方面的功能，实现可持续的数据质量管控和数据安全管控；</w:t>
      </w:r>
    </w:p>
    <w:p w14:paraId="3EA401FB">
      <w:pPr>
        <w:pStyle w:val="112"/>
        <w:numPr>
          <w:ilvl w:val="1"/>
          <w:numId w:val="38"/>
        </w:numPr>
        <w:rPr>
          <w:rFonts w:hint="eastAsia"/>
        </w:rPr>
      </w:pPr>
      <w:r>
        <w:rPr>
          <w:rFonts w:hint="eastAsia"/>
        </w:rPr>
        <w:t>应支持不同来源的数据接入，支持关系型数据、时序型数据、半结构/非结构化数据等不同类型数据的汇集；</w:t>
      </w:r>
    </w:p>
    <w:p w14:paraId="6605266F">
      <w:pPr>
        <w:pStyle w:val="112"/>
        <w:numPr>
          <w:ilvl w:val="1"/>
          <w:numId w:val="38"/>
        </w:numPr>
        <w:rPr>
          <w:rFonts w:hint="eastAsia"/>
        </w:rPr>
      </w:pPr>
      <w:r>
        <w:rPr>
          <w:rFonts w:hint="eastAsia"/>
        </w:rPr>
        <w:t>应根据不同格式数据设置相应的数据采集通道，同一类的数据采集应采用相对统一的数据传输标准；</w:t>
      </w:r>
    </w:p>
    <w:p w14:paraId="5D52C16F">
      <w:pPr>
        <w:pStyle w:val="112"/>
        <w:numPr>
          <w:ilvl w:val="1"/>
          <w:numId w:val="38"/>
        </w:numPr>
        <w:rPr>
          <w:rFonts w:hint="eastAsia"/>
        </w:rPr>
      </w:pPr>
      <w:r>
        <w:rPr>
          <w:rFonts w:hint="eastAsia"/>
        </w:rPr>
        <w:t>在数据采集与汇集过程中应做好信息安全的监测和防护工作，支持对数据进行协议解析和信息安全特征识别，支持对关键数据进行加密传输；</w:t>
      </w:r>
    </w:p>
    <w:p w14:paraId="756CDF55">
      <w:pPr>
        <w:pStyle w:val="112"/>
        <w:numPr>
          <w:ilvl w:val="1"/>
          <w:numId w:val="38"/>
        </w:numPr>
        <w:rPr>
          <w:rFonts w:hint="eastAsia"/>
        </w:rPr>
      </w:pPr>
      <w:r>
        <w:rPr>
          <w:rFonts w:hint="eastAsia"/>
        </w:rPr>
        <w:t>应对数据库结构、数据库数据等进行备份，支持集中控制的数据备份，支持镜像备份和异地备份，支持备份数据压缩存储。同时提供错误监控机制，采用多份冗余备份确保数据的安全。</w:t>
      </w:r>
    </w:p>
    <w:p w14:paraId="59B2395E">
      <w:pPr>
        <w:pStyle w:val="168"/>
        <w:ind w:left="0" w:leftChars="0" w:firstLine="0" w:firstLineChars="0"/>
        <w:rPr>
          <w:color w:val="000000" w:themeColor="text1"/>
          <w14:textFill>
            <w14:solidFill>
              <w14:schemeClr w14:val="tx1"/>
            </w14:solidFill>
          </w14:textFill>
        </w:rPr>
      </w:pPr>
      <w:bookmarkStart w:id="265" w:name="_Toc101962924"/>
      <w:bookmarkStart w:id="266" w:name="_Toc103085753"/>
      <w:bookmarkStart w:id="267" w:name="_Toc100821444"/>
      <w:bookmarkStart w:id="268" w:name="_Toc103242873"/>
      <w:bookmarkStart w:id="269" w:name="_Toc100822396"/>
      <w:bookmarkStart w:id="270" w:name="_Toc103243372"/>
      <w:bookmarkStart w:id="271" w:name="_Toc103242830"/>
      <w:r>
        <w:rPr>
          <w:rFonts w:hint="eastAsia"/>
          <w:color w:val="000000" w:themeColor="text1"/>
          <w14:textFill>
            <w14:solidFill>
              <w14:schemeClr w14:val="tx1"/>
            </w14:solidFill>
          </w14:textFill>
        </w:rPr>
        <w:t>数据层中的云技术设施应符合以下要求：</w:t>
      </w:r>
    </w:p>
    <w:p w14:paraId="5E8F883E">
      <w:pPr>
        <w:pStyle w:val="112"/>
        <w:numPr>
          <w:ilvl w:val="1"/>
          <w:numId w:val="39"/>
        </w:numPr>
        <w:rPr>
          <w:rFonts w:hint="eastAsia"/>
        </w:rPr>
      </w:pPr>
      <w:r>
        <w:rPr>
          <w:rFonts w:hint="eastAsia"/>
        </w:rPr>
        <w:t>云基础设施应当支持自主可控的技术和架构，其中包括但不限于传感器芯片、服务器整机、网络设备、安全设备、云平台、操作系统、数据库、计算框架和应用框架等内容；</w:t>
      </w:r>
    </w:p>
    <w:p w14:paraId="1762E94E">
      <w:pPr>
        <w:pStyle w:val="112"/>
        <w:numPr>
          <w:ilvl w:val="1"/>
          <w:numId w:val="39"/>
        </w:numPr>
        <w:rPr>
          <w:rFonts w:hint="eastAsia"/>
        </w:rPr>
      </w:pPr>
      <w:r>
        <w:rPr>
          <w:rFonts w:hint="eastAsia"/>
        </w:rPr>
        <w:t>云基础设施应能根据前端业务需求按需扩容、做到按需使用、弹性伸缩，且不影响整体业务运行或导致业务停用；</w:t>
      </w:r>
    </w:p>
    <w:p w14:paraId="198A4310">
      <w:pPr>
        <w:pStyle w:val="112"/>
        <w:numPr>
          <w:ilvl w:val="1"/>
          <w:numId w:val="39"/>
        </w:numPr>
        <w:rPr>
          <w:rFonts w:hint="eastAsia"/>
        </w:rPr>
      </w:pPr>
      <w:r>
        <w:rPr>
          <w:rFonts w:hint="eastAsia"/>
        </w:rPr>
        <w:t>支持基于存储、算力和网络带宽、可用率进行统一协同调度，实现云网资源最优配置；</w:t>
      </w:r>
    </w:p>
    <w:p w14:paraId="17FF070F">
      <w:pPr>
        <w:pStyle w:val="112"/>
        <w:numPr>
          <w:ilvl w:val="1"/>
          <w:numId w:val="39"/>
        </w:numPr>
        <w:rPr>
          <w:rFonts w:hint="eastAsia"/>
        </w:rPr>
      </w:pPr>
      <w:r>
        <w:rPr>
          <w:rFonts w:hint="eastAsia"/>
        </w:rPr>
        <w:t>云基础设施应支持GPU芯片、国产AI芯片等，支持智能分析算法，支持深度学习和推理以及相关模型的学习和推理。</w:t>
      </w:r>
    </w:p>
    <w:bookmarkEnd w:id="265"/>
    <w:bookmarkEnd w:id="266"/>
    <w:bookmarkEnd w:id="267"/>
    <w:bookmarkEnd w:id="268"/>
    <w:bookmarkEnd w:id="269"/>
    <w:bookmarkEnd w:id="270"/>
    <w:bookmarkEnd w:id="271"/>
    <w:p w14:paraId="31E3A47B">
      <w:pPr>
        <w:pStyle w:val="108"/>
        <w:spacing w:before="156" w:after="156"/>
        <w:rPr>
          <w:color w:val="000000" w:themeColor="text1"/>
          <w14:textFill>
            <w14:solidFill>
              <w14:schemeClr w14:val="tx1"/>
            </w14:solidFill>
          </w14:textFill>
        </w:rPr>
      </w:pPr>
      <w:bookmarkStart w:id="272" w:name="_Toc6761"/>
      <w:bookmarkStart w:id="273" w:name="_Toc6314"/>
      <w:r>
        <w:rPr>
          <w:rFonts w:hint="eastAsia"/>
          <w:color w:val="000000" w:themeColor="text1"/>
          <w14:textFill>
            <w14:solidFill>
              <w14:schemeClr w14:val="tx1"/>
            </w14:solidFill>
          </w14:textFill>
        </w:rPr>
        <w:t>应用层</w:t>
      </w:r>
      <w:bookmarkEnd w:id="272"/>
      <w:bookmarkEnd w:id="273"/>
    </w:p>
    <w:p w14:paraId="59BCA3E4">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应用层中的应用支撑及服务应符合以下要求：</w:t>
      </w:r>
    </w:p>
    <w:p w14:paraId="5E2CBF9B">
      <w:pPr>
        <w:pStyle w:val="112"/>
        <w:numPr>
          <w:ilvl w:val="1"/>
          <w:numId w:val="40"/>
        </w:numPr>
        <w:rPr>
          <w:rFonts w:hint="eastAsia"/>
        </w:rPr>
      </w:pPr>
      <w:r>
        <w:rPr>
          <w:rFonts w:hint="eastAsia"/>
        </w:rPr>
        <w:t>技术架构应具有先进性，可提供通用能力、行业共性能力组件及服务，并具有复用性；</w:t>
      </w:r>
    </w:p>
    <w:p w14:paraId="7D9ABFC8">
      <w:pPr>
        <w:pStyle w:val="112"/>
        <w:numPr>
          <w:ilvl w:val="1"/>
          <w:numId w:val="40"/>
        </w:numPr>
        <w:rPr>
          <w:rFonts w:hint="eastAsia"/>
        </w:rPr>
      </w:pPr>
      <w:r>
        <w:rPr>
          <w:rFonts w:hint="eastAsia"/>
        </w:rPr>
        <w:t>智慧控制系统应用需要不断迭代更新组件和服务，以满足业务需求的不断变化和提升用户体验。其中包括但不限于用户服务、视频服务、预警服务、CIM服务、GIS服务、BIM服务、报表服务、流程服务等；</w:t>
      </w:r>
    </w:p>
    <w:p w14:paraId="12E58D18">
      <w:pPr>
        <w:pStyle w:val="112"/>
        <w:numPr>
          <w:ilvl w:val="1"/>
          <w:numId w:val="40"/>
        </w:numPr>
        <w:rPr>
          <w:rFonts w:hint="eastAsia"/>
        </w:rPr>
      </w:pPr>
      <w:r>
        <w:rPr>
          <w:rFonts w:hint="eastAsia"/>
        </w:rPr>
        <w:t>应遵循标准化的接口与ICT 基础设施层、大数据平台、业务层进行交互；</w:t>
      </w:r>
    </w:p>
    <w:p w14:paraId="49FF0495">
      <w:pPr>
        <w:pStyle w:val="112"/>
        <w:numPr>
          <w:ilvl w:val="1"/>
          <w:numId w:val="40"/>
        </w:numPr>
        <w:rPr>
          <w:rFonts w:hint="eastAsia"/>
        </w:rPr>
      </w:pPr>
      <w:r>
        <w:rPr>
          <w:rFonts w:hint="eastAsia"/>
        </w:rPr>
        <w:t>应建立水厂通用算法库，根据具体工艺应用场景提供海量数据预处理、通用人工智能算法选择及交互式智能标注、大规模分布式训练等；</w:t>
      </w:r>
    </w:p>
    <w:p w14:paraId="3B71CFE8">
      <w:pPr>
        <w:pStyle w:val="112"/>
        <w:numPr>
          <w:ilvl w:val="1"/>
          <w:numId w:val="40"/>
        </w:numPr>
        <w:rPr>
          <w:rFonts w:hint="eastAsia"/>
        </w:rPr>
      </w:pPr>
      <w:r>
        <w:rPr>
          <w:rFonts w:hint="eastAsia"/>
        </w:rPr>
        <w:t>宜建立水厂通用模型库，根据水处理、水动力、水质提供不同数学物理模型内核的模拟工具和 API接口，具体模型搭建应在实地调研的基础上根据科学论证进行选取，用于情景分析、预判规划、优化调度、应急管理等；</w:t>
      </w:r>
    </w:p>
    <w:p w14:paraId="6E5AED55">
      <w:pPr>
        <w:pStyle w:val="112"/>
        <w:numPr>
          <w:ilvl w:val="1"/>
          <w:numId w:val="40"/>
        </w:numPr>
        <w:rPr>
          <w:rFonts w:hint="eastAsia"/>
        </w:rPr>
      </w:pPr>
      <w:r>
        <w:rPr>
          <w:rFonts w:hint="eastAsia"/>
        </w:rPr>
        <w:t>水厂的通用算法库、通用模型库应统一权限管理，并宜建立升级迭代机制、共享租用机制，算法模型升级迭代过程不影响业务运行，共享租用保证信息数据安全且要素产权、收益分配应符合国家颁布的相关法律法规。</w:t>
      </w:r>
    </w:p>
    <w:p w14:paraId="235225A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应用层中的业务应用系统应符合以下要求：</w:t>
      </w:r>
    </w:p>
    <w:p w14:paraId="74AF5EA4">
      <w:pPr>
        <w:pStyle w:val="112"/>
        <w:numPr>
          <w:ilvl w:val="1"/>
          <w:numId w:val="41"/>
        </w:numPr>
        <w:rPr>
          <w:rFonts w:hint="eastAsia"/>
        </w:rPr>
      </w:pPr>
      <w:r>
        <w:rPr>
          <w:rFonts w:hint="eastAsia"/>
        </w:rPr>
        <w:t>应全面考虑业务的实际需求和功能逻辑，分析业务主体、管理对象、管理方式等多方面因素，梳理、构建形成业务应用系统的业务框架；</w:t>
      </w:r>
    </w:p>
    <w:p w14:paraId="68942C9B">
      <w:pPr>
        <w:pStyle w:val="112"/>
        <w:numPr>
          <w:ilvl w:val="1"/>
          <w:numId w:val="41"/>
        </w:numPr>
        <w:rPr>
          <w:rFonts w:hint="eastAsia"/>
        </w:rPr>
      </w:pPr>
      <w:r>
        <w:rPr>
          <w:rFonts w:hint="eastAsia"/>
        </w:rPr>
        <w:t>应充分利用数据资源服务以及应用支撑能力，采用微服务架构，构建轻量化、易配置的功能模块；</w:t>
      </w:r>
    </w:p>
    <w:p w14:paraId="66747624">
      <w:pPr>
        <w:pStyle w:val="112"/>
        <w:numPr>
          <w:ilvl w:val="1"/>
          <w:numId w:val="41"/>
        </w:numPr>
        <w:rPr>
          <w:rFonts w:hint="eastAsia"/>
        </w:rPr>
      </w:pPr>
      <w:r>
        <w:rPr>
          <w:rFonts w:hint="eastAsia"/>
        </w:rPr>
        <w:t>新建业务应用系统应具备良好的扩展性、互操作性，应考虑与现有系统的兼容性，尽可能对现有系统进行整合、改造或重建，减少集成问题，避免形成信息孤岛。</w:t>
      </w:r>
    </w:p>
    <w:p w14:paraId="25831890">
      <w:pPr>
        <w:pStyle w:val="107"/>
        <w:spacing w:before="312" w:after="312"/>
        <w:rPr>
          <w:color w:val="000000" w:themeColor="text1"/>
          <w14:textFill>
            <w14:solidFill>
              <w14:schemeClr w14:val="tx1"/>
            </w14:solidFill>
          </w14:textFill>
        </w:rPr>
      </w:pPr>
      <w:bookmarkStart w:id="274" w:name="_Toc103242876"/>
      <w:bookmarkStart w:id="275" w:name="_Toc100821447"/>
      <w:bookmarkStart w:id="276" w:name="_Toc101962927"/>
      <w:bookmarkStart w:id="277" w:name="_Toc6310"/>
      <w:bookmarkStart w:id="278" w:name="_Toc100822399"/>
      <w:bookmarkStart w:id="279" w:name="_Toc103243375"/>
      <w:bookmarkStart w:id="280" w:name="_Toc103085756"/>
      <w:bookmarkStart w:id="281" w:name="_Toc20677"/>
      <w:bookmarkStart w:id="282" w:name="_Toc103242833"/>
      <w:r>
        <w:rPr>
          <w:rFonts w:hint="eastAsia"/>
          <w:color w:val="000000" w:themeColor="text1"/>
          <w14:textFill>
            <w14:solidFill>
              <w14:schemeClr w14:val="tx1"/>
            </w14:solidFill>
          </w14:textFill>
        </w:rPr>
        <w:t>绿色环境</w:t>
      </w:r>
      <w:bookmarkEnd w:id="274"/>
      <w:bookmarkEnd w:id="275"/>
      <w:bookmarkEnd w:id="276"/>
      <w:bookmarkEnd w:id="277"/>
      <w:bookmarkEnd w:id="278"/>
      <w:bookmarkEnd w:id="279"/>
      <w:bookmarkEnd w:id="280"/>
      <w:bookmarkEnd w:id="281"/>
      <w:bookmarkEnd w:id="282"/>
    </w:p>
    <w:p w14:paraId="3544C24C">
      <w:pPr>
        <w:pStyle w:val="108"/>
        <w:spacing w:before="156" w:after="156"/>
        <w:rPr>
          <w:color w:val="000000" w:themeColor="text1"/>
          <w14:textFill>
            <w14:solidFill>
              <w14:schemeClr w14:val="tx1"/>
            </w14:solidFill>
          </w14:textFill>
        </w:rPr>
      </w:pPr>
      <w:bookmarkStart w:id="283" w:name="_Toc103242834"/>
      <w:bookmarkStart w:id="284" w:name="_Toc18286"/>
      <w:bookmarkStart w:id="285" w:name="_Toc103242877"/>
      <w:bookmarkStart w:id="286" w:name="_Toc100822400"/>
      <w:bookmarkStart w:id="287" w:name="_Toc4103"/>
      <w:bookmarkStart w:id="288" w:name="_Toc103243376"/>
      <w:bookmarkStart w:id="289" w:name="_Toc103085757"/>
      <w:bookmarkStart w:id="290" w:name="_Toc100821448"/>
      <w:bookmarkStart w:id="291" w:name="_Toc101962928"/>
      <w:r>
        <w:rPr>
          <w:rFonts w:hint="eastAsia"/>
          <w:color w:val="000000" w:themeColor="text1"/>
          <w14:textFill>
            <w14:solidFill>
              <w14:schemeClr w14:val="tx1"/>
            </w14:solidFill>
          </w14:textFill>
        </w:rPr>
        <w:t>一般规定</w:t>
      </w:r>
      <w:bookmarkEnd w:id="283"/>
      <w:bookmarkEnd w:id="284"/>
      <w:bookmarkEnd w:id="285"/>
      <w:bookmarkEnd w:id="286"/>
      <w:bookmarkEnd w:id="287"/>
      <w:bookmarkEnd w:id="288"/>
      <w:bookmarkEnd w:id="289"/>
      <w:bookmarkEnd w:id="290"/>
      <w:bookmarkEnd w:id="291"/>
    </w:p>
    <w:p w14:paraId="7ABE100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城镇污水处理厂厂区内各建筑物造型应简洁美观、节省材料、选材适当，并应使建筑物和构筑物群体的美观效果与周围环境协调。</w:t>
      </w:r>
    </w:p>
    <w:p w14:paraId="77AA66F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城镇污水处理厂景观绿化设计应符合总体布置要求，应与厂区总平面布置、竖向设计及管线布置统一进行，并应合理安排绿化用地。</w:t>
      </w:r>
    </w:p>
    <w:p w14:paraId="6BC8815C">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城镇污水处理厂建设过程以及后续运行应充分考虑其对周围环境的影响，建设环境友好的生态化污水处理厂。</w:t>
      </w:r>
    </w:p>
    <w:p w14:paraId="6A3E95A4">
      <w:pPr>
        <w:pStyle w:val="108"/>
        <w:spacing w:before="156" w:after="156"/>
        <w:rPr>
          <w:color w:val="000000" w:themeColor="text1"/>
          <w14:textFill>
            <w14:solidFill>
              <w14:schemeClr w14:val="tx1"/>
            </w14:solidFill>
          </w14:textFill>
        </w:rPr>
      </w:pPr>
      <w:bookmarkStart w:id="292" w:name="_Toc100822401"/>
      <w:bookmarkStart w:id="293" w:name="_Toc103242835"/>
      <w:bookmarkStart w:id="294" w:name="_Toc17590"/>
      <w:bookmarkStart w:id="295" w:name="_Toc103242878"/>
      <w:bookmarkStart w:id="296" w:name="_Toc103243377"/>
      <w:bookmarkStart w:id="297" w:name="_Toc101962929"/>
      <w:bookmarkStart w:id="298" w:name="_Toc103085758"/>
      <w:bookmarkStart w:id="299" w:name="_Toc100821449"/>
      <w:bookmarkStart w:id="300" w:name="_Toc13198"/>
      <w:r>
        <w:rPr>
          <w:rFonts w:hint="eastAsia"/>
          <w:color w:val="000000" w:themeColor="text1"/>
          <w14:textFill>
            <w14:solidFill>
              <w14:schemeClr w14:val="tx1"/>
            </w14:solidFill>
          </w14:textFill>
        </w:rPr>
        <w:t>臭气控制</w:t>
      </w:r>
      <w:bookmarkEnd w:id="292"/>
      <w:bookmarkEnd w:id="293"/>
      <w:bookmarkEnd w:id="294"/>
      <w:bookmarkEnd w:id="295"/>
      <w:bookmarkEnd w:id="296"/>
      <w:bookmarkEnd w:id="297"/>
      <w:bookmarkEnd w:id="298"/>
      <w:bookmarkEnd w:id="299"/>
      <w:bookmarkEnd w:id="300"/>
    </w:p>
    <w:p w14:paraId="5CBBD47D">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城镇污水处理厂进行臭气处理设计时，应采用臭气散发量少的污水污泥处理技术和设备，并应通过臭气源隔断、防止腐败、设备清洗等措施对臭气源头进行控制。</w:t>
      </w:r>
    </w:p>
    <w:p w14:paraId="74520BA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厂区处理构筑物可采用活动式挡板遮盖，既保证臭气不会外溢便于收集，又能保证检修便利。</w:t>
      </w:r>
    </w:p>
    <w:p w14:paraId="317C3E9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臭气处理应满足周边环境要求，与环境敏感区域之间应设置防护距离，并应采取绿化带等隔离措施，防护距离应根据环境影响评价确定。</w:t>
      </w:r>
    </w:p>
    <w:p w14:paraId="3E829F82">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除臭设计除满足上述要求外，还应符合</w:t>
      </w:r>
      <w:r>
        <w:rPr>
          <w:color w:val="000000" w:themeColor="text1"/>
          <w14:textFill>
            <w14:solidFill>
              <w14:schemeClr w14:val="tx1"/>
            </w14:solidFill>
          </w14:textFill>
        </w:rPr>
        <w:t>GB 50014、</w:t>
      </w:r>
      <w:r>
        <w:rPr>
          <w:rFonts w:hint="eastAsia"/>
          <w:color w:val="000000" w:themeColor="text1"/>
          <w14:textFill>
            <w14:solidFill>
              <w14:schemeClr w14:val="tx1"/>
            </w14:solidFill>
          </w14:textFill>
        </w:rPr>
        <w:t>GB</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18918与CJJ/T 243中的有关规定。</w:t>
      </w:r>
    </w:p>
    <w:p w14:paraId="598489A5">
      <w:pPr>
        <w:pStyle w:val="108"/>
        <w:spacing w:before="156" w:after="156"/>
        <w:rPr>
          <w:color w:val="000000" w:themeColor="text1"/>
          <w14:textFill>
            <w14:solidFill>
              <w14:schemeClr w14:val="tx1"/>
            </w14:solidFill>
          </w14:textFill>
        </w:rPr>
      </w:pPr>
      <w:bookmarkStart w:id="301" w:name="_Toc101962930"/>
      <w:bookmarkStart w:id="302" w:name="_Toc103242879"/>
      <w:bookmarkStart w:id="303" w:name="_Toc103242836"/>
      <w:bookmarkStart w:id="304" w:name="_Toc103085759"/>
      <w:bookmarkStart w:id="305" w:name="_Toc11910"/>
      <w:bookmarkStart w:id="306" w:name="_Toc19497"/>
      <w:bookmarkStart w:id="307" w:name="_Toc100821450"/>
      <w:bookmarkStart w:id="308" w:name="_Toc103243378"/>
      <w:bookmarkStart w:id="309" w:name="_Toc100822402"/>
      <w:r>
        <w:rPr>
          <w:rFonts w:hint="eastAsia"/>
          <w:color w:val="000000" w:themeColor="text1"/>
          <w14:textFill>
            <w14:solidFill>
              <w14:schemeClr w14:val="tx1"/>
            </w14:solidFill>
          </w14:textFill>
        </w:rPr>
        <w:t>景观绿化</w:t>
      </w:r>
      <w:bookmarkEnd w:id="301"/>
      <w:bookmarkEnd w:id="302"/>
      <w:bookmarkEnd w:id="303"/>
      <w:bookmarkEnd w:id="304"/>
      <w:bookmarkEnd w:id="305"/>
      <w:bookmarkEnd w:id="306"/>
      <w:bookmarkEnd w:id="307"/>
      <w:bookmarkEnd w:id="308"/>
      <w:bookmarkEnd w:id="309"/>
    </w:p>
    <w:p w14:paraId="127E5E63">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结合城镇污水厂绿色设计的要求，补充景观绿化的控制要求和原则。</w:t>
      </w:r>
    </w:p>
    <w:p w14:paraId="1EFAF1F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城镇污水处理厂景观绿化工程应包括厂区道路绿化、屋顶绿化、地下设施覆土绿化、垂直绿化和斜面护坡绿化等。</w:t>
      </w:r>
    </w:p>
    <w:p w14:paraId="1A310994">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城镇污水处理厂内所种植物类型应根据当地气候</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地质特点选择，且不宜栽种高大落叶的树种。</w:t>
      </w:r>
    </w:p>
    <w:p w14:paraId="4AC7BDB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城镇污水处理厂绿化设计应符合下列要求：</w:t>
      </w:r>
    </w:p>
    <w:p w14:paraId="291D0121">
      <w:pPr>
        <w:pStyle w:val="112"/>
        <w:numPr>
          <w:ilvl w:val="1"/>
          <w:numId w:val="42"/>
        </w:numPr>
        <w:tabs>
          <w:tab w:val="clear" w:pos="1276"/>
        </w:tabs>
        <w:ind w:left="656" w:leftChars="0" w:hanging="16" w:firstLineChars="0"/>
        <w:rPr>
          <w:rFonts w:hint="eastAsia"/>
        </w:rPr>
      </w:pPr>
      <w:r>
        <w:t>应根据生产工艺性质、环境卫生及厂容、景观的要求，结合当地自然环境条件因地制宜进行设计，并应合理确定各类植物的配置方式；</w:t>
      </w:r>
    </w:p>
    <w:p w14:paraId="4E925EB9">
      <w:pPr>
        <w:pStyle w:val="112"/>
        <w:numPr>
          <w:ilvl w:val="1"/>
          <w:numId w:val="42"/>
        </w:numPr>
        <w:tabs>
          <w:tab w:val="clear" w:pos="1276"/>
        </w:tabs>
        <w:ind w:left="656" w:leftChars="0" w:hanging="16" w:firstLineChars="0"/>
        <w:rPr>
          <w:rFonts w:hint="eastAsia"/>
        </w:rPr>
      </w:pPr>
      <w:r>
        <w:rPr>
          <w:rFonts w:hint="eastAsia"/>
        </w:rPr>
        <w:t>绿化设计不应妨碍生产操作、设备检修、交通运输、管线敷设和维修，不应影响消防作业和建筑物的采光、通风；</w:t>
      </w:r>
    </w:p>
    <w:p w14:paraId="0ABD6F6F">
      <w:pPr>
        <w:pStyle w:val="112"/>
        <w:numPr>
          <w:ilvl w:val="1"/>
          <w:numId w:val="42"/>
        </w:numPr>
        <w:tabs>
          <w:tab w:val="clear" w:pos="1276"/>
        </w:tabs>
        <w:ind w:left="656" w:leftChars="0" w:hanging="16" w:firstLineChars="0"/>
        <w:rPr>
          <w:rFonts w:hint="eastAsia"/>
        </w:rPr>
      </w:pPr>
      <w:r>
        <w:rPr>
          <w:rFonts w:hint="eastAsia"/>
        </w:rPr>
        <w:t>应充分利用厂区非建筑地段及零星空地、护坡等进行绿化；应利用管架、栈桥、架空线路等设施的下面及地下管线带上面的场地布置绿化。</w:t>
      </w:r>
    </w:p>
    <w:p w14:paraId="7213CB6E">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城镇污水处理厂绿化设计指标应采用厂区绿地率，绿地率的计算方法如公式2所示。城镇污水处理厂应结合海绵城市绿色屋顶等设施，使绿地率不小于40%。</w:t>
      </w:r>
    </w:p>
    <w:p w14:paraId="34672C30">
      <w:pPr>
        <w:pStyle w:val="116"/>
        <w:rPr>
          <w:rFonts w:hint="eastAsia"/>
          <w:color w:val="000000" w:themeColor="text1"/>
          <w14:textFill>
            <w14:solidFill>
              <w14:schemeClr w14:val="tx1"/>
            </w14:solidFill>
          </w14:textFill>
        </w:rPr>
      </w:pPr>
      <w:r>
        <w:rPr>
          <w:color w:val="000000" w:themeColor="text1"/>
          <w14:textFill>
            <w14:solidFill>
              <w14:schemeClr w14:val="tx1"/>
            </w14:solidFill>
          </w14:textFill>
        </w:rPr>
        <w:tab/>
      </w:r>
      <m:oMath>
        <m:r>
          <m:rPr/>
          <w:rPr>
            <w:rFonts w:ascii="Cambria Math" w:hAnsi="Cambria Math"/>
            <w:color w:val="000000" w:themeColor="text1"/>
            <w14:textFill>
              <w14:solidFill>
                <w14:schemeClr w14:val="tx1"/>
              </w14:solidFill>
            </w14:textFill>
          </w:rPr>
          <m:t>G=</m:t>
        </m:r>
        <m:f>
          <m:fPr>
            <m:ctrlPr>
              <w:rPr>
                <w:rFonts w:ascii="Cambria Math" w:hAnsi="Cambria Math"/>
                <w:i/>
                <w:color w:val="000000" w:themeColor="text1"/>
                <w14:textFill>
                  <w14:solidFill>
                    <w14:schemeClr w14:val="tx1"/>
                  </w14:solidFill>
                </w14:textFill>
              </w:rPr>
            </m:ctrlPr>
          </m:fPr>
          <m:num>
            <m:r>
              <m:rPr/>
              <w:rPr>
                <w:rFonts w:ascii="Cambria Math" w:hAnsi="Cambria Math"/>
                <w:color w:val="000000" w:themeColor="text1"/>
                <w14:textFill>
                  <w14:solidFill>
                    <w14:schemeClr w14:val="tx1"/>
                  </w14:solidFill>
                </w14:textFill>
              </w:rPr>
              <m:t>A</m:t>
            </m:r>
            <m:r>
              <m:rPr/>
              <w:rPr>
                <w:rFonts w:hint="eastAsia" w:ascii="Cambria Math" w:hAnsi="Cambria Math"/>
                <w:color w:val="000000" w:themeColor="text1"/>
                <w14:textFill>
                  <w14:solidFill>
                    <w14:schemeClr w14:val="tx1"/>
                  </w14:solidFill>
                </w14:textFill>
              </w:rPr>
              <m:t>g</m:t>
            </m:r>
            <m:ctrlPr>
              <w:rPr>
                <w:rFonts w:ascii="Cambria Math" w:hAnsi="Cambria Math"/>
                <w:i/>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A</m:t>
            </m:r>
            <m:ctrlPr>
              <w:rPr>
                <w:rFonts w:ascii="Cambria Math" w:hAnsi="Cambria Math"/>
                <w:i/>
                <w:color w:val="000000" w:themeColor="text1"/>
                <w14:textFill>
                  <w14:solidFill>
                    <w14:schemeClr w14:val="tx1"/>
                  </w14:solidFill>
                </w14:textFill>
              </w:rPr>
            </m:ctrlPr>
          </m:den>
        </m:f>
        <m:r>
          <m:rPr/>
          <w:rPr>
            <w:rFonts w:ascii="Cambria Math" w:hAnsi="Cambria Math"/>
            <w:color w:val="000000" w:themeColor="text1"/>
            <w14:textFill>
              <w14:solidFill>
                <w14:schemeClr w14:val="tx1"/>
              </w14:solidFill>
            </w14:textFill>
          </w:rPr>
          <m:t>×100%</m:t>
        </m:r>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p>
    <w:p w14:paraId="51986426">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14:paraId="6536C70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绿地率；</w:t>
      </w:r>
    </w:p>
    <w:p w14:paraId="4272688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Ag</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厂区绿化用地计算面积；</w:t>
      </w:r>
    </w:p>
    <w:p w14:paraId="7A222124">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A</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厂区建设用地面积。</w:t>
      </w:r>
    </w:p>
    <w:p w14:paraId="3161E7A5">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厂区园林绿化工程的施工除应符合本规范规定外，尚应符合现行行业标准CJJ 82的有关规定。</w:t>
      </w:r>
    </w:p>
    <w:p w14:paraId="24619D0F">
      <w:pPr>
        <w:pStyle w:val="108"/>
        <w:spacing w:before="156" w:after="156"/>
        <w:rPr>
          <w:color w:val="000000" w:themeColor="text1"/>
          <w14:textFill>
            <w14:solidFill>
              <w14:schemeClr w14:val="tx1"/>
            </w14:solidFill>
          </w14:textFill>
        </w:rPr>
      </w:pPr>
      <w:bookmarkStart w:id="310" w:name="_Toc100821451"/>
      <w:bookmarkStart w:id="311" w:name="_Toc100822403"/>
      <w:bookmarkStart w:id="312" w:name="_Toc101962931"/>
      <w:bookmarkStart w:id="313" w:name="_Toc103242880"/>
      <w:bookmarkStart w:id="314" w:name="_Toc103243379"/>
      <w:bookmarkStart w:id="315" w:name="_Toc103242837"/>
      <w:bookmarkStart w:id="316" w:name="_Toc31694"/>
      <w:bookmarkStart w:id="317" w:name="_Toc103085760"/>
      <w:bookmarkStart w:id="318" w:name="_Toc22582"/>
      <w:r>
        <w:rPr>
          <w:rFonts w:hint="eastAsia"/>
          <w:color w:val="000000" w:themeColor="text1"/>
          <w14:textFill>
            <w14:solidFill>
              <w14:schemeClr w14:val="tx1"/>
            </w14:solidFill>
          </w14:textFill>
        </w:rPr>
        <w:t>海绵建设</w:t>
      </w:r>
      <w:bookmarkEnd w:id="310"/>
      <w:bookmarkEnd w:id="311"/>
      <w:bookmarkEnd w:id="312"/>
      <w:bookmarkEnd w:id="313"/>
      <w:bookmarkEnd w:id="314"/>
      <w:bookmarkEnd w:id="315"/>
      <w:bookmarkEnd w:id="316"/>
      <w:bookmarkEnd w:id="317"/>
      <w:bookmarkEnd w:id="318"/>
    </w:p>
    <w:p w14:paraId="2AC7947F">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城镇污水处理厂内应充分体现海绵城市建设理念，利用绿色屋顶、透水铺装、生物滞留设施等进行源头减排，并结合道路和建筑物布置雨水口和雨水管道，地形允许散水排水时，可采用植草沟和道路边沟排水。</w:t>
      </w:r>
    </w:p>
    <w:p w14:paraId="6F77795B">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屋顶绿化种植应符合</w:t>
      </w:r>
      <w:r>
        <w:rPr>
          <w:color w:val="000000" w:themeColor="text1"/>
          <w14:textFill>
            <w14:solidFill>
              <w14:schemeClr w14:val="tx1"/>
            </w14:solidFill>
          </w14:textFill>
        </w:rPr>
        <w:t>JGJ 155</w:t>
      </w:r>
      <w:r>
        <w:rPr>
          <w:rFonts w:hint="eastAsia"/>
          <w:color w:val="000000" w:themeColor="text1"/>
          <w14:textFill>
            <w14:solidFill>
              <w14:schemeClr w14:val="tx1"/>
            </w14:solidFill>
          </w14:textFill>
        </w:rPr>
        <w:t>的相关规定。</w:t>
      </w:r>
    </w:p>
    <w:p w14:paraId="55B116A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室外停车场设计宜选用保水、透水、材料形成生态停车场，釆用生态植草砖、蜂巢植草格等时，其镂空面积比不应低于40％。基层及面层均应满足场地相应车辆的承载需求。</w:t>
      </w:r>
    </w:p>
    <w:p w14:paraId="79182FD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厂区内场地及道路应结合雨水基础设施设计，对屋面、道路雨水进行衔接、引导、调蓄和净化，降低径流污染，年径流总量控制率不宜低于75%。</w:t>
      </w:r>
    </w:p>
    <w:p w14:paraId="562BC949">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雨水资源应优先用于绿化灌溉、道路浇洒，雨水资源化利用率不宜低于10%。</w:t>
      </w:r>
    </w:p>
    <w:p w14:paraId="61E87054">
      <w:pPr>
        <w:pStyle w:val="108"/>
        <w:spacing w:before="156" w:after="156"/>
        <w:rPr>
          <w:color w:val="000000" w:themeColor="text1"/>
          <w14:textFill>
            <w14:solidFill>
              <w14:schemeClr w14:val="tx1"/>
            </w14:solidFill>
          </w14:textFill>
        </w:rPr>
      </w:pPr>
      <w:bookmarkStart w:id="319" w:name="_Toc103243380"/>
      <w:bookmarkStart w:id="320" w:name="_Toc103242881"/>
      <w:bookmarkStart w:id="321" w:name="_Toc100821452"/>
      <w:bookmarkStart w:id="322" w:name="_Toc101962932"/>
      <w:bookmarkStart w:id="323" w:name="_Toc21545"/>
      <w:bookmarkStart w:id="324" w:name="_Toc9408"/>
      <w:bookmarkStart w:id="325" w:name="_Toc103242838"/>
      <w:bookmarkStart w:id="326" w:name="_Toc103085761"/>
      <w:bookmarkStart w:id="327" w:name="_Toc100822404"/>
      <w:r>
        <w:rPr>
          <w:rFonts w:hint="eastAsia"/>
          <w:color w:val="000000" w:themeColor="text1"/>
          <w14:textFill>
            <w14:solidFill>
              <w14:schemeClr w14:val="tx1"/>
            </w14:solidFill>
          </w14:textFill>
        </w:rPr>
        <w:t>噪音控制</w:t>
      </w:r>
      <w:bookmarkEnd w:id="319"/>
      <w:bookmarkEnd w:id="320"/>
      <w:bookmarkEnd w:id="321"/>
      <w:bookmarkEnd w:id="322"/>
      <w:bookmarkEnd w:id="323"/>
      <w:bookmarkEnd w:id="324"/>
      <w:bookmarkEnd w:id="325"/>
      <w:bookmarkEnd w:id="326"/>
      <w:bookmarkEnd w:id="327"/>
    </w:p>
    <w:p w14:paraId="74BEC00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城镇污水处理厂中各种机械设备均应选用低噪声产品，并应符合现行国家标准</w:t>
      </w:r>
      <w:r>
        <w:rPr>
          <w:color w:val="000000" w:themeColor="text1"/>
          <w14:textFill>
            <w14:solidFill>
              <w14:schemeClr w14:val="tx1"/>
            </w14:solidFill>
          </w14:textFill>
        </w:rPr>
        <w:t>GB 12348</w:t>
      </w:r>
      <w:r>
        <w:rPr>
          <w:rFonts w:hint="eastAsia"/>
          <w:color w:val="000000" w:themeColor="text1"/>
          <w14:textFill>
            <w14:solidFill>
              <w14:schemeClr w14:val="tx1"/>
            </w14:solidFill>
          </w14:textFill>
        </w:rPr>
        <w:t>的有关规定。对于噪声值超标的设备，应设置隔声设施。</w:t>
      </w:r>
    </w:p>
    <w:p w14:paraId="2360FA6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在满足工艺流程要求的前提下，高噪声设备宜相对集中，当对周围环境有明显影响时，宜采取隔声等控制措施。</w:t>
      </w:r>
    </w:p>
    <w:p w14:paraId="37592FB1">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将噪声控制在局部空间范围内的场合应进行隔声设计。对声源进行的隔声设计可采用隔声罩、隔音棉等措施或声源所在车间采取隔声维护的结构形式；对噪声传播途径进行的隔声设计，可采用隔声屏障的结构形式；对接收者进行的隔声设计，可采用隔声间的结构形式。</w:t>
      </w:r>
    </w:p>
    <w:p w14:paraId="7DDFEA38">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当对产生较强振动或冲击，引起固体传声及振动辐射噪声的动力设备进行噪声控制时，应进行隔振降噪设计。隔振降噪设计应按现行国家标准GB</w:t>
      </w:r>
      <w:r>
        <w:rPr>
          <w:color w:val="000000" w:themeColor="text1"/>
          <w14:textFill>
            <w14:solidFill>
              <w14:schemeClr w14:val="tx1"/>
            </w14:solidFill>
          </w14:textFill>
        </w:rPr>
        <w:t xml:space="preserve"> 50463</w:t>
      </w:r>
      <w:r>
        <w:rPr>
          <w:rFonts w:hint="eastAsia"/>
          <w:color w:val="000000" w:themeColor="text1"/>
          <w14:textFill>
            <w14:solidFill>
              <w14:schemeClr w14:val="tx1"/>
            </w14:solidFill>
          </w14:textFill>
        </w:rPr>
        <w:t>的有关规定执行。</w:t>
      </w:r>
    </w:p>
    <w:p w14:paraId="14BFA930">
      <w:pPr>
        <w:pStyle w:val="107"/>
        <w:spacing w:before="312" w:after="312"/>
      </w:pPr>
      <w:bookmarkStart w:id="328" w:name="_Toc23281"/>
      <w:bookmarkStart w:id="329" w:name="_Toc9404"/>
      <w:r>
        <w:rPr>
          <w:rFonts w:hint="eastAsia"/>
          <w:color w:val="000000" w:themeColor="text1"/>
          <w14:textFill>
            <w14:solidFill>
              <w14:schemeClr w14:val="tx1"/>
            </w14:solidFill>
          </w14:textFill>
        </w:rPr>
        <w:t>低碳排放</w:t>
      </w:r>
      <w:bookmarkEnd w:id="328"/>
      <w:bookmarkEnd w:id="329"/>
    </w:p>
    <w:p w14:paraId="5274AD89">
      <w:pPr>
        <w:pStyle w:val="168"/>
        <w:ind w:left="0" w:leftChars="0" w:firstLine="0" w:firstLineChars="0"/>
      </w:pPr>
      <w:r>
        <w:rPr>
          <w:rFonts w:hint="eastAsia"/>
        </w:rPr>
        <w:t>城镇污水处理厂应采用低碳相关工艺、采取低碳相关措施降低污水处理厂的碳排放，并定期对污水处理厂进行碳排放核算。</w:t>
      </w:r>
    </w:p>
    <w:p w14:paraId="68323F6A">
      <w:pPr>
        <w:pStyle w:val="168"/>
        <w:ind w:left="0" w:leftChars="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污水处理厂碳排放包括污水处理直接碳排放、污泥处理直接碳排放、资源能源消耗间接碳排放和资源能源回收碳补偿。污水处理厂碳排放强度核算所得结果不宜高于同类</w:t>
      </w:r>
      <w:r>
        <w:rPr>
          <w:rFonts w:hint="eastAsia"/>
        </w:rPr>
        <w:t>已投运的污水处理厂的平均碳排放强度，</w:t>
      </w:r>
      <w:r>
        <w:rPr>
          <w:color w:val="000000" w:themeColor="text1"/>
          <w14:textFill>
            <w14:solidFill>
              <w14:schemeClr w14:val="tx1"/>
            </w14:solidFill>
          </w14:textFill>
        </w:rPr>
        <w:t>按</w:t>
      </w:r>
      <w:r>
        <w:rPr>
          <w:rFonts w:hint="eastAsia"/>
          <w:color w:val="000000" w:themeColor="text1"/>
          <w14:textFill>
            <w14:solidFill>
              <w14:schemeClr w14:val="tx1"/>
            </w14:solidFill>
          </w14:textFill>
        </w:rPr>
        <w:t>公式</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核</w:t>
      </w:r>
      <w:r>
        <w:rPr>
          <w:color w:val="000000" w:themeColor="text1"/>
          <w14:textFill>
            <w14:solidFill>
              <w14:schemeClr w14:val="tx1"/>
            </w14:solidFill>
          </w14:textFill>
        </w:rPr>
        <w:t>算：</w:t>
      </w:r>
    </w:p>
    <w:p w14:paraId="5BA224CF">
      <w:pPr>
        <w:pStyle w:val="116"/>
        <w:rPr>
          <w:rFonts w:hint="eastAsia"/>
          <w:color w:val="000000" w:themeColor="text1"/>
          <w14:textFill>
            <w14:solidFill>
              <w14:schemeClr w14:val="tx1"/>
            </w14:solidFill>
          </w14:textFill>
        </w:rPr>
      </w:pPr>
      <w:r>
        <w:rPr>
          <w:color w:val="000000" w:themeColor="text1"/>
          <w14:textFill>
            <w14:solidFill>
              <w14:schemeClr w14:val="tx1"/>
            </w14:solidFill>
          </w14:textFill>
        </w:rPr>
        <w:tab/>
      </w:r>
      <m:oMath>
        <m:r>
          <m:rPr/>
          <w:rPr>
            <w:rFonts w:ascii="Cambria Math"/>
            <w:color w:val="000000" w:themeColor="text1"/>
            <w14:textFill>
              <w14:solidFill>
                <w14:schemeClr w14:val="tx1"/>
              </w14:solidFill>
            </w14:textFill>
          </w:rPr>
          <m:t>CEQ</m:t>
        </m:r>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CEQ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ww</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CEQ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sl</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m:t>
        </m:r>
        <m:sSub>
          <m:sSubPr>
            <m:ctrlPr>
              <w:rPr>
                <w:rFonts w:ascii="Cambria Math" w:hAnsi="Cambria Math"/>
                <w:i/>
                <w:color w:val="000000" w:themeColor="text1"/>
                <w14:textFill>
                  <w14:solidFill>
                    <w14:schemeClr w14:val="tx1"/>
                  </w14:solidFill>
                </w14:textFill>
              </w:rPr>
            </m:ctrlPr>
          </m:sSubPr>
          <m:e>
            <m:r>
              <m:rPr/>
              <w:rPr>
                <w:rFonts w:ascii="Cambria Math" w:hAnsi="Cambria Math"/>
                <w:color w:val="000000" w:themeColor="text1"/>
                <w14:textFill>
                  <w14:solidFill>
                    <w14:schemeClr w14:val="tx1"/>
                  </w14:solidFill>
                </w14:textFill>
              </w:rPr>
              <m:t>CEQ</m:t>
            </m:r>
            <m:ctrlPr>
              <w:rPr>
                <w:rFonts w:ascii="Cambria Math" w:hAnsi="Cambria Math"/>
                <w:i/>
                <w:color w:val="000000" w:themeColor="text1"/>
                <w14:textFill>
                  <w14:solidFill>
                    <w14:schemeClr w14:val="tx1"/>
                  </w14:solidFill>
                </w14:textFill>
              </w:rPr>
            </m:ctrlPr>
          </m:e>
          <m:sub>
            <m:r>
              <m:rPr/>
              <w:rPr>
                <w:rFonts w:ascii="Cambria Math" w:hAnsi="Cambria Math"/>
                <w:color w:val="000000" w:themeColor="text1"/>
                <w14:textFill>
                  <w14:solidFill>
                    <w14:schemeClr w14:val="tx1"/>
                  </w14:solidFill>
                </w14:textFill>
              </w:rPr>
              <m:t>in</m:t>
            </m:r>
            <m:ctrlPr>
              <w:rPr>
                <w:rFonts w:ascii="Cambria Math" w:hAnsi="Cambria Math"/>
                <w:i/>
                <w:color w:val="000000" w:themeColor="text1"/>
                <w14:textFill>
                  <w14:solidFill>
                    <w14:schemeClr w14:val="tx1"/>
                  </w14:solidFill>
                </w14:textFill>
              </w:rPr>
            </m:ctrlPr>
          </m:sub>
        </m:sSub>
        <m:r>
          <m:rPr/>
          <w:rPr>
            <w:rFonts w:ascii="Cambria Math" w:hAnsi="Cambria Math"/>
            <w:color w:val="000000" w:themeColor="text1"/>
            <w14:textFill>
              <w14:solidFill>
                <w14:schemeClr w14:val="tx1"/>
              </w14:solidFill>
            </w14:textFill>
          </w:rPr>
          <m:t>−CSS</m:t>
        </m:r>
      </m:oMath>
      <w:r>
        <w:rPr>
          <w:rFonts w:ascii="微软雅黑" w:hAnsi="微软雅黑" w:eastAsia="微软雅黑"/>
          <w:color w:val="000000" w:themeColor="text1"/>
          <w14:textFill>
            <w14:solidFill>
              <w14:schemeClr w14:val="tx1"/>
            </w14:solidFill>
          </w14:textFill>
        </w:rPr>
        <w:tab/>
      </w:r>
      <w:r>
        <w:rPr>
          <w:color w:val="000000" w:themeColor="text1"/>
          <w14:textFill>
            <w14:solidFill>
              <w14:schemeClr w14:val="tx1"/>
            </w14:solidFill>
          </w14:textFill>
        </w:rPr>
        <w:t>(</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w:t>
      </w:r>
    </w:p>
    <w:p w14:paraId="7A34897E">
      <w:pPr>
        <w:pStyle w:val="58"/>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式中：</w:t>
      </w:r>
    </w:p>
    <w:p w14:paraId="0ACD7D2C">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CEQ</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污水处理厂碳排放强度；</w:t>
      </w:r>
    </w:p>
    <w:p w14:paraId="11D4018D">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CEQ</w:t>
      </w:r>
      <w:r>
        <w:rPr>
          <w:rFonts w:hint="eastAsia"/>
          <w:color w:val="000000" w:themeColor="text1"/>
          <w:vertAlign w:val="subscript"/>
          <w14:textFill>
            <w14:solidFill>
              <w14:schemeClr w14:val="tx1"/>
            </w14:solidFill>
          </w14:textFill>
        </w:rPr>
        <w:t>ww</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污水处理直接碳排放强度,主要包括化石源CO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排放、CH</w:t>
      </w:r>
      <w:r>
        <w:rPr>
          <w:rFonts w:hint="eastAsia"/>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排放、N</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O排放和其他排放；</w:t>
      </w:r>
    </w:p>
    <w:p w14:paraId="66737170">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CEQ</w:t>
      </w:r>
      <w:r>
        <w:rPr>
          <w:rFonts w:hint="eastAsia"/>
          <w:color w:val="000000" w:themeColor="text1"/>
          <w:vertAlign w:val="subscript"/>
          <w14:textFill>
            <w14:solidFill>
              <w14:schemeClr w14:val="tx1"/>
            </w14:solidFill>
          </w14:textFill>
        </w:rPr>
        <w:t>sl</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污泥处理直接碳排放强度，主要包括化石源CO</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排放、CH</w:t>
      </w:r>
      <w:r>
        <w:rPr>
          <w:rFonts w:hint="eastAsia"/>
          <w:color w:val="000000" w:themeColor="text1"/>
          <w:vertAlign w:val="subscript"/>
          <w14:textFill>
            <w14:solidFill>
              <w14:schemeClr w14:val="tx1"/>
            </w14:solidFill>
          </w14:textFill>
        </w:rPr>
        <w:t>4</w:t>
      </w:r>
      <w:r>
        <w:rPr>
          <w:rFonts w:hint="eastAsia"/>
          <w:color w:val="000000" w:themeColor="text1"/>
          <w14:textFill>
            <w14:solidFill>
              <w14:schemeClr w14:val="tx1"/>
            </w14:solidFill>
          </w14:textFill>
        </w:rPr>
        <w:t>排放和N</w:t>
      </w:r>
      <w:r>
        <w:rPr>
          <w:rFonts w:hint="eastAsia"/>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O排放；</w:t>
      </w:r>
    </w:p>
    <w:p w14:paraId="5AA45F87">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CEQ</w:t>
      </w:r>
      <w:r>
        <w:rPr>
          <w:rFonts w:hint="eastAsia"/>
          <w:color w:val="000000" w:themeColor="text1"/>
          <w:vertAlign w:val="subscript"/>
          <w14:textFill>
            <w14:solidFill>
              <w14:schemeClr w14:val="tx1"/>
            </w14:solidFill>
          </w14:textFill>
        </w:rPr>
        <w:t>in</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资源能源消耗间接碳排放强度，主要包括电力消耗间接排放、材料消耗间接排放和运输过程间接排放；</w:t>
      </w:r>
    </w:p>
    <w:p w14:paraId="3BD587C6">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CSS</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资源能源回收碳补偿，主要包括能源回收碳补偿、资源回收碳补偿和其他碳汇。</w:t>
      </w:r>
    </w:p>
    <w:p w14:paraId="61523A14">
      <w:pPr>
        <w:pStyle w:val="168"/>
        <w:ind w:left="0" w:leftChars="0" w:firstLine="0" w:firstLineChars="0"/>
      </w:pPr>
      <w:r>
        <w:rPr>
          <w:rFonts w:hint="eastAsia"/>
        </w:rPr>
        <w:t>新建或改扩建污水厂在碳排放强度计算中，对于无法获取的运行数据，可充分查阅调研本地区存在相似水质、水量特征且采用同类工艺的污水厂案例，参考案例中与待评估污水厂相关的运维数据，同时结合设计参数资料完成核算数据收集。</w:t>
      </w:r>
    </w:p>
    <w:p w14:paraId="0DE51D83">
      <w:pPr>
        <w:pStyle w:val="168"/>
        <w:ind w:left="0" w:leftChars="0" w:firstLine="0" w:firstLineChars="0"/>
      </w:pPr>
      <w:r>
        <w:rPr>
          <w:rFonts w:hint="eastAsia"/>
        </w:rPr>
        <w:t>新建和改扩建污水厂应在设计阶段进行碳减排评估，以优化工艺选择和设计方案；碳减排评估主要通过与同类已投运的污水处理厂的碳排放强度平均值进行对比分析，评估设计方案、工艺选择和设计参数的合理性。</w:t>
      </w:r>
    </w:p>
    <w:p w14:paraId="20D55884">
      <w:pPr>
        <w:pStyle w:val="107"/>
        <w:spacing w:before="312" w:after="312"/>
      </w:pPr>
      <w:r>
        <w:rPr>
          <w:rFonts w:hint="eastAsia"/>
        </w:rPr>
        <w:t>标准实施及评价</w:t>
      </w:r>
    </w:p>
    <w:p w14:paraId="2176BC37">
      <w:pPr>
        <w:pStyle w:val="165"/>
      </w:pPr>
      <w:r>
        <w:rPr>
          <w:rFonts w:hint="eastAsia"/>
        </w:rPr>
        <w:t>城镇污水处理厂绿色设计规程实施准备包括下列内容：</w:t>
      </w:r>
    </w:p>
    <w:p w14:paraId="2BE87270">
      <w:pPr>
        <w:pStyle w:val="177"/>
        <w:numPr>
          <w:ilvl w:val="0"/>
          <w:numId w:val="43"/>
        </w:numPr>
      </w:pPr>
      <w:r>
        <w:rPr>
          <w:rFonts w:hint="eastAsia"/>
        </w:rPr>
        <w:t>方案准备：明确标准实施的目标和范围，确定所需要的资源和时间；</w:t>
      </w:r>
    </w:p>
    <w:p w14:paraId="26C36A16">
      <w:pPr>
        <w:pStyle w:val="177"/>
        <w:numPr>
          <w:ilvl w:val="0"/>
          <w:numId w:val="43"/>
        </w:numPr>
      </w:pPr>
      <w:r>
        <w:rPr>
          <w:rFonts w:hint="eastAsia"/>
        </w:rPr>
        <w:t>组织准备：根据实施标准的复杂程度和规模，组建专业科学的实施团队，确保具备所需的技术和专业知识；</w:t>
      </w:r>
    </w:p>
    <w:p w14:paraId="632675C8">
      <w:pPr>
        <w:pStyle w:val="177"/>
        <w:numPr>
          <w:ilvl w:val="0"/>
          <w:numId w:val="43"/>
        </w:numPr>
      </w:pPr>
      <w:r>
        <w:rPr>
          <w:rFonts w:hint="eastAsia"/>
        </w:rPr>
        <w:t>知识准备：对实施标准的相关人员进行标准的宣贯、培训和教育，使其了解标准的目的、内容、要求和实施方法；</w:t>
      </w:r>
    </w:p>
    <w:p w14:paraId="1BC30F94">
      <w:pPr>
        <w:pStyle w:val="177"/>
        <w:numPr>
          <w:ilvl w:val="0"/>
          <w:numId w:val="43"/>
        </w:numPr>
      </w:pPr>
      <w:r>
        <w:rPr>
          <w:rFonts w:hint="eastAsia"/>
        </w:rPr>
        <w:t>手段准备：培训为先、流程优化、分步实施、重点把握；</w:t>
      </w:r>
    </w:p>
    <w:p w14:paraId="62CBD5EE">
      <w:pPr>
        <w:pStyle w:val="177"/>
        <w:numPr>
          <w:ilvl w:val="0"/>
          <w:numId w:val="43"/>
        </w:numPr>
      </w:pPr>
      <w:r>
        <w:rPr>
          <w:rFonts w:hint="eastAsia"/>
        </w:rPr>
        <w:t>物质条件准备：配备相应的设施设备、资金及与实施标准相适应的环境条件。</w:t>
      </w:r>
    </w:p>
    <w:p w14:paraId="52B758FB">
      <w:pPr>
        <w:pStyle w:val="165"/>
        <w:rPr>
          <w:rFonts w:ascii="Times New Roman"/>
          <w:kern w:val="2"/>
          <w:szCs w:val="21"/>
        </w:rPr>
      </w:pPr>
      <w:r>
        <w:rPr>
          <w:rFonts w:hint="eastAsia"/>
        </w:rPr>
        <w:t>制定标准实施方案，明确适用对象和场景、提供实施必备条件和保障（组织、制度、资金、人员和设备仪器等）、推荐方法路径，确定资源要素配置、关键环节和控制点，提出标准实施中的注意事项。</w:t>
      </w:r>
    </w:p>
    <w:p w14:paraId="6A9D9111">
      <w:pPr>
        <w:pStyle w:val="177"/>
        <w:numPr>
          <w:ilvl w:val="0"/>
          <w:numId w:val="44"/>
        </w:numPr>
      </w:pPr>
      <w:r>
        <w:rPr>
          <w:rFonts w:hint="eastAsia"/>
        </w:rPr>
        <w:t>城镇污水处理厂绿色设计规程实施方案的适用对象及场景为污水处理厂建设运营主体及污水处理厂绿色设计阶段；</w:t>
      </w:r>
    </w:p>
    <w:p w14:paraId="6EC6677E">
      <w:pPr>
        <w:pStyle w:val="177"/>
        <w:numPr>
          <w:ilvl w:val="0"/>
          <w:numId w:val="44"/>
        </w:numPr>
      </w:pPr>
      <w:r>
        <w:rPr>
          <w:rFonts w:hint="eastAsia"/>
        </w:rPr>
        <w:t>标准实施的必备条件是充分的基础资料收集、现状条件调研、政策支持和资金保障；</w:t>
      </w:r>
    </w:p>
    <w:p w14:paraId="33444142">
      <w:pPr>
        <w:pStyle w:val="177"/>
        <w:numPr>
          <w:ilvl w:val="0"/>
          <w:numId w:val="44"/>
        </w:numPr>
      </w:pPr>
      <w:r>
        <w:rPr>
          <w:rFonts w:hint="eastAsia"/>
        </w:rPr>
        <w:t>建议根据标准实施方案分析运营成本和计算资金平衡条件后，根据实际资金条件和政策支持予以实施；</w:t>
      </w:r>
    </w:p>
    <w:p w14:paraId="799DEBCD">
      <w:pPr>
        <w:pStyle w:val="177"/>
        <w:numPr>
          <w:ilvl w:val="0"/>
          <w:numId w:val="44"/>
        </w:numPr>
      </w:pPr>
      <w:r>
        <w:rPr>
          <w:rFonts w:hint="eastAsia"/>
        </w:rPr>
        <w:t>推荐以污水处理厂碳排放量为牵引整体标准实施的核心目标，来指引实施方案的制定；</w:t>
      </w:r>
    </w:p>
    <w:p w14:paraId="50B73246">
      <w:pPr>
        <w:pStyle w:val="177"/>
        <w:numPr>
          <w:ilvl w:val="0"/>
          <w:numId w:val="44"/>
        </w:numPr>
      </w:pPr>
      <w:r>
        <w:rPr>
          <w:rFonts w:hint="eastAsia"/>
        </w:rPr>
        <w:t>污泥资源化以及能源利用与节能部分设计方案的确定，宜结合项目污水处理厂现状条件及周边产业分布情况，综合考虑后选取实施；</w:t>
      </w:r>
    </w:p>
    <w:p w14:paraId="3EB724FE">
      <w:pPr>
        <w:pStyle w:val="177"/>
        <w:numPr>
          <w:ilvl w:val="0"/>
          <w:numId w:val="44"/>
        </w:numPr>
        <w:rPr>
          <w:rFonts w:hint="eastAsia"/>
        </w:rPr>
      </w:pPr>
      <w:r>
        <w:rPr>
          <w:rFonts w:hint="eastAsia"/>
        </w:rPr>
        <w:t>对于安全、环保方面的标准要求，应落实到具体关键点上，并有相应的保证措施。</w:t>
      </w:r>
    </w:p>
    <w:p w14:paraId="13AC0F31">
      <w:pPr>
        <w:pStyle w:val="165"/>
      </w:pPr>
      <w:r>
        <w:rPr>
          <w:rFonts w:hint="eastAsia"/>
        </w:rPr>
        <w:t>针对相关方和具体对象/岗位进行标准宣贯和培训，结合标准要求，落实责任制，做到横向到边，纵向到底。</w:t>
      </w:r>
    </w:p>
    <w:p w14:paraId="1A65DB67">
      <w:pPr>
        <w:pStyle w:val="177"/>
        <w:numPr>
          <w:ilvl w:val="0"/>
          <w:numId w:val="45"/>
        </w:numPr>
      </w:pPr>
      <w:r>
        <w:rPr>
          <w:rFonts w:hint="eastAsia"/>
        </w:rPr>
        <w:t>城镇污水处理厂绿色设计相关方和具体对象包括：设计单位、建设单位、运营单位以及行政主管部门等；</w:t>
      </w:r>
    </w:p>
    <w:p w14:paraId="6CA09582">
      <w:pPr>
        <w:pStyle w:val="177"/>
        <w:numPr>
          <w:ilvl w:val="0"/>
          <w:numId w:val="45"/>
        </w:numPr>
      </w:pPr>
      <w:r>
        <w:rPr>
          <w:rFonts w:hint="eastAsia"/>
        </w:rPr>
        <w:t>城镇污水处理厂绿色设计明确各环节的责任与义务，确保每个环节都有专人负责，并应建立定期检查机制，确保各环节设计方案符合标准要求。</w:t>
      </w:r>
    </w:p>
    <w:p w14:paraId="40FD4228">
      <w:pPr>
        <w:pStyle w:val="165"/>
        <w:rPr>
          <w:rFonts w:hint="eastAsia"/>
        </w:rPr>
      </w:pPr>
      <w:r>
        <w:rPr>
          <w:rFonts w:hint="eastAsia"/>
        </w:rPr>
        <w:t>本标准实施主要在城镇污水处理厂建设设计活动中开展。标准实施的重点是落实国家的环境保护、节能降碳、资源节约和可持续发展等要求。</w:t>
      </w:r>
    </w:p>
    <w:p w14:paraId="315AB05C">
      <w:pPr>
        <w:pStyle w:val="165"/>
      </w:pPr>
      <w:r>
        <w:rPr>
          <w:rFonts w:hint="eastAsia"/>
        </w:rPr>
        <w:t>标准实施的检查主要是检查标准实施方案的落实情况，需要逐条检查标准实施内容的落实，并记录未实施内容的理由或原因。标准实施检查也要检查标准实施的支持手段和物质条件的落实情况。做好标准实施验证记录，畅通标准实施信息采集的方式方法和反馈渠道，定期整理并处理收集到的意见建议。</w:t>
      </w:r>
    </w:p>
    <w:p w14:paraId="2B57344D">
      <w:pPr>
        <w:pStyle w:val="165"/>
      </w:pPr>
    </w:p>
    <w:p w14:paraId="0A908F66">
      <w:pPr>
        <w:pStyle w:val="165"/>
      </w:pPr>
      <w:r>
        <w:rPr>
          <w:rFonts w:hint="eastAsia"/>
        </w:rPr>
        <w:t>对标准实施评价的基本依据是《中华人民共和国标准化法》等。</w:t>
      </w:r>
    </w:p>
    <w:p w14:paraId="1155CD97">
      <w:pPr>
        <w:pStyle w:val="165"/>
      </w:pPr>
      <w:r>
        <w:rPr>
          <w:rFonts w:hint="eastAsia"/>
        </w:rPr>
        <w:t>在本标准实施一定时间后，应对照本标准实施方案，开展标准实施效果评价分析，总结实施经验成效，梳理存在的薄弱环节。标准实施的评价主要是评价标准实施的效果，主要从城镇污水处理厂工艺技术进步、出水水质提高、运营成本降低、效率提高、客户满意度、环境影响削弱、低碳节能、履行社会责任等方面进行有益性评价，同时还要评价标准实施带来的问题，以便为未来改进提供参考。</w:t>
      </w:r>
    </w:p>
    <w:p w14:paraId="1F791F45">
      <w:pPr>
        <w:pStyle w:val="177"/>
        <w:numPr>
          <w:ilvl w:val="0"/>
          <w:numId w:val="46"/>
        </w:numPr>
      </w:pPr>
      <w:r>
        <w:rPr>
          <w:rFonts w:hint="eastAsia"/>
        </w:rPr>
        <w:t>城镇污水处理厂绿色设计规程实施</w:t>
      </w:r>
      <w:r>
        <w:rPr>
          <w:rFonts w:hint="eastAsia" w:hAnsi="宋体"/>
        </w:rPr>
        <w:t>实施效果评价中实施信息的采集宜综合采用资料收集、数据检测、问卷调查等方法进行；</w:t>
      </w:r>
    </w:p>
    <w:p w14:paraId="20523FF3">
      <w:pPr>
        <w:pStyle w:val="177"/>
        <w:numPr>
          <w:ilvl w:val="0"/>
          <w:numId w:val="46"/>
        </w:numPr>
      </w:pPr>
      <w:r>
        <w:rPr>
          <w:rFonts w:hint="eastAsia"/>
        </w:rPr>
        <w:t>城镇污水处理厂绿色设计规程实施</w:t>
      </w:r>
      <w:r>
        <w:rPr>
          <w:rFonts w:hint="eastAsia" w:hAnsi="宋体"/>
        </w:rPr>
        <w:t>实施效果评价主体宜为污水处理厂运营单位；</w:t>
      </w:r>
    </w:p>
    <w:p w14:paraId="343FD3C5">
      <w:pPr>
        <w:pStyle w:val="177"/>
        <w:numPr>
          <w:ilvl w:val="0"/>
          <w:numId w:val="46"/>
        </w:numPr>
      </w:pPr>
      <w:r>
        <w:rPr>
          <w:rFonts w:hint="eastAsia"/>
        </w:rPr>
        <w:t>城镇污水处理厂绿色设计规程实施状况评价宜在该标准实施满</w:t>
      </w:r>
      <w:r>
        <w:t>1</w:t>
      </w:r>
      <w:r>
        <w:rPr>
          <w:rFonts w:hint="eastAsia"/>
        </w:rPr>
        <w:t>年后进行；</w:t>
      </w:r>
    </w:p>
    <w:p w14:paraId="00EDBAE2">
      <w:pPr>
        <w:pStyle w:val="177"/>
        <w:numPr>
          <w:ilvl w:val="0"/>
          <w:numId w:val="46"/>
        </w:numPr>
        <w:rPr>
          <w:rFonts w:ascii="Times New Roman"/>
          <w:kern w:val="2"/>
          <w:szCs w:val="21"/>
        </w:rPr>
      </w:pPr>
      <w:r>
        <w:rPr>
          <w:rFonts w:hint="eastAsia"/>
        </w:rPr>
        <w:t>城镇污水处理厂绿色设计规程实施</w:t>
      </w:r>
      <w:r>
        <w:rPr>
          <w:rFonts w:hint="eastAsia" w:hAnsi="宋体"/>
        </w:rPr>
        <w:t>科学性评价宜在该标准实施满</w:t>
      </w:r>
      <w:r>
        <w:rPr>
          <w:rFonts w:hint="eastAsia"/>
        </w:rPr>
        <w:t>2</w:t>
      </w:r>
      <w:r>
        <w:rPr>
          <w:rFonts w:hint="eastAsia" w:hAnsi="宋体"/>
        </w:rPr>
        <w:t>年后进行；</w:t>
      </w:r>
    </w:p>
    <w:p w14:paraId="67F80B75">
      <w:pPr>
        <w:pStyle w:val="177"/>
        <w:numPr>
          <w:ilvl w:val="0"/>
          <w:numId w:val="46"/>
        </w:numPr>
        <w:rPr>
          <w:rFonts w:hint="eastAsia" w:ascii="Times New Roman"/>
          <w:kern w:val="2"/>
          <w:szCs w:val="21"/>
        </w:rPr>
      </w:pPr>
      <w:r>
        <w:rPr>
          <w:rFonts w:hint="eastAsia"/>
        </w:rPr>
        <w:t>城镇污水处理厂绿色设计规程实施</w:t>
      </w:r>
      <w:r>
        <w:rPr>
          <w:rFonts w:hint="eastAsia" w:hAnsi="宋体"/>
        </w:rPr>
        <w:t>实施效果评价宜在该标准实施满</w:t>
      </w:r>
      <w:r>
        <w:rPr>
          <w:rFonts w:hint="eastAsia"/>
        </w:rPr>
        <w:t>3</w:t>
      </w:r>
      <w:r>
        <w:rPr>
          <w:rFonts w:hint="eastAsia" w:hAnsi="宋体"/>
        </w:rPr>
        <w:t>年后进行。</w:t>
      </w:r>
    </w:p>
    <w:p w14:paraId="4D0F52B7">
      <w:pPr>
        <w:pStyle w:val="165"/>
        <w:rPr>
          <w:rFonts w:ascii="Times New Roman"/>
          <w:kern w:val="2"/>
          <w:szCs w:val="21"/>
        </w:rPr>
      </w:pPr>
      <w:r>
        <w:rPr>
          <w:rFonts w:hint="eastAsia"/>
        </w:rPr>
        <w:t>适时向专业标准化技术委员会和标准归口管理单位反馈情况，提出标准推广、修改、补充、完善或者废止等意见建议。</w:t>
      </w:r>
    </w:p>
    <w:p w14:paraId="1B07229C">
      <w:pPr>
        <w:pStyle w:val="165"/>
      </w:pPr>
      <w:r>
        <w:rPr>
          <w:rFonts w:hint="eastAsia"/>
        </w:rPr>
        <w:t>标准实施信息及意见反馈表相关示例见附录A</w:t>
      </w:r>
    </w:p>
    <w:p w14:paraId="252B39F7">
      <w:pPr>
        <w:widowControl/>
        <w:adjustRightInd/>
        <w:spacing w:line="240" w:lineRule="auto"/>
        <w:jc w:val="left"/>
        <w:rPr>
          <w:rFonts w:ascii="宋体" w:hAnsi="Times New Roman"/>
          <w:kern w:val="0"/>
          <w:szCs w:val="20"/>
        </w:rPr>
      </w:pPr>
      <w:r>
        <w:br w:type="page"/>
      </w:r>
    </w:p>
    <w:p w14:paraId="6ECA2F66">
      <w:pPr>
        <w:pStyle w:val="168"/>
        <w:numPr>
          <w:ilvl w:val="3"/>
          <w:numId w:val="0"/>
        </w:numPr>
        <w:rPr>
          <w:color w:val="000000" w:themeColor="text1"/>
          <w14:textFill>
            <w14:solidFill>
              <w14:schemeClr w14:val="tx1"/>
            </w14:solidFill>
          </w14:textFill>
        </w:rPr>
        <w:sectPr>
          <w:pgSz w:w="11906" w:h="16838"/>
          <w:pgMar w:top="1928" w:right="1134" w:bottom="1134" w:left="1134" w:header="1418" w:footer="1134" w:gutter="284"/>
          <w:cols w:space="425" w:num="1"/>
          <w:formProt w:val="0"/>
          <w:docGrid w:type="lines" w:linePitch="312" w:charSpace="0"/>
        </w:sectPr>
      </w:pPr>
    </w:p>
    <w:bookmarkEnd w:id="25"/>
    <w:p w14:paraId="2BC0C572">
      <w:pPr>
        <w:pStyle w:val="201"/>
      </w:pPr>
      <w:bookmarkStart w:id="330" w:name="BookMark5"/>
    </w:p>
    <w:p w14:paraId="4CD6EF14">
      <w:pPr>
        <w:pStyle w:val="202"/>
      </w:pPr>
    </w:p>
    <w:p w14:paraId="5C8ABB9B">
      <w:pPr>
        <w:pStyle w:val="79"/>
        <w:spacing w:after="156"/>
        <w:rPr>
          <w:rFonts w:hint="eastAsia"/>
        </w:rPr>
      </w:pPr>
      <w:r>
        <w:br w:type="textWrapping"/>
      </w:r>
      <w:r>
        <w:rPr>
          <w:rFonts w:hint="eastAsia"/>
        </w:rPr>
        <w:t>（资料性）</w:t>
      </w:r>
      <w:r>
        <w:br w:type="textWrapping"/>
      </w:r>
      <w:r>
        <w:rPr>
          <w:rFonts w:hint="eastAsia"/>
        </w:rPr>
        <w:t>湖北省地方标准实施信息及意见反馈表</w:t>
      </w:r>
    </w:p>
    <w:p w14:paraId="2286B45C">
      <w:pPr>
        <w:pStyle w:val="59"/>
        <w:ind w:firstLine="420"/>
      </w:pPr>
      <w:r>
        <w:rPr>
          <w:rFonts w:hint="eastAsia"/>
        </w:rPr>
        <w:t>湖北省地方标准实施信息及意见反馈表如表A.1所示。</w:t>
      </w:r>
    </w:p>
    <w:p w14:paraId="1D1FDD36">
      <w:pPr>
        <w:pStyle w:val="80"/>
        <w:spacing w:before="156" w:after="156"/>
      </w:pPr>
      <w:r>
        <w:rPr>
          <w:rFonts w:hint="eastAsia"/>
        </w:rPr>
        <w:t>湖北省地方标准实施信息及意见反馈表</w:t>
      </w:r>
    </w:p>
    <w:tbl>
      <w:tblPr>
        <w:tblStyle w:val="28"/>
        <w:tblW w:w="90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11"/>
        <w:gridCol w:w="823"/>
        <w:gridCol w:w="338"/>
        <w:gridCol w:w="2192"/>
        <w:gridCol w:w="3109"/>
        <w:gridCol w:w="1384"/>
      </w:tblGrid>
      <w:tr w14:paraId="3E251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6" w:hRule="atLeast"/>
          <w:jc w:val="center"/>
        </w:trPr>
        <w:tc>
          <w:tcPr>
            <w:tcW w:w="2034" w:type="dxa"/>
            <w:gridSpan w:val="2"/>
            <w:tcBorders>
              <w:top w:val="single" w:color="auto" w:sz="12" w:space="0"/>
              <w:left w:val="single" w:color="auto" w:sz="12" w:space="0"/>
              <w:bottom w:val="single" w:color="000000" w:sz="2" w:space="0"/>
              <w:right w:val="single" w:color="auto" w:sz="4" w:space="0"/>
            </w:tcBorders>
            <w:vAlign w:val="center"/>
          </w:tcPr>
          <w:p w14:paraId="78CA820F">
            <w:pPr>
              <w:pStyle w:val="59"/>
              <w:ind w:firstLine="21" w:firstLineChars="10"/>
              <w:jc w:val="center"/>
            </w:pPr>
            <w:r>
              <w:rPr>
                <w:rFonts w:hint="eastAsia"/>
              </w:rPr>
              <w:t>标准名称及编号</w:t>
            </w:r>
          </w:p>
        </w:tc>
        <w:tc>
          <w:tcPr>
            <w:tcW w:w="7023" w:type="dxa"/>
            <w:gridSpan w:val="4"/>
            <w:tcBorders>
              <w:top w:val="single" w:color="auto" w:sz="12" w:space="0"/>
              <w:left w:val="nil"/>
              <w:bottom w:val="single" w:color="000000" w:sz="2" w:space="0"/>
              <w:right w:val="single" w:color="auto" w:sz="12" w:space="0"/>
            </w:tcBorders>
            <w:vAlign w:val="center"/>
          </w:tcPr>
          <w:p w14:paraId="67E35062">
            <w:pPr>
              <w:pStyle w:val="59"/>
              <w:ind w:firstLine="21" w:firstLineChars="10"/>
              <w:rPr>
                <w:rFonts w:hint="eastAsia"/>
              </w:rPr>
            </w:pPr>
          </w:p>
        </w:tc>
      </w:tr>
      <w:tr w14:paraId="1DE1F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6" w:hRule="atLeast"/>
          <w:jc w:val="center"/>
        </w:trPr>
        <w:tc>
          <w:tcPr>
            <w:tcW w:w="1211" w:type="dxa"/>
            <w:vMerge w:val="restart"/>
            <w:tcBorders>
              <w:top w:val="single" w:color="auto" w:sz="12" w:space="0"/>
              <w:left w:val="single" w:color="auto" w:sz="12" w:space="0"/>
              <w:bottom w:val="single" w:color="auto" w:sz="4" w:space="0"/>
              <w:right w:val="single" w:color="auto" w:sz="4" w:space="0"/>
            </w:tcBorders>
            <w:vAlign w:val="center"/>
          </w:tcPr>
          <w:p w14:paraId="4E8990C4">
            <w:pPr>
              <w:pStyle w:val="59"/>
              <w:ind w:firstLine="21" w:firstLineChars="10"/>
              <w:jc w:val="center"/>
              <w:rPr>
                <w:rFonts w:hint="eastAsia"/>
              </w:rPr>
            </w:pPr>
            <w:r>
              <w:rPr>
                <w:rFonts w:hint="eastAsia"/>
              </w:rPr>
              <w:t>总体评价</w:t>
            </w:r>
          </w:p>
        </w:tc>
        <w:tc>
          <w:tcPr>
            <w:tcW w:w="1161" w:type="dxa"/>
            <w:gridSpan w:val="2"/>
            <w:tcBorders>
              <w:top w:val="single" w:color="auto" w:sz="12" w:space="0"/>
              <w:left w:val="nil"/>
              <w:bottom w:val="single" w:color="auto" w:sz="4" w:space="0"/>
              <w:right w:val="single" w:color="auto" w:sz="4" w:space="0"/>
            </w:tcBorders>
            <w:vAlign w:val="center"/>
          </w:tcPr>
          <w:p w14:paraId="713F7F11">
            <w:pPr>
              <w:pStyle w:val="59"/>
              <w:ind w:firstLine="21" w:firstLineChars="10"/>
              <w:jc w:val="center"/>
              <w:rPr>
                <w:rFonts w:hint="eastAsia"/>
              </w:rPr>
            </w:pPr>
            <w:r>
              <w:rPr>
                <w:rFonts w:hint="eastAsia"/>
              </w:rPr>
              <w:t>适用性</w:t>
            </w:r>
          </w:p>
        </w:tc>
        <w:tc>
          <w:tcPr>
            <w:tcW w:w="5301" w:type="dxa"/>
            <w:gridSpan w:val="2"/>
            <w:tcBorders>
              <w:top w:val="single" w:color="auto" w:sz="12" w:space="0"/>
              <w:left w:val="nil"/>
              <w:bottom w:val="single" w:color="auto" w:sz="4" w:space="0"/>
              <w:right w:val="single" w:color="auto" w:sz="4" w:space="0"/>
            </w:tcBorders>
            <w:vAlign w:val="center"/>
          </w:tcPr>
          <w:p w14:paraId="4495E80D">
            <w:pPr>
              <w:pStyle w:val="59"/>
              <w:ind w:firstLine="21" w:firstLineChars="10"/>
              <w:rPr>
                <w:rFonts w:hint="eastAsia"/>
              </w:rPr>
            </w:pPr>
            <w:r>
              <w:rPr>
                <w:rFonts w:hint="eastAsia"/>
              </w:rPr>
              <w:t>该标准与当前所在地的产业或社会发展水平是否</w:t>
            </w:r>
          </w:p>
          <w:p w14:paraId="60A27339">
            <w:pPr>
              <w:pStyle w:val="59"/>
              <w:ind w:firstLine="21" w:firstLineChars="10"/>
              <w:rPr>
                <w:rFonts w:hint="eastAsia"/>
              </w:rPr>
            </w:pPr>
            <w:r>
              <w:rPr>
                <w:rFonts w:hint="eastAsia"/>
              </w:rPr>
              <w:t>相匹配？</w:t>
            </w:r>
          </w:p>
        </w:tc>
        <w:tc>
          <w:tcPr>
            <w:tcW w:w="1384" w:type="dxa"/>
            <w:tcBorders>
              <w:top w:val="single" w:color="auto" w:sz="12" w:space="0"/>
              <w:left w:val="nil"/>
              <w:bottom w:val="single" w:color="auto" w:sz="4" w:space="0"/>
              <w:right w:val="single" w:color="auto" w:sz="12" w:space="0"/>
            </w:tcBorders>
            <w:vAlign w:val="center"/>
          </w:tcPr>
          <w:p w14:paraId="5933B29F">
            <w:pPr>
              <w:pStyle w:val="59"/>
              <w:ind w:firstLine="21" w:firstLineChars="10"/>
              <w:rPr>
                <w:rFonts w:hint="eastAsia"/>
              </w:rPr>
            </w:pPr>
            <w:r>
              <w:drawing>
                <wp:inline distT="0" distB="0" distL="0" distR="0">
                  <wp:extent cx="114300" cy="114300"/>
                  <wp:effectExtent l="0" t="0" r="0" b="0"/>
                  <wp:docPr id="22810109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01091" name="图片 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70958658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86586" name="图片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14:paraId="4BF6D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jc w:val="center"/>
        </w:trPr>
        <w:tc>
          <w:tcPr>
            <w:tcW w:w="1211" w:type="dxa"/>
            <w:vMerge w:val="continue"/>
            <w:tcBorders>
              <w:top w:val="single" w:color="auto" w:sz="12" w:space="0"/>
              <w:left w:val="single" w:color="auto" w:sz="12" w:space="0"/>
              <w:bottom w:val="single" w:color="auto" w:sz="4" w:space="0"/>
              <w:right w:val="single" w:color="auto" w:sz="4" w:space="0"/>
            </w:tcBorders>
            <w:vAlign w:val="center"/>
          </w:tcPr>
          <w:p w14:paraId="4D3FC2F3">
            <w:pPr>
              <w:pStyle w:val="59"/>
              <w:ind w:firstLine="21" w:firstLineChars="10"/>
              <w:jc w:val="center"/>
            </w:pPr>
          </w:p>
        </w:tc>
        <w:tc>
          <w:tcPr>
            <w:tcW w:w="1161" w:type="dxa"/>
            <w:gridSpan w:val="2"/>
            <w:tcBorders>
              <w:top w:val="single" w:color="auto" w:sz="4" w:space="0"/>
              <w:left w:val="nil"/>
              <w:bottom w:val="single" w:color="auto" w:sz="4" w:space="0"/>
              <w:right w:val="single" w:color="auto" w:sz="4" w:space="0"/>
            </w:tcBorders>
            <w:vAlign w:val="center"/>
          </w:tcPr>
          <w:p w14:paraId="71059936">
            <w:pPr>
              <w:pStyle w:val="59"/>
              <w:ind w:firstLine="21" w:firstLineChars="10"/>
              <w:jc w:val="center"/>
              <w:rPr>
                <w:rFonts w:hint="eastAsia"/>
              </w:rPr>
            </w:pPr>
            <w:r>
              <w:rPr>
                <w:rFonts w:hint="eastAsia"/>
              </w:rPr>
              <w:t>协调性</w:t>
            </w:r>
          </w:p>
        </w:tc>
        <w:tc>
          <w:tcPr>
            <w:tcW w:w="5301" w:type="dxa"/>
            <w:gridSpan w:val="2"/>
            <w:tcBorders>
              <w:top w:val="single" w:color="auto" w:sz="4" w:space="0"/>
              <w:left w:val="nil"/>
              <w:bottom w:val="single" w:color="auto" w:sz="4" w:space="0"/>
              <w:right w:val="single" w:color="auto" w:sz="4" w:space="0"/>
            </w:tcBorders>
            <w:vAlign w:val="center"/>
          </w:tcPr>
          <w:p w14:paraId="25EDBC37">
            <w:pPr>
              <w:pStyle w:val="59"/>
              <w:ind w:firstLine="21" w:firstLineChars="10"/>
              <w:rPr>
                <w:rFonts w:hint="eastAsia"/>
              </w:rPr>
            </w:pPr>
            <w:r>
              <w:rPr>
                <w:rFonts w:hint="eastAsia"/>
              </w:rPr>
              <w:t>该标准的特色要求与其他强制性标准的主要技术指标、相关法律法规、部门规章或产业政策是否协调？</w:t>
            </w:r>
          </w:p>
        </w:tc>
        <w:tc>
          <w:tcPr>
            <w:tcW w:w="1384" w:type="dxa"/>
            <w:tcBorders>
              <w:top w:val="single" w:color="auto" w:sz="4" w:space="0"/>
              <w:left w:val="nil"/>
              <w:bottom w:val="single" w:color="auto" w:sz="4" w:space="0"/>
              <w:right w:val="single" w:color="auto" w:sz="12" w:space="0"/>
            </w:tcBorders>
            <w:vAlign w:val="center"/>
          </w:tcPr>
          <w:p w14:paraId="042409E7">
            <w:pPr>
              <w:pStyle w:val="59"/>
              <w:ind w:firstLine="21" w:firstLineChars="10"/>
              <w:rPr>
                <w:rFonts w:hint="eastAsia"/>
              </w:rPr>
            </w:pPr>
            <w:r>
              <w:drawing>
                <wp:inline distT="0" distB="0" distL="0" distR="0">
                  <wp:extent cx="114300" cy="114300"/>
                  <wp:effectExtent l="0" t="0" r="0" b="0"/>
                  <wp:docPr id="147248730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87305" name="图片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6449630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6307" name="图片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14:paraId="2BEB7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3" w:hRule="atLeast"/>
          <w:jc w:val="center"/>
        </w:trPr>
        <w:tc>
          <w:tcPr>
            <w:tcW w:w="1211" w:type="dxa"/>
            <w:vMerge w:val="continue"/>
            <w:tcBorders>
              <w:top w:val="single" w:color="auto" w:sz="12" w:space="0"/>
              <w:left w:val="single" w:color="auto" w:sz="12" w:space="0"/>
              <w:bottom w:val="single" w:color="auto" w:sz="4" w:space="0"/>
              <w:right w:val="single" w:color="auto" w:sz="4" w:space="0"/>
            </w:tcBorders>
            <w:vAlign w:val="center"/>
          </w:tcPr>
          <w:p w14:paraId="1587D515">
            <w:pPr>
              <w:pStyle w:val="59"/>
              <w:ind w:firstLine="21" w:firstLineChars="10"/>
              <w:jc w:val="center"/>
            </w:pPr>
          </w:p>
        </w:tc>
        <w:tc>
          <w:tcPr>
            <w:tcW w:w="1161" w:type="dxa"/>
            <w:gridSpan w:val="2"/>
            <w:tcBorders>
              <w:top w:val="single" w:color="auto" w:sz="4" w:space="0"/>
              <w:left w:val="nil"/>
              <w:bottom w:val="single" w:color="auto" w:sz="4" w:space="0"/>
              <w:right w:val="single" w:color="auto" w:sz="4" w:space="0"/>
            </w:tcBorders>
            <w:vAlign w:val="center"/>
          </w:tcPr>
          <w:p w14:paraId="67062D79">
            <w:pPr>
              <w:pStyle w:val="59"/>
              <w:ind w:firstLine="21" w:firstLineChars="10"/>
              <w:jc w:val="center"/>
              <w:rPr>
                <w:rFonts w:hint="eastAsia"/>
              </w:rPr>
            </w:pPr>
            <w:r>
              <w:rPr>
                <w:rFonts w:hint="eastAsia"/>
              </w:rPr>
              <w:t>执行</w:t>
            </w:r>
          </w:p>
          <w:p w14:paraId="5BA1C421">
            <w:pPr>
              <w:pStyle w:val="59"/>
              <w:ind w:firstLine="21" w:firstLineChars="10"/>
              <w:jc w:val="center"/>
              <w:rPr>
                <w:rFonts w:hint="eastAsia"/>
              </w:rPr>
            </w:pPr>
            <w:r>
              <w:rPr>
                <w:rFonts w:hint="eastAsia"/>
              </w:rPr>
              <w:t>情况</w:t>
            </w:r>
          </w:p>
        </w:tc>
        <w:tc>
          <w:tcPr>
            <w:tcW w:w="5301" w:type="dxa"/>
            <w:gridSpan w:val="2"/>
            <w:tcBorders>
              <w:top w:val="single" w:color="auto" w:sz="4" w:space="0"/>
              <w:left w:val="nil"/>
              <w:bottom w:val="single" w:color="auto" w:sz="4" w:space="0"/>
              <w:right w:val="single" w:color="auto" w:sz="4" w:space="0"/>
            </w:tcBorders>
            <w:vAlign w:val="center"/>
          </w:tcPr>
          <w:p w14:paraId="1BA009BD">
            <w:pPr>
              <w:pStyle w:val="59"/>
              <w:ind w:firstLine="21" w:firstLineChars="10"/>
              <w:rPr>
                <w:rFonts w:hint="eastAsia"/>
              </w:rPr>
            </w:pPr>
            <w:r>
              <w:rPr>
                <w:rFonts w:hint="eastAsia"/>
              </w:rPr>
              <w:t>标准执行单位或人员是否按照标准要求组织开展</w:t>
            </w:r>
          </w:p>
          <w:p w14:paraId="486676DD">
            <w:pPr>
              <w:pStyle w:val="59"/>
              <w:ind w:firstLine="21" w:firstLineChars="10"/>
              <w:rPr>
                <w:rFonts w:hint="eastAsia"/>
              </w:rPr>
            </w:pPr>
            <w:r>
              <w:rPr>
                <w:rFonts w:hint="eastAsia"/>
              </w:rPr>
              <w:t>相关工作？</w:t>
            </w:r>
          </w:p>
        </w:tc>
        <w:tc>
          <w:tcPr>
            <w:tcW w:w="1384" w:type="dxa"/>
            <w:tcBorders>
              <w:top w:val="single" w:color="auto" w:sz="4" w:space="0"/>
              <w:left w:val="nil"/>
              <w:bottom w:val="single" w:color="auto" w:sz="4" w:space="0"/>
              <w:right w:val="single" w:color="auto" w:sz="12" w:space="0"/>
            </w:tcBorders>
            <w:vAlign w:val="center"/>
          </w:tcPr>
          <w:p w14:paraId="32A14862">
            <w:pPr>
              <w:pStyle w:val="59"/>
              <w:ind w:firstLine="21" w:firstLineChars="10"/>
              <w:rPr>
                <w:rFonts w:hint="eastAsia"/>
              </w:rPr>
            </w:pPr>
            <w:r>
              <w:drawing>
                <wp:inline distT="0" distB="0" distL="0" distR="0">
                  <wp:extent cx="114300" cy="114300"/>
                  <wp:effectExtent l="0" t="0" r="0" b="0"/>
                  <wp:docPr id="1881421845"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21845" name="图片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7463517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51712" name="图片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14:paraId="2537D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5" w:hRule="atLeast"/>
          <w:jc w:val="center"/>
        </w:trPr>
        <w:tc>
          <w:tcPr>
            <w:tcW w:w="1211" w:type="dxa"/>
            <w:vMerge w:val="restart"/>
            <w:tcBorders>
              <w:top w:val="nil"/>
              <w:left w:val="single" w:color="auto" w:sz="12" w:space="0"/>
              <w:bottom w:val="single" w:color="auto" w:sz="4" w:space="0"/>
              <w:right w:val="single" w:color="auto" w:sz="4" w:space="0"/>
            </w:tcBorders>
            <w:vAlign w:val="center"/>
          </w:tcPr>
          <w:p w14:paraId="32EAF226">
            <w:pPr>
              <w:pStyle w:val="59"/>
              <w:ind w:firstLine="21" w:firstLineChars="10"/>
              <w:jc w:val="center"/>
              <w:rPr>
                <w:rFonts w:hint="eastAsia"/>
              </w:rPr>
            </w:pPr>
            <w:r>
              <w:rPr>
                <w:rFonts w:hint="eastAsia"/>
              </w:rPr>
              <w:t>实施信息</w:t>
            </w:r>
          </w:p>
        </w:tc>
        <w:tc>
          <w:tcPr>
            <w:tcW w:w="6462" w:type="dxa"/>
            <w:gridSpan w:val="4"/>
            <w:tcBorders>
              <w:top w:val="single" w:color="auto" w:sz="4" w:space="0"/>
              <w:left w:val="nil"/>
              <w:bottom w:val="single" w:color="auto" w:sz="4" w:space="0"/>
              <w:right w:val="single" w:color="auto" w:sz="4" w:space="0"/>
            </w:tcBorders>
            <w:vAlign w:val="center"/>
          </w:tcPr>
          <w:p w14:paraId="1D240CE1">
            <w:pPr>
              <w:pStyle w:val="59"/>
              <w:ind w:firstLine="21" w:firstLineChars="10"/>
              <w:rPr>
                <w:rFonts w:hint="eastAsia"/>
              </w:rPr>
            </w:pPr>
            <w:r>
              <w:rPr>
                <w:rFonts w:hint="eastAsia"/>
              </w:rPr>
              <w:t>标准实施过程中是否存在阻力和障碍？</w:t>
            </w:r>
          </w:p>
        </w:tc>
        <w:tc>
          <w:tcPr>
            <w:tcW w:w="1384" w:type="dxa"/>
            <w:tcBorders>
              <w:top w:val="single" w:color="auto" w:sz="4" w:space="0"/>
              <w:left w:val="nil"/>
              <w:bottom w:val="single" w:color="auto" w:sz="4" w:space="0"/>
              <w:right w:val="single" w:color="auto" w:sz="12" w:space="0"/>
            </w:tcBorders>
            <w:vAlign w:val="center"/>
          </w:tcPr>
          <w:p w14:paraId="57E4175D">
            <w:pPr>
              <w:pStyle w:val="59"/>
              <w:ind w:firstLine="21" w:firstLineChars="10"/>
              <w:rPr>
                <w:rFonts w:hint="eastAsia"/>
              </w:rPr>
            </w:pPr>
            <w:r>
              <w:drawing>
                <wp:inline distT="0" distB="0" distL="0" distR="0">
                  <wp:extent cx="114300" cy="114300"/>
                  <wp:effectExtent l="0" t="0" r="0" b="0"/>
                  <wp:docPr id="156579196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791966" name="图片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是  </w:t>
            </w:r>
            <w:r>
              <w:drawing>
                <wp:inline distT="0" distB="0" distL="0" distR="0">
                  <wp:extent cx="114300" cy="114300"/>
                  <wp:effectExtent l="0" t="0" r="0" b="0"/>
                  <wp:docPr id="111912394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23948" name="图片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否</w:t>
            </w:r>
          </w:p>
        </w:tc>
      </w:tr>
      <w:tr w14:paraId="08EFF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jc w:val="center"/>
        </w:trPr>
        <w:tc>
          <w:tcPr>
            <w:tcW w:w="1211" w:type="dxa"/>
            <w:vMerge w:val="continue"/>
            <w:tcBorders>
              <w:top w:val="nil"/>
              <w:left w:val="single" w:color="auto" w:sz="12" w:space="0"/>
              <w:bottom w:val="single" w:color="auto" w:sz="4" w:space="0"/>
              <w:right w:val="single" w:color="auto" w:sz="4" w:space="0"/>
            </w:tcBorders>
            <w:vAlign w:val="center"/>
          </w:tcPr>
          <w:p w14:paraId="07310D4F">
            <w:pPr>
              <w:pStyle w:val="59"/>
              <w:ind w:firstLine="21" w:firstLineChars="10"/>
              <w:jc w:val="center"/>
            </w:pPr>
          </w:p>
        </w:tc>
        <w:tc>
          <w:tcPr>
            <w:tcW w:w="3353" w:type="dxa"/>
            <w:gridSpan w:val="3"/>
            <w:tcBorders>
              <w:top w:val="single" w:color="auto" w:sz="4" w:space="0"/>
              <w:left w:val="nil"/>
              <w:bottom w:val="single" w:color="auto" w:sz="4" w:space="0"/>
              <w:right w:val="single" w:color="auto" w:sz="4" w:space="0"/>
            </w:tcBorders>
            <w:vAlign w:val="center"/>
          </w:tcPr>
          <w:p w14:paraId="271AB4E6">
            <w:pPr>
              <w:pStyle w:val="59"/>
              <w:ind w:firstLine="21" w:firstLineChars="10"/>
              <w:rPr>
                <w:rFonts w:hint="eastAsia"/>
              </w:rPr>
            </w:pPr>
            <w:r>
              <w:rPr>
                <w:rFonts w:hint="eastAsia"/>
              </w:rPr>
              <w:t>实施过程中存在的主要问题</w:t>
            </w:r>
          </w:p>
        </w:tc>
        <w:tc>
          <w:tcPr>
            <w:tcW w:w="4493" w:type="dxa"/>
            <w:gridSpan w:val="2"/>
            <w:tcBorders>
              <w:top w:val="single" w:color="auto" w:sz="4" w:space="0"/>
              <w:left w:val="nil"/>
              <w:bottom w:val="single" w:color="auto" w:sz="4" w:space="0"/>
              <w:right w:val="single" w:color="auto" w:sz="12" w:space="0"/>
            </w:tcBorders>
            <w:vAlign w:val="center"/>
          </w:tcPr>
          <w:p w14:paraId="5D1E0C0B">
            <w:pPr>
              <w:pStyle w:val="59"/>
              <w:ind w:firstLine="21" w:firstLineChars="10"/>
              <w:rPr>
                <w:rFonts w:hint="eastAsia"/>
              </w:rPr>
            </w:pPr>
          </w:p>
        </w:tc>
      </w:tr>
      <w:tr w14:paraId="6E916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23" w:hRule="atLeast"/>
          <w:jc w:val="center"/>
        </w:trPr>
        <w:tc>
          <w:tcPr>
            <w:tcW w:w="1211" w:type="dxa"/>
            <w:vMerge w:val="restart"/>
            <w:tcBorders>
              <w:top w:val="nil"/>
              <w:left w:val="single" w:color="auto" w:sz="12" w:space="0"/>
              <w:bottom w:val="single" w:color="auto" w:sz="4" w:space="0"/>
              <w:right w:val="single" w:color="auto" w:sz="4" w:space="0"/>
            </w:tcBorders>
            <w:vAlign w:val="center"/>
          </w:tcPr>
          <w:p w14:paraId="33A20F5C">
            <w:pPr>
              <w:pStyle w:val="59"/>
              <w:ind w:firstLine="21" w:firstLineChars="10"/>
              <w:jc w:val="center"/>
              <w:rPr>
                <w:rFonts w:hint="eastAsia"/>
              </w:rPr>
            </w:pPr>
            <w:r>
              <w:rPr>
                <w:rFonts w:hint="eastAsia"/>
              </w:rPr>
              <w:t>修改意见</w:t>
            </w:r>
          </w:p>
        </w:tc>
        <w:tc>
          <w:tcPr>
            <w:tcW w:w="1161" w:type="dxa"/>
            <w:gridSpan w:val="2"/>
            <w:tcBorders>
              <w:top w:val="single" w:color="auto" w:sz="4" w:space="0"/>
              <w:left w:val="nil"/>
              <w:bottom w:val="single" w:color="auto" w:sz="4" w:space="0"/>
              <w:right w:val="single" w:color="auto" w:sz="4" w:space="0"/>
            </w:tcBorders>
            <w:vAlign w:val="center"/>
          </w:tcPr>
          <w:p w14:paraId="290BCA42">
            <w:pPr>
              <w:pStyle w:val="59"/>
              <w:ind w:firstLine="21" w:firstLineChars="10"/>
              <w:jc w:val="center"/>
              <w:rPr>
                <w:rFonts w:hint="eastAsia"/>
              </w:rPr>
            </w:pPr>
            <w:r>
              <w:rPr>
                <w:rFonts w:hint="eastAsia"/>
              </w:rPr>
              <w:t>总体</w:t>
            </w:r>
          </w:p>
          <w:p w14:paraId="2F2F6139">
            <w:pPr>
              <w:pStyle w:val="59"/>
              <w:ind w:firstLine="21" w:firstLineChars="10"/>
              <w:jc w:val="center"/>
              <w:rPr>
                <w:rFonts w:hint="eastAsia"/>
              </w:rPr>
            </w:pPr>
            <w:r>
              <w:rPr>
                <w:rFonts w:hint="eastAsia"/>
              </w:rPr>
              <w:t>意见</w:t>
            </w:r>
          </w:p>
        </w:tc>
        <w:tc>
          <w:tcPr>
            <w:tcW w:w="6685" w:type="dxa"/>
            <w:gridSpan w:val="3"/>
            <w:tcBorders>
              <w:top w:val="single" w:color="auto" w:sz="4" w:space="0"/>
              <w:left w:val="nil"/>
              <w:bottom w:val="single" w:color="auto" w:sz="4" w:space="0"/>
              <w:right w:val="single" w:color="auto" w:sz="12" w:space="0"/>
            </w:tcBorders>
            <w:vAlign w:val="center"/>
          </w:tcPr>
          <w:p w14:paraId="43889980">
            <w:pPr>
              <w:pStyle w:val="59"/>
              <w:ind w:firstLine="21" w:firstLineChars="10"/>
              <w:rPr>
                <w:rFonts w:hint="eastAsia"/>
              </w:rPr>
            </w:pPr>
            <w:r>
              <w:drawing>
                <wp:inline distT="0" distB="0" distL="0" distR="0">
                  <wp:extent cx="114300" cy="114300"/>
                  <wp:effectExtent l="0" t="0" r="0" b="0"/>
                  <wp:docPr id="15006629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662910"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适用    </w:t>
            </w:r>
            <w:r>
              <w:drawing>
                <wp:inline distT="0" distB="0" distL="0" distR="0">
                  <wp:extent cx="114300" cy="114300"/>
                  <wp:effectExtent l="0" t="0" r="0" b="0"/>
                  <wp:docPr id="41481909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9090" name="图片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 xml:space="preserve">修改    </w:t>
            </w:r>
            <w:r>
              <w:drawing>
                <wp:inline distT="0" distB="0" distL="0" distR="0">
                  <wp:extent cx="114300" cy="114300"/>
                  <wp:effectExtent l="0" t="0" r="0" b="0"/>
                  <wp:docPr id="198781219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12198" name="图片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废止</w:t>
            </w:r>
          </w:p>
        </w:tc>
      </w:tr>
      <w:tr w14:paraId="5167F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89" w:hRule="atLeast"/>
          <w:jc w:val="center"/>
        </w:trPr>
        <w:tc>
          <w:tcPr>
            <w:tcW w:w="1211" w:type="dxa"/>
            <w:vMerge w:val="continue"/>
            <w:tcBorders>
              <w:top w:val="nil"/>
              <w:left w:val="single" w:color="auto" w:sz="12" w:space="0"/>
              <w:bottom w:val="single" w:color="auto" w:sz="4" w:space="0"/>
              <w:right w:val="single" w:color="auto" w:sz="4" w:space="0"/>
            </w:tcBorders>
            <w:vAlign w:val="center"/>
          </w:tcPr>
          <w:p w14:paraId="4D3AB19E">
            <w:pPr>
              <w:pStyle w:val="59"/>
              <w:ind w:firstLine="21" w:firstLineChars="10"/>
              <w:jc w:val="center"/>
            </w:pPr>
          </w:p>
        </w:tc>
        <w:tc>
          <w:tcPr>
            <w:tcW w:w="1161" w:type="dxa"/>
            <w:gridSpan w:val="2"/>
            <w:tcBorders>
              <w:top w:val="single" w:color="auto" w:sz="4" w:space="0"/>
              <w:left w:val="nil"/>
              <w:bottom w:val="single" w:color="000000" w:sz="2" w:space="0"/>
              <w:right w:val="single" w:color="auto" w:sz="4" w:space="0"/>
            </w:tcBorders>
            <w:vAlign w:val="center"/>
          </w:tcPr>
          <w:p w14:paraId="2D907836">
            <w:pPr>
              <w:pStyle w:val="59"/>
              <w:ind w:firstLine="21" w:firstLineChars="10"/>
              <w:jc w:val="center"/>
              <w:rPr>
                <w:rFonts w:hint="eastAsia"/>
              </w:rPr>
            </w:pPr>
            <w:r>
              <w:rPr>
                <w:rFonts w:hint="eastAsia"/>
              </w:rPr>
              <w:t>具体修</w:t>
            </w:r>
          </w:p>
          <w:p w14:paraId="70F3F48F">
            <w:pPr>
              <w:pStyle w:val="59"/>
              <w:ind w:firstLine="21" w:firstLineChars="10"/>
              <w:jc w:val="center"/>
              <w:rPr>
                <w:rFonts w:hint="eastAsia"/>
              </w:rPr>
            </w:pPr>
            <w:r>
              <w:rPr>
                <w:rFonts w:hint="eastAsia"/>
              </w:rPr>
              <w:t>改意见</w:t>
            </w:r>
          </w:p>
        </w:tc>
        <w:tc>
          <w:tcPr>
            <w:tcW w:w="6685" w:type="dxa"/>
            <w:gridSpan w:val="3"/>
            <w:tcBorders>
              <w:top w:val="single" w:color="auto" w:sz="4" w:space="0"/>
              <w:left w:val="nil"/>
              <w:bottom w:val="single" w:color="000000" w:sz="2" w:space="0"/>
              <w:right w:val="single" w:color="auto" w:sz="12" w:space="0"/>
            </w:tcBorders>
            <w:vAlign w:val="center"/>
          </w:tcPr>
          <w:p w14:paraId="56FB2A58">
            <w:pPr>
              <w:pStyle w:val="59"/>
              <w:ind w:firstLine="21" w:firstLineChars="10"/>
              <w:rPr>
                <w:rFonts w:hint="eastAsia"/>
              </w:rPr>
            </w:pPr>
            <w:r>
              <w:rPr>
                <w:rFonts w:hint="eastAsia"/>
              </w:rPr>
              <w:t>需修改章节：</w:t>
            </w:r>
          </w:p>
          <w:p w14:paraId="2AB0A09A">
            <w:pPr>
              <w:pStyle w:val="59"/>
              <w:ind w:firstLine="21" w:firstLineChars="10"/>
              <w:rPr>
                <w:rFonts w:hint="eastAsia"/>
              </w:rPr>
            </w:pPr>
            <w:r>
              <w:rPr>
                <w:rFonts w:hint="eastAsia"/>
              </w:rPr>
              <w:t>具体修改意见：</w:t>
            </w:r>
          </w:p>
        </w:tc>
      </w:tr>
      <w:tr w14:paraId="5F524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916" w:hRule="atLeast"/>
          <w:jc w:val="center"/>
        </w:trPr>
        <w:tc>
          <w:tcPr>
            <w:tcW w:w="1211" w:type="dxa"/>
            <w:tcBorders>
              <w:top w:val="single" w:color="auto" w:sz="4" w:space="0"/>
              <w:left w:val="single" w:color="auto" w:sz="12" w:space="0"/>
              <w:bottom w:val="single" w:color="auto" w:sz="4" w:space="0"/>
              <w:right w:val="single" w:color="auto" w:sz="4" w:space="0"/>
            </w:tcBorders>
            <w:vAlign w:val="center"/>
          </w:tcPr>
          <w:p w14:paraId="7738BEDD">
            <w:pPr>
              <w:pStyle w:val="59"/>
              <w:ind w:firstLine="21" w:firstLineChars="10"/>
              <w:jc w:val="center"/>
              <w:rPr>
                <w:rFonts w:hint="eastAsia"/>
              </w:rPr>
            </w:pPr>
            <w:r>
              <w:rPr>
                <w:rFonts w:hint="eastAsia"/>
              </w:rPr>
              <w:t>反馈渠道</w:t>
            </w:r>
          </w:p>
        </w:tc>
        <w:tc>
          <w:tcPr>
            <w:tcW w:w="7846" w:type="dxa"/>
            <w:gridSpan w:val="5"/>
            <w:tcBorders>
              <w:top w:val="single" w:color="000000" w:sz="2" w:space="0"/>
              <w:left w:val="nil"/>
              <w:bottom w:val="single" w:color="000000" w:sz="2" w:space="0"/>
              <w:right w:val="single" w:color="auto" w:sz="4" w:space="0"/>
            </w:tcBorders>
            <w:vAlign w:val="center"/>
          </w:tcPr>
          <w:p w14:paraId="066B4DCD">
            <w:pPr>
              <w:pStyle w:val="59"/>
              <w:ind w:firstLine="21" w:firstLineChars="10"/>
              <w:rPr>
                <w:rFonts w:hint="eastAsia"/>
              </w:rPr>
            </w:pPr>
            <w:r>
              <w:drawing>
                <wp:inline distT="0" distB="0" distL="0" distR="0">
                  <wp:extent cx="114300" cy="114300"/>
                  <wp:effectExtent l="0" t="0" r="0" b="0"/>
                  <wp:docPr id="122335171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51711" name="图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标准化行政主管部门</w:t>
            </w:r>
          </w:p>
          <w:p w14:paraId="6C2AD2E1">
            <w:pPr>
              <w:pStyle w:val="59"/>
              <w:ind w:firstLine="21" w:firstLineChars="10"/>
              <w:rPr>
                <w:rFonts w:hint="eastAsia"/>
              </w:rPr>
            </w:pPr>
            <w:r>
              <w:drawing>
                <wp:inline distT="0" distB="0" distL="0" distR="0">
                  <wp:extent cx="114300" cy="114300"/>
                  <wp:effectExtent l="0" t="0" r="0" b="0"/>
                  <wp:docPr id="145922319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23191" name="图片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省直行业主管部门</w:t>
            </w:r>
          </w:p>
          <w:p w14:paraId="09FB762A">
            <w:pPr>
              <w:pStyle w:val="59"/>
              <w:ind w:firstLine="21" w:firstLineChars="10"/>
              <w:rPr>
                <w:rFonts w:hint="eastAsia"/>
              </w:rPr>
            </w:pPr>
            <w:r>
              <w:drawing>
                <wp:inline distT="0" distB="0" distL="0" distR="0">
                  <wp:extent cx="114300" cy="114300"/>
                  <wp:effectExtent l="0" t="0" r="0" b="0"/>
                  <wp:docPr id="53831485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314858" name="图片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专业标准化技术委员会（工作组）</w:t>
            </w:r>
          </w:p>
          <w:p w14:paraId="50B9CF4E">
            <w:pPr>
              <w:pStyle w:val="59"/>
              <w:ind w:firstLine="21" w:firstLineChars="10"/>
              <w:rPr>
                <w:rFonts w:hint="eastAsia"/>
              </w:rPr>
            </w:pPr>
            <w:r>
              <w:drawing>
                <wp:inline distT="0" distB="0" distL="0" distR="0">
                  <wp:extent cx="114300" cy="114300"/>
                  <wp:effectExtent l="0" t="0" r="0" b="0"/>
                  <wp:docPr id="59234144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341449" name="图片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hint="eastAsia"/>
              </w:rPr>
              <w:t>标准起草组（牵头起草单位）</w:t>
            </w:r>
          </w:p>
        </w:tc>
      </w:tr>
      <w:tr w14:paraId="2D121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224" w:hRule="atLeast"/>
          <w:jc w:val="center"/>
        </w:trPr>
        <w:tc>
          <w:tcPr>
            <w:tcW w:w="1211" w:type="dxa"/>
            <w:tcBorders>
              <w:top w:val="single" w:color="auto" w:sz="4" w:space="0"/>
              <w:left w:val="single" w:color="auto" w:sz="12" w:space="0"/>
              <w:bottom w:val="single" w:color="auto" w:sz="12" w:space="0"/>
              <w:right w:val="single" w:color="auto" w:sz="4" w:space="0"/>
            </w:tcBorders>
            <w:vAlign w:val="center"/>
          </w:tcPr>
          <w:p w14:paraId="6C557848">
            <w:pPr>
              <w:pStyle w:val="59"/>
              <w:ind w:firstLine="21" w:firstLineChars="10"/>
              <w:jc w:val="center"/>
              <w:rPr>
                <w:rFonts w:hint="eastAsia"/>
              </w:rPr>
            </w:pPr>
            <w:r>
              <w:rPr>
                <w:rFonts w:hint="eastAsia"/>
              </w:rPr>
              <w:t>反馈人</w:t>
            </w:r>
          </w:p>
        </w:tc>
        <w:tc>
          <w:tcPr>
            <w:tcW w:w="7846" w:type="dxa"/>
            <w:gridSpan w:val="5"/>
            <w:tcBorders>
              <w:top w:val="single" w:color="000000" w:sz="2" w:space="0"/>
              <w:left w:val="nil"/>
              <w:bottom w:val="single" w:color="auto" w:sz="12" w:space="0"/>
              <w:right w:val="single" w:color="auto" w:sz="12" w:space="0"/>
            </w:tcBorders>
            <w:vAlign w:val="center"/>
          </w:tcPr>
          <w:p w14:paraId="0C73B752">
            <w:pPr>
              <w:pStyle w:val="59"/>
              <w:ind w:firstLine="21" w:firstLineChars="10"/>
              <w:rPr>
                <w:rFonts w:hint="eastAsia"/>
              </w:rPr>
            </w:pPr>
            <w:r>
              <w:rPr>
                <w:rFonts w:hint="eastAsia"/>
              </w:rPr>
              <w:t>姓名：           单位：                      联系方式：</w:t>
            </w:r>
          </w:p>
        </w:tc>
      </w:tr>
    </w:tbl>
    <w:p w14:paraId="22422C32">
      <w:pPr>
        <w:pStyle w:val="59"/>
        <w:ind w:firstLine="420"/>
        <w:rPr>
          <w:rFonts w:hint="eastAsia"/>
        </w:rPr>
      </w:pPr>
      <w:r>
        <w:rPr>
          <w:rFonts w:hint="eastAsia"/>
        </w:rPr>
        <w:t>填表说明：为及时掌握标准实施情况，了解地方标准实施过程中存在的问题，并为标准复审提供科学依据，特制定《湖北省地方标准实施信息及意见反馈表》。可根据实际情况在表格中对应方框打勾，有需要文字说明的反馈意见可在相应位置进行文字描述，也可另附页。</w:t>
      </w:r>
    </w:p>
    <w:p w14:paraId="0F19359D">
      <w:pPr>
        <w:pStyle w:val="59"/>
        <w:ind w:firstLine="420"/>
      </w:pPr>
    </w:p>
    <w:p w14:paraId="12FE2126">
      <w:pPr>
        <w:pStyle w:val="59"/>
        <w:ind w:firstLine="420"/>
      </w:pPr>
    </w:p>
    <w:p w14:paraId="4D990FD7">
      <w:pPr>
        <w:pStyle w:val="165"/>
        <w:numPr>
          <w:ilvl w:val="0"/>
          <w:numId w:val="0"/>
        </w:numPr>
        <w:rPr>
          <w:rFonts w:hint="eastAsia"/>
        </w:rPr>
      </w:pPr>
    </w:p>
    <w:p w14:paraId="5B76E2AF">
      <w:pPr>
        <w:rPr>
          <w:color w:val="000000" w:themeColor="text1"/>
          <w14:textFill>
            <w14:solidFill>
              <w14:schemeClr w14:val="tx1"/>
            </w14:solidFill>
          </w14:textFill>
        </w:rPr>
      </w:pPr>
    </w:p>
    <w:p w14:paraId="40BF8BBD">
      <w:pPr>
        <w:rPr>
          <w:color w:val="000000" w:themeColor="text1"/>
          <w14:textFill>
            <w14:solidFill>
              <w14:schemeClr w14:val="tx1"/>
            </w14:solidFill>
          </w14:textFill>
        </w:rPr>
      </w:pPr>
    </w:p>
    <w:p w14:paraId="537C0D59">
      <w:pPr>
        <w:rPr>
          <w:color w:val="000000" w:themeColor="text1"/>
          <w14:textFill>
            <w14:solidFill>
              <w14:schemeClr w14:val="tx1"/>
            </w14:solidFill>
          </w14:textFill>
        </w:rPr>
      </w:pPr>
    </w:p>
    <w:p w14:paraId="22559D15">
      <w:pPr>
        <w:rPr>
          <w:color w:val="000000" w:themeColor="text1"/>
          <w14:textFill>
            <w14:solidFill>
              <w14:schemeClr w14:val="tx1"/>
            </w14:solidFill>
          </w14:textFill>
        </w:rPr>
      </w:pPr>
    </w:p>
    <w:p w14:paraId="27FFAF8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黑体" w:hAnsi="黑体" w:eastAsia="黑体" w:cs="Times New Roman"/>
          <w:b w:val="0"/>
          <w:bCs w:val="0"/>
          <w:color w:val="000000" w:themeColor="text1"/>
          <w:w w:val="100"/>
          <w:kern w:val="0"/>
          <w:sz w:val="48"/>
          <w:szCs w:val="48"/>
          <w:lang w:val="en-US" w:eastAsia="zh-CN" w:bidi="ar-SA"/>
          <w14:textFill>
            <w14:solidFill>
              <w14:schemeClr w14:val="tx1"/>
            </w14:solidFill>
          </w14:textFill>
        </w:rPr>
      </w:pPr>
      <w:r>
        <w:rPr>
          <w:rFonts w:hint="eastAsia" w:ascii="黑体" w:hAnsi="黑体" w:eastAsia="黑体" w:cs="Times New Roman"/>
          <w:b w:val="0"/>
          <w:bCs w:val="0"/>
          <w:color w:val="000000" w:themeColor="text1"/>
          <w:w w:val="100"/>
          <w:kern w:val="0"/>
          <w:sz w:val="48"/>
          <w:szCs w:val="48"/>
          <w:lang w:val="en-US" w:eastAsia="zh-CN" w:bidi="ar-SA"/>
          <w14:textFill>
            <w14:solidFill>
              <w14:schemeClr w14:val="tx1"/>
            </w14:solidFill>
          </w14:textFill>
        </w:rPr>
        <w:t>湖北省地方标准</w:t>
      </w:r>
    </w:p>
    <w:p w14:paraId="2EED7296">
      <w:pPr>
        <w:rPr>
          <w:rFonts w:hint="eastAsia"/>
          <w:color w:val="000000" w:themeColor="text1"/>
          <w14:textFill>
            <w14:solidFill>
              <w14:schemeClr w14:val="tx1"/>
            </w14:solidFill>
          </w14:textFill>
        </w:rPr>
      </w:pPr>
    </w:p>
    <w:p w14:paraId="29DCEA18">
      <w:pPr>
        <w:rPr>
          <w:color w:val="000000" w:themeColor="text1"/>
          <w14:textFill>
            <w14:solidFill>
              <w14:schemeClr w14:val="tx1"/>
            </w14:solidFill>
          </w14:textFill>
        </w:rPr>
      </w:pPr>
    </w:p>
    <w:p w14:paraId="43BD2032">
      <w:pPr>
        <w:keepNext w:val="0"/>
        <w:keepLines w:val="0"/>
        <w:pageBreakBefore w:val="0"/>
        <w:widowControl w:val="0"/>
        <w:kinsoku/>
        <w:wordWrap/>
        <w:overflowPunct/>
        <w:topLinePunct w:val="0"/>
        <w:autoSpaceDE/>
        <w:autoSpaceDN/>
        <w:bidi w:val="0"/>
        <w:adjustRightInd w:val="0"/>
        <w:snapToGrid/>
        <w:spacing w:line="440" w:lineRule="exact"/>
        <w:jc w:val="center"/>
        <w:textAlignment w:val="auto"/>
        <w:rPr>
          <w:rFonts w:hint="eastAsia" w:ascii="黑体" w:hAnsi="黑体" w:eastAsia="黑体" w:cs="Times New Roman"/>
          <w:b w:val="0"/>
          <w:bCs w:val="0"/>
          <w:color w:val="000000" w:themeColor="text1"/>
          <w:w w:val="100"/>
          <w:kern w:val="0"/>
          <w:sz w:val="48"/>
          <w:szCs w:val="48"/>
          <w:lang w:val="en-US" w:eastAsia="zh-CN" w:bidi="ar-SA"/>
          <w14:textFill>
            <w14:solidFill>
              <w14:schemeClr w14:val="tx1"/>
            </w14:solidFill>
          </w14:textFill>
        </w:rPr>
      </w:pPr>
      <w:r>
        <w:rPr>
          <w:rFonts w:hint="eastAsia" w:ascii="黑体" w:hAnsi="黑体" w:eastAsia="黑体" w:cs="Times New Roman"/>
          <w:b w:val="0"/>
          <w:bCs w:val="0"/>
          <w:color w:val="000000" w:themeColor="text1"/>
          <w:w w:val="100"/>
          <w:kern w:val="0"/>
          <w:sz w:val="48"/>
          <w:szCs w:val="48"/>
          <w:lang w:val="en-US" w:eastAsia="zh-CN" w:bidi="ar-SA"/>
          <w14:textFill>
            <w14:solidFill>
              <w14:schemeClr w14:val="tx1"/>
            </w14:solidFill>
          </w14:textFill>
        </w:rPr>
        <w:t>城镇污水处理厂绿色设计规程</w:t>
      </w:r>
    </w:p>
    <w:p w14:paraId="55404518">
      <w:pPr>
        <w:rPr>
          <w:color w:val="000000" w:themeColor="text1"/>
          <w14:textFill>
            <w14:solidFill>
              <w14:schemeClr w14:val="tx1"/>
            </w14:solidFill>
          </w14:textFill>
        </w:rPr>
      </w:pPr>
    </w:p>
    <w:p w14:paraId="2A109E5D">
      <w:pPr>
        <w:rPr>
          <w:color w:val="000000" w:themeColor="text1"/>
          <w14:textFill>
            <w14:solidFill>
              <w14:schemeClr w14:val="tx1"/>
            </w14:solidFill>
          </w14:textFill>
        </w:rPr>
      </w:pPr>
    </w:p>
    <w:p w14:paraId="3811C053">
      <w:pPr>
        <w:rPr>
          <w:color w:val="000000" w:themeColor="text1"/>
          <w14:textFill>
            <w14:solidFill>
              <w14:schemeClr w14:val="tx1"/>
            </w14:solidFill>
          </w14:textFill>
        </w:rPr>
      </w:pPr>
    </w:p>
    <w:p w14:paraId="3613A0DB">
      <w:pPr>
        <w:spacing w:line="240" w:lineRule="auto"/>
        <w:jc w:val="center"/>
        <w:rPr>
          <w:rFonts w:hint="eastAsia"/>
          <w:color w:val="000000" w:themeColor="text1"/>
          <w:sz w:val="60"/>
          <w:szCs w:val="60"/>
          <w14:textFill>
            <w14:solidFill>
              <w14:schemeClr w14:val="tx1"/>
            </w14:solidFill>
          </w14:textFill>
        </w:rPr>
      </w:pPr>
    </w:p>
    <w:p w14:paraId="11F39215">
      <w:pPr>
        <w:spacing w:line="240" w:lineRule="auto"/>
        <w:jc w:val="center"/>
        <w:rPr>
          <w:rFonts w:hint="eastAsia"/>
          <w:color w:val="000000" w:themeColor="text1"/>
          <w:sz w:val="60"/>
          <w:szCs w:val="60"/>
          <w14:textFill>
            <w14:solidFill>
              <w14:schemeClr w14:val="tx1"/>
            </w14:solidFill>
          </w14:textFill>
        </w:rPr>
      </w:pPr>
    </w:p>
    <w:p w14:paraId="7A9A996B">
      <w:pPr>
        <w:spacing w:line="240" w:lineRule="auto"/>
        <w:jc w:val="center"/>
        <w:rPr>
          <w:color w:val="000000" w:themeColor="text1"/>
          <w:sz w:val="60"/>
          <w:szCs w:val="60"/>
          <w14:textFill>
            <w14:solidFill>
              <w14:schemeClr w14:val="tx1"/>
            </w14:solidFill>
          </w14:textFill>
        </w:rPr>
      </w:pPr>
      <w:r>
        <w:rPr>
          <w:rFonts w:hint="eastAsia"/>
          <w:color w:val="000000" w:themeColor="text1"/>
          <w:sz w:val="60"/>
          <w:szCs w:val="60"/>
          <w14:textFill>
            <w14:solidFill>
              <w14:schemeClr w14:val="tx1"/>
            </w14:solidFill>
          </w14:textFill>
        </w:rPr>
        <w:t>条文说明</w:t>
      </w:r>
    </w:p>
    <w:p w14:paraId="54961B20">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420A0739">
      <w:pPr>
        <w:pStyle w:val="94"/>
        <w:spacing w:after="468"/>
      </w:pPr>
      <w:r>
        <w:rPr>
          <w:rFonts w:hint="eastAsia"/>
          <w:spacing w:val="320"/>
        </w:rPr>
        <w:t>目</w:t>
      </w:r>
      <w:r>
        <w:rPr>
          <w:rFonts w:hint="eastAsia"/>
        </w:rPr>
        <w:t>次</w:t>
      </w:r>
    </w:p>
    <w:p w14:paraId="02928801">
      <w:pPr>
        <w:pStyle w:val="20"/>
        <w:tabs>
          <w:tab w:val="right" w:leader="dot" w:pos="9354"/>
        </w:tabs>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"_Toc27838" </w:instrText>
      </w:r>
      <w:r>
        <w:fldChar w:fldCharType="separate"/>
      </w:r>
      <w:r>
        <w:rPr>
          <w:rFonts w:hint="eastAsia"/>
        </w:rPr>
        <w:t>4  一般规定</w:t>
      </w:r>
      <w:r>
        <w:tab/>
      </w:r>
      <w:r>
        <w:fldChar w:fldCharType="begin"/>
      </w:r>
      <w:r>
        <w:instrText xml:space="preserve"> PAGEREF _Toc27838 \h </w:instrText>
      </w:r>
      <w:r>
        <w:fldChar w:fldCharType="separate"/>
      </w:r>
      <w:r>
        <w:t>18</w:t>
      </w:r>
      <w:r>
        <w:fldChar w:fldCharType="end"/>
      </w:r>
      <w:r>
        <w:fldChar w:fldCharType="end"/>
      </w:r>
    </w:p>
    <w:p w14:paraId="52FFE0E4">
      <w:pPr>
        <w:pStyle w:val="25"/>
        <w:tabs>
          <w:tab w:val="right" w:leader="dot" w:pos="9354"/>
          <w:tab w:val="clear" w:pos="9344"/>
        </w:tabs>
      </w:pPr>
      <w:r>
        <w:fldChar w:fldCharType="begin"/>
      </w:r>
      <w:r>
        <w:instrText xml:space="preserve"> HYPERLINK \l "_Toc21381" </w:instrText>
      </w:r>
      <w:r>
        <w:fldChar w:fldCharType="separate"/>
      </w:r>
      <w:r>
        <w:rPr>
          <w:rFonts w:hint="eastAsia"/>
        </w:rPr>
        <w:t>4.1  总体要求</w:t>
      </w:r>
      <w:r>
        <w:tab/>
      </w:r>
      <w:r>
        <w:fldChar w:fldCharType="begin"/>
      </w:r>
      <w:r>
        <w:instrText xml:space="preserve"> PAGEREF _Toc21381 \h </w:instrText>
      </w:r>
      <w:r>
        <w:fldChar w:fldCharType="separate"/>
      </w:r>
      <w:r>
        <w:t>18</w:t>
      </w:r>
      <w:r>
        <w:fldChar w:fldCharType="end"/>
      </w:r>
      <w:r>
        <w:fldChar w:fldCharType="end"/>
      </w:r>
    </w:p>
    <w:p w14:paraId="5331A289">
      <w:pPr>
        <w:pStyle w:val="20"/>
        <w:tabs>
          <w:tab w:val="right" w:leader="dot" w:pos="9354"/>
        </w:tabs>
      </w:pPr>
      <w:r>
        <w:fldChar w:fldCharType="begin"/>
      </w:r>
      <w:r>
        <w:instrText xml:space="preserve"> HYPERLINK \l "_Toc24246" </w:instrText>
      </w:r>
      <w:r>
        <w:fldChar w:fldCharType="separate"/>
      </w:r>
      <w:r>
        <w:rPr>
          <w:rFonts w:hint="eastAsia"/>
        </w:rPr>
        <w:t>5  污水处理和再生水资源化利用</w:t>
      </w:r>
      <w:r>
        <w:tab/>
      </w:r>
      <w:r>
        <w:fldChar w:fldCharType="begin"/>
      </w:r>
      <w:r>
        <w:instrText xml:space="preserve"> PAGEREF _Toc24246 \h </w:instrText>
      </w:r>
      <w:r>
        <w:fldChar w:fldCharType="separate"/>
      </w:r>
      <w:r>
        <w:t>18</w:t>
      </w:r>
      <w:r>
        <w:fldChar w:fldCharType="end"/>
      </w:r>
      <w:r>
        <w:fldChar w:fldCharType="end"/>
      </w:r>
    </w:p>
    <w:p w14:paraId="46E85E90">
      <w:pPr>
        <w:pStyle w:val="25"/>
        <w:tabs>
          <w:tab w:val="right" w:leader="dot" w:pos="9354"/>
          <w:tab w:val="clear" w:pos="9344"/>
        </w:tabs>
      </w:pPr>
      <w:r>
        <w:fldChar w:fldCharType="begin"/>
      </w:r>
      <w:r>
        <w:instrText xml:space="preserve"> HYPERLINK \l "_Toc19139" </w:instrText>
      </w:r>
      <w:r>
        <w:fldChar w:fldCharType="separate"/>
      </w:r>
      <w:r>
        <w:rPr>
          <w:rFonts w:hint="eastAsia"/>
        </w:rPr>
        <w:t>5.1  一般规定</w:t>
      </w:r>
      <w:r>
        <w:tab/>
      </w:r>
      <w:r>
        <w:fldChar w:fldCharType="begin"/>
      </w:r>
      <w:r>
        <w:instrText xml:space="preserve"> PAGEREF _Toc19139 \h </w:instrText>
      </w:r>
      <w:r>
        <w:fldChar w:fldCharType="separate"/>
      </w:r>
      <w:r>
        <w:t>18</w:t>
      </w:r>
      <w:r>
        <w:fldChar w:fldCharType="end"/>
      </w:r>
      <w:r>
        <w:fldChar w:fldCharType="end"/>
      </w:r>
    </w:p>
    <w:p w14:paraId="7BE371FC">
      <w:pPr>
        <w:pStyle w:val="25"/>
        <w:tabs>
          <w:tab w:val="right" w:leader="dot" w:pos="9354"/>
          <w:tab w:val="clear" w:pos="9344"/>
        </w:tabs>
      </w:pPr>
      <w:r>
        <w:fldChar w:fldCharType="begin"/>
      </w:r>
      <w:r>
        <w:instrText xml:space="preserve"> HYPERLINK \l "_Toc14638" </w:instrText>
      </w:r>
      <w:r>
        <w:fldChar w:fldCharType="separate"/>
      </w:r>
      <w:r>
        <w:rPr>
          <w:rFonts w:hint="eastAsia"/>
        </w:rPr>
        <w:t>5.3  预处理</w:t>
      </w:r>
      <w:r>
        <w:tab/>
      </w:r>
      <w:r>
        <w:fldChar w:fldCharType="begin"/>
      </w:r>
      <w:r>
        <w:instrText xml:space="preserve"> PAGEREF _Toc14638 \h </w:instrText>
      </w:r>
      <w:r>
        <w:fldChar w:fldCharType="separate"/>
      </w:r>
      <w:r>
        <w:t>18</w:t>
      </w:r>
      <w:r>
        <w:fldChar w:fldCharType="end"/>
      </w:r>
      <w:r>
        <w:fldChar w:fldCharType="end"/>
      </w:r>
    </w:p>
    <w:p w14:paraId="110C0573">
      <w:pPr>
        <w:pStyle w:val="25"/>
        <w:tabs>
          <w:tab w:val="right" w:leader="dot" w:pos="9354"/>
          <w:tab w:val="clear" w:pos="9344"/>
        </w:tabs>
      </w:pPr>
      <w:r>
        <w:fldChar w:fldCharType="begin"/>
      </w:r>
      <w:r>
        <w:instrText xml:space="preserve"> HYPERLINK \l "_Toc1005" </w:instrText>
      </w:r>
      <w:r>
        <w:fldChar w:fldCharType="separate"/>
      </w:r>
      <w:r>
        <w:rPr>
          <w:rFonts w:hint="eastAsia"/>
        </w:rPr>
        <w:t>5.4  生物处理</w:t>
      </w:r>
      <w:r>
        <w:tab/>
      </w:r>
      <w:r>
        <w:fldChar w:fldCharType="begin"/>
      </w:r>
      <w:r>
        <w:instrText xml:space="preserve"> PAGEREF _Toc1005 \h </w:instrText>
      </w:r>
      <w:r>
        <w:fldChar w:fldCharType="separate"/>
      </w:r>
      <w:r>
        <w:t>18</w:t>
      </w:r>
      <w:r>
        <w:fldChar w:fldCharType="end"/>
      </w:r>
      <w:r>
        <w:fldChar w:fldCharType="end"/>
      </w:r>
    </w:p>
    <w:p w14:paraId="53360651">
      <w:pPr>
        <w:pStyle w:val="25"/>
        <w:tabs>
          <w:tab w:val="right" w:leader="dot" w:pos="9354"/>
          <w:tab w:val="clear" w:pos="9344"/>
        </w:tabs>
      </w:pPr>
      <w:r>
        <w:fldChar w:fldCharType="begin"/>
      </w:r>
      <w:r>
        <w:instrText xml:space="preserve"> HYPERLINK \l "_Toc6300" </w:instrText>
      </w:r>
      <w:r>
        <w:fldChar w:fldCharType="separate"/>
      </w:r>
      <w:r>
        <w:rPr>
          <w:rFonts w:hint="eastAsia"/>
        </w:rPr>
        <w:t>5.5  深度处理及再生水资源化利用</w:t>
      </w:r>
      <w:r>
        <w:tab/>
      </w:r>
      <w:r>
        <w:fldChar w:fldCharType="begin"/>
      </w:r>
      <w:r>
        <w:instrText xml:space="preserve"> PAGEREF _Toc6300 \h </w:instrText>
      </w:r>
      <w:r>
        <w:fldChar w:fldCharType="separate"/>
      </w:r>
      <w:r>
        <w:t>19</w:t>
      </w:r>
      <w:r>
        <w:fldChar w:fldCharType="end"/>
      </w:r>
      <w:r>
        <w:fldChar w:fldCharType="end"/>
      </w:r>
    </w:p>
    <w:p w14:paraId="3741D437">
      <w:pPr>
        <w:pStyle w:val="25"/>
        <w:tabs>
          <w:tab w:val="right" w:leader="dot" w:pos="9354"/>
          <w:tab w:val="clear" w:pos="9344"/>
        </w:tabs>
      </w:pPr>
      <w:r>
        <w:fldChar w:fldCharType="begin"/>
      </w:r>
      <w:r>
        <w:instrText xml:space="preserve"> HYPERLINK \l "_Toc5880" </w:instrText>
      </w:r>
      <w:r>
        <w:fldChar w:fldCharType="separate"/>
      </w:r>
      <w:r>
        <w:rPr>
          <w:rFonts w:hint="eastAsia"/>
        </w:rPr>
        <w:t>5.7  消毒工艺</w:t>
      </w:r>
      <w:r>
        <w:tab/>
      </w:r>
      <w:r>
        <w:fldChar w:fldCharType="begin"/>
      </w:r>
      <w:r>
        <w:instrText xml:space="preserve"> PAGEREF _Toc5880 \h </w:instrText>
      </w:r>
      <w:r>
        <w:fldChar w:fldCharType="separate"/>
      </w:r>
      <w:r>
        <w:t>19</w:t>
      </w:r>
      <w:r>
        <w:fldChar w:fldCharType="end"/>
      </w:r>
      <w:r>
        <w:fldChar w:fldCharType="end"/>
      </w:r>
    </w:p>
    <w:p w14:paraId="134E4902">
      <w:pPr>
        <w:pStyle w:val="20"/>
        <w:tabs>
          <w:tab w:val="right" w:leader="dot" w:pos="9354"/>
        </w:tabs>
      </w:pPr>
      <w:r>
        <w:fldChar w:fldCharType="begin"/>
      </w:r>
      <w:r>
        <w:instrText xml:space="preserve"> HYPERLINK \l "_Toc21785" </w:instrText>
      </w:r>
      <w:r>
        <w:fldChar w:fldCharType="separate"/>
      </w:r>
      <w:r>
        <w:rPr>
          <w:rFonts w:hint="eastAsia"/>
        </w:rPr>
        <w:t>6  污泥处理和资源化处置</w:t>
      </w:r>
      <w:r>
        <w:tab/>
      </w:r>
      <w:r>
        <w:fldChar w:fldCharType="begin"/>
      </w:r>
      <w:r>
        <w:instrText xml:space="preserve"> PAGEREF _Toc21785 \h </w:instrText>
      </w:r>
      <w:r>
        <w:fldChar w:fldCharType="separate"/>
      </w:r>
      <w:r>
        <w:t>19</w:t>
      </w:r>
      <w:r>
        <w:fldChar w:fldCharType="end"/>
      </w:r>
      <w:r>
        <w:fldChar w:fldCharType="end"/>
      </w:r>
    </w:p>
    <w:p w14:paraId="02AAFB9B">
      <w:pPr>
        <w:pStyle w:val="25"/>
        <w:tabs>
          <w:tab w:val="right" w:leader="dot" w:pos="9354"/>
          <w:tab w:val="clear" w:pos="9344"/>
        </w:tabs>
      </w:pPr>
      <w:r>
        <w:fldChar w:fldCharType="begin"/>
      </w:r>
      <w:r>
        <w:instrText xml:space="preserve"> HYPERLINK \l "_Toc25542" </w:instrText>
      </w:r>
      <w:r>
        <w:fldChar w:fldCharType="separate"/>
      </w:r>
      <w:r>
        <w:rPr>
          <w:rFonts w:hint="eastAsia"/>
        </w:rPr>
        <w:t>6.2  污泥处理和资源化处置</w:t>
      </w:r>
      <w:r>
        <w:tab/>
      </w:r>
      <w:r>
        <w:fldChar w:fldCharType="begin"/>
      </w:r>
      <w:r>
        <w:instrText xml:space="preserve"> PAGEREF _Toc25542 \h </w:instrText>
      </w:r>
      <w:r>
        <w:fldChar w:fldCharType="separate"/>
      </w:r>
      <w:r>
        <w:t>19</w:t>
      </w:r>
      <w:r>
        <w:fldChar w:fldCharType="end"/>
      </w:r>
      <w:r>
        <w:fldChar w:fldCharType="end"/>
      </w:r>
    </w:p>
    <w:p w14:paraId="73F11DC8">
      <w:pPr>
        <w:pStyle w:val="20"/>
        <w:tabs>
          <w:tab w:val="right" w:leader="dot" w:pos="9354"/>
        </w:tabs>
      </w:pPr>
      <w:r>
        <w:fldChar w:fldCharType="begin"/>
      </w:r>
      <w:r>
        <w:instrText xml:space="preserve"> HYPERLINK \l "_Toc16002" </w:instrText>
      </w:r>
      <w:r>
        <w:fldChar w:fldCharType="separate"/>
      </w:r>
      <w:r>
        <w:rPr>
          <w:rFonts w:hint="eastAsia"/>
        </w:rPr>
        <w:t>7  能源利用与节能</w:t>
      </w:r>
      <w:r>
        <w:tab/>
      </w:r>
      <w:r>
        <w:fldChar w:fldCharType="begin"/>
      </w:r>
      <w:r>
        <w:instrText xml:space="preserve"> PAGEREF _Toc16002 \h </w:instrText>
      </w:r>
      <w:r>
        <w:fldChar w:fldCharType="separate"/>
      </w:r>
      <w:r>
        <w:t>20</w:t>
      </w:r>
      <w:r>
        <w:fldChar w:fldCharType="end"/>
      </w:r>
      <w:r>
        <w:fldChar w:fldCharType="end"/>
      </w:r>
    </w:p>
    <w:p w14:paraId="38FED42C">
      <w:pPr>
        <w:pStyle w:val="25"/>
        <w:tabs>
          <w:tab w:val="right" w:leader="dot" w:pos="9354"/>
          <w:tab w:val="clear" w:pos="9344"/>
        </w:tabs>
      </w:pPr>
      <w:r>
        <w:fldChar w:fldCharType="begin"/>
      </w:r>
      <w:r>
        <w:instrText xml:space="preserve"> HYPERLINK \l "_Toc13371" </w:instrText>
      </w:r>
      <w:r>
        <w:fldChar w:fldCharType="separate"/>
      </w:r>
      <w:r>
        <w:rPr>
          <w:rFonts w:hint="eastAsia"/>
        </w:rPr>
        <w:t>7.1  一般规定</w:t>
      </w:r>
      <w:r>
        <w:tab/>
      </w:r>
      <w:r>
        <w:fldChar w:fldCharType="begin"/>
      </w:r>
      <w:r>
        <w:instrText xml:space="preserve"> PAGEREF _Toc13371 \h </w:instrText>
      </w:r>
      <w:r>
        <w:fldChar w:fldCharType="separate"/>
      </w:r>
      <w:r>
        <w:t>20</w:t>
      </w:r>
      <w:r>
        <w:fldChar w:fldCharType="end"/>
      </w:r>
      <w:r>
        <w:fldChar w:fldCharType="end"/>
      </w:r>
    </w:p>
    <w:p w14:paraId="69E78257">
      <w:pPr>
        <w:pStyle w:val="25"/>
        <w:tabs>
          <w:tab w:val="right" w:leader="dot" w:pos="9354"/>
          <w:tab w:val="clear" w:pos="9344"/>
        </w:tabs>
      </w:pPr>
      <w:r>
        <w:fldChar w:fldCharType="begin"/>
      </w:r>
      <w:r>
        <w:instrText xml:space="preserve"> HYPERLINK \l "_Toc12982" </w:instrText>
      </w:r>
      <w:r>
        <w:fldChar w:fldCharType="separate"/>
      </w:r>
      <w:r>
        <w:rPr>
          <w:rFonts w:hint="eastAsia"/>
        </w:rPr>
        <w:t>7.5  沼气利用</w:t>
      </w:r>
      <w:r>
        <w:tab/>
      </w:r>
      <w:r>
        <w:fldChar w:fldCharType="begin"/>
      </w:r>
      <w:r>
        <w:instrText xml:space="preserve"> PAGEREF _Toc12982 \h </w:instrText>
      </w:r>
      <w:r>
        <w:fldChar w:fldCharType="separate"/>
      </w:r>
      <w:r>
        <w:t>20</w:t>
      </w:r>
      <w:r>
        <w:fldChar w:fldCharType="end"/>
      </w:r>
      <w:r>
        <w:fldChar w:fldCharType="end"/>
      </w:r>
    </w:p>
    <w:p w14:paraId="71B59CC5">
      <w:pPr>
        <w:pStyle w:val="25"/>
        <w:tabs>
          <w:tab w:val="right" w:leader="dot" w:pos="9354"/>
          <w:tab w:val="clear" w:pos="9344"/>
        </w:tabs>
      </w:pPr>
      <w:r>
        <w:fldChar w:fldCharType="begin"/>
      </w:r>
      <w:r>
        <w:instrText xml:space="preserve"> HYPERLINK \l "_Toc1024" </w:instrText>
      </w:r>
      <w:r>
        <w:fldChar w:fldCharType="separate"/>
      </w:r>
      <w:r>
        <w:rPr>
          <w:rFonts w:hint="eastAsia"/>
        </w:rPr>
        <w:t>7.6  建筑节能</w:t>
      </w:r>
      <w:r>
        <w:tab/>
      </w:r>
      <w:r>
        <w:fldChar w:fldCharType="begin"/>
      </w:r>
      <w:r>
        <w:instrText xml:space="preserve"> PAGEREF _Toc1024 \h </w:instrText>
      </w:r>
      <w:r>
        <w:fldChar w:fldCharType="separate"/>
      </w:r>
      <w:r>
        <w:t>21</w:t>
      </w:r>
      <w:r>
        <w:fldChar w:fldCharType="end"/>
      </w:r>
      <w:r>
        <w:fldChar w:fldCharType="end"/>
      </w:r>
    </w:p>
    <w:p w14:paraId="3B3A2DDE">
      <w:pPr>
        <w:pStyle w:val="20"/>
        <w:tabs>
          <w:tab w:val="right" w:leader="dot" w:pos="9354"/>
        </w:tabs>
      </w:pPr>
      <w:r>
        <w:fldChar w:fldCharType="begin"/>
      </w:r>
      <w:r>
        <w:instrText xml:space="preserve"> HYPERLINK \l "_Toc9953" </w:instrText>
      </w:r>
      <w:r>
        <w:fldChar w:fldCharType="separate"/>
      </w:r>
      <w:r>
        <w:rPr>
          <w:rFonts w:hint="eastAsia"/>
        </w:rPr>
        <w:t>9  绿色环境</w:t>
      </w:r>
      <w:r>
        <w:tab/>
      </w:r>
      <w:r>
        <w:fldChar w:fldCharType="begin"/>
      </w:r>
      <w:r>
        <w:instrText xml:space="preserve"> PAGEREF _Toc9953 \h </w:instrText>
      </w:r>
      <w:r>
        <w:fldChar w:fldCharType="separate"/>
      </w:r>
      <w:r>
        <w:t>21</w:t>
      </w:r>
      <w:r>
        <w:fldChar w:fldCharType="end"/>
      </w:r>
      <w:r>
        <w:fldChar w:fldCharType="end"/>
      </w:r>
    </w:p>
    <w:p w14:paraId="4D389666">
      <w:pPr>
        <w:pStyle w:val="25"/>
        <w:tabs>
          <w:tab w:val="right" w:leader="dot" w:pos="9354"/>
          <w:tab w:val="clear" w:pos="9344"/>
        </w:tabs>
      </w:pPr>
      <w:r>
        <w:fldChar w:fldCharType="begin"/>
      </w:r>
      <w:r>
        <w:instrText xml:space="preserve"> HYPERLINK \l "_Toc17198" </w:instrText>
      </w:r>
      <w:r>
        <w:fldChar w:fldCharType="separate"/>
      </w:r>
      <w:r>
        <w:rPr>
          <w:rFonts w:hint="eastAsia"/>
        </w:rPr>
        <w:t>9.2  臭气控制</w:t>
      </w:r>
      <w:r>
        <w:tab/>
      </w:r>
      <w:r>
        <w:fldChar w:fldCharType="begin"/>
      </w:r>
      <w:r>
        <w:instrText xml:space="preserve"> PAGEREF _Toc17198 \h </w:instrText>
      </w:r>
      <w:r>
        <w:fldChar w:fldCharType="separate"/>
      </w:r>
      <w:r>
        <w:t>21</w:t>
      </w:r>
      <w:r>
        <w:fldChar w:fldCharType="end"/>
      </w:r>
      <w:r>
        <w:fldChar w:fldCharType="end"/>
      </w:r>
    </w:p>
    <w:p w14:paraId="3238AD57">
      <w:pPr>
        <w:pStyle w:val="25"/>
        <w:tabs>
          <w:tab w:val="right" w:leader="dot" w:pos="9354"/>
          <w:tab w:val="clear" w:pos="9344"/>
        </w:tabs>
      </w:pPr>
      <w:r>
        <w:fldChar w:fldCharType="begin"/>
      </w:r>
      <w:r>
        <w:instrText xml:space="preserve"> HYPERLINK \l "_Toc17387" </w:instrText>
      </w:r>
      <w:r>
        <w:fldChar w:fldCharType="separate"/>
      </w:r>
      <w:r>
        <w:rPr>
          <w:rFonts w:hint="eastAsia"/>
        </w:rPr>
        <w:t>9.3  景观绿化</w:t>
      </w:r>
      <w:r>
        <w:tab/>
      </w:r>
      <w:r>
        <w:fldChar w:fldCharType="begin"/>
      </w:r>
      <w:r>
        <w:instrText xml:space="preserve"> PAGEREF _Toc17387 \h </w:instrText>
      </w:r>
      <w:r>
        <w:fldChar w:fldCharType="separate"/>
      </w:r>
      <w:r>
        <w:t>21</w:t>
      </w:r>
      <w:r>
        <w:fldChar w:fldCharType="end"/>
      </w:r>
      <w:r>
        <w:fldChar w:fldCharType="end"/>
      </w:r>
    </w:p>
    <w:p w14:paraId="4A2C5302">
      <w:pPr>
        <w:pStyle w:val="25"/>
        <w:tabs>
          <w:tab w:val="right" w:leader="dot" w:pos="9354"/>
          <w:tab w:val="clear" w:pos="9344"/>
        </w:tabs>
      </w:pPr>
      <w:r>
        <w:fldChar w:fldCharType="begin"/>
      </w:r>
      <w:r>
        <w:instrText xml:space="preserve"> HYPERLINK \l "_Toc21366" </w:instrText>
      </w:r>
      <w:r>
        <w:fldChar w:fldCharType="separate"/>
      </w:r>
      <w:r>
        <w:rPr>
          <w:rFonts w:hint="eastAsia"/>
        </w:rPr>
        <w:t>9.4  海绵建设</w:t>
      </w:r>
      <w:r>
        <w:tab/>
      </w:r>
      <w:r>
        <w:fldChar w:fldCharType="begin"/>
      </w:r>
      <w:r>
        <w:instrText xml:space="preserve"> PAGEREF _Toc21366 \h </w:instrText>
      </w:r>
      <w:r>
        <w:fldChar w:fldCharType="separate"/>
      </w:r>
      <w:r>
        <w:t>21</w:t>
      </w:r>
      <w:r>
        <w:fldChar w:fldCharType="end"/>
      </w:r>
      <w:r>
        <w:fldChar w:fldCharType="end"/>
      </w:r>
    </w:p>
    <w:p w14:paraId="7E16F074">
      <w:pPr>
        <w:pStyle w:val="20"/>
        <w:tabs>
          <w:tab w:val="right" w:leader="dot" w:pos="9354"/>
        </w:tabs>
      </w:pPr>
      <w:r>
        <w:fldChar w:fldCharType="begin"/>
      </w:r>
      <w:r>
        <w:instrText xml:space="preserve"> HYPERLINK \l "_Toc30593" </w:instrText>
      </w:r>
      <w:r>
        <w:fldChar w:fldCharType="separate"/>
      </w:r>
      <w:r>
        <w:rPr>
          <w:rFonts w:hint="eastAsia"/>
        </w:rPr>
        <w:t>10  低碳排放</w:t>
      </w:r>
      <w:r>
        <w:tab/>
      </w:r>
      <w:r>
        <w:fldChar w:fldCharType="begin"/>
      </w:r>
      <w:r>
        <w:instrText xml:space="preserve"> PAGEREF _Toc30593 \h </w:instrText>
      </w:r>
      <w:r>
        <w:fldChar w:fldCharType="separate"/>
      </w:r>
      <w:r>
        <w:t>21</w:t>
      </w:r>
      <w:r>
        <w:fldChar w:fldCharType="end"/>
      </w:r>
      <w:r>
        <w:fldChar w:fldCharType="end"/>
      </w:r>
    </w:p>
    <w:p w14:paraId="3C665610">
      <w:pPr>
        <w:rPr>
          <w:color w:val="000000" w:themeColor="text1"/>
          <w14:textFill>
            <w14:solidFill>
              <w14:schemeClr w14:val="tx1"/>
            </w14:solidFill>
          </w14:textFill>
        </w:rPr>
      </w:pPr>
      <w:r>
        <w:fldChar w:fldCharType="end"/>
      </w:r>
    </w:p>
    <w:p w14:paraId="7A7D1F16">
      <w:r>
        <w:rPr>
          <w:rFonts w:hint="eastAsia"/>
          <w:color w:val="000000" w:themeColor="text1"/>
          <w14:textFill>
            <w14:solidFill>
              <w14:schemeClr w14:val="tx1"/>
            </w14:solidFill>
          </w14:textFill>
        </w:rPr>
        <w:br w:type="page"/>
      </w:r>
    </w:p>
    <w:p w14:paraId="4DBD157E">
      <w:pPr>
        <w:pStyle w:val="107"/>
        <w:numPr>
          <w:ilvl w:val="1"/>
          <w:numId w:val="0"/>
        </w:numPr>
        <w:spacing w:before="312" w:after="312"/>
        <w:rPr>
          <w:color w:val="000000" w:themeColor="text1"/>
          <w14:textFill>
            <w14:solidFill>
              <w14:schemeClr w14:val="tx1"/>
            </w14:solidFill>
          </w14:textFill>
        </w:rPr>
      </w:pPr>
      <w:bookmarkStart w:id="331" w:name="_Toc1506"/>
      <w:bookmarkStart w:id="332" w:name="_Toc27838"/>
      <w:r>
        <w:rPr>
          <w:rFonts w:hint="eastAsia"/>
          <w:color w:val="000000" w:themeColor="text1"/>
          <w14:textFill>
            <w14:solidFill>
              <w14:schemeClr w14:val="tx1"/>
            </w14:solidFill>
          </w14:textFill>
        </w:rPr>
        <w:t>4  一般规定</w:t>
      </w:r>
      <w:bookmarkEnd w:id="331"/>
      <w:bookmarkEnd w:id="332"/>
    </w:p>
    <w:p w14:paraId="4414D46A">
      <w:pPr>
        <w:pStyle w:val="108"/>
        <w:numPr>
          <w:ilvl w:val="2"/>
          <w:numId w:val="0"/>
        </w:numPr>
        <w:spacing w:before="156" w:after="156"/>
        <w:rPr>
          <w:color w:val="000000" w:themeColor="text1"/>
          <w14:textFill>
            <w14:solidFill>
              <w14:schemeClr w14:val="tx1"/>
            </w14:solidFill>
          </w14:textFill>
        </w:rPr>
      </w:pPr>
      <w:bookmarkStart w:id="333" w:name="_Toc21381"/>
      <w:bookmarkStart w:id="334" w:name="_Toc31137"/>
      <w:r>
        <w:rPr>
          <w:rFonts w:hint="eastAsia"/>
          <w:color w:val="000000" w:themeColor="text1"/>
          <w14:textFill>
            <w14:solidFill>
              <w14:schemeClr w14:val="tx1"/>
            </w14:solidFill>
          </w14:textFill>
        </w:rPr>
        <w:t>4.1  总体要求</w:t>
      </w:r>
      <w:bookmarkEnd w:id="333"/>
      <w:bookmarkEnd w:id="334"/>
    </w:p>
    <w:p w14:paraId="3E802F46">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4.1.2</w:t>
      </w:r>
      <w:r>
        <w:rPr>
          <w:rFonts w:hint="eastAsia"/>
          <w:color w:val="000000" w:themeColor="text1"/>
          <w14:textFill>
            <w14:solidFill>
              <w14:schemeClr w14:val="tx1"/>
            </w14:solidFill>
          </w14:textFill>
        </w:rPr>
        <w:t xml:space="preserve">  本规程应配合《室外排水设计标准》（GB 50014） 《城镇污水处理厂臭气处理技术规程》（CJJ/T 243）《城镇污水处理厂运行、维护及安全技术规程》（CJJ 60）《湖北省低能耗居住建筑节能设计标准》（DB42/T 559）等相关国家和湖北省现行有关标准使用，共同指导城镇污水处理厂绿色设计。</w:t>
      </w:r>
    </w:p>
    <w:p w14:paraId="70AFD045">
      <w:pPr>
        <w:pStyle w:val="59"/>
        <w:ind w:firstLine="0" w:firstLineChars="0"/>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4.1.3</w:t>
      </w:r>
      <w:r>
        <w:rPr>
          <w:rFonts w:hint="eastAsia"/>
          <w:color w:val="000000" w:themeColor="text1"/>
          <w14:textFill>
            <w14:solidFill>
              <w14:schemeClr w14:val="tx1"/>
            </w14:solidFill>
          </w14:textFill>
        </w:rPr>
        <w:t xml:space="preserve">  城镇污水处理厂需加强与周围企业的联系，双方充分了解各自的供需要求，并在有条件的基础上进行协同，互惠互助实现双赢的同时也减少了对周围环境的影响，降低碳排放。</w:t>
      </w:r>
    </w:p>
    <w:p w14:paraId="5B2F3679">
      <w:pPr>
        <w:pStyle w:val="107"/>
        <w:numPr>
          <w:ilvl w:val="1"/>
          <w:numId w:val="0"/>
        </w:numPr>
        <w:spacing w:before="312" w:after="312"/>
        <w:rPr>
          <w:color w:val="000000" w:themeColor="text1"/>
          <w14:textFill>
            <w14:solidFill>
              <w14:schemeClr w14:val="tx1"/>
            </w14:solidFill>
          </w14:textFill>
        </w:rPr>
      </w:pPr>
      <w:bookmarkStart w:id="335" w:name="_Toc24246"/>
      <w:bookmarkStart w:id="336" w:name="_Toc26974"/>
      <w:r>
        <w:rPr>
          <w:rFonts w:hint="eastAsia"/>
          <w:color w:val="000000" w:themeColor="text1"/>
          <w14:textFill>
            <w14:solidFill>
              <w14:schemeClr w14:val="tx1"/>
            </w14:solidFill>
          </w14:textFill>
        </w:rPr>
        <w:t>5  污水处理和再生水资源化利用</w:t>
      </w:r>
      <w:bookmarkEnd w:id="335"/>
      <w:bookmarkEnd w:id="336"/>
    </w:p>
    <w:p w14:paraId="3C0C0622">
      <w:pPr>
        <w:pStyle w:val="108"/>
        <w:numPr>
          <w:ilvl w:val="2"/>
          <w:numId w:val="0"/>
        </w:numPr>
        <w:spacing w:before="156" w:after="156"/>
        <w:rPr>
          <w:color w:val="000000" w:themeColor="text1"/>
          <w14:textFill>
            <w14:solidFill>
              <w14:schemeClr w14:val="tx1"/>
            </w14:solidFill>
          </w14:textFill>
        </w:rPr>
      </w:pPr>
      <w:bookmarkStart w:id="337" w:name="_Toc19139"/>
      <w:bookmarkStart w:id="338" w:name="_Toc32557"/>
      <w:r>
        <w:rPr>
          <w:rFonts w:hint="eastAsia"/>
          <w:color w:val="000000" w:themeColor="text1"/>
          <w14:textFill>
            <w14:solidFill>
              <w14:schemeClr w14:val="tx1"/>
            </w14:solidFill>
          </w14:textFill>
        </w:rPr>
        <w:t>5.1  一般规定</w:t>
      </w:r>
      <w:bookmarkEnd w:id="337"/>
      <w:bookmarkEnd w:id="338"/>
    </w:p>
    <w:p w14:paraId="17134B50">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5.1.1</w:t>
      </w:r>
      <w:r>
        <w:rPr>
          <w:rFonts w:hint="eastAsia"/>
          <w:color w:val="000000" w:themeColor="text1"/>
          <w14:textFill>
            <w14:solidFill>
              <w14:schemeClr w14:val="tx1"/>
            </w14:solidFill>
          </w14:textFill>
        </w:rPr>
        <w:t xml:space="preserve">  城镇污水处理厂绿色设计不仅需要满足绿色相关要求，还需满足相关上位规划的要求，不能盲目进行绿色建设，在保证污水处理厂功能性和建设可行性的基础上再考虑低碳节能、资源利用相关绿色建设。</w:t>
      </w:r>
    </w:p>
    <w:p w14:paraId="02B3687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5.1.4</w:t>
      </w:r>
      <w:r>
        <w:rPr>
          <w:rFonts w:hint="eastAsia"/>
          <w:color w:val="000000" w:themeColor="text1"/>
          <w14:textFill>
            <w14:solidFill>
              <w14:schemeClr w14:val="tx1"/>
            </w14:solidFill>
          </w14:textFill>
        </w:rPr>
        <w:t xml:space="preserve">  厂址选择应符合《</w:t>
      </w:r>
      <w:r>
        <w:rPr>
          <w:color w:val="000000" w:themeColor="text1"/>
          <w14:textFill>
            <w14:solidFill>
              <w14:schemeClr w14:val="tx1"/>
            </w14:solidFill>
          </w14:textFill>
        </w:rPr>
        <w:t>室外排水设计标准</w:t>
      </w:r>
      <w:r>
        <w:rPr>
          <w:rFonts w:hint="eastAsia"/>
          <w:color w:val="000000" w:themeColor="text1"/>
          <w14:textFill>
            <w14:solidFill>
              <w14:schemeClr w14:val="tx1"/>
            </w14:solidFill>
          </w14:textFill>
        </w:rPr>
        <w:t xml:space="preserve">》（GB </w:t>
      </w:r>
      <w:r>
        <w:rPr>
          <w:color w:val="000000" w:themeColor="text1"/>
          <w14:textFill>
            <w14:solidFill>
              <w14:schemeClr w14:val="tx1"/>
            </w14:solidFill>
          </w14:textFill>
        </w:rPr>
        <w:t>50014</w:t>
      </w:r>
      <w:r>
        <w:rPr>
          <w:rFonts w:hint="eastAsia"/>
          <w:color w:val="000000" w:themeColor="text1"/>
          <w14:textFill>
            <w14:solidFill>
              <w14:schemeClr w14:val="tx1"/>
            </w14:solidFill>
          </w14:textFill>
        </w:rPr>
        <w:t>）中7.2.1条目中相关规定及要求，在此基础上，还应综合考虑厂址绿地情况和周边企业情况等，尽量减少对环境造成的负面影响，并使城镇污水处理厂与周围企业有协同合作的可能。</w:t>
      </w:r>
    </w:p>
    <w:p w14:paraId="07BD6EF3">
      <w:pPr>
        <w:pStyle w:val="108"/>
        <w:numPr>
          <w:ilvl w:val="2"/>
          <w:numId w:val="0"/>
        </w:numPr>
        <w:spacing w:before="156" w:after="156"/>
        <w:rPr>
          <w:color w:val="000000" w:themeColor="text1"/>
          <w14:textFill>
            <w14:solidFill>
              <w14:schemeClr w14:val="tx1"/>
            </w14:solidFill>
          </w14:textFill>
        </w:rPr>
      </w:pPr>
      <w:bookmarkStart w:id="339" w:name="_Toc14638"/>
      <w:bookmarkStart w:id="340" w:name="_Toc31967"/>
      <w:r>
        <w:rPr>
          <w:rFonts w:hint="eastAsia"/>
          <w:color w:val="000000" w:themeColor="text1"/>
          <w14:textFill>
            <w14:solidFill>
              <w14:schemeClr w14:val="tx1"/>
            </w14:solidFill>
          </w14:textFill>
        </w:rPr>
        <w:t>5.3  预处理</w:t>
      </w:r>
      <w:bookmarkEnd w:id="339"/>
      <w:bookmarkEnd w:id="340"/>
    </w:p>
    <w:p w14:paraId="3D51767A">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5.3.2</w:t>
      </w:r>
      <w:r>
        <w:rPr>
          <w:rFonts w:hint="eastAsia"/>
          <w:color w:val="000000" w:themeColor="text1"/>
          <w14:textFill>
            <w14:solidFill>
              <w14:schemeClr w14:val="tx1"/>
            </w14:solidFill>
          </w14:textFill>
        </w:rPr>
        <w:t xml:space="preserve">  平流式沉砂池结构简单，截留无机颗粒效果较好；旋流式沉砂池基建、运行费用低且除砂效果好；平流式沉淀池具有高沉淀效率、操作简单且维护成本低，在处理大量水时，能够节约能源和化学药剂的使用，减少运营成本，但平流沉淀池占地大，排泥较难；辐流式沉淀池采用机械排泥，运行效果好，设备较简单，排泥设备已有定型产品，沉淀性效果好，日处理量大，对水体搅动小，有利于悬浮物的去除。</w:t>
      </w:r>
    </w:p>
    <w:p w14:paraId="4BA51178">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5.3.3</w:t>
      </w:r>
      <w:r>
        <w:rPr>
          <w:rFonts w:hint="eastAsia"/>
          <w:color w:val="000000" w:themeColor="text1"/>
          <w14:textFill>
            <w14:solidFill>
              <w14:schemeClr w14:val="tx1"/>
            </w14:solidFill>
          </w14:textFill>
        </w:rPr>
        <w:t xml:space="preserve">  从处理全流程角度出发，根据进水水质情况合理选用预处理阶段工艺，使二级处理阶段能够充分利用进水碳源。</w:t>
      </w:r>
    </w:p>
    <w:p w14:paraId="370943C7">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5.3.4</w:t>
      </w:r>
      <w:r>
        <w:rPr>
          <w:rFonts w:hint="eastAsia"/>
          <w:color w:val="000000" w:themeColor="text1"/>
          <w14:textFill>
            <w14:solidFill>
              <w14:schemeClr w14:val="tx1"/>
            </w14:solidFill>
          </w14:textFill>
        </w:rPr>
        <w:t xml:space="preserve">  城市污水处理中沉砂池所去除的颗粒物包括砂粒、煤渣、果核等,并要求外运沉砂中尽量少含附着与夹带的有机物,以免在沉砂池废渣的处置过程中产生砂渣的过度腐败问题。</w:t>
      </w:r>
    </w:p>
    <w:p w14:paraId="28D6266E">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5.3.6</w:t>
      </w:r>
      <w:r>
        <w:rPr>
          <w:rFonts w:hint="eastAsia"/>
          <w:color w:val="000000" w:themeColor="text1"/>
          <w14:textFill>
            <w14:solidFill>
              <w14:schemeClr w14:val="tx1"/>
            </w14:solidFill>
          </w14:textFill>
        </w:rPr>
        <w:t xml:space="preserve">  超磁分离技术是用于污水处理领域替代传统混凝沉淀、加砂沉淀、斜板沉淀的悬浮物去除新技术。不同于传统工艺依靠重力分离悬浮物，超磁分离技术采用稀土永磁技术，变被动沉淀为主动的吸附打捞，使分离的效率提高。超磁分离技术分离出的污泥含水率小于93%。工艺水力停留时间小于10分钟，使得占地面积极小。</w:t>
      </w:r>
    </w:p>
    <w:p w14:paraId="60E29B79">
      <w:pPr>
        <w:pStyle w:val="108"/>
        <w:numPr>
          <w:ilvl w:val="2"/>
          <w:numId w:val="0"/>
        </w:numPr>
        <w:spacing w:before="156" w:after="156"/>
        <w:rPr>
          <w:color w:val="000000" w:themeColor="text1"/>
          <w14:textFill>
            <w14:solidFill>
              <w14:schemeClr w14:val="tx1"/>
            </w14:solidFill>
          </w14:textFill>
        </w:rPr>
      </w:pPr>
      <w:bookmarkStart w:id="341" w:name="_Toc1005"/>
      <w:bookmarkStart w:id="342" w:name="_Toc15323"/>
      <w:r>
        <w:rPr>
          <w:rFonts w:hint="eastAsia"/>
          <w:color w:val="000000" w:themeColor="text1"/>
          <w14:textFill>
            <w14:solidFill>
              <w14:schemeClr w14:val="tx1"/>
            </w14:solidFill>
          </w14:textFill>
        </w:rPr>
        <w:t>5.4  生物处理</w:t>
      </w:r>
      <w:bookmarkEnd w:id="341"/>
      <w:bookmarkEnd w:id="342"/>
    </w:p>
    <w:p w14:paraId="077684A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5.4.2</w:t>
      </w:r>
      <w:r>
        <w:rPr>
          <w:rFonts w:hint="eastAsia"/>
          <w:color w:val="000000" w:themeColor="text1"/>
          <w14:textFill>
            <w14:solidFill>
              <w14:schemeClr w14:val="tx1"/>
            </w14:solidFill>
          </w14:textFill>
        </w:rPr>
        <w:t xml:space="preserve">  生物膜法采用在填料下直接曝气时，由于气泡的再破裂提高了充氧效率，加上厌氧膜不消耗氧的特性，故一般能源消耗较活性污泥法要小；另一方面，生物膜法产泥量少，可减少污泥处置成本。</w:t>
      </w:r>
    </w:p>
    <w:p w14:paraId="792E4F57">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5.4.3</w:t>
      </w:r>
      <w:r>
        <w:rPr>
          <w:rFonts w:hint="eastAsia"/>
          <w:color w:val="000000" w:themeColor="text1"/>
          <w14:textFill>
            <w14:solidFill>
              <w14:schemeClr w14:val="tx1"/>
            </w14:solidFill>
          </w14:textFill>
        </w:rPr>
        <w:t xml:space="preserve">  多模式生物池灵活性高，可根据进水水质和处理要求进行调整；连续流好氧颗粒污泥技术与传统的活性污泥法相比更具优势，其占地面积小、沉降性能良好、生物量浓度高、耐有机负荷高且不易发生污泥膨胀。</w:t>
      </w:r>
    </w:p>
    <w:p w14:paraId="3E9FC7C3">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5.4.4</w:t>
      </w:r>
      <w:r>
        <w:rPr>
          <w:rFonts w:hint="eastAsia"/>
          <w:color w:val="000000" w:themeColor="text1"/>
          <w14:textFill>
            <w14:solidFill>
              <w14:schemeClr w14:val="tx1"/>
            </w14:solidFill>
          </w14:textFill>
        </w:rPr>
        <w:t xml:space="preserve">  连续流好氧颗粒污泥技术具有沉降性能好、生物量高、抗冲击负荷能力强等优点。在好氧颗粒污泥反应器中，水力停留时间很大程度决定颗粒污泥的稳定性以及造粒能否成功，是实现泥水分离的关键控制因素。水力停留时间6~</w:t>
      </w:r>
      <w:r>
        <w:rPr>
          <w:color w:val="000000" w:themeColor="text1"/>
          <w14:textFill>
            <w14:solidFill>
              <w14:schemeClr w14:val="tx1"/>
            </w14:solidFill>
          </w14:textFill>
        </w:rPr>
        <w:t>9</w:t>
      </w:r>
      <w:r>
        <w:rPr>
          <w:rFonts w:hint="eastAsia"/>
          <w:color w:val="000000" w:themeColor="text1"/>
          <w14:textFill>
            <w14:solidFill>
              <w14:schemeClr w14:val="tx1"/>
            </w14:solidFill>
          </w14:textFill>
        </w:rPr>
        <w:t>h，微生物生态结构系统可以保持稳定的平衡且反应器的硝化性能较好。</w:t>
      </w:r>
    </w:p>
    <w:p w14:paraId="3CA6BC2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5.4.5</w:t>
      </w:r>
      <w:r>
        <w:rPr>
          <w:rFonts w:hint="eastAsia"/>
          <w:color w:val="000000" w:themeColor="text1"/>
          <w14:textFill>
            <w14:solidFill>
              <w14:schemeClr w14:val="tx1"/>
            </w14:solidFill>
          </w14:textFill>
        </w:rPr>
        <w:t xml:space="preserve">  风量调节技术包括变频调节、导叶调节等，可根据水中溶解氧含量进行调节，调节范围一般为50%-100%，根据工艺特点选择合适的风量调节技术有助于降低能耗。</w:t>
      </w:r>
    </w:p>
    <w:p w14:paraId="1BD7482B">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5.4.6</w:t>
      </w:r>
      <w:r>
        <w:rPr>
          <w:rFonts w:hint="eastAsia"/>
          <w:color w:val="000000" w:themeColor="text1"/>
          <w14:textFill>
            <w14:solidFill>
              <w14:schemeClr w14:val="tx1"/>
            </w14:solidFill>
          </w14:textFill>
        </w:rPr>
        <w:t xml:space="preserve">  目前比较成熟的精确控制技术可以分为两种：“前馈+反馈+生物处理模块”和“反馈调节+性能优越的硬件系统”。</w:t>
      </w:r>
    </w:p>
    <w:p w14:paraId="1A188430">
      <w:pPr>
        <w:pStyle w:val="168"/>
        <w:numPr>
          <w:ilvl w:val="3"/>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前馈+反馈+生物处理模块”是以国际水协的活性污泥模型为基础，根据污水厂历史运行数据和在线仪表检测到的水质水量的变化，预测曝气池所需的曝气量，再结合曝气池中实际溶解氧、水温、MLSS及水压等指标，来调节空气流量分配和鼓风机风量.该控制模式较为完美，但需要采集较多的指标，对仪表的性能稳定性有较高的要求，并且生物模块也难以准确地预测曝气池所需供气量。</w:t>
      </w:r>
    </w:p>
    <w:p w14:paraId="3D6F69E2">
      <w:pPr>
        <w:pStyle w:val="168"/>
        <w:numPr>
          <w:ilvl w:val="3"/>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反馈调节+性能优越的硬件系统”省去前馈和生物处理模块，解决了对在线仪表过多依赖和生物模块的准确度问题。但是该系统需要较高的对阀门和鼓风机的控制能力，即该系统要能在较短的时间内将阀门的开度和鼓风机的风量调整到能满足水质变化后曝气池所需的供气量和节能的目的。</w:t>
      </w:r>
    </w:p>
    <w:p w14:paraId="519537BF">
      <w:pPr>
        <w:pStyle w:val="108"/>
        <w:numPr>
          <w:ilvl w:val="2"/>
          <w:numId w:val="0"/>
        </w:numPr>
        <w:spacing w:before="156" w:after="156"/>
        <w:rPr>
          <w:color w:val="000000" w:themeColor="text1"/>
          <w14:textFill>
            <w14:solidFill>
              <w14:schemeClr w14:val="tx1"/>
            </w14:solidFill>
          </w14:textFill>
        </w:rPr>
      </w:pPr>
      <w:bookmarkStart w:id="343" w:name="_Toc6300"/>
      <w:bookmarkStart w:id="344" w:name="_Toc13915"/>
      <w:r>
        <w:rPr>
          <w:rFonts w:hint="eastAsia"/>
          <w:color w:val="000000" w:themeColor="text1"/>
          <w14:textFill>
            <w14:solidFill>
              <w14:schemeClr w14:val="tx1"/>
            </w14:solidFill>
          </w14:textFill>
        </w:rPr>
        <w:t>5.5  深度处理及再生水资源化利用</w:t>
      </w:r>
      <w:bookmarkEnd w:id="343"/>
      <w:bookmarkEnd w:id="344"/>
    </w:p>
    <w:p w14:paraId="7FE1C9BE">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5.5.2</w:t>
      </w:r>
      <w:r>
        <w:rPr>
          <w:rFonts w:hint="eastAsia"/>
          <w:color w:val="000000" w:themeColor="text1"/>
          <w14:textFill>
            <w14:solidFill>
              <w14:schemeClr w14:val="tx1"/>
            </w14:solidFill>
          </w14:textFill>
        </w:rPr>
        <w:t xml:space="preserve">  如果进水SS过高，会使滤池在短时间内达到设计的水头损失，发生堵塞，导致频繁的反冲洗，运行费用高且管理不便。预加氯主要目的是抑制藻类生长。</w:t>
      </w:r>
    </w:p>
    <w:p w14:paraId="0996AF52">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5.5.3</w:t>
      </w:r>
      <w:r>
        <w:rPr>
          <w:rFonts w:hint="eastAsia"/>
          <w:color w:val="000000" w:themeColor="text1"/>
          <w14:textFill>
            <w14:solidFill>
              <w14:schemeClr w14:val="tx1"/>
            </w14:solidFill>
          </w14:textFill>
        </w:rPr>
        <w:t xml:space="preserve">  硫自养反硝化工艺具有总氮去除率高、产泥量少、无外加碳源、反洗频率低、操作简单、价格低廉、安全可靠等优点，处理效果优于深床滤池等常规处理工艺。</w:t>
      </w:r>
    </w:p>
    <w:p w14:paraId="5BF32767">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5.5.4</w:t>
      </w:r>
      <w:r>
        <w:rPr>
          <w:rFonts w:hint="eastAsia"/>
          <w:color w:val="000000" w:themeColor="text1"/>
          <w14:textFill>
            <w14:solidFill>
              <w14:schemeClr w14:val="tx1"/>
            </w14:solidFill>
          </w14:textFill>
        </w:rPr>
        <w:t xml:space="preserve">  本条目根据对采用硫自养反硝化工艺的数座污水处理厂调研总结整理得出。</w:t>
      </w:r>
    </w:p>
    <w:p w14:paraId="7544BF34">
      <w:pPr>
        <w:pStyle w:val="168"/>
        <w:numPr>
          <w:ilvl w:val="3"/>
          <w:numId w:val="0"/>
        </w:numPr>
        <w:rPr>
          <w:color w:val="000000" w:themeColor="text1"/>
          <w14:textFill>
            <w14:solidFill>
              <w14:schemeClr w14:val="tx1"/>
            </w14:solidFill>
          </w14:textFill>
        </w:rPr>
      </w:pPr>
      <w:r>
        <w:rPr>
          <w:rFonts w:hint="eastAsia"/>
          <w:color w:val="000000" w:themeColor="text1"/>
          <w14:textFill>
            <w14:solidFill>
              <w14:schemeClr w14:val="tx1"/>
            </w14:solidFill>
          </w14:textFill>
        </w:rPr>
        <w:t>当原水组分复杂，难降解有机物含量较高时，污水深度处理工艺可考虑选择高级氧化工艺，利用臭氧等强氧化剂对水中色度、嗅味及有毒有害有机物等进行氧化去除，根据进水水质状况和出水水质要求还可以采用臭氧－过氧化氢、紫外－过氧化氢、过氧乙酸等高级氧化技术。</w:t>
      </w:r>
    </w:p>
    <w:p w14:paraId="4E131879">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5.5.6</w:t>
      </w:r>
      <w:r>
        <w:rPr>
          <w:rFonts w:hint="eastAsia"/>
          <w:color w:val="000000" w:themeColor="text1"/>
          <w14:textFill>
            <w14:solidFill>
              <w14:schemeClr w14:val="tx1"/>
            </w14:solidFill>
          </w14:textFill>
        </w:rPr>
        <w:t xml:space="preserve">  臭氧催化氧化工艺加大催化剂投加量可以提高臭氧的氧化效果，但当催化剂超过一定量时，对臭氧氧化效果会减少，催化剂的影响会减弱；有机物的去除率是随反应时间的增加而提高，但当反应一段时间后，去除率趋于定值，这时所用的时间为最佳反应时间，最佳反应时间一般不超过1h；pH值对氧化系统的影响很大，由于有机物和催化剂性质不同，最佳pH值会有所区别，但一般中性或碱性情况下效果最好。</w:t>
      </w:r>
    </w:p>
    <w:p w14:paraId="5239C5D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5.5.8</w:t>
      </w:r>
      <w:r>
        <w:rPr>
          <w:rFonts w:hint="eastAsia"/>
          <w:color w:val="000000" w:themeColor="text1"/>
          <w14:textFill>
            <w14:solidFill>
              <w14:schemeClr w14:val="tx1"/>
            </w14:solidFill>
          </w14:textFill>
        </w:rPr>
        <w:t xml:space="preserve">  树脂交换容量主要受树脂的化学结构、交联度、pH、交换离子等因素影响，根据工艺条件选择合适的树脂可获得最大交换容量,从而发挥树脂的最佳性能。</w:t>
      </w:r>
    </w:p>
    <w:p w14:paraId="109EF4A7">
      <w:pPr>
        <w:pStyle w:val="108"/>
        <w:numPr>
          <w:ilvl w:val="2"/>
          <w:numId w:val="0"/>
        </w:numPr>
        <w:spacing w:before="156" w:after="156"/>
        <w:rPr>
          <w:color w:val="000000" w:themeColor="text1"/>
          <w14:textFill>
            <w14:solidFill>
              <w14:schemeClr w14:val="tx1"/>
            </w14:solidFill>
          </w14:textFill>
        </w:rPr>
      </w:pPr>
      <w:bookmarkStart w:id="345" w:name="_Toc5880"/>
      <w:bookmarkStart w:id="346" w:name="_Toc16753"/>
      <w:r>
        <w:rPr>
          <w:rFonts w:hint="eastAsia"/>
          <w:color w:val="000000" w:themeColor="text1"/>
          <w14:textFill>
            <w14:solidFill>
              <w14:schemeClr w14:val="tx1"/>
            </w14:solidFill>
          </w14:textFill>
        </w:rPr>
        <w:t>5.7  消毒工艺</w:t>
      </w:r>
      <w:bookmarkEnd w:id="345"/>
      <w:bookmarkEnd w:id="346"/>
    </w:p>
    <w:p w14:paraId="495DB7D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5.7.2</w:t>
      </w:r>
      <w:r>
        <w:rPr>
          <w:rFonts w:hint="eastAsia"/>
          <w:color w:val="000000" w:themeColor="text1"/>
          <w14:textFill>
            <w14:solidFill>
              <w14:schemeClr w14:val="tx1"/>
            </w14:solidFill>
          </w14:textFill>
        </w:rPr>
        <w:t xml:space="preserve">  除次氯酸钠消毒工艺外，投加氯消毒的方式危险性大、安全性差，会产生氯仿等消毒副产物，存在泄露风险。</w:t>
      </w:r>
    </w:p>
    <w:p w14:paraId="6911C770">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5.7.3</w:t>
      </w:r>
      <w:r>
        <w:rPr>
          <w:rFonts w:hint="eastAsia"/>
          <w:color w:val="000000" w:themeColor="text1"/>
          <w14:textFill>
            <w14:solidFill>
              <w14:schemeClr w14:val="tx1"/>
            </w14:solidFill>
          </w14:textFill>
        </w:rPr>
        <w:t xml:space="preserve">  采用先紫外后氯化的消毒方式，不仅可以提高消毒效果，也能有效控制常规消毒副产物的产生；采用紫外/氯化同时消毒方式，可进一步提高消毒效果，但次氯酸钠消耗量较大。</w:t>
      </w:r>
    </w:p>
    <w:p w14:paraId="0B94063A">
      <w:pPr>
        <w:pStyle w:val="107"/>
        <w:numPr>
          <w:ilvl w:val="1"/>
          <w:numId w:val="0"/>
        </w:numPr>
        <w:spacing w:before="312" w:after="312"/>
        <w:rPr>
          <w:color w:val="000000" w:themeColor="text1"/>
          <w14:textFill>
            <w14:solidFill>
              <w14:schemeClr w14:val="tx1"/>
            </w14:solidFill>
          </w14:textFill>
        </w:rPr>
      </w:pPr>
      <w:bookmarkStart w:id="347" w:name="_Toc21785"/>
      <w:bookmarkStart w:id="348" w:name="_Toc3485"/>
      <w:r>
        <w:rPr>
          <w:rFonts w:hint="eastAsia"/>
          <w:color w:val="000000" w:themeColor="text1"/>
          <w14:textFill>
            <w14:solidFill>
              <w14:schemeClr w14:val="tx1"/>
            </w14:solidFill>
          </w14:textFill>
        </w:rPr>
        <w:t>6  污泥处理和资源化处置</w:t>
      </w:r>
      <w:bookmarkEnd w:id="347"/>
      <w:bookmarkEnd w:id="348"/>
    </w:p>
    <w:p w14:paraId="01823F0A">
      <w:pPr>
        <w:pStyle w:val="108"/>
        <w:numPr>
          <w:ilvl w:val="2"/>
          <w:numId w:val="0"/>
        </w:numPr>
        <w:spacing w:before="156" w:after="156"/>
        <w:rPr>
          <w:color w:val="000000" w:themeColor="text1"/>
          <w14:textFill>
            <w14:solidFill>
              <w14:schemeClr w14:val="tx1"/>
            </w14:solidFill>
          </w14:textFill>
        </w:rPr>
      </w:pPr>
      <w:bookmarkStart w:id="349" w:name="_Toc25542"/>
      <w:bookmarkStart w:id="350" w:name="_Toc2363"/>
      <w:r>
        <w:rPr>
          <w:rFonts w:hint="eastAsia"/>
          <w:color w:val="000000" w:themeColor="text1"/>
          <w14:textFill>
            <w14:solidFill>
              <w14:schemeClr w14:val="tx1"/>
            </w14:solidFill>
          </w14:textFill>
        </w:rPr>
        <w:t>6.2  污泥处理和资源化处置</w:t>
      </w:r>
      <w:bookmarkEnd w:id="349"/>
      <w:bookmarkEnd w:id="350"/>
    </w:p>
    <w:p w14:paraId="5C03712E">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6.2.1</w:t>
      </w:r>
      <w:r>
        <w:rPr>
          <w:rFonts w:hint="eastAsia"/>
          <w:color w:val="000000" w:themeColor="text1"/>
          <w14:textFill>
            <w14:solidFill>
              <w14:schemeClr w14:val="tx1"/>
            </w14:solidFill>
          </w14:textFill>
        </w:rPr>
        <w:t xml:space="preserve">  螺旋压榨脱水机因为其单机容量小且上清液固体含量高，在国内应用较少，因此该脱水机并不是最优秀最普适的脱水设备，污泥脱水设备的选择还是应根据污泥性质以及对污泥处理要求等因素综合考虑选取适宜的污泥脱水设备。</w:t>
      </w:r>
    </w:p>
    <w:p w14:paraId="65DE80B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6.2.3</w:t>
      </w:r>
      <w:r>
        <w:rPr>
          <w:rFonts w:hint="eastAsia"/>
          <w:color w:val="000000" w:themeColor="text1"/>
          <w14:textFill>
            <w14:solidFill>
              <w14:schemeClr w14:val="tx1"/>
            </w14:solidFill>
          </w14:textFill>
        </w:rPr>
        <w:t xml:space="preserve">  餐厨垃圾与污泥协同厌氧消化可改善厌氧发酵基质的碳氮比，提高污泥厌氧消化系统的效率。</w:t>
      </w:r>
    </w:p>
    <w:p w14:paraId="646F3AC0">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6.2.4</w:t>
      </w:r>
      <w:r>
        <w:rPr>
          <w:rFonts w:hint="eastAsia"/>
          <w:color w:val="000000" w:themeColor="text1"/>
          <w14:textFill>
            <w14:solidFill>
              <w14:schemeClr w14:val="tx1"/>
            </w14:solidFill>
          </w14:textFill>
        </w:rPr>
        <w:t xml:space="preserve">  通常情况下厌氧消化适宜碳氮比为10-20，当污泥协同处理餐厨垃圾时宜采用干基等比例混合，中和二者盐分和有机质，促进物料的营养平衡，大大提高系统的稳定性和产能效率。</w:t>
      </w:r>
    </w:p>
    <w:p w14:paraId="52D66F54">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6.2.5</w:t>
      </w:r>
      <w:r>
        <w:rPr>
          <w:rFonts w:hint="eastAsia"/>
          <w:color w:val="000000" w:themeColor="text1"/>
          <w14:textFill>
            <w14:solidFill>
              <w14:schemeClr w14:val="tx1"/>
            </w14:solidFill>
          </w14:textFill>
        </w:rPr>
        <w:t xml:space="preserve">  中温厌氧消化温度维持在35℃±2℃，因为在35℃附近是中温厌氧消化菌适合生长繁殖得温度，该温度下消化菌较为活跃，消化效率较高；高温厌氧消化温度控制在55℃±2℃，适合嗜热产甲烷菌生长。高温厌氧消化有机物分解速度快，可以有效杀灭各种致病菌和寄生虫卵。一般情况下，有机物分解率可达到35%~45%，停留时间</w:t>
      </w:r>
      <w:r>
        <w:rPr>
          <w:color w:val="000000" w:themeColor="text1"/>
          <w14:textFill>
            <w14:solidFill>
              <w14:schemeClr w14:val="tx1"/>
            </w14:solidFill>
          </w14:textFill>
        </w:rPr>
        <w:t>较</w:t>
      </w:r>
      <w:r>
        <w:rPr>
          <w:rFonts w:hint="eastAsia"/>
          <w:color w:val="000000" w:themeColor="text1"/>
          <w14:textFill>
            <w14:solidFill>
              <w14:schemeClr w14:val="tx1"/>
            </w14:solidFill>
          </w14:textFill>
        </w:rPr>
        <w:t>中温厌氧消化缩短至10~15d。</w:t>
      </w:r>
    </w:p>
    <w:p w14:paraId="214CF73B">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6.2.7</w:t>
      </w:r>
      <w:r>
        <w:rPr>
          <w:rFonts w:hint="eastAsia"/>
          <w:color w:val="000000" w:themeColor="text1"/>
          <w14:textFill>
            <w14:solidFill>
              <w14:schemeClr w14:val="tx1"/>
            </w14:solidFill>
          </w14:textFill>
        </w:rPr>
        <w:t xml:space="preserve">  DANAS干式厌氧发酵技术为近年来一种新兴的核心技术装备，已获国家重大环保技术认可。该技术遵循科学发展观和废弃物资源化、减量化、无害化与生态化的原则，以市政污泥、餐厨垃圾、农作物秸秆、畜禽粪便等固体废弃物作为原料，通过厌氧发酵生产生物天然气，解决区域生产生活用能，节煤减排，有效解决秸秆焚烧带来的空气污染问题；生产有机肥，达到污染治理、能源回收与资源再生利用的多重目的，可改善区域内的生态环境，提高农业综合生产能力、经济效益和可持续发展能力，形成生态循环农业，实现社会、经济和生态环境的协调发展。</w:t>
      </w:r>
    </w:p>
    <w:p w14:paraId="4E12B7A2">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6.2.8</w:t>
      </w:r>
      <w:r>
        <w:rPr>
          <w:rFonts w:hint="eastAsia"/>
          <w:color w:val="000000" w:themeColor="text1"/>
          <w14:textFill>
            <w14:solidFill>
              <w14:schemeClr w14:val="tx1"/>
            </w14:solidFill>
          </w14:textFill>
        </w:rPr>
        <w:t xml:space="preserve">  该数据来源于采用DANAS干式厌氧发酵技术的宜兴概念污水厂运行参数。</w:t>
      </w:r>
    </w:p>
    <w:p w14:paraId="2999A333">
      <w:pPr>
        <w:pStyle w:val="112"/>
        <w:numPr>
          <w:ilvl w:val="1"/>
          <w:numId w:val="0"/>
        </w:numPr>
        <w:tabs>
          <w:tab w:val="clear" w:pos="1276"/>
        </w:tabs>
        <w:rPr>
          <w:rFonts w:hint="eastAsia"/>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6.2.10</w:t>
      </w:r>
      <w:r>
        <w:rPr>
          <w:rFonts w:hint="eastAsia"/>
          <w:color w:val="000000" w:themeColor="text1"/>
          <w14:textFill>
            <w14:solidFill>
              <w14:schemeClr w14:val="tx1"/>
            </w14:solidFill>
          </w14:textFill>
        </w:rPr>
        <w:t xml:space="preserve">  污泥掺烧时含水率在30%左右即具有较高热值，相当于燃煤的三分之一，可当作一种低热值高挥发性燃料；掺烧比不宜过高，过高的掺烧比将会导致粉尘过量、飞灰中氯含量增多、装置效率降低等问题。</w:t>
      </w:r>
    </w:p>
    <w:p w14:paraId="29B972AB">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6.2.11</w:t>
      </w:r>
      <w:r>
        <w:rPr>
          <w:rFonts w:hint="eastAsia"/>
          <w:color w:val="000000" w:themeColor="text1"/>
          <w14:textFill>
            <w14:solidFill>
              <w14:schemeClr w14:val="tx1"/>
            </w14:solidFill>
          </w14:textFill>
        </w:rPr>
        <w:t xml:space="preserve">  污泥碳化技术使污泥中的细胞裂解使水分释放出来，同时又最大限度地保留了污泥中的碳值。高温碳化不需要加压，需预先将污泥干化至含水率约30%，碳化后的碳化颗粒可以作为低级燃料使用，其热值约为8360—12540kJ/kg；中温碳化不需要加压，需预先将污泥干化至含水率约90%，最终产物过于多样化，利用较为困难；低温碳化无需干化，碳化后的污泥成液态，脱水后的含水率50%以下，经干化造粒后可作为低级燃料使用，其热值约为15048～20482kJ/kg。</w:t>
      </w:r>
    </w:p>
    <w:p w14:paraId="27609F6F">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6.2.13</w:t>
      </w:r>
      <w:r>
        <w:rPr>
          <w:rFonts w:hint="eastAsia"/>
          <w:color w:val="000000" w:themeColor="text1"/>
          <w14:textFill>
            <w14:solidFill>
              <w14:schemeClr w14:val="tx1"/>
            </w14:solidFill>
          </w14:textFill>
        </w:rPr>
        <w:t xml:space="preserve">  鸟粪石沉淀技术的反应发生在碱性条件下，研究发现，当反应pH在9~10之间时对原水中的氮磷回收率最高，若只需要回收磷，则无需考虑氮源对鸟粪石沉淀回收磷的影响，若氮磷皆需回收，则可参考本条进行镁氮、磷氮配比设计。</w:t>
      </w:r>
    </w:p>
    <w:p w14:paraId="29454F0B">
      <w:pPr>
        <w:pStyle w:val="107"/>
        <w:numPr>
          <w:ilvl w:val="1"/>
          <w:numId w:val="0"/>
        </w:numPr>
        <w:spacing w:before="312" w:after="312"/>
        <w:rPr>
          <w:color w:val="000000" w:themeColor="text1"/>
          <w14:textFill>
            <w14:solidFill>
              <w14:schemeClr w14:val="tx1"/>
            </w14:solidFill>
          </w14:textFill>
        </w:rPr>
      </w:pPr>
      <w:bookmarkStart w:id="351" w:name="_Toc15531"/>
      <w:bookmarkStart w:id="352" w:name="_Toc16002"/>
      <w:r>
        <w:rPr>
          <w:rFonts w:hint="eastAsia"/>
          <w:color w:val="000000" w:themeColor="text1"/>
          <w14:textFill>
            <w14:solidFill>
              <w14:schemeClr w14:val="tx1"/>
            </w14:solidFill>
          </w14:textFill>
        </w:rPr>
        <w:t>7  能源利用与节能</w:t>
      </w:r>
      <w:bookmarkEnd w:id="351"/>
      <w:bookmarkEnd w:id="352"/>
    </w:p>
    <w:p w14:paraId="28B5D8A1">
      <w:pPr>
        <w:pStyle w:val="108"/>
        <w:numPr>
          <w:ilvl w:val="2"/>
          <w:numId w:val="0"/>
        </w:numPr>
        <w:spacing w:before="156" w:after="156"/>
        <w:rPr>
          <w:color w:val="000000" w:themeColor="text1"/>
          <w14:textFill>
            <w14:solidFill>
              <w14:schemeClr w14:val="tx1"/>
            </w14:solidFill>
          </w14:textFill>
        </w:rPr>
      </w:pPr>
      <w:bookmarkStart w:id="353" w:name="_Toc7022"/>
      <w:bookmarkStart w:id="354" w:name="_Toc13371"/>
      <w:r>
        <w:rPr>
          <w:rFonts w:hint="eastAsia"/>
          <w:color w:val="000000" w:themeColor="text1"/>
          <w14:textFill>
            <w14:solidFill>
              <w14:schemeClr w14:val="tx1"/>
            </w14:solidFill>
          </w14:textFill>
        </w:rPr>
        <w:t>7.1  一般规定</w:t>
      </w:r>
      <w:bookmarkEnd w:id="353"/>
      <w:bookmarkEnd w:id="354"/>
    </w:p>
    <w:p w14:paraId="4BE04BCE">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7.1.2</w:t>
      </w:r>
      <w:r>
        <w:rPr>
          <w:rFonts w:hint="eastAsia"/>
          <w:color w:val="000000" w:themeColor="text1"/>
          <w14:textFill>
            <w14:solidFill>
              <w14:schemeClr w14:val="tx1"/>
            </w14:solidFill>
          </w14:textFill>
        </w:rPr>
        <w:t xml:space="preserve">  利用可再生能源应本着“自发自用，余量上网，电网调节”的原则。要根据当地日照条件考虑设置光伏发电装置。直接并网供电是指无蓄电池，太阳能光电并网直接供给负荷，并不送至上级电网。</w:t>
      </w:r>
    </w:p>
    <w:p w14:paraId="558A9BAF">
      <w:pPr>
        <w:pStyle w:val="168"/>
        <w:numPr>
          <w:ilvl w:val="0"/>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7.1.5</w:t>
      </w:r>
      <w:r>
        <w:rPr>
          <w:rFonts w:hint="eastAsia"/>
          <w:color w:val="000000" w:themeColor="text1"/>
          <w14:textFill>
            <w14:solidFill>
              <w14:schemeClr w14:val="tx1"/>
            </w14:solidFill>
          </w14:textFill>
        </w:rPr>
        <w:t xml:space="preserve">  表中</w:t>
      </w:r>
      <w:r>
        <w:rPr>
          <w:rFonts w:hAnsi="宋体"/>
          <w:color w:val="000000" w:themeColor="text1"/>
          <w14:textFill>
            <w14:solidFill>
              <w14:schemeClr w14:val="tx1"/>
            </w14:solidFill>
          </w14:textFill>
        </w:rPr>
        <w:t>综合能耗</w:t>
      </w:r>
      <w:r>
        <w:rPr>
          <w:rFonts w:hint="eastAsia"/>
          <w:color w:val="000000" w:themeColor="text1"/>
          <w14:textFill>
            <w14:solidFill>
              <w14:schemeClr w14:val="tx1"/>
            </w14:solidFill>
          </w14:textFill>
        </w:rPr>
        <w:t>限定值为实现出水符合指标时所允许的能耗指标上限值；</w:t>
      </w:r>
      <w:r>
        <w:rPr>
          <w:rFonts w:hAnsi="宋体"/>
          <w:color w:val="000000" w:themeColor="text1"/>
          <w14:textFill>
            <w14:solidFill>
              <w14:schemeClr w14:val="tx1"/>
            </w14:solidFill>
          </w14:textFill>
        </w:rPr>
        <w:t>综合能耗</w:t>
      </w:r>
      <w:r>
        <w:rPr>
          <w:rFonts w:hint="eastAsia"/>
          <w:color w:val="000000" w:themeColor="text1"/>
          <w14:textFill>
            <w14:solidFill>
              <w14:schemeClr w14:val="tx1"/>
            </w14:solidFill>
          </w14:textFill>
        </w:rPr>
        <w:t>先进值为出水符合指标的前提下，降低能效的努力目标。</w:t>
      </w:r>
      <w:r>
        <w:rPr>
          <w:color w:val="000000" w:themeColor="text1"/>
          <w14:textFill>
            <w14:solidFill>
              <w14:schemeClr w14:val="tx1"/>
            </w14:solidFill>
          </w14:textFill>
        </w:rPr>
        <w:t>地下城镇污水处理厂考虑通风、照明等影响因素，单位污水处理综合能耗可在本标准要求限额基础上增加9%~10%。</w:t>
      </w:r>
      <w:r>
        <w:rPr>
          <w:rFonts w:hint="eastAsia"/>
          <w:color w:val="000000" w:themeColor="text1"/>
          <w14:textFill>
            <w14:solidFill>
              <w14:schemeClr w14:val="tx1"/>
            </w14:solidFill>
          </w14:textFill>
        </w:rPr>
        <w:t>综合能耗计算具体计算用符合GB/T 2589中的规定。</w:t>
      </w:r>
    </w:p>
    <w:p w14:paraId="0DCF015F">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7.1.6</w:t>
      </w:r>
      <w:r>
        <w:rPr>
          <w:rFonts w:hint="eastAsia"/>
          <w:color w:val="000000" w:themeColor="text1"/>
          <w14:textFill>
            <w14:solidFill>
              <w14:schemeClr w14:val="tx1"/>
            </w14:solidFill>
          </w14:textFill>
        </w:rPr>
        <w:t xml:space="preserve">  能源管理体系建立应符合以下要求：（1）全过程控制：应对厂内生产运营全过程开展能源评估，并对影响因素进行识别、控制和管理，将厂内能源管理工作与法律法规、政策、标准及其他要求进行有机结合，实现降低能源消耗、提高能源利用效率的目的。（2）运用 PDCA 闭环管理：充分运用 PDCA 理论，借鉴和使用先进的节能技术、方法和节能实践，不断提高厂内能源绩效。（3）体现能源管理的特点：将能源管理的特点充分体现在能源管理体系的各项具体要求中，努力与现行的能源管理方法，如与能源诊断、综合能耗计算、节能量计算等技术相结合。</w:t>
      </w:r>
    </w:p>
    <w:p w14:paraId="493C8FE6">
      <w:pPr>
        <w:pStyle w:val="108"/>
        <w:numPr>
          <w:ilvl w:val="2"/>
          <w:numId w:val="0"/>
        </w:numPr>
        <w:spacing w:before="156" w:after="156"/>
        <w:rPr>
          <w:color w:val="000000" w:themeColor="text1"/>
          <w14:textFill>
            <w14:solidFill>
              <w14:schemeClr w14:val="tx1"/>
            </w14:solidFill>
          </w14:textFill>
        </w:rPr>
      </w:pPr>
      <w:bookmarkStart w:id="355" w:name="_Toc12982"/>
      <w:bookmarkStart w:id="356" w:name="_Toc4130"/>
      <w:r>
        <w:rPr>
          <w:rFonts w:hint="eastAsia"/>
          <w:color w:val="000000" w:themeColor="text1"/>
          <w14:textFill>
            <w14:solidFill>
              <w14:schemeClr w14:val="tx1"/>
            </w14:solidFill>
          </w14:textFill>
        </w:rPr>
        <w:t>7.5  沼气利用</w:t>
      </w:r>
      <w:bookmarkEnd w:id="355"/>
      <w:bookmarkEnd w:id="356"/>
    </w:p>
    <w:p w14:paraId="6533192B">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7.5.1</w:t>
      </w:r>
      <w:r>
        <w:rPr>
          <w:rFonts w:hint="eastAsia"/>
          <w:color w:val="000000" w:themeColor="text1"/>
          <w14:textFill>
            <w14:solidFill>
              <w14:schemeClr w14:val="tx1"/>
            </w14:solidFill>
          </w14:textFill>
        </w:rPr>
        <w:t xml:space="preserve">  条根据原国家计委、经贸委、建设部和环保总局《关于发展热电联产的规定》(计基础[2000]1268号)和原国家计委、经贸委、建设部《热电联产项目可行性研究技术规定》(计基础[2001]26号)提出的热电联产项目建设的基本技术指标的要求制订的。</w:t>
      </w:r>
    </w:p>
    <w:p w14:paraId="4B64D228">
      <w:pPr>
        <w:pStyle w:val="108"/>
        <w:numPr>
          <w:ilvl w:val="2"/>
          <w:numId w:val="0"/>
        </w:numPr>
        <w:spacing w:before="156" w:after="156"/>
        <w:rPr>
          <w:color w:val="000000" w:themeColor="text1"/>
          <w14:textFill>
            <w14:solidFill>
              <w14:schemeClr w14:val="tx1"/>
            </w14:solidFill>
          </w14:textFill>
        </w:rPr>
      </w:pPr>
      <w:bookmarkStart w:id="357" w:name="_Toc19072"/>
      <w:bookmarkStart w:id="358" w:name="_Toc1024"/>
      <w:r>
        <w:rPr>
          <w:rFonts w:hint="eastAsia"/>
          <w:color w:val="000000" w:themeColor="text1"/>
          <w14:textFill>
            <w14:solidFill>
              <w14:schemeClr w14:val="tx1"/>
            </w14:solidFill>
          </w14:textFill>
        </w:rPr>
        <w:t>7.6  建筑节能</w:t>
      </w:r>
      <w:bookmarkEnd w:id="357"/>
      <w:bookmarkEnd w:id="358"/>
    </w:p>
    <w:p w14:paraId="1C7A2DFE">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7.6.2</w:t>
      </w:r>
      <w:r>
        <w:rPr>
          <w:rFonts w:hint="eastAsia"/>
          <w:color w:val="000000" w:themeColor="text1"/>
          <w14:textFill>
            <w14:solidFill>
              <w14:schemeClr w14:val="tx1"/>
            </w14:solidFill>
          </w14:textFill>
        </w:rPr>
        <w:t xml:space="preserve">  不同型号变压器由于其绕组材质、截面积的不同，电能传递效率存在显著差异，价格也有明显不同，根据不同变压器节能和价格差的回收年限计算，绝大部分低损耗节能型变压器增加投资的回收年限在2年~5年，因此应优选高效、低损耗、节能型变压器。根据变压器的有功功率损耗特性曲线可知，其最低损耗率一般发生在电力变压器负载率为0.5~0.6时。负载率太高或太低都会使变压器有功损耗增加，因此考虑变压器的合理运行，一般根据污水处理厂负荷变化特性，使变压器负载率控制在0.5~0.7为宜。</w:t>
      </w:r>
    </w:p>
    <w:p w14:paraId="1CFEA338">
      <w:pPr>
        <w:pStyle w:val="107"/>
        <w:numPr>
          <w:ilvl w:val="1"/>
          <w:numId w:val="0"/>
        </w:numPr>
        <w:spacing w:before="312" w:after="312"/>
        <w:rPr>
          <w:color w:val="000000" w:themeColor="text1"/>
          <w14:textFill>
            <w14:solidFill>
              <w14:schemeClr w14:val="tx1"/>
            </w14:solidFill>
          </w14:textFill>
        </w:rPr>
      </w:pPr>
      <w:bookmarkStart w:id="359" w:name="_Toc9953"/>
      <w:bookmarkStart w:id="360" w:name="_Toc12196"/>
      <w:r>
        <w:rPr>
          <w:rFonts w:hint="eastAsia"/>
          <w:color w:val="000000" w:themeColor="text1"/>
          <w14:textFill>
            <w14:solidFill>
              <w14:schemeClr w14:val="tx1"/>
            </w14:solidFill>
          </w14:textFill>
        </w:rPr>
        <w:t>9  绿色环境</w:t>
      </w:r>
      <w:bookmarkEnd w:id="359"/>
      <w:bookmarkEnd w:id="360"/>
    </w:p>
    <w:p w14:paraId="7DDB93C1">
      <w:pPr>
        <w:pStyle w:val="108"/>
        <w:numPr>
          <w:ilvl w:val="2"/>
          <w:numId w:val="0"/>
        </w:numPr>
        <w:spacing w:before="156" w:after="156"/>
        <w:rPr>
          <w:color w:val="000000" w:themeColor="text1"/>
          <w14:textFill>
            <w14:solidFill>
              <w14:schemeClr w14:val="tx1"/>
            </w14:solidFill>
          </w14:textFill>
        </w:rPr>
      </w:pPr>
      <w:bookmarkStart w:id="361" w:name="_Toc27248"/>
      <w:bookmarkStart w:id="362" w:name="_Toc17198"/>
      <w:r>
        <w:rPr>
          <w:rFonts w:hint="eastAsia"/>
          <w:color w:val="000000" w:themeColor="text1"/>
          <w14:textFill>
            <w14:solidFill>
              <w14:schemeClr w14:val="tx1"/>
            </w14:solidFill>
          </w14:textFill>
        </w:rPr>
        <w:t>9.2  臭气控制</w:t>
      </w:r>
      <w:bookmarkEnd w:id="361"/>
      <w:bookmarkEnd w:id="362"/>
    </w:p>
    <w:p w14:paraId="1DAC8D39">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9.2.1</w:t>
      </w:r>
      <w:r>
        <w:rPr>
          <w:rFonts w:hint="eastAsia"/>
          <w:color w:val="000000" w:themeColor="text1"/>
          <w14:textFill>
            <w14:solidFill>
              <w14:schemeClr w14:val="tx1"/>
            </w14:solidFill>
          </w14:textFill>
        </w:rPr>
        <w:t xml:space="preserve">  通过设计工艺改进，采用臭气散发量少的污水处理技术设备和措施，减少臭气产生量是脱臭技术中最经济有效的方法。改进方法包括:贮泥池和重力浓缩池可减少污泥存放时间，防止污泥和上清液排放中发生飞溅，应采用低速搅拌；污泥厌氧消化应确保污泥气燃烧装置运行正常，降低消化污泥排入二级消化池的跌落高度，可投加铁盐以减少臭气等。</w:t>
      </w:r>
    </w:p>
    <w:p w14:paraId="75DB0695">
      <w:pPr>
        <w:pStyle w:val="108"/>
        <w:numPr>
          <w:ilvl w:val="2"/>
          <w:numId w:val="0"/>
        </w:numPr>
        <w:spacing w:before="156" w:after="156"/>
        <w:rPr>
          <w:color w:val="000000" w:themeColor="text1"/>
          <w14:textFill>
            <w14:solidFill>
              <w14:schemeClr w14:val="tx1"/>
            </w14:solidFill>
          </w14:textFill>
        </w:rPr>
      </w:pPr>
      <w:bookmarkStart w:id="363" w:name="_Toc18064"/>
      <w:bookmarkStart w:id="364" w:name="_Toc17387"/>
      <w:r>
        <w:rPr>
          <w:rFonts w:hint="eastAsia"/>
          <w:color w:val="000000" w:themeColor="text1"/>
          <w14:textFill>
            <w14:solidFill>
              <w14:schemeClr w14:val="tx1"/>
            </w14:solidFill>
          </w14:textFill>
        </w:rPr>
        <w:t>9.3  景观绿化</w:t>
      </w:r>
      <w:bookmarkEnd w:id="363"/>
      <w:bookmarkEnd w:id="364"/>
    </w:p>
    <w:p w14:paraId="6203534A">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9.3.4</w:t>
      </w:r>
      <w:r>
        <w:rPr>
          <w:rFonts w:hint="eastAsia"/>
          <w:color w:val="000000" w:themeColor="text1"/>
          <w14:textFill>
            <w14:solidFill>
              <w14:schemeClr w14:val="tx1"/>
            </w14:solidFill>
          </w14:textFill>
        </w:rPr>
        <w:t xml:space="preserve">  《给排水设计手册》中提及污水处理厂绿地率不宜小于全厂的30%，在此基础上，进行绿色设计的城镇污水处理厂绿地率有所增加，不宜小于全厂40%。</w:t>
      </w:r>
    </w:p>
    <w:p w14:paraId="287EFB0B">
      <w:pPr>
        <w:pStyle w:val="108"/>
        <w:numPr>
          <w:ilvl w:val="2"/>
          <w:numId w:val="0"/>
        </w:numPr>
        <w:spacing w:before="156" w:after="156"/>
        <w:rPr>
          <w:color w:val="000000" w:themeColor="text1"/>
          <w14:textFill>
            <w14:solidFill>
              <w14:schemeClr w14:val="tx1"/>
            </w14:solidFill>
          </w14:textFill>
        </w:rPr>
      </w:pPr>
      <w:bookmarkStart w:id="365" w:name="_Toc21366"/>
      <w:bookmarkStart w:id="366" w:name="_Toc27410"/>
      <w:r>
        <w:rPr>
          <w:rFonts w:hint="eastAsia"/>
          <w:color w:val="000000" w:themeColor="text1"/>
          <w14:textFill>
            <w14:solidFill>
              <w14:schemeClr w14:val="tx1"/>
            </w14:solidFill>
          </w14:textFill>
        </w:rPr>
        <w:t>9.4  海绵建设</w:t>
      </w:r>
      <w:bookmarkEnd w:id="365"/>
      <w:bookmarkEnd w:id="366"/>
    </w:p>
    <w:p w14:paraId="495BD3A8">
      <w:pPr>
        <w:pStyle w:val="168"/>
        <w:numPr>
          <w:ilvl w:val="3"/>
          <w:numId w:val="0"/>
        </w:numPr>
        <w:rPr>
          <w:rFonts w:hint="eastAsia"/>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9.4.3</w:t>
      </w:r>
      <w:r>
        <w:rPr>
          <w:rFonts w:hint="eastAsia"/>
          <w:color w:val="000000" w:themeColor="text1"/>
          <w14:textFill>
            <w14:solidFill>
              <w14:schemeClr w14:val="tx1"/>
            </w14:solidFill>
          </w14:textFill>
        </w:rPr>
        <w:t xml:space="preserve">  为保证城镇污水处理厂的绿地率以及径流控制率，并调研总结多地生态停车场相关设计标准，釆用生态植草砖、蜂巢植草格等时，其镂空面积比不应低于40％。</w:t>
      </w:r>
    </w:p>
    <w:p w14:paraId="023016BB">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 xml:space="preserve">9.4.4  </w:t>
      </w:r>
      <w:r>
        <w:rPr>
          <w:rFonts w:hint="eastAsia"/>
          <w:color w:val="000000" w:themeColor="text1"/>
          <w14:textFill>
            <w14:solidFill>
              <w14:schemeClr w14:val="tx1"/>
            </w14:solidFill>
          </w14:textFill>
        </w:rPr>
        <w:t>考虑到污水处理厂以污水处理为主要目标，平面上需要建设较多的建（构）筑物，年径流总量控制率确定为不宜低于75%。</w:t>
      </w:r>
    </w:p>
    <w:p w14:paraId="11FF3231">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9.4.5</w:t>
      </w:r>
      <w:r>
        <w:rPr>
          <w:rFonts w:hint="eastAsia"/>
          <w:color w:val="000000" w:themeColor="text1"/>
          <w14:textFill>
            <w14:solidFill>
              <w14:schemeClr w14:val="tx1"/>
            </w14:solidFill>
          </w14:textFill>
        </w:rPr>
        <w:t xml:space="preserve">  考虑到污水处理厂以污水处理为主要目标，平面上需要建设较多的建（构）筑物，年径流总量控制率确定为不宜低于75%。</w:t>
      </w:r>
    </w:p>
    <w:p w14:paraId="764681C6">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9.4.6</w:t>
      </w:r>
      <w:r>
        <w:rPr>
          <w:rFonts w:hint="eastAsia"/>
          <w:color w:val="000000" w:themeColor="text1"/>
          <w14:textFill>
            <w14:solidFill>
              <w14:schemeClr w14:val="tx1"/>
            </w14:solidFill>
          </w14:textFill>
        </w:rPr>
        <w:t xml:space="preserve">  参考《武汉市海绵城市专项规划(2016-2030年)》中取值，在原雨水资源化利用率要求基础上上调至10%。</w:t>
      </w:r>
    </w:p>
    <w:p w14:paraId="5367E845">
      <w:pPr>
        <w:pStyle w:val="107"/>
        <w:numPr>
          <w:ilvl w:val="1"/>
          <w:numId w:val="0"/>
        </w:numPr>
        <w:spacing w:before="312" w:after="312"/>
      </w:pPr>
      <w:bookmarkStart w:id="367" w:name="_Toc30593"/>
      <w:bookmarkStart w:id="368" w:name="_Toc30618"/>
      <w:r>
        <w:rPr>
          <w:rFonts w:hint="eastAsia"/>
          <w:color w:val="000000" w:themeColor="text1"/>
          <w14:textFill>
            <w14:solidFill>
              <w14:schemeClr w14:val="tx1"/>
            </w14:solidFill>
          </w14:textFill>
        </w:rPr>
        <w:t>10  低碳排放</w:t>
      </w:r>
      <w:bookmarkEnd w:id="367"/>
      <w:bookmarkEnd w:id="368"/>
    </w:p>
    <w:p w14:paraId="00B2F9FD">
      <w:pPr>
        <w:pStyle w:val="168"/>
        <w:numPr>
          <w:ilvl w:val="3"/>
          <w:numId w:val="0"/>
        </w:numPr>
        <w:rPr>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10.1.2</w:t>
      </w:r>
      <w:r>
        <w:rPr>
          <w:rFonts w:hint="eastAsia"/>
          <w:color w:val="000000" w:themeColor="text1"/>
          <w14:textFill>
            <w14:solidFill>
              <w14:schemeClr w14:val="tx1"/>
            </w14:solidFill>
          </w14:textFill>
        </w:rPr>
        <w:t xml:space="preserve">  污水处理厂碳排放强度应按照《城镇水务系统碳核算与减排路径技术指南》的步骤及要求进行核算，</w:t>
      </w:r>
      <w:r>
        <w:rPr>
          <w:color w:val="000000" w:themeColor="text1"/>
          <w14:textFill>
            <w14:solidFill>
              <w14:schemeClr w14:val="tx1"/>
            </w14:solidFill>
          </w14:textFill>
        </w:rPr>
        <w:t>所有数据应符合物料平衡与能流核算的要求，物料平衡偏差不超过15%，能流核算偏差不超过5%。</w:t>
      </w:r>
    </w:p>
    <w:bookmarkEnd w:id="330"/>
    <w:p w14:paraId="26DB2FEB">
      <w:pPr>
        <w:pStyle w:val="59"/>
        <w:ind w:firstLine="420"/>
        <w:rPr>
          <w:rFonts w:hint="eastAsia"/>
        </w:rPr>
      </w:pP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8B682">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D0A8F">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10B8">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CA43E">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E14F">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D616B">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3FAB6">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2BB7E">
    <w:pPr>
      <w:pStyle w:val="64"/>
      <w:rPr>
        <w:rFonts w:hint="eastAsia"/>
      </w:rPr>
    </w:pPr>
    <w:r>
      <w:fldChar w:fldCharType="begin"/>
    </w:r>
    <w:r>
      <w:instrText xml:space="preserve"> STYLEREF  标准文件_文件编号  \* MERGEFORMAT </w:instrText>
    </w:r>
    <w:r>
      <w:fldChar w:fldCharType="separate"/>
    </w:r>
    <w:r>
      <w:t>DB 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3A646">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17906"/>
    <w:multiLevelType w:val="multilevel"/>
    <w:tmpl w:val="FB617906"/>
    <w:lvl w:ilvl="0" w:tentative="0">
      <w:start w:val="1"/>
      <w:numFmt w:val="lowerLetter"/>
      <w:pStyle w:val="177"/>
      <w:lvlText w:val="%1)"/>
      <w:lvlJc w:val="left"/>
      <w:pPr>
        <w:tabs>
          <w:tab w:val="left" w:pos="851"/>
        </w:tabs>
        <w:ind w:left="851" w:hanging="426"/>
      </w:pPr>
      <w:rPr>
        <w:rFonts w:hint="default" w:ascii="宋体" w:hAnsi="Times New Roman" w:eastAsia="宋体"/>
        <w:sz w:val="21"/>
      </w:rPr>
    </w:lvl>
    <w:lvl w:ilvl="1" w:tentative="0">
      <w:start w:val="1"/>
      <w:numFmt w:val="lowerLetter"/>
      <w:pStyle w:val="112"/>
      <w:lvlText w:val="%2)"/>
      <w:lvlJc w:val="left"/>
      <w:pPr>
        <w:tabs>
          <w:tab w:val="left" w:pos="1276"/>
        </w:tabs>
        <w:ind w:left="1276" w:hanging="425"/>
      </w:pPr>
      <w:rPr>
        <w:rFonts w:hint="default"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568"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7"/>
  </w:num>
  <w:num w:numId="3">
    <w:abstractNumId w:val="6"/>
  </w:num>
  <w:num w:numId="4">
    <w:abstractNumId w:val="23"/>
  </w:num>
  <w:num w:numId="5">
    <w:abstractNumId w:val="18"/>
  </w:num>
  <w:num w:numId="6">
    <w:abstractNumId w:val="13"/>
  </w:num>
  <w:num w:numId="7">
    <w:abstractNumId w:val="9"/>
  </w:num>
  <w:num w:numId="8">
    <w:abstractNumId w:val="4"/>
  </w:num>
  <w:num w:numId="9">
    <w:abstractNumId w:val="10"/>
  </w:num>
  <w:num w:numId="10">
    <w:abstractNumId w:val="16"/>
  </w:num>
  <w:num w:numId="11">
    <w:abstractNumId w:val="25"/>
  </w:num>
  <w:num w:numId="12">
    <w:abstractNumId w:val="12"/>
  </w:num>
  <w:num w:numId="13">
    <w:abstractNumId w:val="0"/>
  </w:num>
  <w:num w:numId="14">
    <w:abstractNumId w:val="8"/>
  </w:num>
  <w:num w:numId="15">
    <w:abstractNumId w:val="19"/>
  </w:num>
  <w:num w:numId="16">
    <w:abstractNumId w:val="21"/>
  </w:num>
  <w:num w:numId="17">
    <w:abstractNumId w:val="17"/>
  </w:num>
  <w:num w:numId="18">
    <w:abstractNumId w:val="29"/>
  </w:num>
  <w:num w:numId="19">
    <w:abstractNumId w:val="15"/>
  </w:num>
  <w:num w:numId="20">
    <w:abstractNumId w:val="2"/>
  </w:num>
  <w:num w:numId="21">
    <w:abstractNumId w:val="11"/>
  </w:num>
  <w:num w:numId="22">
    <w:abstractNumId w:val="30"/>
  </w:num>
  <w:num w:numId="23">
    <w:abstractNumId w:val="20"/>
  </w:num>
  <w:num w:numId="24">
    <w:abstractNumId w:val="7"/>
  </w:num>
  <w:num w:numId="25">
    <w:abstractNumId w:val="26"/>
  </w:num>
  <w:num w:numId="26">
    <w:abstractNumId w:val="28"/>
  </w:num>
  <w:num w:numId="27">
    <w:abstractNumId w:val="3"/>
  </w:num>
  <w:num w:numId="28">
    <w:abstractNumId w:val="5"/>
  </w:num>
  <w:num w:numId="29">
    <w:abstractNumId w:val="14"/>
  </w:num>
  <w:num w:numId="30">
    <w:abstractNumId w:val="24"/>
  </w:num>
  <w:num w:numId="31">
    <w:abstractNumId w:val="2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zNmUyYmYxMzY0OWYzNzQ1Y2E3OGZiNzU0OTU1M2EifQ=="/>
  </w:docVars>
  <w:rsids>
    <w:rsidRoot w:val="00190816"/>
    <w:rsid w:val="0000040A"/>
    <w:rsid w:val="00000A94"/>
    <w:rsid w:val="00001972"/>
    <w:rsid w:val="00001D9A"/>
    <w:rsid w:val="00002B04"/>
    <w:rsid w:val="00005B66"/>
    <w:rsid w:val="00007B3A"/>
    <w:rsid w:val="000107E0"/>
    <w:rsid w:val="00011FDE"/>
    <w:rsid w:val="00012FFD"/>
    <w:rsid w:val="00014162"/>
    <w:rsid w:val="00014340"/>
    <w:rsid w:val="00014376"/>
    <w:rsid w:val="00015907"/>
    <w:rsid w:val="00016A9C"/>
    <w:rsid w:val="00017F4C"/>
    <w:rsid w:val="00020A11"/>
    <w:rsid w:val="00022184"/>
    <w:rsid w:val="00022762"/>
    <w:rsid w:val="00023381"/>
    <w:rsid w:val="000238E0"/>
    <w:rsid w:val="000249DB"/>
    <w:rsid w:val="0002595E"/>
    <w:rsid w:val="0002669D"/>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1E4D"/>
    <w:rsid w:val="000622D4"/>
    <w:rsid w:val="00063250"/>
    <w:rsid w:val="0006357D"/>
    <w:rsid w:val="000654CB"/>
    <w:rsid w:val="00067F1E"/>
    <w:rsid w:val="00071CC0"/>
    <w:rsid w:val="00073C8C"/>
    <w:rsid w:val="00077B64"/>
    <w:rsid w:val="00080A1C"/>
    <w:rsid w:val="00082317"/>
    <w:rsid w:val="00083D2C"/>
    <w:rsid w:val="00086AA1"/>
    <w:rsid w:val="00087A77"/>
    <w:rsid w:val="00090CA6"/>
    <w:rsid w:val="00090F0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5360"/>
    <w:rsid w:val="000B6A0B"/>
    <w:rsid w:val="000C0F6C"/>
    <w:rsid w:val="000C11DB"/>
    <w:rsid w:val="000C1492"/>
    <w:rsid w:val="000C2FBD"/>
    <w:rsid w:val="000C4B41"/>
    <w:rsid w:val="000C5390"/>
    <w:rsid w:val="000C57D6"/>
    <w:rsid w:val="000C6362"/>
    <w:rsid w:val="000C7666"/>
    <w:rsid w:val="000D0302"/>
    <w:rsid w:val="000D0A9C"/>
    <w:rsid w:val="000D1795"/>
    <w:rsid w:val="000D329A"/>
    <w:rsid w:val="000D3707"/>
    <w:rsid w:val="000D4B9C"/>
    <w:rsid w:val="000D4EB6"/>
    <w:rsid w:val="000D5610"/>
    <w:rsid w:val="000D753B"/>
    <w:rsid w:val="000E4C9E"/>
    <w:rsid w:val="000E6FD7"/>
    <w:rsid w:val="000E74F7"/>
    <w:rsid w:val="000F06E1"/>
    <w:rsid w:val="000F0E3C"/>
    <w:rsid w:val="000F19D5"/>
    <w:rsid w:val="000F4AEA"/>
    <w:rsid w:val="000F633F"/>
    <w:rsid w:val="000F67E9"/>
    <w:rsid w:val="00104926"/>
    <w:rsid w:val="00113B1E"/>
    <w:rsid w:val="001147C4"/>
    <w:rsid w:val="00116FA7"/>
    <w:rsid w:val="0011711C"/>
    <w:rsid w:val="001172B6"/>
    <w:rsid w:val="0012059C"/>
    <w:rsid w:val="00124E4F"/>
    <w:rsid w:val="001260B7"/>
    <w:rsid w:val="001265CB"/>
    <w:rsid w:val="001321C6"/>
    <w:rsid w:val="001325C4"/>
    <w:rsid w:val="00133010"/>
    <w:rsid w:val="001338EE"/>
    <w:rsid w:val="00133AAE"/>
    <w:rsid w:val="00135323"/>
    <w:rsid w:val="001356C4"/>
    <w:rsid w:val="00135D9C"/>
    <w:rsid w:val="00141114"/>
    <w:rsid w:val="00141F9C"/>
    <w:rsid w:val="00142969"/>
    <w:rsid w:val="001446C2"/>
    <w:rsid w:val="001457E7"/>
    <w:rsid w:val="00145D9D"/>
    <w:rsid w:val="00146388"/>
    <w:rsid w:val="001474B6"/>
    <w:rsid w:val="001529E5"/>
    <w:rsid w:val="00153C7E"/>
    <w:rsid w:val="00156B25"/>
    <w:rsid w:val="00156E0D"/>
    <w:rsid w:val="00156E1A"/>
    <w:rsid w:val="00157894"/>
    <w:rsid w:val="00157B55"/>
    <w:rsid w:val="00162863"/>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0816"/>
    <w:rsid w:val="001913C4"/>
    <w:rsid w:val="00192152"/>
    <w:rsid w:val="0019348F"/>
    <w:rsid w:val="00193A07"/>
    <w:rsid w:val="00193ED1"/>
    <w:rsid w:val="00194C95"/>
    <w:rsid w:val="00195C34"/>
    <w:rsid w:val="00196EF5"/>
    <w:rsid w:val="0019766E"/>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58"/>
    <w:rsid w:val="001E2484"/>
    <w:rsid w:val="001E2537"/>
    <w:rsid w:val="001E3CC4"/>
    <w:rsid w:val="001E4882"/>
    <w:rsid w:val="001E73AB"/>
    <w:rsid w:val="001E7D6A"/>
    <w:rsid w:val="001F092D"/>
    <w:rsid w:val="001F143A"/>
    <w:rsid w:val="001F1605"/>
    <w:rsid w:val="001F2508"/>
    <w:rsid w:val="001F4816"/>
    <w:rsid w:val="001F4EE9"/>
    <w:rsid w:val="001F69B4"/>
    <w:rsid w:val="001F77C7"/>
    <w:rsid w:val="00200183"/>
    <w:rsid w:val="00200333"/>
    <w:rsid w:val="0020107D"/>
    <w:rsid w:val="00202AA4"/>
    <w:rsid w:val="00203048"/>
    <w:rsid w:val="002031F7"/>
    <w:rsid w:val="002040E6"/>
    <w:rsid w:val="0020527B"/>
    <w:rsid w:val="00205F2C"/>
    <w:rsid w:val="00207556"/>
    <w:rsid w:val="00210B15"/>
    <w:rsid w:val="002142EA"/>
    <w:rsid w:val="002204BB"/>
    <w:rsid w:val="00221B79"/>
    <w:rsid w:val="00221C6B"/>
    <w:rsid w:val="002253A1"/>
    <w:rsid w:val="00225CF8"/>
    <w:rsid w:val="0022794E"/>
    <w:rsid w:val="00233D64"/>
    <w:rsid w:val="0023482A"/>
    <w:rsid w:val="002359CB"/>
    <w:rsid w:val="00235CF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FEB"/>
    <w:rsid w:val="00265463"/>
    <w:rsid w:val="002661CF"/>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6F01"/>
    <w:rsid w:val="002974E3"/>
    <w:rsid w:val="002A084B"/>
    <w:rsid w:val="002A1260"/>
    <w:rsid w:val="002A1589"/>
    <w:rsid w:val="002A1608"/>
    <w:rsid w:val="002A25DC"/>
    <w:rsid w:val="002A3AAB"/>
    <w:rsid w:val="002A40D8"/>
    <w:rsid w:val="002A4CEA"/>
    <w:rsid w:val="002A5977"/>
    <w:rsid w:val="002A5A13"/>
    <w:rsid w:val="002A757F"/>
    <w:rsid w:val="002A7F44"/>
    <w:rsid w:val="002B0C40"/>
    <w:rsid w:val="002B1966"/>
    <w:rsid w:val="002B26CB"/>
    <w:rsid w:val="002B4508"/>
    <w:rsid w:val="002B5779"/>
    <w:rsid w:val="002B7332"/>
    <w:rsid w:val="002B7F51"/>
    <w:rsid w:val="002C09E7"/>
    <w:rsid w:val="002C1E06"/>
    <w:rsid w:val="002C1E1C"/>
    <w:rsid w:val="002C3F07"/>
    <w:rsid w:val="002C5278"/>
    <w:rsid w:val="002C7EBB"/>
    <w:rsid w:val="002D06C1"/>
    <w:rsid w:val="002D42B5"/>
    <w:rsid w:val="002D4F1A"/>
    <w:rsid w:val="002D5FB1"/>
    <w:rsid w:val="002D6EC6"/>
    <w:rsid w:val="002D79AC"/>
    <w:rsid w:val="002E039D"/>
    <w:rsid w:val="002E4D5A"/>
    <w:rsid w:val="002E6326"/>
    <w:rsid w:val="002F30E0"/>
    <w:rsid w:val="002F35E4"/>
    <w:rsid w:val="002F3730"/>
    <w:rsid w:val="002F38E1"/>
    <w:rsid w:val="002F70ED"/>
    <w:rsid w:val="002F7AF6"/>
    <w:rsid w:val="00300E63"/>
    <w:rsid w:val="003028A1"/>
    <w:rsid w:val="00302F5F"/>
    <w:rsid w:val="0030441D"/>
    <w:rsid w:val="00306063"/>
    <w:rsid w:val="00313B85"/>
    <w:rsid w:val="00317988"/>
    <w:rsid w:val="00317CDD"/>
    <w:rsid w:val="00320BB3"/>
    <w:rsid w:val="003221B4"/>
    <w:rsid w:val="0032258D"/>
    <w:rsid w:val="00322E62"/>
    <w:rsid w:val="00324D13"/>
    <w:rsid w:val="00324D2A"/>
    <w:rsid w:val="00324EDD"/>
    <w:rsid w:val="003267D6"/>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950"/>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64D"/>
    <w:rsid w:val="003B09AD"/>
    <w:rsid w:val="003B1F18"/>
    <w:rsid w:val="003B5BF0"/>
    <w:rsid w:val="003B60BF"/>
    <w:rsid w:val="003B60D8"/>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15B5"/>
    <w:rsid w:val="003F23D3"/>
    <w:rsid w:val="003F3F08"/>
    <w:rsid w:val="003F49F1"/>
    <w:rsid w:val="003F6272"/>
    <w:rsid w:val="00400E72"/>
    <w:rsid w:val="00401400"/>
    <w:rsid w:val="004014DE"/>
    <w:rsid w:val="00404869"/>
    <w:rsid w:val="00405884"/>
    <w:rsid w:val="00405AD7"/>
    <w:rsid w:val="00406E44"/>
    <w:rsid w:val="00407D39"/>
    <w:rsid w:val="0041477A"/>
    <w:rsid w:val="00414959"/>
    <w:rsid w:val="004167A3"/>
    <w:rsid w:val="00427206"/>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4F2F"/>
    <w:rsid w:val="004A63FA"/>
    <w:rsid w:val="004B0272"/>
    <w:rsid w:val="004B0FC8"/>
    <w:rsid w:val="004B2701"/>
    <w:rsid w:val="004B2E1B"/>
    <w:rsid w:val="004B3AA8"/>
    <w:rsid w:val="004B3E93"/>
    <w:rsid w:val="004B7721"/>
    <w:rsid w:val="004C1FBC"/>
    <w:rsid w:val="004C3F1D"/>
    <w:rsid w:val="004C458D"/>
    <w:rsid w:val="004C7556"/>
    <w:rsid w:val="004C7E8B"/>
    <w:rsid w:val="004C7E9D"/>
    <w:rsid w:val="004C7F67"/>
    <w:rsid w:val="004D076D"/>
    <w:rsid w:val="004D0EF1"/>
    <w:rsid w:val="004D1062"/>
    <w:rsid w:val="004D2253"/>
    <w:rsid w:val="004D4406"/>
    <w:rsid w:val="004D7C42"/>
    <w:rsid w:val="004D7CF5"/>
    <w:rsid w:val="004E0465"/>
    <w:rsid w:val="004E0A3D"/>
    <w:rsid w:val="004E127B"/>
    <w:rsid w:val="004E1C0A"/>
    <w:rsid w:val="004E2B06"/>
    <w:rsid w:val="004E30C5"/>
    <w:rsid w:val="004E40DC"/>
    <w:rsid w:val="004E4AA5"/>
    <w:rsid w:val="004E4AEE"/>
    <w:rsid w:val="004E59E3"/>
    <w:rsid w:val="004E67C0"/>
    <w:rsid w:val="004F1914"/>
    <w:rsid w:val="004F391A"/>
    <w:rsid w:val="004F3CFB"/>
    <w:rsid w:val="004F55A2"/>
    <w:rsid w:val="004F61F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48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DDA"/>
    <w:rsid w:val="005D0C75"/>
    <w:rsid w:val="005D4171"/>
    <w:rsid w:val="005D4DD5"/>
    <w:rsid w:val="005D6A95"/>
    <w:rsid w:val="005D6B2C"/>
    <w:rsid w:val="005D6D9C"/>
    <w:rsid w:val="005E2335"/>
    <w:rsid w:val="005E34CA"/>
    <w:rsid w:val="005E3C18"/>
    <w:rsid w:val="005E6812"/>
    <w:rsid w:val="005E7881"/>
    <w:rsid w:val="005E78E0"/>
    <w:rsid w:val="005F0D9C"/>
    <w:rsid w:val="005F1D58"/>
    <w:rsid w:val="005F284E"/>
    <w:rsid w:val="005F4712"/>
    <w:rsid w:val="006015CE"/>
    <w:rsid w:val="00604784"/>
    <w:rsid w:val="00606419"/>
    <w:rsid w:val="00607879"/>
    <w:rsid w:val="00607D29"/>
    <w:rsid w:val="00612952"/>
    <w:rsid w:val="00613DAC"/>
    <w:rsid w:val="00614CC1"/>
    <w:rsid w:val="00615A9D"/>
    <w:rsid w:val="00617387"/>
    <w:rsid w:val="006205D6"/>
    <w:rsid w:val="006252D8"/>
    <w:rsid w:val="006259BC"/>
    <w:rsid w:val="0062636B"/>
    <w:rsid w:val="00630FCB"/>
    <w:rsid w:val="006312A1"/>
    <w:rsid w:val="00632182"/>
    <w:rsid w:val="00632AE0"/>
    <w:rsid w:val="00633C17"/>
    <w:rsid w:val="00634A7F"/>
    <w:rsid w:val="00634D9E"/>
    <w:rsid w:val="00636E3E"/>
    <w:rsid w:val="006379F7"/>
    <w:rsid w:val="00637E4D"/>
    <w:rsid w:val="00640620"/>
    <w:rsid w:val="006407D5"/>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623A"/>
    <w:rsid w:val="006770F4"/>
    <w:rsid w:val="00677A84"/>
    <w:rsid w:val="00677E24"/>
    <w:rsid w:val="0068026D"/>
    <w:rsid w:val="00680A27"/>
    <w:rsid w:val="006816A4"/>
    <w:rsid w:val="0068176F"/>
    <w:rsid w:val="006819B8"/>
    <w:rsid w:val="006840A6"/>
    <w:rsid w:val="006850CD"/>
    <w:rsid w:val="00685AAB"/>
    <w:rsid w:val="00692B67"/>
    <w:rsid w:val="006930D2"/>
    <w:rsid w:val="00695D22"/>
    <w:rsid w:val="00697F2B"/>
    <w:rsid w:val="006A07AA"/>
    <w:rsid w:val="006A25E5"/>
    <w:rsid w:val="006A2B46"/>
    <w:rsid w:val="006A336D"/>
    <w:rsid w:val="006A37B9"/>
    <w:rsid w:val="006B2672"/>
    <w:rsid w:val="006B54BF"/>
    <w:rsid w:val="006B5F44"/>
    <w:rsid w:val="006B5F90"/>
    <w:rsid w:val="006B62E4"/>
    <w:rsid w:val="006C0220"/>
    <w:rsid w:val="006C1BBA"/>
    <w:rsid w:val="006C2079"/>
    <w:rsid w:val="006C21A9"/>
    <w:rsid w:val="006C3324"/>
    <w:rsid w:val="006C5A62"/>
    <w:rsid w:val="006C5D68"/>
    <w:rsid w:val="006C6976"/>
    <w:rsid w:val="006C6C79"/>
    <w:rsid w:val="006C6DD0"/>
    <w:rsid w:val="006D04EA"/>
    <w:rsid w:val="006D0AB7"/>
    <w:rsid w:val="006D16C4"/>
    <w:rsid w:val="006D3E96"/>
    <w:rsid w:val="006D4515"/>
    <w:rsid w:val="006D4BB1"/>
    <w:rsid w:val="006D5456"/>
    <w:rsid w:val="006D6593"/>
    <w:rsid w:val="006D6FCA"/>
    <w:rsid w:val="006E1343"/>
    <w:rsid w:val="006E23EA"/>
    <w:rsid w:val="006E2D74"/>
    <w:rsid w:val="006E6AF2"/>
    <w:rsid w:val="006F03A8"/>
    <w:rsid w:val="006F2ACA"/>
    <w:rsid w:val="006F2ADC"/>
    <w:rsid w:val="006F2BFE"/>
    <w:rsid w:val="006F31E9"/>
    <w:rsid w:val="006F3325"/>
    <w:rsid w:val="006F6072"/>
    <w:rsid w:val="006F6284"/>
    <w:rsid w:val="006F7A53"/>
    <w:rsid w:val="007002C5"/>
    <w:rsid w:val="00704387"/>
    <w:rsid w:val="00707669"/>
    <w:rsid w:val="00711CBA"/>
    <w:rsid w:val="00711FB5"/>
    <w:rsid w:val="00712A01"/>
    <w:rsid w:val="00714F58"/>
    <w:rsid w:val="00722FBF"/>
    <w:rsid w:val="00722FC2"/>
    <w:rsid w:val="00723C09"/>
    <w:rsid w:val="00724879"/>
    <w:rsid w:val="00724E1B"/>
    <w:rsid w:val="00725949"/>
    <w:rsid w:val="007279A1"/>
    <w:rsid w:val="00727FA2"/>
    <w:rsid w:val="007322D9"/>
    <w:rsid w:val="00732BC0"/>
    <w:rsid w:val="00736EE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197"/>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8DC"/>
    <w:rsid w:val="00781DD2"/>
    <w:rsid w:val="00782859"/>
    <w:rsid w:val="00783ECF"/>
    <w:rsid w:val="0078413A"/>
    <w:rsid w:val="00791C31"/>
    <w:rsid w:val="00793AEA"/>
    <w:rsid w:val="007959E8"/>
    <w:rsid w:val="00795E9C"/>
    <w:rsid w:val="007A0521"/>
    <w:rsid w:val="007A2E12"/>
    <w:rsid w:val="007A3475"/>
    <w:rsid w:val="007A41C8"/>
    <w:rsid w:val="007A54CE"/>
    <w:rsid w:val="007A6FD9"/>
    <w:rsid w:val="007A728B"/>
    <w:rsid w:val="007A76C3"/>
    <w:rsid w:val="007A7FFA"/>
    <w:rsid w:val="007B04EB"/>
    <w:rsid w:val="007B0D4F"/>
    <w:rsid w:val="007B5A3D"/>
    <w:rsid w:val="007B5B95"/>
    <w:rsid w:val="007B68EA"/>
    <w:rsid w:val="007B7453"/>
    <w:rsid w:val="007C0231"/>
    <w:rsid w:val="007C1E8B"/>
    <w:rsid w:val="007C2D89"/>
    <w:rsid w:val="007C4593"/>
    <w:rsid w:val="007C5309"/>
    <w:rsid w:val="007C6069"/>
    <w:rsid w:val="007D06C4"/>
    <w:rsid w:val="007D1352"/>
    <w:rsid w:val="007D2508"/>
    <w:rsid w:val="007D346A"/>
    <w:rsid w:val="007D37BD"/>
    <w:rsid w:val="007D6518"/>
    <w:rsid w:val="007D76BD"/>
    <w:rsid w:val="007E0BF1"/>
    <w:rsid w:val="007E2353"/>
    <w:rsid w:val="007E7961"/>
    <w:rsid w:val="007F0ED8"/>
    <w:rsid w:val="007F0F63"/>
    <w:rsid w:val="007F42F3"/>
    <w:rsid w:val="007F6F4B"/>
    <w:rsid w:val="007F75CE"/>
    <w:rsid w:val="008013A4"/>
    <w:rsid w:val="00802122"/>
    <w:rsid w:val="008027CE"/>
    <w:rsid w:val="008028FC"/>
    <w:rsid w:val="00802F42"/>
    <w:rsid w:val="00804383"/>
    <w:rsid w:val="008044C5"/>
    <w:rsid w:val="00804BB7"/>
    <w:rsid w:val="00804D41"/>
    <w:rsid w:val="00810257"/>
    <w:rsid w:val="008104F5"/>
    <w:rsid w:val="00811072"/>
    <w:rsid w:val="00811369"/>
    <w:rsid w:val="00815419"/>
    <w:rsid w:val="008163C8"/>
    <w:rsid w:val="008164A1"/>
    <w:rsid w:val="00817325"/>
    <w:rsid w:val="008209E6"/>
    <w:rsid w:val="00823303"/>
    <w:rsid w:val="008233B2"/>
    <w:rsid w:val="00823841"/>
    <w:rsid w:val="00823A9F"/>
    <w:rsid w:val="00823C85"/>
    <w:rsid w:val="00825138"/>
    <w:rsid w:val="008269DD"/>
    <w:rsid w:val="00830621"/>
    <w:rsid w:val="008330F6"/>
    <w:rsid w:val="0083348C"/>
    <w:rsid w:val="008373D3"/>
    <w:rsid w:val="00837453"/>
    <w:rsid w:val="00840617"/>
    <w:rsid w:val="00840D1C"/>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224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DA2"/>
    <w:rsid w:val="008F0CDC"/>
    <w:rsid w:val="008F17A3"/>
    <w:rsid w:val="008F1ED3"/>
    <w:rsid w:val="008F23A5"/>
    <w:rsid w:val="008F4C29"/>
    <w:rsid w:val="008F57F3"/>
    <w:rsid w:val="008F70BD"/>
    <w:rsid w:val="008F788F"/>
    <w:rsid w:val="008F7EA2"/>
    <w:rsid w:val="00902722"/>
    <w:rsid w:val="009027BC"/>
    <w:rsid w:val="00904D22"/>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54C1C"/>
    <w:rsid w:val="009610DC"/>
    <w:rsid w:val="00961490"/>
    <w:rsid w:val="0096381A"/>
    <w:rsid w:val="00965E04"/>
    <w:rsid w:val="009674AD"/>
    <w:rsid w:val="00970012"/>
    <w:rsid w:val="00970CDC"/>
    <w:rsid w:val="0097102B"/>
    <w:rsid w:val="00977010"/>
    <w:rsid w:val="00977D02"/>
    <w:rsid w:val="009809BB"/>
    <w:rsid w:val="009809D4"/>
    <w:rsid w:val="0098364B"/>
    <w:rsid w:val="009911AF"/>
    <w:rsid w:val="00991875"/>
    <w:rsid w:val="00991F92"/>
    <w:rsid w:val="00992985"/>
    <w:rsid w:val="00993889"/>
    <w:rsid w:val="00994BFC"/>
    <w:rsid w:val="0099551B"/>
    <w:rsid w:val="00995568"/>
    <w:rsid w:val="00997BF1"/>
    <w:rsid w:val="009A089C"/>
    <w:rsid w:val="009A118E"/>
    <w:rsid w:val="009A21CD"/>
    <w:rsid w:val="009A278C"/>
    <w:rsid w:val="009A2BC2"/>
    <w:rsid w:val="009A2FFE"/>
    <w:rsid w:val="009A42C1"/>
    <w:rsid w:val="009A5429"/>
    <w:rsid w:val="009A72AD"/>
    <w:rsid w:val="009B09E0"/>
    <w:rsid w:val="009B0BC5"/>
    <w:rsid w:val="009B1247"/>
    <w:rsid w:val="009B46F9"/>
    <w:rsid w:val="009B6029"/>
    <w:rsid w:val="009B6971"/>
    <w:rsid w:val="009C01F4"/>
    <w:rsid w:val="009C2515"/>
    <w:rsid w:val="009C27F1"/>
    <w:rsid w:val="009C3152"/>
    <w:rsid w:val="009C4CFA"/>
    <w:rsid w:val="009C5070"/>
    <w:rsid w:val="009D112C"/>
    <w:rsid w:val="009D47FA"/>
    <w:rsid w:val="009D4C5B"/>
    <w:rsid w:val="009D50D2"/>
    <w:rsid w:val="009D6BCA"/>
    <w:rsid w:val="009E0F62"/>
    <w:rsid w:val="009E2EC5"/>
    <w:rsid w:val="009E4A58"/>
    <w:rsid w:val="009E5A2D"/>
    <w:rsid w:val="009E5AB2"/>
    <w:rsid w:val="009E6219"/>
    <w:rsid w:val="009F03B3"/>
    <w:rsid w:val="00A005C0"/>
    <w:rsid w:val="00A0096C"/>
    <w:rsid w:val="00A01757"/>
    <w:rsid w:val="00A01C19"/>
    <w:rsid w:val="00A028C0"/>
    <w:rsid w:val="00A02BAE"/>
    <w:rsid w:val="00A06A6B"/>
    <w:rsid w:val="00A07E47"/>
    <w:rsid w:val="00A129D0"/>
    <w:rsid w:val="00A12C33"/>
    <w:rsid w:val="00A138BA"/>
    <w:rsid w:val="00A14C8E"/>
    <w:rsid w:val="00A153D9"/>
    <w:rsid w:val="00A15F09"/>
    <w:rsid w:val="00A169B6"/>
    <w:rsid w:val="00A201B9"/>
    <w:rsid w:val="00A2271D"/>
    <w:rsid w:val="00A229A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933"/>
    <w:rsid w:val="00A51F21"/>
    <w:rsid w:val="00A55BD6"/>
    <w:rsid w:val="00A55D50"/>
    <w:rsid w:val="00A57142"/>
    <w:rsid w:val="00A62E53"/>
    <w:rsid w:val="00A648CD"/>
    <w:rsid w:val="00A6537A"/>
    <w:rsid w:val="00A67866"/>
    <w:rsid w:val="00A70B07"/>
    <w:rsid w:val="00A723F8"/>
    <w:rsid w:val="00A77CCB"/>
    <w:rsid w:val="00A8171F"/>
    <w:rsid w:val="00A83D8D"/>
    <w:rsid w:val="00A8446B"/>
    <w:rsid w:val="00A8473F"/>
    <w:rsid w:val="00A862D6"/>
    <w:rsid w:val="00A8715E"/>
    <w:rsid w:val="00A9295B"/>
    <w:rsid w:val="00A93B09"/>
    <w:rsid w:val="00A94247"/>
    <w:rsid w:val="00A952D7"/>
    <w:rsid w:val="00A963F7"/>
    <w:rsid w:val="00A96AD8"/>
    <w:rsid w:val="00AA052C"/>
    <w:rsid w:val="00AA1E45"/>
    <w:rsid w:val="00AA2B00"/>
    <w:rsid w:val="00AA4286"/>
    <w:rsid w:val="00AA456B"/>
    <w:rsid w:val="00AA57F5"/>
    <w:rsid w:val="00AA672E"/>
    <w:rsid w:val="00AA6EC9"/>
    <w:rsid w:val="00AB41D5"/>
    <w:rsid w:val="00AB6309"/>
    <w:rsid w:val="00AB6BD8"/>
    <w:rsid w:val="00AB6C5F"/>
    <w:rsid w:val="00AB7129"/>
    <w:rsid w:val="00AC15C7"/>
    <w:rsid w:val="00AC27A6"/>
    <w:rsid w:val="00AC30F7"/>
    <w:rsid w:val="00AC3A5A"/>
    <w:rsid w:val="00AC4D95"/>
    <w:rsid w:val="00AC5DF4"/>
    <w:rsid w:val="00AD0AEF"/>
    <w:rsid w:val="00AD11B7"/>
    <w:rsid w:val="00AD1A94"/>
    <w:rsid w:val="00AD1C05"/>
    <w:rsid w:val="00AD2D83"/>
    <w:rsid w:val="00AD4126"/>
    <w:rsid w:val="00AD421C"/>
    <w:rsid w:val="00AD44FA"/>
    <w:rsid w:val="00AE070A"/>
    <w:rsid w:val="00AE101C"/>
    <w:rsid w:val="00AE37E5"/>
    <w:rsid w:val="00AE4BDE"/>
    <w:rsid w:val="00AE5EB4"/>
    <w:rsid w:val="00AF0C18"/>
    <w:rsid w:val="00AF47C5"/>
    <w:rsid w:val="00AF5398"/>
    <w:rsid w:val="00B017AE"/>
    <w:rsid w:val="00B040D8"/>
    <w:rsid w:val="00B049AF"/>
    <w:rsid w:val="00B07242"/>
    <w:rsid w:val="00B10534"/>
    <w:rsid w:val="00B113DB"/>
    <w:rsid w:val="00B11D8A"/>
    <w:rsid w:val="00B12981"/>
    <w:rsid w:val="00B147DD"/>
    <w:rsid w:val="00B156FD"/>
    <w:rsid w:val="00B16D79"/>
    <w:rsid w:val="00B21F61"/>
    <w:rsid w:val="00B261F1"/>
    <w:rsid w:val="00B265BC"/>
    <w:rsid w:val="00B274A0"/>
    <w:rsid w:val="00B31FB1"/>
    <w:rsid w:val="00B33952"/>
    <w:rsid w:val="00B33C5E"/>
    <w:rsid w:val="00B342F4"/>
    <w:rsid w:val="00B34369"/>
    <w:rsid w:val="00B34DC2"/>
    <w:rsid w:val="00B36761"/>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291"/>
    <w:rsid w:val="00B758BF"/>
    <w:rsid w:val="00B77EC8"/>
    <w:rsid w:val="00B827A6"/>
    <w:rsid w:val="00B82C3C"/>
    <w:rsid w:val="00B831CE"/>
    <w:rsid w:val="00B841F4"/>
    <w:rsid w:val="00B86677"/>
    <w:rsid w:val="00B87131"/>
    <w:rsid w:val="00B939B1"/>
    <w:rsid w:val="00B96D40"/>
    <w:rsid w:val="00B97386"/>
    <w:rsid w:val="00BA263B"/>
    <w:rsid w:val="00BA42B2"/>
    <w:rsid w:val="00BA58D4"/>
    <w:rsid w:val="00BA5B9E"/>
    <w:rsid w:val="00BA7C9A"/>
    <w:rsid w:val="00BB203B"/>
    <w:rsid w:val="00BB5F8F"/>
    <w:rsid w:val="00BB657A"/>
    <w:rsid w:val="00BB7021"/>
    <w:rsid w:val="00BC0553"/>
    <w:rsid w:val="00BC1A4E"/>
    <w:rsid w:val="00BC4790"/>
    <w:rsid w:val="00BC5DC7"/>
    <w:rsid w:val="00BC6B8B"/>
    <w:rsid w:val="00BC73D8"/>
    <w:rsid w:val="00BD0685"/>
    <w:rsid w:val="00BD1C1E"/>
    <w:rsid w:val="00BD52D7"/>
    <w:rsid w:val="00BD5AD2"/>
    <w:rsid w:val="00BD6984"/>
    <w:rsid w:val="00BE22F3"/>
    <w:rsid w:val="00BE5B52"/>
    <w:rsid w:val="00BE7B8D"/>
    <w:rsid w:val="00BF0993"/>
    <w:rsid w:val="00BF10A9"/>
    <w:rsid w:val="00BF1703"/>
    <w:rsid w:val="00BF231C"/>
    <w:rsid w:val="00BF3A07"/>
    <w:rsid w:val="00BF3B66"/>
    <w:rsid w:val="00BF51E5"/>
    <w:rsid w:val="00BF74A6"/>
    <w:rsid w:val="00C013AD"/>
    <w:rsid w:val="00C04904"/>
    <w:rsid w:val="00C056B3"/>
    <w:rsid w:val="00C05B21"/>
    <w:rsid w:val="00C067DC"/>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4AA"/>
    <w:rsid w:val="00C507A5"/>
    <w:rsid w:val="00C521D6"/>
    <w:rsid w:val="00C54F49"/>
    <w:rsid w:val="00C55232"/>
    <w:rsid w:val="00C553A4"/>
    <w:rsid w:val="00C55A06"/>
    <w:rsid w:val="00C55D03"/>
    <w:rsid w:val="00C601BC"/>
    <w:rsid w:val="00C6329F"/>
    <w:rsid w:val="00C63340"/>
    <w:rsid w:val="00C643F9"/>
    <w:rsid w:val="00C64E95"/>
    <w:rsid w:val="00C66DE2"/>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1BFB"/>
    <w:rsid w:val="00CA2D1B"/>
    <w:rsid w:val="00CA375D"/>
    <w:rsid w:val="00CA47AB"/>
    <w:rsid w:val="00CA662A"/>
    <w:rsid w:val="00CA7AFD"/>
    <w:rsid w:val="00CA7C3C"/>
    <w:rsid w:val="00CB0189"/>
    <w:rsid w:val="00CB0BA2"/>
    <w:rsid w:val="00CB1A42"/>
    <w:rsid w:val="00CB1B0C"/>
    <w:rsid w:val="00CB2C0B"/>
    <w:rsid w:val="00CB517D"/>
    <w:rsid w:val="00CC038D"/>
    <w:rsid w:val="00CC08DB"/>
    <w:rsid w:val="00CC2E45"/>
    <w:rsid w:val="00CC39FF"/>
    <w:rsid w:val="00CC3C2F"/>
    <w:rsid w:val="00CC3C7D"/>
    <w:rsid w:val="00CC4AC8"/>
    <w:rsid w:val="00CC5233"/>
    <w:rsid w:val="00CC5DE6"/>
    <w:rsid w:val="00CC6E4E"/>
    <w:rsid w:val="00CC6FE8"/>
    <w:rsid w:val="00CC7202"/>
    <w:rsid w:val="00CD2808"/>
    <w:rsid w:val="00CD28BF"/>
    <w:rsid w:val="00CD2D70"/>
    <w:rsid w:val="00CD4092"/>
    <w:rsid w:val="00CD4A20"/>
    <w:rsid w:val="00CD50A1"/>
    <w:rsid w:val="00CD519E"/>
    <w:rsid w:val="00CD561D"/>
    <w:rsid w:val="00CE0C4F"/>
    <w:rsid w:val="00CE30EA"/>
    <w:rsid w:val="00CE4079"/>
    <w:rsid w:val="00CF048A"/>
    <w:rsid w:val="00CF155A"/>
    <w:rsid w:val="00CF2947"/>
    <w:rsid w:val="00CF686F"/>
    <w:rsid w:val="00CF6A40"/>
    <w:rsid w:val="00CF6E60"/>
    <w:rsid w:val="00CF7BCA"/>
    <w:rsid w:val="00D008FD"/>
    <w:rsid w:val="00D021A5"/>
    <w:rsid w:val="00D0321C"/>
    <w:rsid w:val="00D035EC"/>
    <w:rsid w:val="00D06AB1"/>
    <w:rsid w:val="00D072ED"/>
    <w:rsid w:val="00D07A16"/>
    <w:rsid w:val="00D1067E"/>
    <w:rsid w:val="00D10F50"/>
    <w:rsid w:val="00D11272"/>
    <w:rsid w:val="00D126F5"/>
    <w:rsid w:val="00D1489E"/>
    <w:rsid w:val="00D20737"/>
    <w:rsid w:val="00D21E81"/>
    <w:rsid w:val="00D223DE"/>
    <w:rsid w:val="00D24305"/>
    <w:rsid w:val="00D25E37"/>
    <w:rsid w:val="00D2661A"/>
    <w:rsid w:val="00D27582"/>
    <w:rsid w:val="00D27EC4"/>
    <w:rsid w:val="00D32231"/>
    <w:rsid w:val="00D32719"/>
    <w:rsid w:val="00D33333"/>
    <w:rsid w:val="00D33457"/>
    <w:rsid w:val="00D352A2"/>
    <w:rsid w:val="00D4162B"/>
    <w:rsid w:val="00D4514F"/>
    <w:rsid w:val="00D451E2"/>
    <w:rsid w:val="00D45E89"/>
    <w:rsid w:val="00D45E8D"/>
    <w:rsid w:val="00D466AE"/>
    <w:rsid w:val="00D4734F"/>
    <w:rsid w:val="00D51BF3"/>
    <w:rsid w:val="00D62F80"/>
    <w:rsid w:val="00D66846"/>
    <w:rsid w:val="00D675FB"/>
    <w:rsid w:val="00D71F25"/>
    <w:rsid w:val="00D72A9C"/>
    <w:rsid w:val="00D75224"/>
    <w:rsid w:val="00D77031"/>
    <w:rsid w:val="00D84941"/>
    <w:rsid w:val="00D84FA1"/>
    <w:rsid w:val="00D851F0"/>
    <w:rsid w:val="00D86DB7"/>
    <w:rsid w:val="00D90B0C"/>
    <w:rsid w:val="00D926D0"/>
    <w:rsid w:val="00D93030"/>
    <w:rsid w:val="00D950E1"/>
    <w:rsid w:val="00D952A6"/>
    <w:rsid w:val="00D97F99"/>
    <w:rsid w:val="00DA1E08"/>
    <w:rsid w:val="00DA24F8"/>
    <w:rsid w:val="00DA28E8"/>
    <w:rsid w:val="00DA38D3"/>
    <w:rsid w:val="00DA3932"/>
    <w:rsid w:val="00DA3AFC"/>
    <w:rsid w:val="00DA3EC7"/>
    <w:rsid w:val="00DA5191"/>
    <w:rsid w:val="00DA64F8"/>
    <w:rsid w:val="00DA6C15"/>
    <w:rsid w:val="00DB0258"/>
    <w:rsid w:val="00DB04C7"/>
    <w:rsid w:val="00DB38EE"/>
    <w:rsid w:val="00DB498B"/>
    <w:rsid w:val="00DB66CA"/>
    <w:rsid w:val="00DB6BCA"/>
    <w:rsid w:val="00DB73F7"/>
    <w:rsid w:val="00DC0321"/>
    <w:rsid w:val="00DC1695"/>
    <w:rsid w:val="00DC3067"/>
    <w:rsid w:val="00DC370B"/>
    <w:rsid w:val="00DC52B0"/>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1E59"/>
    <w:rsid w:val="00E12495"/>
    <w:rsid w:val="00E15976"/>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56CB1"/>
    <w:rsid w:val="00E56CDA"/>
    <w:rsid w:val="00E60C63"/>
    <w:rsid w:val="00E62FF9"/>
    <w:rsid w:val="00E635D6"/>
    <w:rsid w:val="00E639BC"/>
    <w:rsid w:val="00E6605B"/>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14D"/>
    <w:rsid w:val="00E94AF0"/>
    <w:rsid w:val="00E95D13"/>
    <w:rsid w:val="00E95DD3"/>
    <w:rsid w:val="00E969D5"/>
    <w:rsid w:val="00EA228C"/>
    <w:rsid w:val="00EA58D1"/>
    <w:rsid w:val="00EA61BC"/>
    <w:rsid w:val="00EA681A"/>
    <w:rsid w:val="00EA735B"/>
    <w:rsid w:val="00EB17DE"/>
    <w:rsid w:val="00EB1E69"/>
    <w:rsid w:val="00EB2086"/>
    <w:rsid w:val="00EB5EDF"/>
    <w:rsid w:val="00EB60FE"/>
    <w:rsid w:val="00EB74DB"/>
    <w:rsid w:val="00EC39C4"/>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2E5C"/>
    <w:rsid w:val="00F06D37"/>
    <w:rsid w:val="00F07B9D"/>
    <w:rsid w:val="00F11586"/>
    <w:rsid w:val="00F1183B"/>
    <w:rsid w:val="00F11C9F"/>
    <w:rsid w:val="00F12263"/>
    <w:rsid w:val="00F1409D"/>
    <w:rsid w:val="00F14214"/>
    <w:rsid w:val="00F14898"/>
    <w:rsid w:val="00F157A9"/>
    <w:rsid w:val="00F213E9"/>
    <w:rsid w:val="00F21D03"/>
    <w:rsid w:val="00F25BB6"/>
    <w:rsid w:val="00F26B7E"/>
    <w:rsid w:val="00F27A3B"/>
    <w:rsid w:val="00F31827"/>
    <w:rsid w:val="00F33817"/>
    <w:rsid w:val="00F3719D"/>
    <w:rsid w:val="00F420D5"/>
    <w:rsid w:val="00F451EA"/>
    <w:rsid w:val="00F45447"/>
    <w:rsid w:val="00F456C6"/>
    <w:rsid w:val="00F45747"/>
    <w:rsid w:val="00F4577B"/>
    <w:rsid w:val="00F46496"/>
    <w:rsid w:val="00F46726"/>
    <w:rsid w:val="00F474D0"/>
    <w:rsid w:val="00F50179"/>
    <w:rsid w:val="00F515EE"/>
    <w:rsid w:val="00F56511"/>
    <w:rsid w:val="00F56E0F"/>
    <w:rsid w:val="00F6061A"/>
    <w:rsid w:val="00F61158"/>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97F0F"/>
    <w:rsid w:val="00FA3419"/>
    <w:rsid w:val="00FA4DAC"/>
    <w:rsid w:val="00FA662D"/>
    <w:rsid w:val="00FA73B1"/>
    <w:rsid w:val="00FB0CB9"/>
    <w:rsid w:val="00FB231D"/>
    <w:rsid w:val="00FB45F1"/>
    <w:rsid w:val="00FB4A72"/>
    <w:rsid w:val="00FB4BA2"/>
    <w:rsid w:val="00FB54E8"/>
    <w:rsid w:val="00FB5A65"/>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AD4"/>
    <w:rsid w:val="00FF22CD"/>
    <w:rsid w:val="00FF3E7D"/>
    <w:rsid w:val="00FF5B99"/>
    <w:rsid w:val="00FF730C"/>
    <w:rsid w:val="00FF73F4"/>
    <w:rsid w:val="00FF7CE4"/>
    <w:rsid w:val="00FF7E39"/>
    <w:rsid w:val="011B6775"/>
    <w:rsid w:val="04220B59"/>
    <w:rsid w:val="05987E0D"/>
    <w:rsid w:val="0B196DD0"/>
    <w:rsid w:val="0B8F7361"/>
    <w:rsid w:val="0BAD56C9"/>
    <w:rsid w:val="0CDC1D3A"/>
    <w:rsid w:val="0D9F44AC"/>
    <w:rsid w:val="100F061C"/>
    <w:rsid w:val="10806BEC"/>
    <w:rsid w:val="11561326"/>
    <w:rsid w:val="12865C3B"/>
    <w:rsid w:val="14800674"/>
    <w:rsid w:val="14F52C96"/>
    <w:rsid w:val="162F2CCE"/>
    <w:rsid w:val="168C5F4E"/>
    <w:rsid w:val="16B6163D"/>
    <w:rsid w:val="16F15B9C"/>
    <w:rsid w:val="17AE1236"/>
    <w:rsid w:val="184844E0"/>
    <w:rsid w:val="18B66D38"/>
    <w:rsid w:val="19577FF7"/>
    <w:rsid w:val="1980199F"/>
    <w:rsid w:val="19D111B1"/>
    <w:rsid w:val="1D623A17"/>
    <w:rsid w:val="1E5E7A6C"/>
    <w:rsid w:val="1EE63545"/>
    <w:rsid w:val="1FEF64C6"/>
    <w:rsid w:val="22AF3569"/>
    <w:rsid w:val="23181F8D"/>
    <w:rsid w:val="24246C3C"/>
    <w:rsid w:val="24F206B2"/>
    <w:rsid w:val="27363334"/>
    <w:rsid w:val="29FF5F74"/>
    <w:rsid w:val="2B9D62DC"/>
    <w:rsid w:val="2BFB70E5"/>
    <w:rsid w:val="2C7508E6"/>
    <w:rsid w:val="2CAF0B48"/>
    <w:rsid w:val="2CBF64F6"/>
    <w:rsid w:val="2DD03901"/>
    <w:rsid w:val="2FD00159"/>
    <w:rsid w:val="307A202A"/>
    <w:rsid w:val="327A0EC0"/>
    <w:rsid w:val="331E45F4"/>
    <w:rsid w:val="33290057"/>
    <w:rsid w:val="35AA5BC7"/>
    <w:rsid w:val="36030C20"/>
    <w:rsid w:val="366949DD"/>
    <w:rsid w:val="37115EB0"/>
    <w:rsid w:val="379C0390"/>
    <w:rsid w:val="39D5037C"/>
    <w:rsid w:val="39DA2245"/>
    <w:rsid w:val="3CAC2C23"/>
    <w:rsid w:val="3FC46C09"/>
    <w:rsid w:val="407D25A4"/>
    <w:rsid w:val="46B04629"/>
    <w:rsid w:val="471B145C"/>
    <w:rsid w:val="47FE751D"/>
    <w:rsid w:val="489457FA"/>
    <w:rsid w:val="49CD3708"/>
    <w:rsid w:val="4AA430A4"/>
    <w:rsid w:val="4BA95F46"/>
    <w:rsid w:val="4D56016E"/>
    <w:rsid w:val="50535A66"/>
    <w:rsid w:val="51180758"/>
    <w:rsid w:val="52CD090C"/>
    <w:rsid w:val="52E47178"/>
    <w:rsid w:val="53270B92"/>
    <w:rsid w:val="5725659E"/>
    <w:rsid w:val="584C2636"/>
    <w:rsid w:val="5BA06D79"/>
    <w:rsid w:val="5BDC01FB"/>
    <w:rsid w:val="5FCE7C71"/>
    <w:rsid w:val="5FEF10BD"/>
    <w:rsid w:val="60B77282"/>
    <w:rsid w:val="60FE2E4D"/>
    <w:rsid w:val="617A7EBC"/>
    <w:rsid w:val="624047BE"/>
    <w:rsid w:val="62972B7B"/>
    <w:rsid w:val="646C67E1"/>
    <w:rsid w:val="648107E2"/>
    <w:rsid w:val="67CA5CF8"/>
    <w:rsid w:val="6A3809B4"/>
    <w:rsid w:val="6CA36239"/>
    <w:rsid w:val="6D5C547F"/>
    <w:rsid w:val="6E061295"/>
    <w:rsid w:val="6FD058B3"/>
    <w:rsid w:val="71934DC7"/>
    <w:rsid w:val="722C2936"/>
    <w:rsid w:val="79AD442C"/>
    <w:rsid w:val="7B0E06F2"/>
    <w:rsid w:val="7CA852AF"/>
    <w:rsid w:val="7E5F490A"/>
    <w:rsid w:val="7F0F42EC"/>
    <w:rsid w:val="7F7D2A23"/>
    <w:rsid w:val="EAEE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7"/>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8"/>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71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ind w:left="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tabs>
        <w:tab w:val="left" w:pos="851"/>
      </w:tabs>
      <w:jc w:val="both"/>
    </w:pPr>
    <w:rPr>
      <w:rFonts w:ascii="宋体" w:hAnsi="宋体"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标题 3 Char"/>
    <w:qFormat/>
    <w:uiPriority w:val="9"/>
    <w:rPr>
      <w:rFonts w:ascii="Times New Roman" w:hAnsi="Times New Roman" w:eastAsia="黑体"/>
      <w:b/>
      <w:bCs/>
      <w:kern w:val="2"/>
      <w:sz w:val="24"/>
      <w:szCs w:val="32"/>
    </w:rPr>
  </w:style>
  <w:style w:type="paragraph" w:styleId="234">
    <w:name w:val="List Paragraph"/>
    <w:basedOn w:val="1"/>
    <w:link w:val="235"/>
    <w:qFormat/>
    <w:uiPriority w:val="34"/>
    <w:pPr>
      <w:adjustRightInd/>
      <w:spacing w:line="360" w:lineRule="auto"/>
      <w:ind w:firstLine="420" w:firstLineChars="200"/>
    </w:pPr>
    <w:rPr>
      <w:rFonts w:ascii="Times New Roman" w:hAnsi="Times New Roman" w:cstheme="minorBidi"/>
      <w:sz w:val="24"/>
      <w:szCs w:val="22"/>
    </w:rPr>
  </w:style>
  <w:style w:type="character" w:customStyle="1" w:styleId="235">
    <w:name w:val="列表段落 字符"/>
    <w:basedOn w:val="30"/>
    <w:link w:val="234"/>
    <w:qFormat/>
    <w:uiPriority w:val="34"/>
    <w:rPr>
      <w:rFonts w:ascii="Times New Roman" w:hAnsi="Times New Roman" w:cstheme="minorBidi"/>
      <w:kern w:val="2"/>
      <w:sz w:val="24"/>
      <w:szCs w:val="22"/>
    </w:rPr>
  </w:style>
  <w:style w:type="paragraph" w:customStyle="1" w:styleId="236">
    <w:name w:val="修订1"/>
    <w:hidden/>
    <w:semiHidden/>
    <w:qFormat/>
    <w:uiPriority w:val="99"/>
    <w:rPr>
      <w:rFonts w:ascii="Calibri" w:hAnsi="Calibri" w:eastAsia="宋体" w:cs="Times New Roman"/>
      <w:kern w:val="2"/>
      <w:sz w:val="21"/>
      <w:szCs w:val="21"/>
      <w:lang w:val="en-US" w:eastAsia="zh-CN" w:bidi="ar-SA"/>
    </w:rPr>
  </w:style>
  <w:style w:type="character" w:customStyle="1" w:styleId="237">
    <w:name w:val="批注文字 字符"/>
    <w:basedOn w:val="30"/>
    <w:link w:val="13"/>
    <w:qFormat/>
    <w:uiPriority w:val="99"/>
    <w:rPr>
      <w:kern w:val="2"/>
      <w:sz w:val="21"/>
      <w:szCs w:val="21"/>
    </w:rPr>
  </w:style>
  <w:style w:type="character" w:customStyle="1" w:styleId="238">
    <w:name w:val="批注主题 字符"/>
    <w:basedOn w:val="237"/>
    <w:link w:val="27"/>
    <w:semiHidden/>
    <w:qFormat/>
    <w:uiPriority w:val="99"/>
    <w:rPr>
      <w:b/>
      <w:bCs/>
      <w:kern w:val="2"/>
      <w:sz w:val="21"/>
      <w:szCs w:val="21"/>
    </w:rPr>
  </w:style>
  <w:style w:type="paragraph" w:customStyle="1" w:styleId="239">
    <w:name w:val="修订2"/>
    <w:hidden/>
    <w:semiHidden/>
    <w:qFormat/>
    <w:uiPriority w:val="99"/>
    <w:rPr>
      <w:rFonts w:ascii="Calibri" w:hAnsi="Calibri" w:eastAsia="宋体" w:cs="Times New Roman"/>
      <w:kern w:val="2"/>
      <w:sz w:val="21"/>
      <w:szCs w:val="21"/>
      <w:lang w:val="en-US" w:eastAsia="zh-CN" w:bidi="ar-SA"/>
    </w:rPr>
  </w:style>
  <w:style w:type="paragraph" w:customStyle="1" w:styleId="240">
    <w:name w:val="修订3"/>
    <w:hidden/>
    <w:semiHidden/>
    <w:qFormat/>
    <w:uiPriority w:val="99"/>
    <w:rPr>
      <w:rFonts w:ascii="Calibri" w:hAnsi="Calibri" w:eastAsia="宋体" w:cs="Times New Roman"/>
      <w:kern w:val="2"/>
      <w:sz w:val="21"/>
      <w:szCs w:val="21"/>
      <w:lang w:val="en-US" w:eastAsia="zh-CN" w:bidi="ar-SA"/>
    </w:rPr>
  </w:style>
  <w:style w:type="paragraph" w:customStyle="1" w:styleId="241">
    <w:name w:val="字母编号列项（一级）"/>
    <w:basedOn w:val="1"/>
    <w:qFormat/>
    <w:uiPriority w:val="0"/>
    <w:pPr>
      <w:widowControl/>
      <w:adjustRightInd/>
      <w:spacing w:before="100" w:beforeAutospacing="1" w:after="100" w:afterAutospacing="1" w:line="240" w:lineRule="auto"/>
      <w:ind w:left="839" w:hanging="419"/>
    </w:pPr>
    <w:rPr>
      <w:rFonts w:ascii="宋体" w:hAnsi="宋体" w:cs="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2A9AA42FBFD485FB17C20A3864B194D"/>
        <w:style w:val=""/>
        <w:category>
          <w:name w:val="常规"/>
          <w:gallery w:val="placeholder"/>
        </w:category>
        <w:types>
          <w:type w:val="bbPlcHdr"/>
        </w:types>
        <w:behaviors>
          <w:behavior w:val="content"/>
        </w:behaviors>
        <w:description w:val=""/>
        <w:guid w:val="{A8847742-1DA2-4713-B9AC-D6A30274D0F0}"/>
      </w:docPartPr>
      <w:docPartBody>
        <w:p w14:paraId="226F9715">
          <w:pPr>
            <w:pStyle w:val="5"/>
            <w:rPr>
              <w:rFonts w:hint="eastAsia"/>
            </w:rPr>
          </w:pPr>
          <w:r>
            <w:rPr>
              <w:rStyle w:val="4"/>
              <w:rFonts w:hint="eastAsia"/>
            </w:rPr>
            <w:t>单击或点击此处输入文字。</w:t>
          </w:r>
        </w:p>
      </w:docPartBody>
    </w:docPart>
    <w:docPart>
      <w:docPartPr>
        <w:name w:val="97B401609DCD471F94E4039CD336E1A8"/>
        <w:style w:val=""/>
        <w:category>
          <w:name w:val="常规"/>
          <w:gallery w:val="placeholder"/>
        </w:category>
        <w:types>
          <w:type w:val="bbPlcHdr"/>
        </w:types>
        <w:behaviors>
          <w:behavior w:val="content"/>
        </w:behaviors>
        <w:description w:val=""/>
        <w:guid w:val="{A71ABB9C-D6B4-45F0-9A4D-EF2C1FB45ED8}"/>
      </w:docPartPr>
      <w:docPartBody>
        <w:p w14:paraId="3717262D">
          <w:pPr>
            <w:pStyle w:val="6"/>
            <w:rPr>
              <w:rFonts w:hint="eastAsia"/>
            </w:rPr>
          </w:pPr>
          <w:r>
            <w:rPr>
              <w:rStyle w:val="4"/>
              <w:rFonts w:hint="eastAsia"/>
            </w:rPr>
            <w:t>选择一项。</w:t>
          </w:r>
        </w:p>
      </w:docPartBody>
    </w:docPart>
    <w:docPart>
      <w:docPartPr>
        <w:name w:val="753FF243419843BAB48069D6E9C69448"/>
        <w:style w:val=""/>
        <w:category>
          <w:name w:val="常规"/>
          <w:gallery w:val="placeholder"/>
        </w:category>
        <w:types>
          <w:type w:val="bbPlcHdr"/>
        </w:types>
        <w:behaviors>
          <w:behavior w:val="content"/>
        </w:behaviors>
        <w:description w:val=""/>
        <w:guid w:val="{BD30FDD4-5ACC-44E3-A1BA-6FB774943C6B}"/>
      </w:docPartPr>
      <w:docPartBody>
        <w:p w14:paraId="32A7C512">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BB2"/>
    <w:rsid w:val="000C2484"/>
    <w:rsid w:val="0018552B"/>
    <w:rsid w:val="0019766E"/>
    <w:rsid w:val="001A7D8B"/>
    <w:rsid w:val="00203722"/>
    <w:rsid w:val="00225A4A"/>
    <w:rsid w:val="00272319"/>
    <w:rsid w:val="002F6ADF"/>
    <w:rsid w:val="00326626"/>
    <w:rsid w:val="003838D8"/>
    <w:rsid w:val="00414A1F"/>
    <w:rsid w:val="0048607A"/>
    <w:rsid w:val="004F51D4"/>
    <w:rsid w:val="005402CA"/>
    <w:rsid w:val="005C6BB2"/>
    <w:rsid w:val="005D3372"/>
    <w:rsid w:val="005E5591"/>
    <w:rsid w:val="005E631E"/>
    <w:rsid w:val="00612284"/>
    <w:rsid w:val="00664C46"/>
    <w:rsid w:val="00665053"/>
    <w:rsid w:val="0069468C"/>
    <w:rsid w:val="006E0203"/>
    <w:rsid w:val="006E08D2"/>
    <w:rsid w:val="00705DF4"/>
    <w:rsid w:val="007E2353"/>
    <w:rsid w:val="008149F9"/>
    <w:rsid w:val="00822A25"/>
    <w:rsid w:val="008C0DD2"/>
    <w:rsid w:val="00937120"/>
    <w:rsid w:val="0094523E"/>
    <w:rsid w:val="00AA3B0A"/>
    <w:rsid w:val="00AD54BD"/>
    <w:rsid w:val="00B16C18"/>
    <w:rsid w:val="00B215F9"/>
    <w:rsid w:val="00B443B4"/>
    <w:rsid w:val="00B642E8"/>
    <w:rsid w:val="00B77EC1"/>
    <w:rsid w:val="00BA380B"/>
    <w:rsid w:val="00BD0685"/>
    <w:rsid w:val="00C21E78"/>
    <w:rsid w:val="00C7269F"/>
    <w:rsid w:val="00CC2EEC"/>
    <w:rsid w:val="00CD048D"/>
    <w:rsid w:val="00D021A5"/>
    <w:rsid w:val="00D210B6"/>
    <w:rsid w:val="00D42C91"/>
    <w:rsid w:val="00E0151B"/>
    <w:rsid w:val="00ED52D6"/>
    <w:rsid w:val="00F06213"/>
    <w:rsid w:val="00F10567"/>
    <w:rsid w:val="00F50FD2"/>
    <w:rsid w:val="00F97A50"/>
    <w:rsid w:val="00FF7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2A9AA42FBFD485FB17C20A3864B19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7B401609DCD471F94E4039CD336E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53FF243419843BAB48069D6E9C6944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25</Pages>
  <Words>6737</Words>
  <Characters>7659</Characters>
  <Lines>182</Lines>
  <Paragraphs>51</Paragraphs>
  <TotalTime>5067</TotalTime>
  <ScaleCrop>false</ScaleCrop>
  <LinksUpToDate>false</LinksUpToDate>
  <CharactersWithSpaces>7887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2023-09-28T14:19:00Z</dcterms:created>
  <dc:creator>Administrator</dc:creator>
  <dc:description>&lt;config cover="true" show_menu="true" version="1.0.0" doctype="SDKXY"&gt;_x000d_
&lt;/config&gt;</dc:description>
  <cp:lastModifiedBy>lenovo</cp:lastModifiedBy>
  <cp:lastPrinted>2024-09-04T09:31:00Z</cp:lastPrinted>
  <dcterms:modified xsi:type="dcterms:W3CDTF">2024-10-29T09:15:10Z</dcterms:modified>
  <dc:title>地方标准</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2052-12.1.0.18608</vt:lpwstr>
  </property>
  <property fmtid="{D5CDD505-2E9C-101B-9397-08002B2CF9AE}" pid="15" name="ICV">
    <vt:lpwstr>357DF91225CA4F06A232684958DF793C</vt:lpwstr>
  </property>
</Properties>
</file>