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7920" w:id="474184027"/>
        </w:rPr>
        <w:t>湖北省住建行业从业人员培训机构管理办</w:t>
      </w:r>
      <w:r>
        <w:rPr>
          <w:rFonts w:hint="eastAsia" w:ascii="方正小标宋简体" w:hAnsi="方正小标宋简体" w:eastAsia="方正小标宋简体" w:cs="方正小标宋简体"/>
          <w:spacing w:val="23"/>
          <w:w w:val="94"/>
          <w:kern w:val="0"/>
          <w:sz w:val="44"/>
          <w:szCs w:val="44"/>
          <w:fitText w:val="7920" w:id="474184027"/>
        </w:rPr>
        <w:t>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为全面规范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湖北省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住建行业从业人员教育培训管理工作，加强对培训机构的管理，促进培训市场健康发展，依据国家和本省有关规定，结合实际，制定本办法。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本办法所指的培训机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构包括在本省内具备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相关资质的建筑企业、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职业院校（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技师学院、技工院校）及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培训机构等，经市州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管理部门遴选认定，省住建厅备案，面向社会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施工现场专业人员、建筑工人培训考核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本办法适用于培训机构的遴选认定和监督管理工作，法律法规另有规定的除外。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培训机构管理工作遵循“省级统筹、属地管理”的原则。厅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全省培训机构管理工作的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统筹规划、监督指导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和审查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公布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省城乡建设发展中心在省厅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的指导下，负责全省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zh-CN"/>
        </w:rPr>
        <w:t>培训机构的备案，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承担具体协调和日常管理等职责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eastAsia="仿宋_GB2312"/>
          <w:bCs/>
          <w:color w:val="auto"/>
          <w:kern w:val="0"/>
          <w:sz w:val="32"/>
          <w:szCs w:val="32"/>
        </w:rPr>
        <w:t>各市州</w:t>
      </w:r>
      <w:r>
        <w:rPr>
          <w:rFonts w:hint="eastAsia" w:eastAsia="仿宋_GB2312"/>
          <w:bCs/>
          <w:strike w:val="0"/>
          <w:dstrike w:val="0"/>
          <w:color w:val="auto"/>
          <w:kern w:val="0"/>
          <w:sz w:val="32"/>
          <w:szCs w:val="32"/>
          <w:lang w:eastAsia="zh-CN"/>
        </w:rPr>
        <w:t>行业管理部门</w:t>
      </w:r>
      <w:r>
        <w:rPr>
          <w:rFonts w:hint="eastAsia" w:eastAsia="仿宋_GB2312"/>
          <w:bCs/>
          <w:color w:val="auto"/>
          <w:kern w:val="0"/>
          <w:sz w:val="32"/>
          <w:szCs w:val="32"/>
        </w:rPr>
        <w:t>负责本地区培训机构的申报受理、遴选</w:t>
      </w:r>
      <w:r>
        <w:rPr>
          <w:rFonts w:hint="eastAsia" w:eastAsia="仿宋_GB2312"/>
          <w:bCs/>
          <w:strike w:val="0"/>
          <w:dstrike w:val="0"/>
          <w:color w:val="auto"/>
          <w:kern w:val="0"/>
          <w:sz w:val="32"/>
          <w:szCs w:val="32"/>
          <w:lang w:eastAsia="zh-CN"/>
        </w:rPr>
        <w:t>初审</w:t>
      </w:r>
      <w:r>
        <w:rPr>
          <w:rFonts w:hint="eastAsia" w:eastAsia="仿宋_GB2312"/>
          <w:bCs/>
          <w:color w:val="auto"/>
          <w:kern w:val="0"/>
          <w:sz w:val="32"/>
          <w:szCs w:val="32"/>
        </w:rPr>
        <w:t>和日常监督管理。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培训机构</w:t>
      </w:r>
      <w:r>
        <w:rPr>
          <w:rFonts w:hint="eastAsia" w:eastAsia="仿宋_GB2312"/>
          <w:bCs/>
          <w:color w:val="auto"/>
          <w:kern w:val="0"/>
          <w:sz w:val="32"/>
          <w:szCs w:val="32"/>
        </w:rPr>
        <w:t>按照“谁培训、谁负责”原则履行主体责任，确保培训工作的合规性和真实性，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自觉</w:t>
      </w:r>
      <w:r>
        <w:rPr>
          <w:rFonts w:hint="eastAsia" w:eastAsia="仿宋_GB2312"/>
          <w:bCs/>
          <w:color w:val="auto"/>
          <w:kern w:val="0"/>
          <w:sz w:val="32"/>
          <w:szCs w:val="32"/>
        </w:rPr>
        <w:t>接受</w:t>
      </w:r>
      <w:r>
        <w:rPr>
          <w:rFonts w:hint="eastAsia" w:eastAsia="仿宋_GB2312"/>
          <w:bCs/>
          <w:strike w:val="0"/>
          <w:dstrike w:val="0"/>
          <w:color w:val="auto"/>
          <w:kern w:val="0"/>
          <w:sz w:val="32"/>
          <w:szCs w:val="32"/>
          <w:lang w:eastAsia="zh-CN"/>
        </w:rPr>
        <w:t>相关</w:t>
      </w:r>
      <w:r>
        <w:rPr>
          <w:rFonts w:hint="eastAsia" w:eastAsia="仿宋_GB2312"/>
          <w:bCs/>
          <w:color w:val="auto"/>
          <w:kern w:val="0"/>
          <w:sz w:val="32"/>
          <w:szCs w:val="32"/>
        </w:rPr>
        <w:t>部门的监督检查。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 xml:space="preserve">第二章 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设立与变更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第五条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符合施工现场专业人员、建筑工人《实施细则》中培训机构有关要求的单位，可自愿向当地住建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管理部门提交申请。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第六条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市州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行业</w:t>
      </w:r>
      <w:r>
        <w:rPr>
          <w:rFonts w:hint="eastAsia" w:eastAsia="仿宋_GB2312"/>
          <w:color w:val="auto"/>
          <w:kern w:val="0"/>
          <w:sz w:val="32"/>
          <w:szCs w:val="32"/>
        </w:rPr>
        <w:t>管理部门审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核申报条件，</w:t>
      </w:r>
      <w:r>
        <w:rPr>
          <w:rFonts w:hint="eastAsia" w:eastAsia="仿宋_GB2312"/>
          <w:color w:val="auto"/>
          <w:kern w:val="0"/>
          <w:sz w:val="32"/>
          <w:szCs w:val="32"/>
        </w:rPr>
        <w:t>择优遴选本地区培训机构。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通过评估审核的培训机构</w:t>
      </w:r>
      <w:r>
        <w:rPr>
          <w:rFonts w:hint="eastAsia" w:eastAsia="仿宋_GB2312"/>
          <w:color w:val="auto"/>
          <w:kern w:val="0"/>
          <w:sz w:val="32"/>
          <w:szCs w:val="32"/>
        </w:rPr>
        <w:t>在当地网站进行公示，公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示无异议</w:t>
      </w:r>
      <w:r>
        <w:rPr>
          <w:rFonts w:hint="eastAsia" w:eastAsia="仿宋_GB2312"/>
          <w:color w:val="auto"/>
          <w:kern w:val="0"/>
          <w:sz w:val="32"/>
          <w:szCs w:val="32"/>
        </w:rPr>
        <w:t>后省市两级管理部门在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相应的</w:t>
      </w:r>
      <w:r>
        <w:rPr>
          <w:rFonts w:hint="eastAsia" w:eastAsia="仿宋_GB2312"/>
          <w:color w:val="auto"/>
          <w:kern w:val="0"/>
          <w:sz w:val="32"/>
          <w:szCs w:val="32"/>
        </w:rPr>
        <w:t>管理信息系统内逐级审批完成备案。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条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培训机构需变更名称、法定代表人、联系人、联系方式和服务场所等，应及时在管理信息系统内提出变更申请，由省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市</w:t>
      </w:r>
      <w:r>
        <w:rPr>
          <w:rFonts w:hint="eastAsia" w:eastAsia="仿宋_GB2312"/>
          <w:color w:val="auto"/>
          <w:kern w:val="0"/>
          <w:sz w:val="32"/>
          <w:szCs w:val="32"/>
        </w:rPr>
        <w:t>两级管理部门审批后完成信息变更。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第三章 监督管理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条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对培训机构进行监督检查，应遵循市州定期巡查、省级随机抽查的原则。检查内容包含培训考核管理否到位、教学大纲是否落实、师资力量是否达标、要求学时是否满足、培训档案（纸质</w:t>
      </w:r>
      <w:r>
        <w:rPr>
          <w:rFonts w:hint="eastAsia" w:eastAsia="仿宋_GB2312"/>
          <w:strike w:val="0"/>
          <w:dstrike w:val="0"/>
          <w:color w:val="auto"/>
          <w:kern w:val="0"/>
          <w:sz w:val="32"/>
          <w:szCs w:val="32"/>
          <w:lang w:eastAsia="zh-CN"/>
        </w:rPr>
        <w:t>或</w:t>
      </w:r>
      <w:r>
        <w:rPr>
          <w:rFonts w:hint="eastAsia" w:eastAsia="仿宋_GB2312"/>
          <w:color w:val="auto"/>
          <w:kern w:val="0"/>
          <w:sz w:val="32"/>
          <w:szCs w:val="32"/>
        </w:rPr>
        <w:t>电子版）是否齐全、招生过程中是否存在违规行为、是否存在虚假宣传等。检查人员应填写《全省住建领域从业人员培训检查问题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记录</w:t>
      </w:r>
      <w:r>
        <w:rPr>
          <w:rFonts w:hint="eastAsia" w:eastAsia="仿宋_GB2312"/>
          <w:color w:val="auto"/>
          <w:kern w:val="0"/>
          <w:sz w:val="32"/>
          <w:szCs w:val="32"/>
        </w:rPr>
        <w:t>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（见附件）</w:t>
      </w:r>
      <w:r>
        <w:rPr>
          <w:rFonts w:hint="eastAsia" w:eastAsia="仿宋_GB2312"/>
          <w:color w:val="auto"/>
          <w:kern w:val="0"/>
          <w:sz w:val="32"/>
          <w:szCs w:val="32"/>
        </w:rPr>
        <w:t>，须培训机构负责人的签字认可，并将检查情况如实向</w:t>
      </w:r>
      <w:r>
        <w:rPr>
          <w:rFonts w:hint="eastAsia" w:eastAsia="仿宋_GB2312"/>
          <w:strike w:val="0"/>
          <w:dstrike w:val="0"/>
          <w:color w:val="auto"/>
          <w:kern w:val="0"/>
          <w:sz w:val="32"/>
          <w:szCs w:val="32"/>
          <w:lang w:eastAsia="zh-CN"/>
        </w:rPr>
        <w:t>省级管理部门</w:t>
      </w:r>
      <w:r>
        <w:rPr>
          <w:rFonts w:hint="eastAsia" w:eastAsia="仿宋_GB2312"/>
          <w:color w:val="auto"/>
          <w:kern w:val="0"/>
          <w:sz w:val="32"/>
          <w:szCs w:val="32"/>
        </w:rPr>
        <w:t>反映报告。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条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</w:rPr>
        <w:t>培训机构应根据申报的培训种类和场所，提供符合要求的场地、设施和设备，确保教学活动顺利进行。同时，培训内容、课程和选用的教材应符合国家或</w:t>
      </w:r>
      <w:r>
        <w:rPr>
          <w:rFonts w:hint="eastAsia" w:eastAsia="仿宋_GB2312"/>
          <w:strike w:val="0"/>
          <w:dstrike w:val="0"/>
          <w:color w:val="auto"/>
          <w:kern w:val="0"/>
          <w:sz w:val="32"/>
          <w:szCs w:val="32"/>
          <w:lang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门</w:t>
      </w:r>
      <w:r>
        <w:rPr>
          <w:rFonts w:hint="eastAsia" w:eastAsia="仿宋_GB2312"/>
          <w:color w:val="auto"/>
          <w:kern w:val="0"/>
          <w:sz w:val="32"/>
          <w:szCs w:val="32"/>
        </w:rPr>
        <w:t>制定的法律法规、职业标准、教学大纲等要求，严格规范地组织实施培训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考核工作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条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培训机构要加强招生管理、规范招生行为，公示招生对象、招生规模、报名方式、培训项目、培训周期和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收费标准、退费办法</w:t>
      </w:r>
      <w:r>
        <w:rPr>
          <w:rFonts w:hint="eastAsia" w:eastAsia="仿宋_GB2312"/>
          <w:color w:val="auto"/>
          <w:kern w:val="0"/>
          <w:sz w:val="32"/>
          <w:szCs w:val="32"/>
        </w:rPr>
        <w:t>等内容。广告形式与内容应当符合《中华人民共和国广告法》等相关规定，不得进行虚假宣传，欺骗和误导报名人员。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第十一条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培训机构应当配备与培训类别、等级及规模等相适应的专兼职员工队伍，授课教师应当符合相关规定，具备相应的任职条件。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第十二条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培训机构应当根据法律法规规定和技术标准，加强安全保卫、消防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网络信息等方面的安全管理，建立健全安全管理制度和应急预警处理机制。培训机构法定代表人是安全管理第一责任人，防范各类安全责任事故发生。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第四章 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eastAsia="仿宋_GB2312" w:cstheme="minorBidi"/>
          <w:b/>
          <w:bCs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培训机构有以下情况，省市两级管理部门可根据违反规定的情节轻重、影响程度，提出约谈、警告、暂停培训限期整改等处理意见。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（一）机构管理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管理人员、师资力量、考评员等数量、类别、聘用性质不满足要求。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考核场地、实操考评场地、设备设施不符合标准规定。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擅自改变培训机构名称、服务场所、培训范围、培训及考核地点等事项。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现有异地备案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无独立法人、无办学资质，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eastAsia="仿宋_GB2312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  <w:t>混乱。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（二）培训组织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未按照教学大纲和推荐教材内容组织实施培训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培训时间未按规定学时实施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，每班次抽查平均学员出勤率低于80%或存在弄虚作假虚构学时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未严格审核学员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培训学时，存在学员挂课刷课行为，或为学员挂课、刷课提供便利。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组织未完成培训学员参加测试。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（三）考核考务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监控设备、计算机摄像头、手机信号屏蔽器等未正常运行。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在培训测试过程中，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存在人证不符、冒名顶替、违反纪律等现象但未主动查处。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（四）招生宣传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对培训效果进行保证性承诺或虚假宣传、误导性宣传，承诺免培训、继教和高价包过等不正当招生宣传行为。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未在显著位置公示收费项目、收费标准、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退费管理办法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（五）其他方面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培训考核过程原始资料缺失，档案管理混乱。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存在其它违纪违规问题或造成负面社会影响的。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培训机构出现下列情况之一者，省市两级管理部门可直接取消培训资格。对取消培训资格的机构五年内不允许其重新申报。</w:t>
      </w:r>
    </w:p>
    <w:p>
      <w:pPr>
        <w:pStyle w:val="3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培训资格申报资料（包括办学许可证、法人登记证、办学场地权属证明或租赁合同、安全消防许可证以及法定代表人、师资相关资料等）存在伪造、过期、不齐全等问题。</w:t>
      </w:r>
    </w:p>
    <w:p>
      <w:pPr>
        <w:pStyle w:val="3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变造、买卖、出租、出借培训资格。</w:t>
      </w:r>
    </w:p>
    <w:p>
      <w:pPr>
        <w:pStyle w:val="3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考核设备中安装作弊、远程操控软件及其它为学员作弊提供便利条件的行为。</w:t>
      </w:r>
    </w:p>
    <w:p>
      <w:pPr>
        <w:pStyle w:val="3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未开展培训工作超过12个月。</w:t>
      </w:r>
    </w:p>
    <w:p>
      <w:pPr>
        <w:pStyle w:val="3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发生重大安全事故。</w:t>
      </w:r>
    </w:p>
    <w:p>
      <w:pPr>
        <w:pStyle w:val="3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存在其它严重违纪违规问题或造成重大负面社会影响的。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第五章 附 则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本办法由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湖北省住房和城乡建设厅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负责解释。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本办法自发布之日起施行。如今后国家有新的政策规定从其新规定。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FF0000"/>
          <w:kern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eastAsia="仿宋_GB2312"/>
          <w:color w:val="FF0000"/>
          <w:kern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全省住建领域从业人员培训检查问题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单</w:t>
      </w:r>
      <w:bookmarkEnd w:id="0"/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全省住建领域从业人员培训检查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问题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记录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ascii="仿宋_GB2312" w:eastAsia="仿宋_GB2312"/>
          <w:b/>
          <w:bCs/>
        </w:rPr>
      </w:pPr>
    </w:p>
    <w:tbl>
      <w:tblPr>
        <w:tblStyle w:val="8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7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培训机构名称</w:t>
            </w:r>
          </w:p>
        </w:tc>
        <w:tc>
          <w:tcPr>
            <w:tcW w:w="7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检</w:t>
            </w:r>
            <w:r>
              <w:rPr>
                <w:rFonts w:hint="eastAsia" w:ascii="宋体" w:hAnsi="宋体"/>
                <w:b/>
                <w:bCs/>
                <w:sz w:val="24"/>
              </w:rPr>
              <w:t>查经过及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主要证据</w:t>
            </w:r>
          </w:p>
        </w:tc>
        <w:tc>
          <w:tcPr>
            <w:tcW w:w="7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经查，你机构</w:t>
            </w:r>
            <w:r>
              <w:rPr>
                <w:rFonts w:hint="eastAsia" w:ascii="宋体" w:hAnsi="宋体" w:cs="宋体"/>
                <w:sz w:val="24"/>
              </w:rPr>
              <w:t>开展</w:t>
            </w:r>
            <w:r>
              <w:rPr>
                <w:rFonts w:hint="eastAsia" w:ascii="宋体" w:hAnsi="宋体" w:eastAsia="宋体" w:cs="宋体"/>
                <w:sz w:val="24"/>
              </w:rPr>
              <w:t>的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 </w:t>
            </w:r>
            <w:r>
              <w:rPr>
                <w:rFonts w:hint="eastAsia" w:ascii="宋体" w:hAnsi="宋体" w:cs="宋体"/>
                <w:sz w:val="24"/>
              </w:rPr>
              <w:t>1.施工现场专业人员；</w:t>
            </w:r>
            <w:r>
              <w:rPr>
                <w:rFonts w:hint="eastAsia" w:ascii="宋体" w:hAnsi="宋体" w:eastAsia="宋体" w:cs="宋体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</w:rPr>
              <w:t>2.建筑工人）培训</w:t>
            </w:r>
            <w:r>
              <w:rPr>
                <w:rFonts w:hint="eastAsia" w:ascii="宋体" w:hAnsi="宋体" w:eastAsia="宋体" w:cs="宋体"/>
                <w:sz w:val="24"/>
              </w:rPr>
              <w:t>存在以下问题（勾选）：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1.</w:t>
            </w:r>
            <w:r>
              <w:rPr>
                <w:rFonts w:hint="eastAsia" w:ascii="宋体" w:hAnsi="宋体" w:cs="宋体"/>
                <w:sz w:val="24"/>
              </w:rPr>
              <w:t>培训行为方面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考核行为方面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招生收费方面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4.</w:t>
            </w:r>
            <w:r>
              <w:rPr>
                <w:rFonts w:hint="eastAsia" w:ascii="宋体" w:hAnsi="宋体" w:cs="宋体"/>
                <w:sz w:val="24"/>
              </w:rPr>
              <w:t>日常管理方面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培训资格方面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主要证据如下（勾选）：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1.</w:t>
            </w:r>
            <w:r>
              <w:rPr>
                <w:rFonts w:hint="eastAsia" w:ascii="宋体" w:hAnsi="宋体" w:cs="宋体"/>
                <w:sz w:val="24"/>
              </w:rPr>
              <w:t>培训资料档案：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2.现场检查</w:t>
            </w:r>
            <w:r>
              <w:rPr>
                <w:rFonts w:hint="eastAsia" w:ascii="宋体" w:hAnsi="宋体" w:cs="宋体"/>
                <w:sz w:val="24"/>
              </w:rPr>
              <w:t>情况：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.其他：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检查</w:t>
            </w:r>
            <w:r>
              <w:rPr>
                <w:rFonts w:hint="eastAsia" w:ascii="宋体" w:hAnsi="宋体"/>
                <w:b/>
                <w:bCs/>
                <w:sz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签字确认</w:t>
            </w:r>
          </w:p>
        </w:tc>
        <w:tc>
          <w:tcPr>
            <w:tcW w:w="7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培训机构人员签章：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检</w:t>
            </w:r>
            <w:r>
              <w:rPr>
                <w:rFonts w:hint="eastAsia" w:ascii="宋体" w:hAnsi="宋体"/>
                <w:b/>
                <w:bCs/>
                <w:sz w:val="24"/>
              </w:rPr>
              <w:t>查人员意见</w:t>
            </w:r>
          </w:p>
        </w:tc>
        <w:tc>
          <w:tcPr>
            <w:tcW w:w="7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检</w:t>
            </w:r>
            <w:r>
              <w:rPr>
                <w:rFonts w:hint="eastAsia" w:ascii="宋体" w:hAnsi="宋体"/>
                <w:sz w:val="24"/>
              </w:rPr>
              <w:t>查人员签章：                              年    月    日</w:t>
            </w: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both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5C0F6"/>
    <w:multiLevelType w:val="multilevel"/>
    <w:tmpl w:val="C925C0F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DB50D4E"/>
    <w:multiLevelType w:val="singleLevel"/>
    <w:tmpl w:val="4DB50D4E"/>
    <w:lvl w:ilvl="0" w:tentative="0">
      <w:start w:val="1"/>
      <w:numFmt w:val="chineseCounting"/>
      <w:suff w:val="space"/>
      <w:lvlText w:val="第%1章"/>
      <w:lvlJc w:val="left"/>
      <w:pPr>
        <w:ind w:left="0" w:firstLine="0"/>
      </w:pPr>
      <w:rPr>
        <w:rFonts w:hint="eastAsia"/>
      </w:rPr>
    </w:lvl>
  </w:abstractNum>
  <w:abstractNum w:abstractNumId="2">
    <w:nsid w:val="6070CCD3"/>
    <w:multiLevelType w:val="singleLevel"/>
    <w:tmpl w:val="6070CC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3">
    <w:nsid w:val="7EFAFA9A"/>
    <w:multiLevelType w:val="singleLevel"/>
    <w:tmpl w:val="7EFAFA9A"/>
    <w:lvl w:ilvl="0" w:tentative="0">
      <w:start w:val="1"/>
      <w:numFmt w:val="chineseCounting"/>
      <w:suff w:val="space"/>
      <w:lvlText w:val="第%1条"/>
      <w:lvlJc w:val="left"/>
      <w:rPr>
        <w:rFonts w:hint="eastAsia" w:ascii="黑体" w:hAnsi="黑体" w:eastAsia="黑体" w:cs="黑体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WJhMzI3NjE1ZWUwZTg1YThmOWU2NjE1OGNlOTgifQ=="/>
    <w:docVar w:name="KSO_WPS_MARK_KEY" w:val="e4f87ab6-fcc1-4f0e-9615-903eb0fed6c8"/>
  </w:docVars>
  <w:rsids>
    <w:rsidRoot w:val="731947EE"/>
    <w:rsid w:val="0009572C"/>
    <w:rsid w:val="002670F7"/>
    <w:rsid w:val="00446362"/>
    <w:rsid w:val="004573C6"/>
    <w:rsid w:val="00641901"/>
    <w:rsid w:val="00742E5C"/>
    <w:rsid w:val="00783CC7"/>
    <w:rsid w:val="00957148"/>
    <w:rsid w:val="00AB7E90"/>
    <w:rsid w:val="00B04ED0"/>
    <w:rsid w:val="00B30220"/>
    <w:rsid w:val="00EF7D77"/>
    <w:rsid w:val="00F0733E"/>
    <w:rsid w:val="00FB1582"/>
    <w:rsid w:val="02AA604D"/>
    <w:rsid w:val="02AF5A7C"/>
    <w:rsid w:val="04AC73A7"/>
    <w:rsid w:val="084B6928"/>
    <w:rsid w:val="098350DA"/>
    <w:rsid w:val="0D9B23CF"/>
    <w:rsid w:val="0DF2282E"/>
    <w:rsid w:val="0E6B38A2"/>
    <w:rsid w:val="111B209C"/>
    <w:rsid w:val="12764223"/>
    <w:rsid w:val="12781784"/>
    <w:rsid w:val="132D7A87"/>
    <w:rsid w:val="1A555429"/>
    <w:rsid w:val="20DA2037"/>
    <w:rsid w:val="254C40BE"/>
    <w:rsid w:val="2F0E3AED"/>
    <w:rsid w:val="34CE7FC7"/>
    <w:rsid w:val="39E54FE0"/>
    <w:rsid w:val="3A3268D1"/>
    <w:rsid w:val="3A35391F"/>
    <w:rsid w:val="3C5E539B"/>
    <w:rsid w:val="42F66B95"/>
    <w:rsid w:val="43B42059"/>
    <w:rsid w:val="45940272"/>
    <w:rsid w:val="47056DEC"/>
    <w:rsid w:val="4755320F"/>
    <w:rsid w:val="477565EE"/>
    <w:rsid w:val="490270C2"/>
    <w:rsid w:val="4E8B1908"/>
    <w:rsid w:val="4F26759B"/>
    <w:rsid w:val="52F7312C"/>
    <w:rsid w:val="55E33B18"/>
    <w:rsid w:val="56AB1716"/>
    <w:rsid w:val="587954F1"/>
    <w:rsid w:val="5A5170A1"/>
    <w:rsid w:val="5EAA7B88"/>
    <w:rsid w:val="5F761AEE"/>
    <w:rsid w:val="6E3E6090"/>
    <w:rsid w:val="6F4F210C"/>
    <w:rsid w:val="731947EE"/>
    <w:rsid w:val="74891C73"/>
    <w:rsid w:val="778F6BA1"/>
    <w:rsid w:val="7D0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line="600" w:lineRule="exact"/>
      <w:ind w:firstLine="403"/>
      <w:outlineLvl w:val="2"/>
    </w:pPr>
    <w:rPr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本文正文"/>
    <w:basedOn w:val="1"/>
    <w:autoRedefine/>
    <w:qFormat/>
    <w:uiPriority w:val="0"/>
    <w:pPr>
      <w:ind w:firstLine="200" w:firstLineChars="200"/>
      <w:jc w:val="left"/>
    </w:pPr>
    <w:rPr>
      <w:rFonts w:ascii="Arial" w:hAnsi="Arial"/>
      <w:sz w:val="24"/>
    </w:rPr>
  </w:style>
  <w:style w:type="paragraph" w:styleId="11">
    <w:name w:val="No Spacing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FCDA0-3989-4D7E-B142-9704C93EC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市住房和城乡建设局</Company>
  <Pages>8</Pages>
  <Words>2258</Words>
  <Characters>2290</Characters>
  <Lines>21</Lines>
  <Paragraphs>5</Paragraphs>
  <TotalTime>3</TotalTime>
  <ScaleCrop>false</ScaleCrop>
  <LinksUpToDate>false</LinksUpToDate>
  <CharactersWithSpaces>2527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2024-03-21T01:11:00Z</dcterms:created>
  <dc:creator>爱米粒</dc:creator>
  <cp:lastModifiedBy>aurora1381742145</cp:lastModifiedBy>
  <cp:lastPrinted>2024-03-19T04:38:00Z</cp:lastPrinted>
  <dcterms:modified xsi:type="dcterms:W3CDTF">2024-07-18T07:31:44Z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F70D88A3C42A49A79166F29AC59D775D_13</vt:lpwstr>
  </property>
</Properties>
</file>