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eastAsia" w:ascii="方正小标宋简体" w:hAnsi="方正小标宋简体" w:eastAsia="黑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zhengwen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湖北智能建造2030行动计划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为加快我省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智能建造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发展，打造全国智能建造与建筑工业化标杆省，制定本行动计划。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Toc28522"/>
      <w:bookmarkStart w:id="2" w:name="_Toc2142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指导思想</w:t>
      </w:r>
      <w:bookmarkEnd w:id="1"/>
      <w:bookmarkEnd w:id="2"/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以习近平新时代中国特色社会主义思想为指导，深入贯彻党的二十大和省第十二次党代会精神，立足新发展阶段，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完整、准确、全面贯彻新发展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理念，加快建设现代化产业体系，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全面推进中国式现代化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标准体系建设为引领、以科技创新为动能、以信息技术为支撑、以新型建筑工业化为抓手，着力打通产业链、部署创新链、完善供应链、提升价值链、畅通要素链，推动湖北智能建造产业基地建设，加快建筑业转型升级，实现绿色低碳和高质量发展，建设全国构建新发展格局先行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Toc29001"/>
      <w:bookmarkStart w:id="4" w:name="_Toc23194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二、总体要求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5" w:name="_Toc14254"/>
      <w:bookmarkStart w:id="6" w:name="_Toc24652"/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（一）基本原则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7" w:name="_Toc4307"/>
      <w:bookmarkStart w:id="8" w:name="_Toc20428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1.坚持统筹谋划，系统推进。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标“十四五”时期经济社会发展目标和2035年远景目标，做好顶层设计，加强全局性谋划和战略性布局，坚持整体推进与重点突破相结合，统筹智能建造和新型建筑工业化协同发展，着力构建建筑业新发展格局。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9" w:name="_Toc10898"/>
      <w:bookmarkStart w:id="10" w:name="_Toc13375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2.坚持政府引领，市场主导。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充分发挥政府、协会在政策引导、标准编制、示范引领方面的作用，营造良好的行业发展氛围，激发各类市场主体内生动力。充分发挥市场在资源配置中的决定性作用，强化建筑企业在智能建造发展过程中的主体地位。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1" w:name="_Toc23888"/>
      <w:bookmarkStart w:id="12" w:name="_Toc25063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3.坚持创新驱动，融合发展。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把创新作为智能建造发展的战略支撑，加强产学研用协同创新，着力突破关键核心技术和系统集成技术。加强跨学科、跨领域合作，推动新一代信息技术与建筑业深度融合。发挥龙头企业带动和示范作用，推动产业链供应链深度融合和协同响应，带动行业上下游企业智能建造水平同步提升，实现大中小企业融通发展。</w:t>
      </w:r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_Toc11350"/>
      <w:bookmarkStart w:id="14" w:name="_Toc13978"/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（二）主要目标</w:t>
      </w:r>
      <w:bookmarkEnd w:id="13"/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Toc26145"/>
      <w:bookmarkStart w:id="16" w:name="_Toc1670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开展贯穿工程项目全生命周期的“智能建造七大行动”，全面推进我省智能建造事业发展。开展数字协同行动，强化设计正向引领；开展迭代优化行动，推动生产提质强能；开展智能增效行动，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促进施工提档升级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；开展科技赋能行动，提升智慧运维服务能力；开展平台培育行动，贯通智造产业链条；开展标准构筑行动，支撑智造技术发展；开展培育强基行动，释放人才引擎动力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到2025年，智能建造政策体系和产业体系基本形成，标准体系、评价体系初步建立，建筑工业化、数字化、智能化水平显著提高，劳动生产率大幅提升，碳及污染排放大幅下降，环境保护成效显著。武汉、宜昌、襄阳等智能建造辐射带动作用不断增强，企业创新能力大幅提高，产业集群优势逐步显现，智能建造与建筑工业化协同发展居全国先进行列。</w:t>
      </w:r>
      <w:bookmarkEnd w:id="15"/>
      <w:bookmarkEnd w:id="1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7" w:name="_Toc6804"/>
      <w:bookmarkStart w:id="18" w:name="_Toc1370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到2030年，实现研发、设计、生产、施工、运维等全产业链协同发展，全省工程项目全面采用智能建造，建筑业企业全面实现数字化转型，建筑业产业基础、技术体系、科技创新能力以及质量安全管理能力达全国领先水平，将我省打造成为智能建造与建筑工业化标杆省。</w:t>
      </w:r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9" w:name="_Toc15567"/>
      <w:bookmarkStart w:id="20" w:name="_Toc10326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重点任务</w:t>
      </w:r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1" w:name="_Toc22591"/>
      <w:bookmarkStart w:id="22" w:name="_Toc19454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（一）推进数字化设计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3" w:name="_Toc32012"/>
      <w:bookmarkStart w:id="24" w:name="_Toc27565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1.开展数字化三维协同设计</w:t>
      </w:r>
      <w:bookmarkEnd w:id="23"/>
      <w:bookmarkEnd w:id="24"/>
    </w:p>
    <w:p>
      <w:pPr>
        <w:keepNext w:val="0"/>
        <w:keepLines w:val="0"/>
        <w:pageBreakBefore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构建资源配置合理、专业分工明确、数据交互共享、成果系统集成的网络化设计环境，建立跨专业、跨企业、跨地域的协同工作模式。利用新一代信息技术，加快构建数字化协同设计平台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实现设计数据标准化生成、设计过程流程化运转、设计成果规范化交付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。以三维数字模型为载体，推动建筑、结构、设备管线、装修等多专业间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协同设计与实时互动，实现各专业间的无缝联接与高效协作。以协同设计平台为中心，采用渐进式设计模式，联接建设、设计、生产、施工、运维等各方主体，协同细化和更新模型，不断迭代模型数据，提升设计成果的完整性和准确性。</w:t>
      </w:r>
    </w:p>
    <w:tbl>
      <w:tblPr>
        <w:tblStyle w:val="1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25" w:name="_Toc18554"/>
            <w:bookmarkStart w:id="26" w:name="_Toc19422"/>
            <w:bookmarkStart w:id="27" w:name="_Toc22620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开展数字化三维协同设计核心任务</w:t>
            </w:r>
            <w:bookmarkEnd w:id="25"/>
            <w:bookmarkEnd w:id="26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outlineLvl w:val="2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28" w:name="_Toc11278"/>
            <w:bookmarkStart w:id="29" w:name="_Toc12985"/>
            <w:bookmarkStart w:id="30" w:name="_Toc6943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bookmarkEnd w:id="28"/>
            <w:bookmarkEnd w:id="29"/>
            <w:bookmarkEnd w:id="30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3"/>
              <w:outlineLvl w:val="2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31" w:name="_Toc19026"/>
            <w:bookmarkStart w:id="32" w:name="_Toc7444"/>
            <w:bookmarkStart w:id="33" w:name="_Toc11494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bookmarkEnd w:id="31"/>
            <w:bookmarkEnd w:id="32"/>
            <w:bookmarkEnd w:id="33"/>
            <w:bookmarkStart w:id="34" w:name="_Toc6915"/>
            <w:bookmarkStart w:id="35" w:name="_Toc12156"/>
            <w:bookmarkStart w:id="36" w:name="_Toc8056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开展基于BIM的三维协同设计平台研发，搭建数字化三维协同设计平台不少于5个。</w:t>
            </w:r>
            <w:bookmarkEnd w:id="34"/>
            <w:bookmarkEnd w:id="35"/>
            <w:bookmarkEnd w:id="36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3"/>
              <w:outlineLvl w:val="2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37" w:name="_Toc23991"/>
            <w:bookmarkStart w:id="38" w:name="_Toc2770"/>
            <w:bookmarkStart w:id="39" w:name="_Toc4463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2.开展三维协同设计平台评估工作，优秀平台在政府投资项目率先应用。</w:t>
            </w:r>
            <w:bookmarkEnd w:id="37"/>
            <w:bookmarkEnd w:id="38"/>
            <w:bookmarkEnd w:id="39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outlineLvl w:val="2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40" w:name="_Toc29655"/>
            <w:bookmarkStart w:id="41" w:name="_Toc30761"/>
            <w:bookmarkStart w:id="42" w:name="_Toc27713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  <w:bookmarkEnd w:id="40"/>
            <w:bookmarkEnd w:id="41"/>
            <w:bookmarkEnd w:id="42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3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43" w:name="_Toc29131"/>
            <w:bookmarkStart w:id="44" w:name="_Toc30962"/>
            <w:bookmarkStart w:id="45" w:name="_Toc9161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全省设计企业全面应用三维协同设计平台，</w:t>
            </w:r>
            <w:bookmarkEnd w:id="43"/>
            <w:bookmarkEnd w:id="44"/>
            <w:bookmarkEnd w:id="45"/>
            <w:bookmarkStart w:id="46" w:name="_Toc22313"/>
            <w:bookmarkStart w:id="47" w:name="_Toc5916"/>
            <w:bookmarkStart w:id="48" w:name="_Toc21985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政府投资工程、大型房屋开发项目、市政基础设施建设项目全面实现三维设计，设计效率与质量大幅提升。</w:t>
            </w:r>
            <w:bookmarkEnd w:id="46"/>
            <w:bookmarkEnd w:id="47"/>
            <w:bookmarkEnd w:id="48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49" w:name="_Toc26624"/>
      <w:bookmarkStart w:id="50" w:name="_Toc25471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2.推动全过程BIM设计</w:t>
      </w:r>
      <w:bookmarkEnd w:id="49"/>
      <w:bookmarkEnd w:id="50"/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发挥科研机构和龙头企业优势，推动BIM 建模软件三维图形引擎、数据交换标准技术、产品集成设计等关键技术突破，加快自主可控国产BIM设计软件的研发与应用。按照“一模到底，一模多用”要求，推进项目建造全过程BIM设计作业方式，实现图模一致和信息有效传递。研究基于BIM的跨阶段管理流程和数据融合标准，建立单一设计数据源，打通从方案设计到运营维护全过程数据传递。明确工程招标中BIM设计需求和交付标准，推动参建各方在同一平台协同应用BIM技术。开展全过程BIM设计试点建设，打造全过程BIM设计标杆项目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51" w:name="_Toc2935"/>
            <w:bookmarkStart w:id="52" w:name="_Toc12914"/>
            <w:bookmarkStart w:id="53" w:name="_Toc20969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推动全过程BIM设计核心任务</w:t>
            </w:r>
            <w:bookmarkEnd w:id="51"/>
            <w:bookmarkEnd w:id="52"/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outlineLvl w:val="2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54" w:name="_Toc9671"/>
            <w:bookmarkStart w:id="55" w:name="_Toc21961"/>
            <w:bookmarkStart w:id="56" w:name="_Toc30735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bookmarkEnd w:id="54"/>
            <w:bookmarkEnd w:id="55"/>
            <w:bookmarkEnd w:id="56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3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57" w:name="_Toc29857"/>
            <w:bookmarkStart w:id="58" w:name="_Toc19425"/>
            <w:bookmarkStart w:id="59" w:name="_Toc30139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1.开展自主可控BIM设计软件研发，在房建、桥梁、隧道等领域开展试点应用。</w:t>
            </w:r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3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2.明确全过程BIM设计建造要求，全省遴选BIM设计试点项目不少于20个。</w:t>
            </w:r>
            <w:bookmarkEnd w:id="57"/>
            <w:bookmarkEnd w:id="58"/>
            <w:bookmarkEnd w:id="59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3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60" w:name="_Toc28237"/>
            <w:bookmarkStart w:id="61" w:name="_Toc2784"/>
            <w:bookmarkStart w:id="62" w:name="_Toc29877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End w:id="60"/>
            <w:bookmarkEnd w:id="61"/>
            <w:bookmarkEnd w:id="62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初步建立BIM设计数据标准体系和智能化能力融合体系。</w:t>
            </w:r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outlineLvl w:val="2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63" w:name="_Toc19870"/>
            <w:bookmarkStart w:id="64" w:name="_Toc23960"/>
            <w:bookmarkStart w:id="65" w:name="_Toc11922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  <w:bookmarkEnd w:id="63"/>
            <w:bookmarkEnd w:id="64"/>
            <w:bookmarkEnd w:id="65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3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推动新建项目全面采用全过程BIM设计。</w:t>
            </w:r>
          </w:p>
        </w:tc>
      </w:tr>
    </w:tbl>
    <w:p>
      <w:pPr>
        <w:pStyle w:val="5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66" w:name="_Toc28310"/>
      <w:bookmarkStart w:id="67" w:name="_Toc9364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3.探索智能设计</w:t>
      </w:r>
      <w:bookmarkEnd w:id="66"/>
      <w:bookmarkEnd w:id="67"/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利用知识图谱、人工智能等技术，整合设计方案、标准规范等知识资源，构建以参数为驱动的智能设计系统。推动设计企业全面应用数字模拟、系统仿真等技术，模拟建筑多维性能，调整优化设计方案，实现建筑产品性能最优。基于智能设计系统，设置控制规则，集成设计荷载检算、参数优化、成果制作等设计全流程技术，开发以和谐、安全、经济、合理、高效为目标的智能设计算法，实现设计方案的智能推荐、设计荷载的智能分析、设计参数的智能优化、设计成果的智能输出。固化智能设计场景，研发智能数据驱动的数字化建筑模板库，提高场景的复用率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68" w:name="_Toc22148"/>
            <w:bookmarkStart w:id="69" w:name="_Toc2545"/>
            <w:bookmarkStart w:id="70" w:name="_Toc24818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探索智能设计核心任务</w:t>
            </w:r>
            <w:bookmarkEnd w:id="68"/>
            <w:bookmarkEnd w:id="69"/>
            <w:bookmarkEnd w:id="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outlineLvl w:val="2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71" w:name="_Toc27890"/>
            <w:bookmarkStart w:id="72" w:name="_Toc31420"/>
            <w:bookmarkStart w:id="73" w:name="_Toc24642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bookmarkEnd w:id="71"/>
            <w:bookmarkEnd w:id="72"/>
            <w:bookmarkEnd w:id="73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74" w:name="_Toc6699"/>
            <w:bookmarkStart w:id="75" w:name="_Toc11878"/>
            <w:bookmarkStart w:id="76" w:name="_Toc18070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1.完成不少于10种参数化设计软件研发应用，模块化设计效率提升45%。</w:t>
            </w:r>
            <w:bookmarkEnd w:id="74"/>
            <w:bookmarkEnd w:id="75"/>
            <w:bookmarkEnd w:id="76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77" w:name="_Toc30642"/>
            <w:bookmarkStart w:id="78" w:name="_Toc10508"/>
            <w:bookmarkStart w:id="79" w:name="_Toc19869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2.制定项目参数化设计需求清单，应用参数化设计项目不少于50个。</w:t>
            </w:r>
            <w:bookmarkEnd w:id="77"/>
            <w:bookmarkEnd w:id="78"/>
            <w:bookmarkEnd w:id="79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80" w:name="_Toc16523"/>
            <w:bookmarkStart w:id="81" w:name="_Toc18800"/>
            <w:bookmarkStart w:id="82" w:name="_Toc6208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3.完善参数化设计作业方式，建立以数据驱动的设计模板库。</w:t>
            </w:r>
            <w:bookmarkEnd w:id="80"/>
            <w:bookmarkEnd w:id="81"/>
            <w:bookmarkEnd w:id="82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83" w:name="_Toc19096"/>
            <w:bookmarkStart w:id="84" w:name="_Toc14948"/>
            <w:bookmarkStart w:id="85" w:name="_Toc32004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  <w:bookmarkEnd w:id="83"/>
            <w:bookmarkEnd w:id="84"/>
            <w:bookmarkEnd w:id="85"/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研发涵盖建筑行业全领域的自主可控参数化设计软件集</w:t>
            </w:r>
            <w:bookmarkStart w:id="86" w:name="_Toc29375"/>
            <w:bookmarkStart w:id="87" w:name="_Toc3786"/>
            <w:bookmarkStart w:id="88" w:name="_Toc13669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，工程项目</w:t>
            </w:r>
            <w:bookmarkEnd w:id="86"/>
            <w:bookmarkEnd w:id="87"/>
            <w:bookmarkEnd w:id="88"/>
            <w:bookmarkStart w:id="89" w:name="_Toc13815"/>
            <w:bookmarkStart w:id="90" w:name="_Toc16445"/>
            <w:bookmarkStart w:id="91" w:name="_Toc23286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广泛应用智能设计。</w:t>
            </w:r>
            <w:bookmarkEnd w:id="89"/>
            <w:bookmarkEnd w:id="90"/>
            <w:bookmarkEnd w:id="91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92" w:name="_Toc13698"/>
      <w:bookmarkStart w:id="93" w:name="_Toc1336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（二）推进智能生产</w:t>
      </w:r>
      <w:bookmarkEnd w:id="92"/>
      <w:bookmarkEnd w:id="93"/>
    </w:p>
    <w:p>
      <w:pPr>
        <w:pStyle w:val="5"/>
        <w:numPr>
          <w:ilvl w:val="0"/>
          <w:numId w:val="0"/>
        </w:numPr>
        <w:ind w:left="64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4.推广智能生产设备</w:t>
      </w:r>
    </w:p>
    <w:p>
      <w:pPr>
        <w:numPr>
          <w:ilvl w:val="0"/>
          <w:numId w:val="0"/>
        </w:numPr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智能生产核心装备升级，对接上游数字模型，开展智能生产成套装备集成创新和应用示范，推动生产企业向数字化、智能化转型。建设预制混凝土构件智能生产线，重点突破自动化钢筋制备、智能化模具作业、高精度混凝土布料等设备应用。建设钢结构构件智能生产线，应用智能化装备和机器人，实现上料、切割、下料、焊接、余废料回收等流程少人化甚至无人化生产。创新产学研用合作模式，推广应用工业机器人、智能传感与控制、智能检测、智能仓储与物流等关键设备和专用机器人，完善智能生产设备体系。</w:t>
      </w:r>
    </w:p>
    <w:tbl>
      <w:tblPr>
        <w:tblStyle w:val="1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94" w:name="_Toc26984"/>
            <w:bookmarkStart w:id="95" w:name="_Toc5525"/>
            <w:bookmarkStart w:id="96" w:name="_Toc10380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推广智能生产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核心任务</w:t>
            </w:r>
            <w:bookmarkEnd w:id="94"/>
            <w:bookmarkEnd w:id="95"/>
            <w:bookmarkEnd w:id="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outlineLvl w:val="2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97" w:name="_Toc21359"/>
            <w:bookmarkStart w:id="98" w:name="_Toc22457"/>
            <w:bookmarkStart w:id="99" w:name="_Toc20419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bookmarkEnd w:id="97"/>
            <w:bookmarkEnd w:id="98"/>
            <w:bookmarkEnd w:id="99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00" w:name="_Toc15788"/>
            <w:bookmarkStart w:id="101" w:name="_Toc11500"/>
            <w:bookmarkStart w:id="102" w:name="_Toc26147"/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研发智能生产设备15类以上，制定智能生产设备选用清单并推广使用。</w:t>
            </w:r>
            <w:bookmarkEnd w:id="100"/>
            <w:bookmarkEnd w:id="101"/>
            <w:bookmarkEnd w:id="102"/>
            <w:bookmarkStart w:id="103" w:name="_Toc7848"/>
            <w:bookmarkStart w:id="104" w:name="_Toc23763"/>
            <w:bookmarkStart w:id="105" w:name="_Toc1600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2"/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2.建设智能生产成套装备集成创新和应用示范建设基地不少于20个。</w:t>
            </w:r>
            <w:bookmarkEnd w:id="103"/>
            <w:bookmarkEnd w:id="104"/>
            <w:bookmarkEnd w:id="10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06" w:name="_Toc28489"/>
            <w:bookmarkStart w:id="107" w:name="_Toc26848"/>
            <w:bookmarkStart w:id="108" w:name="_Toc22321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  <w:bookmarkEnd w:id="106"/>
            <w:bookmarkEnd w:id="107"/>
            <w:bookmarkEnd w:id="108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default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智能生产设备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全面应用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生产设备产业化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和数控化，实现少人化、无人化生产。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09" w:name="_Toc12276"/>
      <w:bookmarkStart w:id="110" w:name="_Toc9077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5.加快生产工艺研发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产学研联合创新，推进制造技术突破和工艺创新，研发与精益化施工相适应的部品部件生产、仓储、运输等工艺工法。以基础共性技术和关键生产工艺研发为重点，推动研发成果转化，促进智能建造产业集成创新。加快突破部品部件现代工艺研发，推进构件和部品部件标准化，建立以标准部品部件为基础的专业化、信息化、规模化生产体系。开展绿色生产工艺研究，打造绿色生产基地，推行绿色生产与绿色建造协同，实现绿色发展。</w:t>
      </w:r>
    </w:p>
    <w:tbl>
      <w:tblPr>
        <w:tblStyle w:val="1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outlineLvl w:val="2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加快生产工艺研发核心任务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outlineLvl w:val="2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1.建立完善的构件和部品部件标准体系及省级部品部件与构件资源库，制定部品部件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图集、标准15项。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2.建立现代工艺管理体系，实现高效率、高精度、高质量的工艺生产，生产效率提高30%，产品不良率低于5%。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3.开展绿色工艺研究，探索绿色生产基地建设。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形成成熟的绿色生产工艺体系，部品部件现代工艺制造水平全国领先。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6.推进生产信息化管理</w:t>
      </w:r>
      <w:bookmarkEnd w:id="109"/>
      <w:bookmarkEnd w:id="110"/>
    </w:p>
    <w:p>
      <w:pPr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深化设计与生产之间的数字化交互，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打通深化设计BIM模型与生产加工数据的通道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优化组织架构，推进产品数字化管理、工艺数字化仿真、工序实时监测、质量管理全流程监控。应用信息化管理系统，建设生产执行系统（MES）与企业资源计划系统（ERP），实现业务流程全维度信息化。建立工程全流程质量数字化记录制度，落实质量责任追溯。建立贯穿设计、采购、生产、仓储物流等全生产链条的智能工厂生产供应链管理系统，全面提升生产管理的高效性、准确性。</w:t>
      </w:r>
    </w:p>
    <w:tbl>
      <w:tblPr>
        <w:tblStyle w:val="1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outlineLvl w:val="2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11" w:name="_Toc6116"/>
            <w:bookmarkStart w:id="112" w:name="_Toc32286"/>
            <w:bookmarkStart w:id="113" w:name="_Toc7970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推进生产信息化管理核心任务</w:t>
            </w:r>
            <w:bookmarkEnd w:id="111"/>
            <w:bookmarkEnd w:id="112"/>
            <w:bookmarkEnd w:id="1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14" w:name="_Toc25484"/>
            <w:bookmarkStart w:id="115" w:name="_Toc10524"/>
            <w:bookmarkStart w:id="116" w:name="_Toc7820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bookmarkEnd w:id="114"/>
            <w:bookmarkEnd w:id="115"/>
            <w:bookmarkEnd w:id="116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17" w:name="_Toc26909"/>
            <w:bookmarkStart w:id="118" w:name="_Toc14196"/>
            <w:bookmarkStart w:id="119" w:name="_Toc8298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1.生产工厂数字化工具普及率达50%以上，信息化管理系统普及率达60%以上。</w:t>
            </w:r>
            <w:bookmarkEnd w:id="117"/>
            <w:bookmarkEnd w:id="118"/>
            <w:bookmarkEnd w:id="119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20" w:name="_Toc27989"/>
            <w:bookmarkStart w:id="121" w:name="_Toc31277"/>
            <w:bookmarkStart w:id="122" w:name="_Toc22862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2.推进全省生产工厂数字化转型，鼓励龙头企业研发应用适用各类场景的生产管理系统。</w:t>
            </w:r>
            <w:bookmarkEnd w:id="120"/>
            <w:bookmarkEnd w:id="121"/>
            <w:bookmarkEnd w:id="12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23" w:name="_Toc5774"/>
            <w:bookmarkStart w:id="124" w:name="_Toc28606"/>
            <w:bookmarkStart w:id="125" w:name="_Toc15444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3.初步建立全省建筑产品质量溯源体系。</w:t>
            </w:r>
            <w:bookmarkEnd w:id="123"/>
            <w:bookmarkEnd w:id="124"/>
            <w:bookmarkEnd w:id="12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26" w:name="_Toc10922"/>
            <w:bookmarkStart w:id="127" w:name="_Toc6666"/>
            <w:bookmarkStart w:id="128" w:name="_Toc26143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  <w:bookmarkEnd w:id="126"/>
            <w:bookmarkEnd w:id="127"/>
            <w:bookmarkEnd w:id="128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29" w:name="_Toc10836"/>
            <w:bookmarkStart w:id="130" w:name="_Toc31356"/>
            <w:bookmarkStart w:id="131" w:name="_Toc28625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形成完善的智能建造产品质量溯源体系。</w:t>
            </w:r>
            <w:bookmarkEnd w:id="129"/>
            <w:bookmarkEnd w:id="130"/>
            <w:bookmarkEnd w:id="131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生产工厂数字化工具全面普及，信息化管理系统广泛应用。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32" w:name="_Toc21843"/>
      <w:bookmarkStart w:id="133" w:name="_Toc30644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（三）推行智能施工</w:t>
      </w:r>
      <w:bookmarkEnd w:id="132"/>
      <w:bookmarkEnd w:id="133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7.建设智慧工地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应用5D-BIM技术，构建施工过程、生产要素、管理要素全面感知、互联互通的协同工作体系，建设数字孪生工地，推进施工管理可视化、智慧化、可追溯，提高施工管理效率和决策水平。深化虚拟建造与实体建造的融合应用，动态优化现场布局、建造次序和资源安排，推动建造自动化、智能化、少人化，实现精益实体建造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应用物联网+人工智能等信息技术，拓展劳务实名制管理、质量安全巡检、塔吊防碰撞等多元化业务，实现业务管理整体上云。开展智慧工地认证标准和评价体系建设，实现对施工智能化水平的分级评价。搭建数智建造监管服务平台，建立多层级监管体系，实现建筑产业链相关方业务数据交互、共享，一网统管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智慧工地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1.引导企业拓展智慧工地建设，初步实现智慧管理业务上云；制定智慧工地认证标准和评价体系，开展智慧工地示范建设评价。</w:t>
            </w:r>
          </w:p>
          <w:p>
            <w:pPr>
              <w:ind w:firstLine="64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建立政府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、企业级、项目级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不同层级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智慧工地建设实施指南，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实现全省在建项目智慧工地建设100%覆盖。</w:t>
            </w:r>
          </w:p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3.搭建数智建造监管服务平台，试点项目在线管理。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全面推动数据驱动智慧工地建设，数智建造监管服务平台功能完善、性能稳定，实现全省建造项目在线管理。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8.推进现场作业“类工厂”化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以复杂或特殊建设环境下的施工作业为重点，打造建筑业“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移动工厂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，提升现场作业的标准化、机械化、智能化水平，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实现高精度目标控制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拓展信息技术在建筑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中的应用广度和深度，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建立新型“类工厂”流水线建造模式，运用基于数字模型的工程产品数字化定义方法，研究由设计模型驱动施工作业过程的技术路径，推进施工现场工序模块化集成，实行平台化建造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打造智能拌合站、智能化钢筋加工中心、智慧梁场等创新样板工程，改善作业环境。在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测量、焊接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混凝土浇筑、构部件安装等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施工环节，加快建筑机器人研发应用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满足“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类工厂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建造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条件。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推进现场作业“类工厂”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1.打造一批“类工厂”示范项目，现场作业劳动力投入降低30%。</w:t>
            </w:r>
          </w:p>
          <w:p>
            <w:pPr>
              <w:ind w:firstLine="640" w:firstLineChars="20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2.初步建立“类工厂”施工技术体系。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3.实现建筑机器人在50个以上项目开展应用。</w:t>
            </w:r>
          </w:p>
          <w:p>
            <w:pPr>
              <w:spacing w:line="600" w:lineRule="exact"/>
              <w:ind w:firstLine="640" w:firstLineChars="200"/>
              <w:outlineLvl w:val="2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4.打造智能拌合站、智慧梁场等创新样板工程50个。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形成完善的“类工厂”施工技术体系，建立施工标准化实施方案和指导手册。实现功能完善、性能稳定的现场施工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建筑机器人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在工程项目广泛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3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9.研发智能施工装备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快推进智能造楼机、智能架桥机、智能塔吊、智能测绘装备等装备的迭代、推广和应用,重点推进“危、繁、脏、重”作业场景的装备应用。加强对新型传感、人机协作等智能工程装备核心技术的重点攻关，形成一批功能多样、实用性强的建筑智能工程装备标志性产品，构建智能建造产业装备体系。打造集成度高的智能装备管理平台，实现对现场智能装备的一体化管控和自动优化。定期发布技术成熟的智能装备目录，并在基础条件较好、需求迫切的地区率先推广应用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研发智能施工装备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1.加快适配应用场景建设，优化迭代智能造楼机、智能架桥机、智能塔吊、智能测绘装备等智能施工装备，推动轻量化、大范围应用。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2.实现不少于10款创新型智能装备量产。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3.打造智能工程装备应用示范项目不少于50项。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建立先进的智能装备集成平台，形成一批标志性智能装备产品。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34" w:name="_Toc20037"/>
      <w:bookmarkStart w:id="135" w:name="_Toc17235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（四）实施智能运维</w:t>
      </w:r>
      <w:bookmarkEnd w:id="134"/>
      <w:bookmarkEnd w:id="1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36" w:name="_Toc30673"/>
      <w:bookmarkStart w:id="137" w:name="_Toc20725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10.发展建筑智能运维</w:t>
      </w:r>
      <w:bookmarkEnd w:id="1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建筑内外部空间部署各类传感器、监控设备，采集建筑能耗、环境、视频、结构等数据，实现建筑空间和设备信息等全区域环境质量动态可视化。建立高度集成的数据闭环运维体系，利用BIM、物联网和人工智能等技术对设备进行远程调控和维护，实现一体化运维管理。基于运维大数据挖掘分析，实现事故的实时监测、故障分析、智能预测，有效检测系统异常并追本溯源，促进运维管理从“事后处置”向“事前预防”转变，为建筑后期运营维护的实时决策和应急处理提供保障。</w:t>
      </w:r>
      <w:bookmarkEnd w:id="137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通过不断迭代和优化，逐渐形成深度学习、自我优化的内生发展模式，提高建筑的智慧运维能力和水平。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发展建筑智能运维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1.打造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100栋智能运维建筑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firstLine="640" w:firstLineChars="200"/>
              <w:textAlignment w:val="auto"/>
              <w:rPr>
                <w:rFonts w:hint="default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2.全省遴选不少于30栋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智能运维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示范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全面推广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建筑智能运维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实现建筑运维无人值守、故障自愈、自主优化，打造自主可靠高效的智慧建筑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38" w:name="_Toc19328"/>
      <w:bookmarkStart w:id="139" w:name="_Toc24934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基础设施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智慧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运维</w:t>
      </w:r>
      <w:bookmarkEnd w:id="138"/>
      <w:bookmarkEnd w:id="13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推进物联网、大数据、云计算、北斗、人工智能、5G等新技术与传统基础设施管养的深度融合，集成人员、技术、装备、数据、管理等要素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打造基础设施智慧运维服务体系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桥隧等基础设施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数据资源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的统一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互联互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，解决大型基础设施工程迭代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复杂、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限制因素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接口杂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难题，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信息快速查询、数据智能分析、健康状态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评估等功能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可感知、可识别、可评估、可预测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自动调控、自我管理、自我维修、自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适应的智慧运维生态系统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对基础设施运维全过程、全要素的数字化、智慧化、网络化、精准化、主动式、预防性管理。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推进基础设施智慧运维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pStyle w:val="9"/>
              <w:ind w:firstLine="640" w:firstLineChars="200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1.引导不少于10家企业开展</w:t>
            </w:r>
            <w:r>
              <w:rPr>
                <w:rFonts w:hint="default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设施智慧运维业务，打造基础设施智慧运维示范工程。</w:t>
            </w:r>
          </w:p>
          <w:p>
            <w:pPr>
              <w:pStyle w:val="9"/>
              <w:ind w:firstLine="640" w:firstLineChars="200"/>
              <w:rPr>
                <w:rFonts w:hint="default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2.打造统一的基础设施智慧运维集中管控平台。</w:t>
            </w:r>
          </w:p>
          <w:p>
            <w:r>
              <w:rPr>
                <w:rFonts w:hint="default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3.建立路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桥隧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设施智慧运维标准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数据资源的统一管理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制。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  <w:bookmarkStart w:id="140" w:name="_Toc20352"/>
            <w:bookmarkStart w:id="141" w:name="_Toc4125"/>
            <w:bookmarkStart w:id="142" w:name="_Toc17578"/>
          </w:p>
          <w:p>
            <w:pPr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实现基础设施全生命周期运维信息的实时共享与交换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，形成功能完善、技术全面、标准统一的基础设施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智慧运维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服务体系。</w:t>
            </w:r>
            <w:bookmarkEnd w:id="140"/>
            <w:bookmarkEnd w:id="141"/>
            <w:bookmarkEnd w:id="14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43" w:name="_Toc2355"/>
      <w:bookmarkStart w:id="144" w:name="_Toc22885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（五）搭建建筑产业互联网平台</w:t>
      </w:r>
      <w:bookmarkEnd w:id="143"/>
      <w:bookmarkEnd w:id="1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45" w:name="_Toc27128"/>
      <w:bookmarkStart w:id="146" w:name="_Toc1701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12.打造行业级服务平台</w:t>
      </w:r>
      <w:bookmarkEnd w:id="145"/>
      <w:bookmarkEnd w:id="1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推进行业级建筑产业互联网平台建设，推动全产业链高效共享各种要素资源，提高建筑产业供应链协同水平。培育工程物资采购类平台，实现在线协同交易，降低企业交易成本。建设项目全生命周期三维数字产品及部品部件管理平台，整合全产业链设备产品、部品部件模型的计量计价等信息，提升信息传递效率，实现产业协同。培育工程机械在线租赁平台，整合设备租赁行业资源，拓宽供需双方的信息渠道，实现租赁信息的高效对接。完善湖北省建筑市场用工信息服务平台，优化建筑市场人力资源配置，降低企业用工成本。加强公共建筑碳排放监测平台建设，扩大监管覆盖范围，规范测评工作流程和管理制度。逐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打造对接全省工程项目、运营管理全流程数据与服务的“工程云”平台，辅助政府决策分析，带动产业上下游发展。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打造行业级服务平台核心任务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47" w:name="_Toc18433"/>
            <w:bookmarkStart w:id="148" w:name="_Toc9710"/>
            <w:bookmarkStart w:id="149" w:name="_Toc7045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1.建成部品部件生产采购配送、工程机械设备租赁、建筑劳务用工、装饰装修等重点领域行业级服务平台10个。</w:t>
            </w:r>
            <w:bookmarkEnd w:id="147"/>
            <w:bookmarkEnd w:id="148"/>
            <w:bookmarkEnd w:id="149"/>
          </w:p>
          <w:p>
            <w:pPr>
              <w:pStyle w:val="9"/>
              <w:ind w:firstLine="640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建成年交易额300亿以上，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集电子招标、在线交易、物流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整合、供应链融资等服务为一体的建筑行业物资采购垂直电子商务平台10个。</w:t>
            </w:r>
          </w:p>
          <w:p>
            <w:pPr>
              <w:pStyle w:val="9"/>
              <w:ind w:firstLine="64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3.建设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对接全省工程项目的“工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/>
                <w14:textFill>
                  <w14:solidFill>
                    <w14:schemeClr w14:val="tx1"/>
                  </w14:solidFill>
                </w14:textFill>
              </w:rPr>
              <w:t>程云”平台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基于企业信用体系与数字增信的产业金融平台2个。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50" w:name="_Toc9735"/>
            <w:bookmarkStart w:id="151" w:name="_Toc26356"/>
            <w:bookmarkStart w:id="152" w:name="_Toc19939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基本建成数字化生态体系，产业链整体协同效率大幅提升。</w:t>
            </w:r>
            <w:bookmarkEnd w:id="150"/>
            <w:bookmarkEnd w:id="151"/>
            <w:bookmarkEnd w:id="15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53" w:name="_Toc26429"/>
      <w:bookmarkStart w:id="154" w:name="_Toc1914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13.培育企业级智能建造运营平台</w:t>
      </w:r>
      <w:bookmarkEnd w:id="153"/>
      <w:bookmarkEnd w:id="1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以企业资源计划（ERP）平台和建筑虚拟孪生模型为基础，建设企业级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智能建造运营平台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贯通企业内外部供应链、产业链、价值链，实现企业资源集约调配，提升企业运营管理效益。加强产学研用协同攻关，建立设计-建造-运维养护全过程全视角全专业系统集成平台，实现土建工程、核心装备、运维养护等各子系统的有机衔接与集成优化，提升产业链韧性和安全水平。建立项目数字化管理平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针对勘察、设计、施工、运维等特定环节和场景，以轻量化的方式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推进项目管理个性化定制，为在建工程项目提供控制中枢，实现项目建造信息在建筑全生命期的高效传递、交互和使用。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培育企业级智能建造运营平台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spacing w:line="600" w:lineRule="exact"/>
              <w:ind w:firstLine="640" w:firstLineChars="200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55" w:name="_Toc17514"/>
            <w:bookmarkStart w:id="156" w:name="_Toc27278"/>
            <w:bookmarkStart w:id="157" w:name="_Toc3633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行业龙头企业基本实现企业级智能建造运营平台全覆盖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155"/>
            <w:bookmarkEnd w:id="156"/>
            <w:bookmarkEnd w:id="157"/>
          </w:p>
          <w:p>
            <w:pPr>
              <w:spacing w:line="600" w:lineRule="exact"/>
              <w:outlineLvl w:val="2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智能建造运营平台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个以上项目应用。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58" w:name="_Toc17792"/>
            <w:bookmarkStart w:id="159" w:name="_Toc3134"/>
            <w:bookmarkStart w:id="160" w:name="_Toc16863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建筑业企业广泛应用企业级管理平台，实现项目流程化、智能化管理，提高全要素生产率。</w:t>
            </w:r>
            <w:bookmarkEnd w:id="158"/>
            <w:bookmarkEnd w:id="159"/>
            <w:bookmarkEnd w:id="16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61" w:name="_Toc13776"/>
      <w:bookmarkStart w:id="162" w:name="_Toc5516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培育智能建造服务新业态</w:t>
      </w:r>
      <w:bookmarkEnd w:id="161"/>
      <w:bookmarkEnd w:id="1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强化建筑产业互联网平台的资源集聚能力，开展面向不同场景的应用创新。构建以工业互联网、区块链等技术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为基础、以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建造全过程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监管和建筑工人薪酬发放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为核心的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产业互联网平台。推进湖北省建筑业大数据服务平台的建设，整合各类平台数据，提升数据统一管理能力，实现市场监测、数据分析、综合决策等功能，促成产业数据链的形成，协同推进供应链要素数据化和数据要素供应链化。加强顶层设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开展建筑产业互联网平台建设标准和评价体系建设，编制发展指南和白皮书。支持传统建造企业与互联网平台企业、行业性平台企业、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高端制造业、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金融机构等开展联合创新，共享技术、人才、市场、设施等资源，培育建筑行业服务型经济，构建“生产服务+商业模式+金融服务”跨界融合的数字化生态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培育智能建造服务新业态核心任务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spacing w:line="600" w:lineRule="exact"/>
              <w:ind w:firstLine="0" w:firstLineChars="0"/>
              <w:outlineLvl w:val="2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spacing w:line="240" w:lineRule="auto"/>
              <w:ind w:firstLine="640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建成湖北省建筑业大数据服务平台。</w:t>
            </w:r>
          </w:p>
          <w:p>
            <w:pPr>
              <w:spacing w:line="240" w:lineRule="auto"/>
              <w:ind w:firstLine="640"/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制定建筑产业互联网平台建设标准和评价体系，编制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发展指南和白皮书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600" w:lineRule="exact"/>
              <w:ind w:firstLine="0" w:firstLineChars="0"/>
              <w:outlineLvl w:val="2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探索完善产融信息对接工作机制，鼓励产业链龙头企业联合金融机构建设产融合作平台，促进产业和金融协调发展、互利共赢。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63" w:name="_Toc31831"/>
      <w:bookmarkStart w:id="164" w:name="_Toc25313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（六）加快标准体系建设</w:t>
      </w:r>
      <w:bookmarkEnd w:id="163"/>
      <w:bookmarkEnd w:id="16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65" w:name="_Toc31958"/>
      <w:bookmarkStart w:id="166" w:name="_Toc4109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15.明确智能建造数据标准</w:t>
      </w:r>
      <w:bookmarkEnd w:id="165"/>
      <w:bookmarkEnd w:id="1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建立覆盖设计、生产、施工、运维及产业互联网等建筑全产业链、全生命周期的数据标准体系，编制智能建造完整数据资源目录。建立产业链数据共享机制，统筹建立健全数据确权、交易、共享等制度体系。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明确智能建造数据标准核心任务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建立智能建造数据资源目录，发布智能建造产业标准，编制设计、生产、施工、运维等标准不少于50项。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67" w:name="_Toc24207"/>
            <w:bookmarkStart w:id="168" w:name="_Toc3579"/>
            <w:bookmarkStart w:id="169" w:name="_Toc20386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建立完善的智能建造数据标准体系，健全智能建造数据资产管理制度，实现数据资产确权、交易、共享。</w:t>
            </w:r>
            <w:bookmarkEnd w:id="167"/>
            <w:bookmarkEnd w:id="168"/>
            <w:bookmarkEnd w:id="169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70" w:name="_Toc19333"/>
      <w:bookmarkStart w:id="171" w:name="_Toc16982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16.制定智能建造评价标准</w:t>
      </w:r>
      <w:bookmarkEnd w:id="170"/>
      <w:bookmarkEnd w:id="1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开展智能建造产品质量技术标准建设，完善智能建造产品评价标准体系。以企业、工厂、项目为对象建立智能建造评价标准，明确各对象评价要素、评价指标、评价等级，形成设置合理、覆盖全面、评价科学的智能建造评价标准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制定智能建造评价标准核心任务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72" w:name="_Toc15997"/>
            <w:bookmarkStart w:id="173" w:name="_Toc2962"/>
            <w:bookmarkStart w:id="174" w:name="_Toc6549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1.完成智能建造评价体系建设，明确评价对象、评价要素、评价指标等，制定智能建造评价标准。</w:t>
            </w:r>
            <w:bookmarkEnd w:id="172"/>
            <w:bookmarkEnd w:id="173"/>
            <w:bookmarkEnd w:id="17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75" w:name="_Toc3975"/>
            <w:bookmarkStart w:id="176" w:name="_Toc17891"/>
            <w:bookmarkStart w:id="177" w:name="_Toc3763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2.发布企业级、项目级智能建造评价相关标准不少于5项，适时开展智能建造评价认定工作。</w:t>
            </w:r>
            <w:bookmarkEnd w:id="175"/>
            <w:bookmarkEnd w:id="176"/>
            <w:bookmarkEnd w:id="177"/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78" w:name="_Toc19391"/>
            <w:bookmarkStart w:id="179" w:name="_Toc14777"/>
            <w:bookmarkStart w:id="180" w:name="_Toc28859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全面构建智能建造评价系统，完善智能建造评价等级和评价机制，智能建造评价认定全覆盖。</w:t>
            </w:r>
            <w:bookmarkEnd w:id="178"/>
            <w:bookmarkEnd w:id="179"/>
            <w:bookmarkEnd w:id="18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81" w:name="_Toc22656"/>
      <w:bookmarkStart w:id="182" w:name="_Toc6579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17.完善建筑信息模型（BIM）标准</w:t>
      </w:r>
      <w:bookmarkEnd w:id="181"/>
      <w:bookmarkEnd w:id="182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定BIM信息生成规则、构部件编码规则及信息交互规则。建立数据收集、数据治理、应用管理和信息安全等建造全过程BIM应用标准体系。制定适用全省BIM的计费实施指南和数字化交付标准，推进全省建造管理工作标准化、信息化发展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完善建筑信息模型（BIM）标准体系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pStyle w:val="9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1.完善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数字化成果交付标准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，引导BIM应用标准化发展。</w:t>
            </w:r>
          </w:p>
          <w:p>
            <w:pPr>
              <w:pStyle w:val="9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2.制定BIM技术咨询及智慧工地建设费用计算规定。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</w:pPr>
            <w:bookmarkStart w:id="183" w:name="_Toc13343"/>
            <w:bookmarkStart w:id="184" w:name="_Toc3736"/>
            <w:bookmarkStart w:id="185" w:name="_Toc4695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3.完善数字化成果交付、审查和存档管理体系，实现数字化建造信息共享。健全数字化交付审查，加强建筑施工全过程数字化管理。</w:t>
            </w:r>
            <w:bookmarkEnd w:id="183"/>
            <w:bookmarkEnd w:id="184"/>
            <w:bookmarkEnd w:id="185"/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86" w:name="_Toc30128"/>
            <w:bookmarkStart w:id="187" w:name="_Toc12818"/>
            <w:bookmarkStart w:id="188" w:name="_Toc12170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推进建筑产业信息系统数据资源的深度融合，建立全省统一的BIM族库，完善互联网+数据城建档案库，发挥产业数字化资产价值。</w:t>
            </w:r>
            <w:bookmarkEnd w:id="186"/>
            <w:bookmarkEnd w:id="187"/>
            <w:bookmarkEnd w:id="188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89" w:name="_Toc31833"/>
      <w:bookmarkStart w:id="190" w:name="_Toc8538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（七）建立智能建造人才体系</w:t>
      </w:r>
      <w:bookmarkEnd w:id="189"/>
      <w:bookmarkEnd w:id="190"/>
    </w:p>
    <w:p>
      <w:pPr>
        <w:ind w:firstLine="643" w:firstLineChars="200"/>
        <w:outlineLvl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91" w:name="_Toc12757"/>
      <w:bookmarkStart w:id="192" w:name="_Toc1482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18.选育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领军人才</w:t>
      </w:r>
      <w:bookmarkEnd w:id="191"/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实施引才引智计划，精准引进一批智能建造知名专家和高端人才，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构筑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智能建造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人才集聚新高地。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开展产学研合作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创新中心、重点实验室等共性技术平台对人才的支撑引领作用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，对高层次管理人员进行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造就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一批领军人才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中青年专家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优先支持不同学科、不同领域、不同机构的研究人员联合承担重大科研项目和示范工程，培养具有突出技术创新能力、善于解决复杂工程问题的高素质复合型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“大师进学校”“名师进企业”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，利用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“武汉设计之都·独立设计师联盟”“国际青年城市创新设计联盟”等平台，组织创意设计赛事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培养创意设计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领军人才核心任务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93" w:name="_Toc1242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1.制定智能建造引才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计划，选育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领军人才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200人、中青年专家500名。</w:t>
            </w:r>
            <w:bookmarkEnd w:id="19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94" w:name="_Toc7122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2.实施“青年设计师培训”计划，每年培训5000名青年设计师。</w:t>
            </w:r>
            <w:bookmarkEnd w:id="194"/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pStyle w:val="20"/>
              <w:ind w:left="0" w:leftChars="0" w:firstLine="640" w:firstLineChars="200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依托重大科技项目，实施知识更新工程、技能提升行动，打造高层次专业团队。</w:t>
            </w:r>
          </w:p>
        </w:tc>
      </w:tr>
    </w:tbl>
    <w:p>
      <w:pPr>
        <w:ind w:firstLine="643" w:firstLineChars="200"/>
        <w:outlineLvl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195" w:name="_Toc10114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培储专业人才</w:t>
      </w:r>
      <w:bookmarkEnd w:id="195"/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深化新工科建设，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鼓励高校优化课程体系，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开设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智能建造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培养智能建造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专业人才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加大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卓越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工程师传帮带培养力度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，探索湖北特色人才培养模式，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支持优质企业、高校、科研院所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基地，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示范引领、传授经验、工程实践、技术攻关，搭建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智能建造人才成长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引导设计、生产、施工企业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技术人才的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产业化思维、提升数字化能力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，储备智能建造技术人才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培储专业人才核心任务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pStyle w:val="20"/>
              <w:ind w:left="0" w:leftChars="0" w:firstLine="640" w:firstLineChars="20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深化工学结合人才培养模式改革，培育高素质智能建造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人才2000人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0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pStyle w:val="20"/>
              <w:ind w:left="0" w:leftChars="0"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建立适应新型建造方式的职业培训、继续教育等教育培训体系。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96" w:name="_Toc20636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20.培养技能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人才</w:t>
      </w:r>
      <w:bookmarkEnd w:id="196"/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Hans" w:bidi="ar-SA"/>
          <w14:textFill>
            <w14:solidFill>
              <w14:schemeClr w14:val="tx1"/>
            </w14:solidFill>
          </w14:textFill>
        </w:rPr>
        <w:t>开展智能建造新兴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产业工人的培育工作，以“理论学习+实操培训+考核发证”新模式，丰富新兴工种的考核，实现产业工人持证上岗、规范操作、优化工艺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探索新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兴产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业技能竞赛模式，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以数字化、智能化为新导向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以赛练兵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推动产业工人技能提升。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Hans" w:bidi="ar-SA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企业以职业能力为导向，以工作业绩为重点，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Hans" w:bidi="ar-SA"/>
          <w14:textFill>
            <w14:solidFill>
              <w14:schemeClr w14:val="tx1"/>
            </w14:solidFill>
          </w14:textFill>
        </w:rPr>
        <w:t>建立首席技师制度、工匠创新工作室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Hans" w:bidi="ar-SA"/>
          <w14:textFill>
            <w14:solidFill>
              <w14:schemeClr w14:val="tx1"/>
            </w14:solidFill>
          </w14:textFill>
        </w:rPr>
        <w:t>高技能人才库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。推进企业与职业院校开展“订单式”人才培养，共谋专业规划、共商课程模式、共同招生招工、共建管理平台，形成“过程共管、人才共享”的校企合作办学模式，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Hans" w:bidi="ar-SA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产业工人的培育体系。</w:t>
      </w:r>
    </w:p>
    <w:tbl>
      <w:tblPr>
        <w:tblStyle w:val="16"/>
        <w:tblW w:w="860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培养技能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人才核心任务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2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推广校企合作“订单式”培养模式，培育订单式技能人才20000人。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2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完善产业工人培育体系，实现建筑产业工人专业素养和技术水平大幅提升。</w:t>
            </w:r>
          </w:p>
        </w:tc>
      </w:tr>
      <w:bookmarkEnd w:id="19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97" w:name="_Toc10616"/>
      <w:bookmarkStart w:id="198" w:name="_Toc10961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、保障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措施</w:t>
      </w:r>
      <w:bookmarkEnd w:id="197"/>
      <w:bookmarkEnd w:id="19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99" w:name="_Toc20422"/>
      <w:bookmarkStart w:id="200" w:name="_Toc3283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（一）加强组织领导。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成立工作专班，研究解决智能建造行动计划推进过程中的重大问题和事项。省住建厅牵头统筹推进智能建造发展工作，各专班成员聚焦目标任务，瞄准主攻方向，研究制定工作清单。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适时召开全省推进智能建造发展工作联席会，协调解决实际问题、指导推进重点工作。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发挥高校院所、科研机构、院士专家等科教人才优势，分产业组建专家咨询委员会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坚持政产学研共同缔造，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合力推动智能建造发展。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智能建造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发展情况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纳入地方经济社会发展考核</w:t>
      </w:r>
      <w:r>
        <w:rPr>
          <w:rStyle w:val="22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每年度考核各市州智能建造发展情况。</w:t>
      </w:r>
      <w:bookmarkEnd w:id="199"/>
      <w:bookmarkEnd w:id="20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01" w:name="_Toc28138"/>
      <w:bookmarkStart w:id="202" w:name="_Toc25388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产业联盟。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由智能建造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龙头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企业牵头，产业链上下游企业、相关领域优势高校、科研机构等联合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的湖北智能建造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协作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联盟。整合优势资源，促进联盟成员分工协作、共建共享，形成全产业链上下游融合一体的智能建造产业体系。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找准强链、补链、延链、固链关键环节，打造一批聚集项目开发、施工、运营维护及部品构件生产的智能建造龙头企业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引导中小建筑企业不断提升专业化能力，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建筑领域智能建造“专精特新”中小企业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定期开展全国性论坛、峰会交流活动，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借助联盟各方优势，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发挥联盟的内联外引作用。</w:t>
      </w:r>
      <w:bookmarkEnd w:id="201"/>
      <w:bookmarkEnd w:id="20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（三）夯实发展基础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市场主体地位，发挥政府在顶层设计、规划布局、政策制定等方面的引导作用，营造良好发展环境。强化科技赋能，推动科技成果转化，加快建筑产业转型升级。深化产融合作，鼓励金融机构积极开发适合智能建造产业特点的信贷产品，拓宽企业投融资渠道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协助企业积极申报省级、国家级企业技术中心和工程研发中心，支持申报科技类、创新类奖项，增强企业发展动力。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强化项目牵引。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智能建造项目评估机制，联合湖北省内行业权威机构、龙头企业、专业学者，实施技术评估，形成一批可复制可推广经验在全省范围内广泛应用。适时开展智能建造产业基地、项目的评审认定工作，充分发掘示范项目的亮点和优势，落实精益化监管与督导，打造一批工业化、智能化、绿色化试点基地、项目。鼓励企业制定智能建造品牌发展战略，以项目为载体，开展技术攻关和成果应用，提高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03" w:name="_Toc27123"/>
      <w:bookmarkStart w:id="204" w:name="_Toc20968"/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）强化宣传推广</w:t>
      </w:r>
      <w:r>
        <w:rPr>
          <w:rStyle w:val="22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开展智能建造相关政策宣贯、技术指导、交流合作、成果推广，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宣传智能建造在技术安全、性能、品质、经济、环保等方面的显著优势和综合效益，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增强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社会各方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对智能建造的认同感。积极开展智能建造项目示范，定期召开省级智能建造观摩会，宣传推广示范试点成果。构建国际化创新合作机制，加强国际交流，推进开放合作，营造智能建造健康发展的良好环境。</w:t>
      </w:r>
      <w:bookmarkEnd w:id="203"/>
      <w:bookmarkEnd w:id="20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bookmarkEnd w:id="0"/>
    <w:p>
      <w:bookmarkStart w:id="205" w:name="_GoBack"/>
      <w:bookmarkEnd w:id="205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3E6D5105"/>
    <w:rsid w:val="4A2658A1"/>
    <w:rsid w:val="5DCF50A5"/>
    <w:rsid w:val="5E977924"/>
    <w:rsid w:val="64EE55D5"/>
    <w:rsid w:val="7CFF4319"/>
    <w:rsid w:val="7F252A57"/>
    <w:rsid w:val="7FA964AB"/>
    <w:rsid w:val="ADCF36D3"/>
    <w:rsid w:val="AFD74281"/>
    <w:rsid w:val="BBFDC2CE"/>
    <w:rsid w:val="BCA7C6C5"/>
    <w:rsid w:val="EC7F5F3F"/>
    <w:rsid w:val="ED6B8DDB"/>
    <w:rsid w:val="FF77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600" w:lineRule="exact"/>
      <w:ind w:firstLine="640" w:firstLineChars="20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spacing w:before="0" w:beforeAutospacing="0" w:after="0" w:afterAutospacing="0" w:line="600" w:lineRule="exact"/>
      <w:ind w:firstLine="640" w:firstLineChars="200"/>
      <w:jc w:val="left"/>
      <w:outlineLvl w:val="2"/>
    </w:pPr>
    <w:rPr>
      <w:rFonts w:hint="eastAsia" w:ascii="宋体" w:hAnsi="宋体" w:eastAsia="仿宋" w:cs="宋体"/>
      <w:bCs/>
      <w:kern w:val="0"/>
      <w:sz w:val="32"/>
      <w:szCs w:val="27"/>
      <w:lang w:bidi="ar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4" w:lineRule="auto"/>
      <w:ind w:firstLine="640" w:firstLineChars="200"/>
      <w:outlineLvl w:val="3"/>
    </w:pPr>
    <w:rPr>
      <w:rFonts w:ascii="Cambria" w:hAnsi="Cambria" w:eastAsia="仿宋" w:cstheme="minorBidi"/>
      <w:b/>
      <w:kern w:val="0"/>
      <w:sz w:val="28"/>
      <w:szCs w:val="2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 w:line="600" w:lineRule="exact"/>
      <w:ind w:left="420" w:leftChars="200" w:firstLine="640" w:firstLineChars="200"/>
    </w:pPr>
    <w:rPr>
      <w:rFonts w:eastAsia="仿宋" w:asciiTheme="minorAscii" w:hAnsiTheme="minorAscii" w:cstheme="minorBidi"/>
      <w:szCs w:val="22"/>
    </w:rPr>
  </w:style>
  <w:style w:type="paragraph" w:styleId="7">
    <w:name w:val="Normal Indent"/>
    <w:basedOn w:val="1"/>
    <w:next w:val="6"/>
    <w:qFormat/>
    <w:uiPriority w:val="0"/>
    <w:pPr>
      <w:spacing w:line="600" w:lineRule="exact"/>
      <w:ind w:firstLine="200" w:firstLineChars="200"/>
    </w:pPr>
    <w:rPr>
      <w:rFonts w:eastAsia="仿宋" w:asciiTheme="minorAscii" w:hAnsiTheme="minorAscii" w:cstheme="minorBidi"/>
      <w:szCs w:val="22"/>
    </w:rPr>
  </w:style>
  <w:style w:type="paragraph" w:styleId="8">
    <w:name w:val="Body Text"/>
    <w:basedOn w:val="1"/>
    <w:qFormat/>
    <w:uiPriority w:val="0"/>
    <w:pPr>
      <w:widowControl w:val="0"/>
      <w:spacing w:after="120" w:afterLines="0" w:afterAutospacing="0" w:line="600" w:lineRule="exact"/>
      <w:ind w:firstLine="64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9">
    <w:name w:val="Plain Text"/>
    <w:basedOn w:val="1"/>
    <w:next w:val="10"/>
    <w:qFormat/>
    <w:uiPriority w:val="0"/>
    <w:pPr>
      <w:spacing w:line="600" w:lineRule="exact"/>
      <w:ind w:firstLine="640" w:firstLineChars="200"/>
    </w:pPr>
    <w:rPr>
      <w:rFonts w:ascii="宋体" w:hAnsi="宋体" w:eastAsia="宋体" w:cs="Courier New"/>
      <w:szCs w:val="21"/>
    </w:rPr>
  </w:style>
  <w:style w:type="paragraph" w:styleId="10">
    <w:name w:val="index 9"/>
    <w:basedOn w:val="1"/>
    <w:next w:val="1"/>
    <w:unhideWhenUsed/>
    <w:qFormat/>
    <w:uiPriority w:val="99"/>
    <w:pPr>
      <w:spacing w:line="600" w:lineRule="exact"/>
      <w:ind w:left="3360" w:firstLine="640" w:firstLineChars="200"/>
    </w:pPr>
    <w:rPr>
      <w:rFonts w:ascii="Times New Roman" w:hAnsi="Times New Roman" w:eastAsia="宋体" w:cs="等线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 w:line="600" w:lineRule="exact"/>
      <w:ind w:left="0" w:right="0" w:firstLine="640" w:firstLineChars="200"/>
      <w:jc w:val="left"/>
    </w:pPr>
    <w:rPr>
      <w:rFonts w:eastAsia="仿宋" w:asciiTheme="minorAscii" w:hAnsiTheme="minorAscii" w:cstheme="minorBidi"/>
      <w:kern w:val="0"/>
      <w:sz w:val="24"/>
      <w:szCs w:val="22"/>
      <w:lang w:val="en-US" w:eastAsia="zh-CN" w:bidi="ar"/>
    </w:rPr>
  </w:style>
  <w:style w:type="paragraph" w:styleId="14">
    <w:name w:val="Body Text First Indent"/>
    <w:basedOn w:val="8"/>
    <w:qFormat/>
    <w:uiPriority w:val="0"/>
    <w:pPr>
      <w:ind w:firstLine="420" w:firstLineChars="100"/>
    </w:p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customStyle="1" w:styleId="19">
    <w:name w:val="标题 3 Char"/>
    <w:link w:val="5"/>
    <w:qFormat/>
    <w:uiPriority w:val="0"/>
    <w:rPr>
      <w:rFonts w:hint="eastAsia" w:ascii="宋体" w:hAnsi="宋体" w:eastAsia="仿宋" w:cs="宋体"/>
      <w:bCs/>
      <w:kern w:val="0"/>
      <w:sz w:val="32"/>
      <w:szCs w:val="27"/>
      <w:lang w:bidi="ar"/>
    </w:rPr>
  </w:style>
  <w:style w:type="paragraph" w:customStyle="1" w:styleId="20">
    <w:name w:val="BodyText1I2"/>
    <w:basedOn w:val="21"/>
    <w:next w:val="1"/>
    <w:qFormat/>
    <w:uiPriority w:val="0"/>
    <w:pPr>
      <w:ind w:left="200" w:leftChars="200" w:firstLine="630"/>
      <w:jc w:val="both"/>
      <w:textAlignment w:val="baseline"/>
    </w:pPr>
    <w:rPr>
      <w:rFonts w:ascii="Times New Roman" w:hAnsi="Times New Roman" w:eastAsia="宋体"/>
      <w:kern w:val="0"/>
      <w:sz w:val="21"/>
      <w:szCs w:val="20"/>
      <w:lang w:val="en-US" w:eastAsia="zh-CN" w:bidi="ar-SA"/>
    </w:rPr>
  </w:style>
  <w:style w:type="paragraph" w:customStyle="1" w:styleId="21">
    <w:name w:val="BodyTextIndent"/>
    <w:basedOn w:val="1"/>
    <w:next w:val="1"/>
    <w:qFormat/>
    <w:uiPriority w:val="0"/>
    <w:pPr>
      <w:spacing w:line="600" w:lineRule="exact"/>
      <w:ind w:firstLine="630" w:firstLineChars="200"/>
      <w:jc w:val="both"/>
      <w:textAlignment w:val="baseline"/>
    </w:pPr>
    <w:rPr>
      <w:rFonts w:ascii="仿宋_GB2312" w:hAnsi="Times New Roman" w:eastAsia="仿宋_GB2312" w:cstheme="minorBidi"/>
      <w:kern w:val="0"/>
      <w:sz w:val="30"/>
      <w:szCs w:val="30"/>
      <w:lang w:val="en-US" w:eastAsia="zh-CN" w:bidi="ar-SA"/>
    </w:rPr>
  </w:style>
  <w:style w:type="character" w:customStyle="1" w:styleId="22">
    <w:name w:val="fontstyle01"/>
    <w:basedOn w:val="17"/>
    <w:qFormat/>
    <w:uiPriority w:val="0"/>
    <w:rPr>
      <w:rFonts w:hint="default" w:ascii="楷体" w:hAnsi="楷体" w:eastAsia="宋体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24</Pages>
  <Words>9682</Words>
  <Characters>10009</Characters>
  <Lines>0</Lines>
  <Paragraphs>0</Paragraphs>
  <TotalTime>62</TotalTime>
  <ScaleCrop>false</ScaleCrop>
  <LinksUpToDate>false</LinksUpToDate>
  <CharactersWithSpaces>10196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2022-11-07T00:48:00Z</dcterms:created>
  <dc:creator>LENOVO</dc:creator>
  <cp:lastModifiedBy>冯卫/信息中心/湖北省住房和城乡建设厅</cp:lastModifiedBy>
  <cp:lastPrinted>2022-11-07T03:33:00Z</cp:lastPrinted>
  <dcterms:modified xsi:type="dcterms:W3CDTF">2022-11-07T06:55:23Z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6DDB3265830E4E438804A62EE821AA32</vt:lpwstr>
  </property>
</Properties>
</file>