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contextualSpacing/>
        <w:jc w:val="center"/>
        <w:rPr>
          <w:rFonts w:hint="eastAsia" w:ascii="方正小标宋_GBK" w:eastAsia="方正小标宋_GBK"/>
          <w:color w:val="000000" w:themeColor="text1"/>
          <w:w w:val="90"/>
          <w:sz w:val="44"/>
          <w:szCs w:val="44"/>
          <w14:textFill>
            <w14:solidFill>
              <w14:schemeClr w14:val="tx1"/>
            </w14:solidFill>
          </w14:textFill>
        </w:rPr>
      </w:pPr>
      <w:bookmarkStart w:id="1" w:name="_GoBack"/>
      <w:bookmarkEnd w:id="1"/>
      <w:bookmarkStart w:id="0" w:name="zhengwen"/>
      <w:r>
        <w:rPr>
          <w:rFonts w:hint="eastAsia" w:ascii="方正小标宋_GBK" w:eastAsia="方正小标宋_GBK"/>
          <w:color w:val="000000" w:themeColor="text1"/>
          <w:w w:val="90"/>
          <w:sz w:val="44"/>
          <w:szCs w:val="44"/>
          <w14:textFill>
            <w14:solidFill>
              <w14:schemeClr w14:val="tx1"/>
            </w14:solidFill>
          </w14:textFill>
        </w:rPr>
        <w:t>2023年省级城乡建设发展引导资金</w:t>
      </w:r>
    </w:p>
    <w:p>
      <w:pPr>
        <w:spacing w:line="720" w:lineRule="exact"/>
        <w:contextualSpacing/>
        <w:jc w:val="center"/>
        <w:rPr>
          <w:rStyle w:val="14"/>
          <w:rFonts w:hint="eastAsia" w:ascii="方正小标宋_GBK" w:eastAsia="方正小标宋_GBK"/>
          <w:i w:val="0"/>
          <w:iCs w:val="0"/>
          <w:color w:val="000000" w:themeColor="text1"/>
          <w:w w:val="90"/>
          <w:sz w:val="44"/>
          <w:szCs w:val="44"/>
          <w14:textFill>
            <w14:solidFill>
              <w14:schemeClr w14:val="tx1"/>
            </w14:solidFill>
          </w14:textFill>
        </w:rPr>
      </w:pPr>
      <w:r>
        <w:rPr>
          <w:rFonts w:hint="eastAsia" w:ascii="方正小标宋_GBK" w:eastAsia="方正小标宋_GBK"/>
          <w:color w:val="000000" w:themeColor="text1"/>
          <w:w w:val="90"/>
          <w:sz w:val="44"/>
          <w:szCs w:val="44"/>
          <w14:textFill>
            <w14:solidFill>
              <w14:schemeClr w14:val="tx1"/>
            </w14:solidFill>
          </w14:textFill>
        </w:rPr>
        <w:t>项目申报指南</w:t>
      </w:r>
    </w:p>
    <w:p>
      <w:pPr>
        <w:keepNext w:val="0"/>
        <w:keepLines w:val="0"/>
        <w:pageBreakBefore w:val="0"/>
        <w:widowControl w:val="0"/>
        <w:kinsoku/>
        <w:wordWrap/>
        <w:topLinePunct w:val="0"/>
        <w:autoSpaceDE/>
        <w:autoSpaceDN/>
        <w:bidi w:val="0"/>
        <w:adjustRightInd/>
        <w:snapToGrid/>
        <w:spacing w:line="600" w:lineRule="exact"/>
        <w:ind w:left="0" w:leftChars="0" w:firstLine="88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eastAsia="方正小标宋简体" w:cs="黑体"/>
          <w:color w:val="000000" w:themeColor="text1"/>
          <w:sz w:val="44"/>
          <w:szCs w:val="44"/>
          <w14:textFill>
            <w14:solidFill>
              <w14:schemeClr w14:val="tx1"/>
            </w14:solidFill>
          </w14:textFill>
        </w:rPr>
        <w:t>　　</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推动城乡建设绿色发展，充分发挥省级城乡建设发展引导资金的引导激励作用，提高财政资金使用效益，根据《中华人民共和国预算法实施条例》《湖北省省级城乡建设发展引导资金管理办法》，结合工作实际，制定本指南。</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一、资金安排原则</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（一）突出重点。</w:t>
      </w:r>
      <w:r>
        <w:rPr>
          <w:rFonts w:hint="eastAsia" w:ascii="仿宋_GB2312" w:hAnsi="仿宋_GB2312" w:eastAsia="仿宋_GB2312" w:cs="仿宋_GB2312"/>
          <w:color w:val="000000" w:themeColor="text1"/>
          <w:sz w:val="32"/>
          <w:szCs w:val="32"/>
          <w14:textFill>
            <w14:solidFill>
              <w14:schemeClr w14:val="tx1"/>
            </w14:solidFill>
          </w14:textFill>
        </w:rPr>
        <w:t>重点支持省委、省政府确定的城乡建设发展重大工作部署、重大事项，适当向乡村振兴重点帮扶县倾斜。</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（二）面向基层。</w:t>
      </w:r>
      <w:r>
        <w:rPr>
          <w:rFonts w:hint="eastAsia" w:ascii="仿宋_GB2312" w:hAnsi="仿宋_GB2312" w:eastAsia="仿宋_GB2312" w:cs="仿宋_GB2312"/>
          <w:color w:val="000000" w:themeColor="text1"/>
          <w:sz w:val="32"/>
          <w:szCs w:val="32"/>
          <w14:textFill>
            <w14:solidFill>
              <w14:schemeClr w14:val="tx1"/>
            </w14:solidFill>
          </w14:textFill>
        </w:rPr>
        <w:t>向小城镇和农村公益性基础设施建设项目倾斜，向群众最迫切、最期盼、最需要解决的民生问题倾斜，为群众多办好事、办实事、解难题。</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（三）激励先进。</w:t>
      </w:r>
      <w:r>
        <w:rPr>
          <w:rFonts w:hint="eastAsia" w:ascii="仿宋_GB2312" w:hAnsi="仿宋_GB2312" w:eastAsia="仿宋_GB2312" w:cs="仿宋_GB2312"/>
          <w:color w:val="000000" w:themeColor="text1"/>
          <w:sz w:val="32"/>
          <w:szCs w:val="32"/>
          <w14:textFill>
            <w14:solidFill>
              <w14:schemeClr w14:val="tx1"/>
            </w14:solidFill>
          </w14:textFill>
        </w:rPr>
        <w:t>将各地上年度相关工作推进情况及预算绩效情况作为本年度引导资金安排的参考因素，切实提高引导资金使用绩效。</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二、资金支持方向</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省厅根据全省城乡建设与发展的有关规划、年度重点工作计划及有关规定，确定2023年省级城乡建设发展引导资金的支持方向，分为</w:t>
      </w:r>
      <w:r>
        <w:rPr>
          <w:rFonts w:hint="eastAsia" w:ascii="仿宋_GB2312" w:hAnsi="仿宋_GB2312" w:eastAsia="仿宋_GB2312" w:cs="仿宋_GB2312"/>
          <w:b/>
          <w:color w:val="000000" w:themeColor="text1"/>
          <w:sz w:val="32"/>
          <w:szCs w:val="32"/>
          <w14:textFill>
            <w14:solidFill>
              <w14:schemeClr w14:val="tx1"/>
            </w14:solidFill>
          </w14:textFill>
        </w:rPr>
        <w:t>市州申报项目方向</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b/>
          <w:color w:val="000000" w:themeColor="text1"/>
          <w:sz w:val="32"/>
          <w:szCs w:val="32"/>
          <w14:textFill>
            <w14:solidFill>
              <w14:schemeClr w14:val="tx1"/>
            </w14:solidFill>
          </w14:textFill>
        </w:rPr>
        <w:t>省厅统筹支持项目方向</w:t>
      </w:r>
      <w:r>
        <w:rPr>
          <w:rFonts w:hint="eastAsia" w:ascii="仿宋_GB2312" w:hAnsi="仿宋_GB2312" w:eastAsia="仿宋_GB2312" w:cs="仿宋_GB2312"/>
          <w:color w:val="000000" w:themeColor="text1"/>
          <w:sz w:val="32"/>
          <w:szCs w:val="32"/>
          <w14:textFill>
            <w14:solidFill>
              <w14:schemeClr w14:val="tx1"/>
            </w14:solidFill>
          </w14:textFill>
        </w:rPr>
        <w:t>两个方面：</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contextualSpacing/>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市州申报项目方向</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该类项目由市州住（城）建局统筹组织县（市、区）进行申报，逐级申报、汇总，报省厅对口处室审核、评审，并拟定资金分配方案。</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1.村镇建设项目</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（1）“擦亮小城镇”建设美丽城镇整县推进项目。</w:t>
      </w:r>
      <w:r>
        <w:rPr>
          <w:rFonts w:hint="eastAsia" w:ascii="仿宋_GB2312" w:hAnsi="仿宋_GB2312" w:eastAsia="仿宋_GB2312" w:cs="仿宋_GB2312"/>
          <w:color w:val="000000" w:themeColor="text1"/>
          <w:sz w:val="32"/>
          <w:szCs w:val="32"/>
          <w14:textFill>
            <w14:solidFill>
              <w14:schemeClr w14:val="tx1"/>
            </w14:solidFill>
          </w14:textFill>
        </w:rPr>
        <w:t>各市州根据《湖北省“擦亮小城镇”建设美丽城镇三年行动成效评价办法（试行）》，推荐整县推进、工作成效好的县（市、区）名单，要求县委县政府出台美丽城镇建设政策文件；有专项资金安排；有实施方案；2023年打造3个以上示范乡镇。省级组织评审并给予资金支持。</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（2）农房质量安全品质提升。</w:t>
      </w:r>
      <w:r>
        <w:rPr>
          <w:rFonts w:hint="eastAsia" w:ascii="仿宋_GB2312" w:hAnsi="仿宋_GB2312" w:eastAsia="仿宋_GB2312" w:cs="仿宋_GB2312"/>
          <w:color w:val="000000" w:themeColor="text1"/>
          <w:sz w:val="32"/>
          <w:szCs w:val="32"/>
          <w14:textFill>
            <w14:solidFill>
              <w14:schemeClr w14:val="tx1"/>
            </w14:solidFill>
          </w14:textFill>
        </w:rPr>
        <w:t>各市州从农房建设审批、风貌管控、质量安全、功能品质及乡村建设工匠培训等方面选取工作情况较好的县（市、区）进行申报，每个市（州）可推荐2-4个。省级组织召开专家评审会，按照市州评分占30%、专家评分占40%，省厅评分占30%确定名次，具备集中连片安置或改造条件的县（市、区）予以适当加分。</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（3）传统村落集中连片保护利用示范。</w:t>
      </w:r>
      <w:r>
        <w:rPr>
          <w:rFonts w:hint="eastAsia" w:ascii="仿宋_GB2312" w:hAnsi="仿宋_GB2312" w:eastAsia="仿宋_GB2312" w:cs="仿宋_GB2312"/>
          <w:color w:val="000000" w:themeColor="text1"/>
          <w:sz w:val="32"/>
          <w:szCs w:val="32"/>
          <w14:textFill>
            <w14:solidFill>
              <w14:schemeClr w14:val="tx1"/>
            </w14:solidFill>
          </w14:textFill>
        </w:rPr>
        <w:t>每个市州推荐1个挂牌中国传统村落数量在5个以上的县（市）进行培育申报，全省按照村落个数多少、传统村落活化利用情况、投资支持力度等进行排序，对贫困县优先支持且保证地域差异化、革命老区优先支持（麻城市、通山县已列入传统村落集中连片保护中央资金支持范围，不再申报）。</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（4）乡村环境微改造共建。</w:t>
      </w:r>
      <w:r>
        <w:rPr>
          <w:rFonts w:hint="eastAsia" w:ascii="仿宋_GB2312" w:hAnsi="仿宋_GB2312" w:eastAsia="仿宋_GB2312" w:cs="仿宋_GB2312"/>
          <w:color w:val="000000" w:themeColor="text1"/>
          <w:sz w:val="32"/>
          <w:szCs w:val="32"/>
          <w14:textFill>
            <w14:solidFill>
              <w14:schemeClr w14:val="tx1"/>
            </w14:solidFill>
          </w14:textFill>
        </w:rPr>
        <w:t>根据《关于开展美好环境与幸福生活共同缔造活动试点工作的通知》（鄂办发〔2022〕23号），各县（市、区）按照乡村环境微改造共建活动开展的基础条件和组织发动情况选取的1个行政村进行申报。省级组织专家评审会，进行评分排序。</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（5）小城镇及村庄环境整治。</w:t>
      </w:r>
      <w:r>
        <w:rPr>
          <w:rFonts w:hint="eastAsia" w:ascii="仿宋_GB2312" w:hAnsi="仿宋_GB2312" w:eastAsia="仿宋_GB2312" w:cs="仿宋_GB2312"/>
          <w:color w:val="000000" w:themeColor="text1"/>
          <w:sz w:val="32"/>
          <w:szCs w:val="32"/>
          <w14:textFill>
            <w14:solidFill>
              <w14:schemeClr w14:val="tx1"/>
            </w14:solidFill>
          </w14:textFill>
        </w:rPr>
        <w:t>根据《中共湖北省委 湖北省人民政府贯彻&lt;中共中央 国务院关于做好2023年全面推进乡村振兴重点工作的意见&gt;的实施意见》（鄂发〔2023〕1号），《省委办公厅 省政府办公厅关于印发&lt;湖北省乡村建设行动推进方案&gt;的通知》（鄂办发〔2022〕24号），《住房和城乡建设部等11部门关于印发农房质量安全提升工程专项推进方案的通知》（建村〔2022〕81号），重点支持农房风貌和村容村貌提升。各市州对各县（市、区）申请支持项目开展评审，并以县为单位对拟申报项目进行排序报省厅。每个县申报项目数量不超过５个。省厅结合平时工作调研、督查等情况，对所有县（市、区）2022年村镇建设重点工作开展情况以百分制进行评分并分档确定补助对象及额度。</w:t>
      </w:r>
      <w:r>
        <w:rPr>
          <w:rFonts w:hint="eastAsia" w:ascii="仿宋_GB2312" w:hAnsi="仿宋_GB2312" w:eastAsia="仿宋_GB2312" w:cs="仿宋_GB2312"/>
          <w:b/>
          <w:color w:val="000000" w:themeColor="text1"/>
          <w:sz w:val="32"/>
          <w:szCs w:val="32"/>
          <w14:textFill>
            <w14:solidFill>
              <w14:schemeClr w14:val="tx1"/>
            </w14:solidFill>
          </w14:textFill>
        </w:rPr>
        <w:t>同时遵循以下原则：一是2022年已享受小城镇和村庄环境整治补助的镇、村，今年不再安排；二是每个镇最多只安排一个该类别项目；三是按照各市（州）报送的申报文件中，各县（市、区）项目顺序依次安排。</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以上村镇建设项目请报至省厅村镇建设处，联系人：陈颖 027-68873059邮箱：</w:t>
      </w:r>
      <w:r>
        <w:rPr>
          <w:rFonts w:hint="eastAsia" w:ascii="仿宋_GB2312" w:hAnsi="仿宋_GB2312" w:eastAsia="仿宋_GB2312" w:cs="仿宋_GB2312"/>
          <w:color w:val="000000" w:themeColor="text1"/>
          <w:sz w:val="32"/>
          <w:szCs w:val="32"/>
          <w:u w:val="none"/>
          <w14:textFill>
            <w14:solidFill>
              <w14:schemeClr w14:val="tx1"/>
            </w14:solidFill>
          </w14:textFill>
        </w:rPr>
        <w:t>czc@hbszjt.net.cn</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2．城市建设项目</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（1）城市建设领域试点。</w:t>
      </w:r>
      <w:r>
        <w:rPr>
          <w:rFonts w:hint="eastAsia" w:ascii="仿宋_GB2312" w:hAnsi="仿宋_GB2312" w:eastAsia="仿宋_GB2312" w:cs="仿宋_GB2312"/>
          <w:color w:val="000000" w:themeColor="text1"/>
          <w:sz w:val="32"/>
          <w:szCs w:val="32"/>
          <w14:textFill>
            <w14:solidFill>
              <w14:schemeClr w14:val="tx1"/>
            </w14:solidFill>
          </w14:textFill>
        </w:rPr>
        <w:t>各市州按照《关于申报城市建设领域省级试点的通知》要求，围绕城市更新试点、老旧小区新模式探索试点、新城建试点、智慧城市与智能网联汽车协同发展试点、污水处理厂网一体和按污染物付费试点及其他类型试点等开展相关申报工作。</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（2）城市建设领域重点项目。</w:t>
      </w:r>
      <w:r>
        <w:rPr>
          <w:rFonts w:hint="eastAsia" w:ascii="仿宋_GB2312" w:hAnsi="仿宋_GB2312" w:eastAsia="仿宋_GB2312" w:cs="仿宋_GB2312"/>
          <w:color w:val="000000" w:themeColor="text1"/>
          <w:sz w:val="32"/>
          <w:szCs w:val="32"/>
          <w14:textFill>
            <w14:solidFill>
              <w14:schemeClr w14:val="tx1"/>
            </w14:solidFill>
          </w14:textFill>
        </w:rPr>
        <w:t>各市州围绕城市交通、供水、供气、排水、污水处理、城市危桥改造、城市更新、完整社区建设、节水型城市创建等项目进行申报。</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以上城市建设项目请报至省厅城市建设处，联系人：樊伟 027-68873082，邮箱：</w:t>
      </w:r>
      <w:r>
        <w:rPr>
          <w:rFonts w:hint="eastAsia" w:ascii="仿宋_GB2312" w:hAnsi="仿宋_GB2312" w:eastAsia="仿宋_GB2312" w:cs="仿宋_GB2312"/>
          <w:color w:val="000000" w:themeColor="text1"/>
          <w:sz w:val="32"/>
          <w:szCs w:val="32"/>
          <w:u w:val="none"/>
          <w14:textFill>
            <w14:solidFill>
              <w14:schemeClr w14:val="tx1"/>
            </w14:solidFill>
          </w14:textFill>
        </w:rPr>
        <w:t>cjc@hbszjt.net.cn</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历史文化保护传承项目</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（1）历史建筑修缮改造项目。</w:t>
      </w:r>
      <w:r>
        <w:rPr>
          <w:rFonts w:hint="eastAsia" w:ascii="仿宋_GB2312" w:hAnsi="仿宋_GB2312" w:eastAsia="仿宋_GB2312" w:cs="仿宋_GB2312"/>
          <w:color w:val="000000" w:themeColor="text1"/>
          <w:sz w:val="32"/>
          <w:szCs w:val="32"/>
          <w14:textFill>
            <w14:solidFill>
              <w14:schemeClr w14:val="tx1"/>
            </w14:solidFill>
          </w14:textFill>
        </w:rPr>
        <w:t>各市州根据《关于在城乡建设中加强历史文化保护传承的意见》，按照应保尽保、应修尽修原则，以县为单位对拟申报项目进行汇总报我厅。省级组织实地调查和专家评审，根据历史建筑确定测绘建档工作完成情况排名，针对已开展的历史建筑修缮保护项目进行补助。</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（2）历史文化街区改造项目。</w:t>
      </w:r>
      <w:r>
        <w:rPr>
          <w:rFonts w:hint="eastAsia" w:ascii="仿宋_GB2312" w:hAnsi="仿宋_GB2312" w:eastAsia="仿宋_GB2312" w:cs="仿宋_GB2312"/>
          <w:color w:val="000000" w:themeColor="text1"/>
          <w:sz w:val="32"/>
          <w:szCs w:val="32"/>
          <w14:textFill>
            <w14:solidFill>
              <w14:schemeClr w14:val="tx1"/>
            </w14:solidFill>
          </w14:textFill>
        </w:rPr>
        <w:t>各市州根据《关于在城乡建设中加强历史文化保护传承的意见》，对各县（市、区）历史文化街区改造项目进行汇总申报，省厅组织实地调查和专家评审，选择工作成效突出、具有试点示范性示范效果的项目进行补助。</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以上历史文化保护利用项目请报至省厅标准科技处，联系人：李媛 027-68873022，邮箱：</w:t>
      </w:r>
      <w:r>
        <w:rPr>
          <w:rFonts w:hint="eastAsia" w:ascii="仿宋_GB2312" w:hAnsi="仿宋_GB2312" w:eastAsia="仿宋_GB2312" w:cs="仿宋_GB2312"/>
          <w:color w:val="000000" w:themeColor="text1"/>
          <w:sz w:val="32"/>
          <w:szCs w:val="32"/>
          <w:u w:val="none"/>
          <w14:textFill>
            <w14:solidFill>
              <w14:schemeClr w14:val="tx1"/>
            </w14:solidFill>
          </w14:textFill>
        </w:rPr>
        <w:t>bkc@hbszjt.net.cn</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4.智慧城建档案建设项目。</w:t>
      </w:r>
      <w:r>
        <w:rPr>
          <w:rFonts w:hint="eastAsia" w:ascii="仿宋_GB2312" w:hAnsi="仿宋_GB2312" w:eastAsia="仿宋_GB2312" w:cs="仿宋_GB2312"/>
          <w:color w:val="000000" w:themeColor="text1"/>
          <w:sz w:val="32"/>
          <w:szCs w:val="32"/>
          <w14:textFill>
            <w14:solidFill>
              <w14:schemeClr w14:val="tx1"/>
            </w14:solidFill>
          </w14:textFill>
        </w:rPr>
        <w:t>各市州根据《“十四五”湖北省档案事业发展规划》和《湖北省数字住建行动计划（2021-2025年）》要求，已开展了城建档案信息化建设、档案馆库建设和地下管线普查及信息数据动态更新等智慧城建档案建设工作的单位，可申报引导资金。省厅组织调查和评估，拟定资金分配方案。前期已下达相关资金的项目不重复补助。</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以上智慧城建档案建设项目请报至省厅办公室，联系人：吴绵胜 027-68873141，邮箱：</w:t>
      </w:r>
      <w:r>
        <w:rPr>
          <w:rFonts w:hint="eastAsia" w:ascii="仿宋_GB2312" w:hAnsi="仿宋_GB2312" w:eastAsia="仿宋_GB2312" w:cs="仿宋_GB2312"/>
          <w:color w:val="000000" w:themeColor="text1"/>
          <w:sz w:val="32"/>
          <w:szCs w:val="32"/>
          <w:u w:val="none"/>
          <w14:textFill>
            <w14:solidFill>
              <w14:schemeClr w14:val="tx1"/>
            </w14:solidFill>
          </w14:textFill>
        </w:rPr>
        <w:t>bgs@hbszjt.net.cn</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contextualSpacing/>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（二）省厅统筹支持项目方向</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该类项目由省厅相关处室根据各地工作情况，组织考核评审并拟定资金分配方案，不需要市州申报项目。</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1.村镇建设项目</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（1）“擦亮小城镇”建设美丽城镇项目。</w:t>
      </w:r>
      <w:r>
        <w:rPr>
          <w:rFonts w:hint="eastAsia" w:ascii="仿宋_GB2312" w:hAnsi="仿宋_GB2312" w:eastAsia="仿宋_GB2312" w:cs="仿宋_GB2312"/>
          <w:color w:val="000000" w:themeColor="text1"/>
          <w:sz w:val="32"/>
          <w:szCs w:val="32"/>
          <w14:textFill>
            <w14:solidFill>
              <w14:schemeClr w14:val="tx1"/>
            </w14:solidFill>
          </w14:textFill>
        </w:rPr>
        <w:t>通过“擦亮小城镇”建设美丽城镇三年行动总结评估，评选出100个示范乡镇，对未给予资金支持的予以安排。</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（2）村镇建设课题研究。</w:t>
      </w:r>
      <w:r>
        <w:rPr>
          <w:rFonts w:hint="eastAsia" w:ascii="仿宋_GB2312" w:hAnsi="仿宋_GB2312" w:eastAsia="仿宋_GB2312" w:cs="仿宋_GB2312"/>
          <w:color w:val="000000" w:themeColor="text1"/>
          <w:sz w:val="32"/>
          <w:szCs w:val="32"/>
          <w14:textFill>
            <w14:solidFill>
              <w14:schemeClr w14:val="tx1"/>
            </w14:solidFill>
          </w14:textFill>
        </w:rPr>
        <w:t>根据省委办公厅 省政府办公厅关于印发《湖北省乡村建设行动推进方案》的通知（鄂办发〔2022〕24号）、省人民政府关于全面推进数字湖北建设的意见（鄂政发〔2021〕21号），开展美丽城镇、农房（含自建房）建设管理、传统村落保护利用、城乡风貌管控、乡镇生活污水治理、数字村镇建设等方面课题研究。省厅结合平时工作调研情况，择优给予资金引导。</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（3）定点帮扶。</w:t>
      </w:r>
      <w:r>
        <w:rPr>
          <w:rFonts w:hint="eastAsia" w:ascii="仿宋_GB2312" w:hAnsi="仿宋_GB2312" w:eastAsia="仿宋_GB2312" w:cs="仿宋_GB2312"/>
          <w:color w:val="000000" w:themeColor="text1"/>
          <w:sz w:val="32"/>
          <w:szCs w:val="32"/>
          <w14:textFill>
            <w14:solidFill>
              <w14:schemeClr w14:val="tx1"/>
            </w14:solidFill>
          </w14:textFill>
        </w:rPr>
        <w:t>根据《省人民政府关于加快推进湖北大别山革命老区振兴发展的实施意见》（鄂政发〔2016〕6号），对大别山革命老区红安县、麻城市共同缔造项目予以补助。根据《省委办公厅 省政府办公厅关于建立健全乡村振兴重点帮扶县帮扶工作机制的通知》(鄂办发〔2021〕15号)和《关于调整湖北省委平安建设领导小组平安建设联系点的通知》（鄂平安办〔2021〕10号）等，对厅对口帮扶兴山县、厅驻村帮扶点兴山县古夫镇龙池村、厅社会治安综合治理联系点曾都区进行补助。</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2.城市建设管理项目</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（1）城市地下市政基础设施普查。</w:t>
      </w:r>
      <w:r>
        <w:rPr>
          <w:rFonts w:hint="eastAsia" w:ascii="仿宋_GB2312" w:hAnsi="仿宋_GB2312" w:eastAsia="仿宋_GB2312" w:cs="仿宋_GB2312"/>
          <w:color w:val="000000" w:themeColor="text1"/>
          <w:sz w:val="32"/>
          <w:szCs w:val="32"/>
          <w14:textFill>
            <w14:solidFill>
              <w14:schemeClr w14:val="tx1"/>
            </w14:solidFill>
          </w14:textFill>
        </w:rPr>
        <w:t>根据《湖北省加强城市地下市政基础设施建设实施方案》（鄂建文〔2021〕21号），省厅分不同档次对各地进行补助。</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（2）城市运行管理服务平台建设。</w:t>
      </w:r>
      <w:r>
        <w:rPr>
          <w:rFonts w:hint="eastAsia" w:ascii="仿宋_GB2312" w:hAnsi="仿宋_GB2312" w:eastAsia="仿宋_GB2312" w:cs="仿宋_GB2312"/>
          <w:color w:val="000000" w:themeColor="text1"/>
          <w:sz w:val="32"/>
          <w:szCs w:val="32"/>
          <w14:textFill>
            <w14:solidFill>
              <w14:schemeClr w14:val="tx1"/>
            </w14:solidFill>
          </w14:textFill>
        </w:rPr>
        <w:t>根据《关于加快推进城市运行管理服务平台建设工作的通知》，省厅根据各地方案评审、数据调度、业务应用、试点工作、项目验收、成果总结等进展情况确定补助对象和金额。</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（3）城市口袋公园建设。</w:t>
      </w:r>
      <w:r>
        <w:rPr>
          <w:rFonts w:hint="eastAsia" w:ascii="仿宋_GB2312" w:hAnsi="仿宋_GB2312" w:eastAsia="仿宋_GB2312" w:cs="仿宋_GB2312"/>
          <w:color w:val="000000" w:themeColor="text1"/>
          <w:sz w:val="32"/>
          <w:szCs w:val="32"/>
          <w14:textFill>
            <w14:solidFill>
              <w14:schemeClr w14:val="tx1"/>
            </w14:solidFill>
          </w14:textFill>
        </w:rPr>
        <w:t>省厅按照各地2023年口袋公园项目建设数量、质量以及省“最美口袋公园”评选结果情况，确定补助对象和金额。</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bidi="ar"/>
          <w14:textFill>
            <w14:solidFill>
              <w14:schemeClr w14:val="tx1"/>
            </w14:solidFill>
          </w14:textFill>
        </w:rPr>
        <w:t>（4）城市停车设施建设管理。</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根据省政府工作报告明确的新建</w:t>
      </w:r>
      <w:r>
        <w:rPr>
          <w:rFonts w:hint="eastAsia" w:ascii="仿宋_GB2312" w:hAnsi="仿宋_GB2312" w:eastAsia="仿宋_GB2312" w:cs="仿宋_GB2312"/>
          <w:color w:val="000000" w:themeColor="text1"/>
          <w:kern w:val="2"/>
          <w:sz w:val="32"/>
          <w:szCs w:val="32"/>
          <w:lang w:eastAsia="zh-CN" w:bidi="ar"/>
          <w14:textFill>
            <w14:solidFill>
              <w14:schemeClr w14:val="tx1"/>
            </w14:solidFill>
          </w14:textFill>
        </w:rPr>
        <w:t>城市</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停车设施的工作部署，及省厅《关于扎实做好2023年度城市停车设施建设和管理工作的通知》明确的建设任务和工作要求，依据各地公共停车设施建设、停车管理、停车体检等工作完成情况，确定补助对象和金额。</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（5）城市体检项目。</w:t>
      </w:r>
      <w:r>
        <w:rPr>
          <w:rFonts w:hint="eastAsia" w:ascii="仿宋_GB2312" w:hAnsi="仿宋_GB2312" w:eastAsia="仿宋_GB2312" w:cs="仿宋_GB2312"/>
          <w:color w:val="000000" w:themeColor="text1"/>
          <w:sz w:val="32"/>
          <w:szCs w:val="32"/>
          <w14:textFill>
            <w14:solidFill>
              <w14:schemeClr w14:val="tx1"/>
            </w14:solidFill>
          </w14:textFill>
        </w:rPr>
        <w:t>省厅根据各地工作推进情况，对省级城市体检试点市县择优予以补助</w:t>
      </w:r>
      <w:r>
        <w:rPr>
          <w:rFonts w:hint="eastAsia" w:ascii="仿宋_GB2312" w:hAnsi="仿宋_GB2312" w:eastAsia="仿宋_GB2312" w:cs="仿宋_GB2312"/>
          <w:b/>
          <w:color w:val="000000" w:themeColor="text1"/>
          <w:sz w:val="32"/>
          <w:szCs w:val="32"/>
          <w14:textFill>
            <w14:solidFill>
              <w14:schemeClr w14:val="tx1"/>
            </w14:solidFill>
          </w14:textFill>
        </w:rPr>
        <w:t>。</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（6）基础性工作研究试点。</w:t>
      </w:r>
      <w:r>
        <w:rPr>
          <w:rFonts w:hint="eastAsia" w:ascii="仿宋_GB2312" w:hAnsi="仿宋_GB2312" w:eastAsia="仿宋_GB2312" w:cs="仿宋_GB2312"/>
          <w:color w:val="000000" w:themeColor="text1"/>
          <w:sz w:val="32"/>
          <w:szCs w:val="32"/>
          <w14:textFill>
            <w14:solidFill>
              <w14:schemeClr w14:val="tx1"/>
            </w14:solidFill>
          </w14:textFill>
        </w:rPr>
        <w:t>省厅依据各地城市建设基础性工作研究情况，择优予以补助引导。</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（7）城建项目谋划推进工作。</w:t>
      </w:r>
      <w:r>
        <w:rPr>
          <w:rFonts w:hint="eastAsia" w:ascii="仿宋_GB2312" w:hAnsi="仿宋_GB2312" w:eastAsia="仿宋_GB2312" w:cs="仿宋_GB2312"/>
          <w:color w:val="000000" w:themeColor="text1"/>
          <w:sz w:val="32"/>
          <w:szCs w:val="32"/>
          <w14:textFill>
            <w14:solidFill>
              <w14:schemeClr w14:val="tx1"/>
            </w14:solidFill>
          </w14:textFill>
        </w:rPr>
        <w:t>省厅依据各地谋划、调度、推进城建项目建设的情况，择优予以补助引导。</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三、项目申报对象及资料</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（一）申报对象。</w:t>
      </w:r>
      <w:r>
        <w:rPr>
          <w:rFonts w:hint="eastAsia" w:ascii="仿宋_GB2312" w:hAnsi="仿宋_GB2312" w:eastAsia="仿宋_GB2312" w:cs="仿宋_GB2312"/>
          <w:bCs/>
          <w:color w:val="000000" w:themeColor="text1"/>
          <w:sz w:val="32"/>
          <w:szCs w:val="32"/>
          <w14:textFill>
            <w14:solidFill>
              <w14:schemeClr w14:val="tx1"/>
            </w14:solidFill>
          </w14:textFill>
        </w:rPr>
        <w:t>各地住房和城乡建设部门。</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contextualSpacing/>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（二）申报资料</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1.2023年城乡建设发展引导资金项目申报表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各级政府对项目的立项批复；</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3.项目实施推进或拟推进的其他证明材料。</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四、项目申报方式及流程</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（一）各县（市、区）住房和城乡建设部门根据申报指南，将符合条件的项目于3月15日前上报市（州）、直管市、林区住房和城乡建设部门审核汇总。</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（二）市（州）、直管市、林区住房和城乡建设部门将申报项目审核、统筹汇总后，于3月31日前上报省住建厅对口处室。</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（三）省厅相关处室组织专家对上报的项目进行审查、评审，拟订资金分配方案，于4月25日前报厅计财处。厅计财处统筹汇总资金分配方案，经厅党组审定后报省财政厅按程序下达资金。</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五、有关要求</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（一）高度重视，加强组织领导。</w:t>
      </w:r>
      <w:r>
        <w:rPr>
          <w:rFonts w:hint="eastAsia" w:ascii="仿宋_GB2312" w:hAnsi="仿宋_GB2312" w:eastAsia="仿宋_GB2312" w:cs="仿宋_GB2312"/>
          <w:bCs/>
          <w:color w:val="000000" w:themeColor="text1"/>
          <w:sz w:val="32"/>
          <w:szCs w:val="32"/>
          <w14:textFill>
            <w14:solidFill>
              <w14:schemeClr w14:val="tx1"/>
            </w14:solidFill>
          </w14:textFill>
        </w:rPr>
        <w:t>各单位要重视年度引导资金的申报工作，积极开展申报工作。</w:t>
      </w:r>
      <w:r>
        <w:rPr>
          <w:rFonts w:hint="eastAsia" w:ascii="仿宋_GB2312" w:hAnsi="仿宋_GB2312" w:eastAsia="仿宋_GB2312" w:cs="仿宋_GB2312"/>
          <w:color w:val="000000" w:themeColor="text1"/>
          <w:sz w:val="32"/>
          <w:szCs w:val="32"/>
          <w14:textFill>
            <w14:solidFill>
              <w14:schemeClr w14:val="tx1"/>
            </w14:solidFill>
          </w14:textFill>
        </w:rPr>
        <w:t>项目申报工作由各市、州、县住（城）建局牵头负责、统筹汇总，城管、园林、水务等部门积极配合。同时，市州住（城）建局要加强统筹协调及对县（市、区）申报工作的指导督办，统一报送申报资料。</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（二）注重时效，确保申报质量。</w:t>
      </w:r>
      <w:r>
        <w:rPr>
          <w:rFonts w:hint="eastAsia" w:ascii="仿宋_GB2312" w:hAnsi="仿宋_GB2312" w:eastAsia="仿宋_GB2312" w:cs="仿宋_GB2312"/>
          <w:color w:val="000000" w:themeColor="text1"/>
          <w:sz w:val="32"/>
          <w:szCs w:val="32"/>
          <w14:textFill>
            <w14:solidFill>
              <w14:schemeClr w14:val="tx1"/>
            </w14:solidFill>
          </w14:textFill>
        </w:rPr>
        <w:t>各单位应按照申报流程逐级申报、归口申报，越级、逾期申报无效。申报资料要求内容齐全，简洁明了，确保申报质量，并严格按照时间节点报送。申报资料用A4纸打印平装成册邮寄至省厅对口处室，电子版同步发送至指定邮箱。各申报单位对所申报项目的真实性负责。</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（三）公平公正，科学合理分配。</w:t>
      </w:r>
      <w:r>
        <w:rPr>
          <w:rFonts w:hint="eastAsia" w:ascii="仿宋_GB2312" w:hAnsi="仿宋_GB2312" w:eastAsia="仿宋_GB2312" w:cs="仿宋_GB2312"/>
          <w:bCs/>
          <w:color w:val="000000" w:themeColor="text1"/>
          <w:sz w:val="32"/>
          <w:szCs w:val="32"/>
          <w14:textFill>
            <w14:solidFill>
              <w14:schemeClr w14:val="tx1"/>
            </w14:solidFill>
          </w14:textFill>
        </w:rPr>
        <w:t>按照“谁主管，谁分配，谁负责”的原则，厅机关各相关处室对资金申报和分配进行归口管理，按照资金管理办法，结合专家评审及工作考评情况，科学合理分配资金，充分发挥资金的引导激励作用。</w:t>
      </w:r>
    </w:p>
    <w:p>
      <w:pPr>
        <w:keepNext w:val="0"/>
        <w:keepLines w:val="0"/>
        <w:pageBreakBefore w:val="0"/>
        <w:widowControl w:val="0"/>
        <w:kinsoku/>
        <w:wordWrap/>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（四）规范使用，提高资金绩效。</w:t>
      </w:r>
      <w:r>
        <w:rPr>
          <w:rFonts w:hint="eastAsia" w:ascii="仿宋_GB2312" w:hAnsi="仿宋_GB2312" w:eastAsia="仿宋_GB2312" w:cs="仿宋_GB2312"/>
          <w:color w:val="000000" w:themeColor="text1"/>
          <w:sz w:val="32"/>
          <w:szCs w:val="32"/>
          <w14:textFill>
            <w14:solidFill>
              <w14:schemeClr w14:val="tx1"/>
            </w14:solidFill>
          </w14:textFill>
        </w:rPr>
        <w:t>引导资金下达后，必须按规定尽快使用，不得截留、挤占、挪用。各地住房和城乡建设部门要密切配合财政部门，加强项目管理和监督检查，加快项目建设和资金拨付进度，提高资金使用绩效。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加强绩效评价结果运用，</w:t>
      </w:r>
      <w:r>
        <w:rPr>
          <w:rFonts w:hint="eastAsia" w:ascii="仿宋_GB2312" w:hAnsi="仿宋_GB2312" w:eastAsia="仿宋_GB2312" w:cs="仿宋_GB2312"/>
          <w:color w:val="000000" w:themeColor="text1"/>
          <w:sz w:val="32"/>
          <w:szCs w:val="32"/>
          <w14:textFill>
            <w14:solidFill>
              <w14:schemeClr w14:val="tx1"/>
            </w14:solidFill>
          </w14:textFill>
        </w:rPr>
        <w:t>各地资金使用绩效情况和绩效自评报告报送情况，将作为下一年度资金分配的重要参考因素。</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topLinePunct w:val="0"/>
        <w:autoSpaceDE/>
        <w:autoSpaceDN/>
        <w:bidi w:val="0"/>
        <w:adjustRightInd/>
        <w:snapToGrid/>
        <w:spacing w:line="600" w:lineRule="exact"/>
        <w:ind w:left="2240" w:leftChars="200" w:hanging="1600" w:hangingChars="5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附件：1．2023年省级城乡建设发展引导资金项目申报汇总表</w:t>
      </w:r>
    </w:p>
    <w:p>
      <w:pPr>
        <w:keepNext w:val="0"/>
        <w:keepLines w:val="0"/>
        <w:pageBreakBefore w:val="0"/>
        <w:widowControl w:val="0"/>
        <w:kinsoku/>
        <w:wordWrap/>
        <w:topLinePunct w:val="0"/>
        <w:autoSpaceDE/>
        <w:autoSpaceDN/>
        <w:bidi w:val="0"/>
        <w:adjustRightInd/>
        <w:snapToGrid/>
        <w:spacing w:line="600" w:lineRule="exact"/>
        <w:ind w:left="2240" w:leftChars="500" w:hanging="640" w:hanging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2．2023年省级城乡建设发展引导资金项目申报表</w:t>
      </w:r>
    </w:p>
    <w:p>
      <w:pPr>
        <w:keepNext w:val="0"/>
        <w:keepLines w:val="0"/>
        <w:pageBreakBefore w:val="0"/>
        <w:widowControl w:val="0"/>
        <w:kinsoku/>
        <w:wordWrap/>
        <w:topLinePunct w:val="0"/>
        <w:autoSpaceDE/>
        <w:autoSpaceDN/>
        <w:bidi w:val="0"/>
        <w:adjustRightInd/>
        <w:snapToGrid/>
        <w:spacing w:line="600" w:lineRule="exact"/>
        <w:ind w:left="2240" w:leftChars="500" w:hanging="640" w:hanging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3．项目申报表填报说明</w:t>
      </w:r>
    </w:p>
    <w:p>
      <w:pPr>
        <w:keepNext w:val="0"/>
        <w:keepLines w:val="0"/>
        <w:pageBreakBefore w:val="0"/>
        <w:widowControl w:val="0"/>
        <w:kinsoku/>
        <w:wordWrap/>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footerReference r:id="rId4" w:type="even"/>
          <w:pgSz w:w="11906" w:h="16838"/>
          <w:pgMar w:top="1440" w:right="1800" w:bottom="1440" w:left="1800" w:header="851" w:footer="680" w:gutter="0"/>
          <w:pgNumType w:fmt="numberInDash"/>
          <w:cols w:space="425" w:num="1"/>
          <w:docGrid w:type="lines" w:linePitch="312" w:charSpace="0"/>
        </w:sectPr>
      </w:pPr>
    </w:p>
    <w:tbl>
      <w:tblPr>
        <w:tblStyle w:val="6"/>
        <w:tblW w:w="9073" w:type="dxa"/>
        <w:tblInd w:w="-318" w:type="dxa"/>
        <w:tblLayout w:type="fixed"/>
        <w:tblCellMar>
          <w:top w:w="0" w:type="dxa"/>
          <w:left w:w="108" w:type="dxa"/>
          <w:bottom w:w="0" w:type="dxa"/>
          <w:right w:w="108" w:type="dxa"/>
        </w:tblCellMar>
      </w:tblPr>
      <w:tblGrid>
        <w:gridCol w:w="710"/>
        <w:gridCol w:w="728"/>
        <w:gridCol w:w="406"/>
        <w:gridCol w:w="3654"/>
        <w:gridCol w:w="173"/>
        <w:gridCol w:w="1767"/>
        <w:gridCol w:w="218"/>
        <w:gridCol w:w="1417"/>
      </w:tblGrid>
      <w:tr>
        <w:tblPrEx>
          <w:tblCellMar>
            <w:top w:w="0" w:type="dxa"/>
            <w:left w:w="108" w:type="dxa"/>
            <w:bottom w:w="0" w:type="dxa"/>
            <w:right w:w="108" w:type="dxa"/>
          </w:tblCellMar>
        </w:tblPrEx>
        <w:trPr>
          <w:trHeight w:val="522" w:hRule="atLeast"/>
        </w:trPr>
        <w:tc>
          <w:tcPr>
            <w:tcW w:w="1438" w:type="dxa"/>
            <w:gridSpan w:val="2"/>
            <w:tcBorders>
              <w:top w:val="nil"/>
              <w:left w:val="nil"/>
              <w:bottom w:val="nil"/>
              <w:right w:val="nil"/>
            </w:tcBorders>
            <w:noWrap/>
            <w:vAlign w:val="center"/>
          </w:tcPr>
          <w:p>
            <w:pPr>
              <w:widowControl/>
              <w:jc w:val="left"/>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p>
        </w:tc>
        <w:tc>
          <w:tcPr>
            <w:tcW w:w="4060" w:type="dxa"/>
            <w:gridSpan w:val="2"/>
            <w:tcBorders>
              <w:top w:val="nil"/>
              <w:left w:val="nil"/>
              <w:bottom w:val="nil"/>
              <w:right w:val="nil"/>
            </w:tcBorders>
            <w:noWrap/>
            <w:vAlign w:val="center"/>
          </w:tcPr>
          <w:p>
            <w:pPr>
              <w:widowControl/>
              <w:jc w:val="left"/>
              <w:rPr>
                <w:rFonts w:hint="eastAsia" w:ascii="仿宋_GB2312" w:hAnsi="黑体" w:eastAsia="仿宋_GB2312" w:cs="宋体"/>
                <w:color w:val="000000" w:themeColor="text1"/>
                <w:kern w:val="0"/>
                <w:sz w:val="32"/>
                <w:szCs w:val="32"/>
                <w14:textFill>
                  <w14:solidFill>
                    <w14:schemeClr w14:val="tx1"/>
                  </w14:solidFill>
                </w14:textFill>
              </w:rPr>
            </w:pPr>
          </w:p>
        </w:tc>
        <w:tc>
          <w:tcPr>
            <w:tcW w:w="1940" w:type="dxa"/>
            <w:gridSpan w:val="2"/>
            <w:tcBorders>
              <w:top w:val="nil"/>
              <w:left w:val="nil"/>
              <w:bottom w:val="nil"/>
              <w:right w:val="nil"/>
            </w:tcBorders>
            <w:noWrap/>
            <w:vAlign w:val="center"/>
          </w:tcPr>
          <w:p>
            <w:pPr>
              <w:widowControl/>
              <w:jc w:val="left"/>
              <w:rPr>
                <w:rFonts w:hint="eastAsia" w:ascii="仿宋_GB2312" w:hAnsi="黑体" w:eastAsia="仿宋_GB2312" w:cs="宋体"/>
                <w:color w:val="000000" w:themeColor="text1"/>
                <w:kern w:val="0"/>
                <w:sz w:val="32"/>
                <w:szCs w:val="32"/>
                <w14:textFill>
                  <w14:solidFill>
                    <w14:schemeClr w14:val="tx1"/>
                  </w14:solidFill>
                </w14:textFill>
              </w:rPr>
            </w:pPr>
          </w:p>
        </w:tc>
        <w:tc>
          <w:tcPr>
            <w:tcW w:w="1635" w:type="dxa"/>
            <w:gridSpan w:val="2"/>
            <w:tcBorders>
              <w:top w:val="nil"/>
              <w:left w:val="nil"/>
              <w:bottom w:val="nil"/>
              <w:right w:val="nil"/>
            </w:tcBorders>
            <w:noWrap/>
            <w:vAlign w:val="center"/>
          </w:tcPr>
          <w:p>
            <w:pPr>
              <w:widowControl/>
              <w:jc w:val="left"/>
              <w:rPr>
                <w:rFonts w:hint="eastAsia" w:ascii="仿宋_GB2312" w:hAnsi="黑体" w:eastAsia="仿宋_GB2312" w:cs="宋体"/>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trHeight w:val="1185" w:hRule="atLeast"/>
        </w:trPr>
        <w:tc>
          <w:tcPr>
            <w:tcW w:w="9073" w:type="dxa"/>
            <w:gridSpan w:val="8"/>
            <w:tcBorders>
              <w:top w:val="nil"/>
              <w:left w:val="nil"/>
              <w:bottom w:val="nil"/>
              <w:right w:val="nil"/>
            </w:tcBorders>
            <w:noWrap/>
            <w:vAlign w:val="center"/>
          </w:tcPr>
          <w:p>
            <w:pPr>
              <w:widowControl/>
              <w:jc w:val="center"/>
              <w:rPr>
                <w:rFonts w:hint="eastAsia" w:ascii="方正小标宋简体" w:hAnsi="方正大标宋简体" w:eastAsia="方正小标宋简体" w:cs="宋体"/>
                <w:color w:val="000000" w:themeColor="text1"/>
                <w:kern w:val="0"/>
                <w:sz w:val="36"/>
                <w:szCs w:val="36"/>
                <w14:textFill>
                  <w14:solidFill>
                    <w14:schemeClr w14:val="tx1"/>
                  </w14:solidFill>
                </w14:textFill>
              </w:rPr>
            </w:pPr>
            <w:r>
              <w:rPr>
                <w:rFonts w:hint="eastAsia" w:ascii="方正小标宋简体" w:hAnsi="方正大标宋简体" w:eastAsia="方正小标宋简体" w:cs="宋体"/>
                <w:color w:val="000000" w:themeColor="text1"/>
                <w:kern w:val="0"/>
                <w:sz w:val="36"/>
                <w:szCs w:val="36"/>
                <w14:textFill>
                  <w14:solidFill>
                    <w14:schemeClr w14:val="tx1"/>
                  </w14:solidFill>
                </w14:textFill>
              </w:rPr>
              <w:t>2023年度省级城乡建设发展引导资金项目申报汇总表</w:t>
            </w:r>
          </w:p>
        </w:tc>
      </w:tr>
      <w:tr>
        <w:tblPrEx>
          <w:tblCellMar>
            <w:top w:w="0" w:type="dxa"/>
            <w:left w:w="108" w:type="dxa"/>
            <w:bottom w:w="0" w:type="dxa"/>
            <w:right w:w="108" w:type="dxa"/>
          </w:tblCellMar>
        </w:tblPrEx>
        <w:trPr>
          <w:trHeight w:val="600" w:hRule="atLeast"/>
        </w:trPr>
        <w:tc>
          <w:tcPr>
            <w:tcW w:w="9073" w:type="dxa"/>
            <w:gridSpan w:val="8"/>
            <w:tcBorders>
              <w:top w:val="nil"/>
              <w:left w:val="nil"/>
              <w:bottom w:val="single" w:color="auto" w:sz="4" w:space="0"/>
              <w:right w:val="nil"/>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填报单位：                                          填报日期：</w:t>
            </w:r>
          </w:p>
        </w:tc>
      </w:tr>
      <w:tr>
        <w:tblPrEx>
          <w:tblCellMar>
            <w:top w:w="0" w:type="dxa"/>
            <w:left w:w="108" w:type="dxa"/>
            <w:bottom w:w="0" w:type="dxa"/>
            <w:right w:w="108" w:type="dxa"/>
          </w:tblCellMar>
        </w:tblPrEx>
        <w:trPr>
          <w:trHeight w:val="870" w:hRule="atLeast"/>
        </w:trPr>
        <w:tc>
          <w:tcPr>
            <w:tcW w:w="71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地区</w:t>
            </w:r>
          </w:p>
        </w:tc>
        <w:tc>
          <w:tcPr>
            <w:tcW w:w="382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项目名称</w:t>
            </w:r>
          </w:p>
        </w:tc>
        <w:tc>
          <w:tcPr>
            <w:tcW w:w="19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主管单位          （住建部门）</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申报金额</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1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w:t>
            </w:r>
          </w:p>
        </w:tc>
        <w:tc>
          <w:tcPr>
            <w:tcW w:w="11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w:t>
            </w:r>
          </w:p>
        </w:tc>
        <w:tc>
          <w:tcPr>
            <w:tcW w:w="3827"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w:t>
            </w:r>
          </w:p>
        </w:tc>
        <w:tc>
          <w:tcPr>
            <w:tcW w:w="1985"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7656"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合计</w:t>
            </w:r>
          </w:p>
        </w:tc>
        <w:tc>
          <w:tcPr>
            <w:tcW w:w="141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22" w:hRule="atLeast"/>
        </w:trPr>
        <w:tc>
          <w:tcPr>
            <w:tcW w:w="9073" w:type="dxa"/>
            <w:gridSpan w:val="8"/>
            <w:tcBorders>
              <w:top w:val="nil"/>
              <w:left w:val="nil"/>
              <w:bottom w:val="nil"/>
              <w:right w:val="nil"/>
            </w:tcBorders>
            <w:noWrap/>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填报说明：市（州）、直管市、林区住建部门在填报该表时，请以地区为单位顺序填报。</w:t>
            </w:r>
          </w:p>
        </w:tc>
      </w:tr>
    </w:tbl>
    <w:p>
      <w:pPr>
        <w:spacing w:line="600" w:lineRule="exact"/>
        <w:contextualSpacing/>
        <w:rPr>
          <w:rFonts w:ascii="仿宋_GB2312" w:hAnsi="仿宋" w:eastAsia="仿宋_GB2312" w:cs="黑体"/>
          <w:color w:val="000000" w:themeColor="text1"/>
          <w:sz w:val="32"/>
          <w:szCs w:val="32"/>
          <w14:textFill>
            <w14:solidFill>
              <w14:schemeClr w14:val="tx1"/>
            </w14:solidFill>
          </w14:textFill>
        </w:rPr>
        <w:sectPr>
          <w:pgSz w:w="11906" w:h="16838"/>
          <w:pgMar w:top="1440" w:right="1800" w:bottom="1440" w:left="1800" w:header="851" w:footer="567" w:gutter="0"/>
          <w:pgNumType w:fmt="numberInDash"/>
          <w:cols w:space="720" w:num="1"/>
          <w:docGrid w:type="lines" w:linePitch="312" w:charSpace="0"/>
        </w:sectPr>
      </w:pPr>
    </w:p>
    <w:tbl>
      <w:tblPr>
        <w:tblStyle w:val="6"/>
        <w:tblW w:w="9639" w:type="dxa"/>
        <w:tblInd w:w="-459" w:type="dxa"/>
        <w:tblLayout w:type="fixed"/>
        <w:tblCellMar>
          <w:top w:w="0" w:type="dxa"/>
          <w:left w:w="108" w:type="dxa"/>
          <w:bottom w:w="0" w:type="dxa"/>
          <w:right w:w="108" w:type="dxa"/>
        </w:tblCellMar>
      </w:tblPr>
      <w:tblGrid>
        <w:gridCol w:w="1134"/>
        <w:gridCol w:w="1134"/>
        <w:gridCol w:w="610"/>
        <w:gridCol w:w="808"/>
        <w:gridCol w:w="732"/>
        <w:gridCol w:w="827"/>
        <w:gridCol w:w="565"/>
        <w:gridCol w:w="286"/>
        <w:gridCol w:w="769"/>
        <w:gridCol w:w="506"/>
        <w:gridCol w:w="142"/>
        <w:gridCol w:w="408"/>
        <w:gridCol w:w="584"/>
        <w:gridCol w:w="142"/>
        <w:gridCol w:w="330"/>
        <w:gridCol w:w="662"/>
      </w:tblGrid>
      <w:tr>
        <w:tblPrEx>
          <w:tblCellMar>
            <w:top w:w="0" w:type="dxa"/>
            <w:left w:w="108" w:type="dxa"/>
            <w:bottom w:w="0" w:type="dxa"/>
            <w:right w:w="108" w:type="dxa"/>
          </w:tblCellMar>
        </w:tblPrEx>
        <w:trPr>
          <w:trHeight w:val="420" w:hRule="atLeast"/>
        </w:trPr>
        <w:tc>
          <w:tcPr>
            <w:tcW w:w="2878" w:type="dxa"/>
            <w:gridSpan w:val="3"/>
            <w:tcBorders>
              <w:top w:val="nil"/>
              <w:left w:val="nil"/>
              <w:bottom w:val="nil"/>
              <w:right w:val="nil"/>
            </w:tcBorders>
            <w:noWrap w:val="0"/>
            <w:vAlign w:val="center"/>
          </w:tcPr>
          <w:p>
            <w:pPr>
              <w:widowControl/>
              <w:jc w:val="left"/>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附件2</w:t>
            </w:r>
          </w:p>
        </w:tc>
        <w:tc>
          <w:tcPr>
            <w:tcW w:w="1540"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92"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055" w:type="dxa"/>
            <w:gridSpan w:val="2"/>
            <w:tcBorders>
              <w:top w:val="nil"/>
              <w:left w:val="nil"/>
              <w:bottom w:val="nil"/>
              <w:right w:val="nil"/>
            </w:tcBorders>
            <w:noWrap w:val="0"/>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056" w:type="dxa"/>
            <w:gridSpan w:val="3"/>
            <w:tcBorders>
              <w:top w:val="nil"/>
              <w:left w:val="nil"/>
              <w:bottom w:val="nil"/>
              <w:right w:val="nil"/>
            </w:tcBorders>
            <w:noWrap w:val="0"/>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056" w:type="dxa"/>
            <w:gridSpan w:val="3"/>
            <w:tcBorders>
              <w:top w:val="nil"/>
              <w:left w:val="nil"/>
              <w:bottom w:val="nil"/>
              <w:right w:val="nil"/>
            </w:tcBorders>
            <w:noWrap w:val="0"/>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62" w:type="dxa"/>
            <w:tcBorders>
              <w:top w:val="nil"/>
              <w:left w:val="nil"/>
              <w:bottom w:val="nil"/>
              <w:right w:val="nil"/>
            </w:tcBorders>
            <w:noWrap w:val="0"/>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95" w:hRule="atLeast"/>
        </w:trPr>
        <w:tc>
          <w:tcPr>
            <w:tcW w:w="9639" w:type="dxa"/>
            <w:gridSpan w:val="16"/>
            <w:tcBorders>
              <w:top w:val="nil"/>
              <w:left w:val="nil"/>
              <w:bottom w:val="nil"/>
              <w:right w:val="nil"/>
            </w:tcBorders>
            <w:noWrap w:val="0"/>
            <w:vAlign w:val="center"/>
          </w:tcPr>
          <w:p>
            <w:pPr>
              <w:widowControl/>
              <w:jc w:val="center"/>
              <w:rPr>
                <w:rFonts w:hint="eastAsia" w:ascii="方正小标宋简体" w:hAnsi="方正大标宋简体" w:eastAsia="方正小标宋简体" w:cs="宋体"/>
                <w:color w:val="000000" w:themeColor="text1"/>
                <w:kern w:val="0"/>
                <w:sz w:val="36"/>
                <w:szCs w:val="36"/>
                <w14:textFill>
                  <w14:solidFill>
                    <w14:schemeClr w14:val="tx1"/>
                  </w14:solidFill>
                </w14:textFill>
              </w:rPr>
            </w:pPr>
            <w:r>
              <w:rPr>
                <w:rFonts w:hint="eastAsia" w:ascii="方正小标宋简体" w:hAnsi="方正大标宋简体" w:eastAsia="方正小标宋简体" w:cs="宋体"/>
                <w:color w:val="000000" w:themeColor="text1"/>
                <w:kern w:val="0"/>
                <w:sz w:val="36"/>
                <w:szCs w:val="36"/>
                <w14:textFill>
                  <w14:solidFill>
                    <w14:schemeClr w14:val="tx1"/>
                  </w14:solidFill>
                </w14:textFill>
              </w:rPr>
              <w:t>2023年省级城乡建设发展引导资金项目申报表</w:t>
            </w:r>
          </w:p>
        </w:tc>
      </w:tr>
      <w:tr>
        <w:tblPrEx>
          <w:tblCellMar>
            <w:top w:w="0" w:type="dxa"/>
            <w:left w:w="108" w:type="dxa"/>
            <w:bottom w:w="0" w:type="dxa"/>
            <w:right w:w="108" w:type="dxa"/>
          </w:tblCellMar>
        </w:tblPrEx>
        <w:trPr>
          <w:trHeight w:val="600" w:hRule="atLeast"/>
        </w:trPr>
        <w:tc>
          <w:tcPr>
            <w:tcW w:w="9639" w:type="dxa"/>
            <w:gridSpan w:val="16"/>
            <w:tcBorders>
              <w:top w:val="nil"/>
              <w:left w:val="nil"/>
              <w:bottom w:val="single" w:color="000000" w:sz="4" w:space="0"/>
              <w:right w:val="nil"/>
            </w:tcBorders>
            <w:noWrap w:val="0"/>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填报单位：                                              填报日期：</w:t>
            </w:r>
          </w:p>
        </w:tc>
      </w:tr>
      <w:tr>
        <w:tblPrEx>
          <w:tblCellMar>
            <w:top w:w="0" w:type="dxa"/>
            <w:left w:w="108" w:type="dxa"/>
            <w:bottom w:w="0" w:type="dxa"/>
            <w:right w:w="108" w:type="dxa"/>
          </w:tblCellMar>
        </w:tblPrEx>
        <w:trPr>
          <w:trHeight w:val="375" w:hRule="atLeast"/>
        </w:trPr>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项目名称</w:t>
            </w:r>
          </w:p>
        </w:tc>
        <w:tc>
          <w:tcPr>
            <w:tcW w:w="7371" w:type="dxa"/>
            <w:gridSpan w:val="14"/>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(填写2023年申报资金的项目名称)</w:t>
            </w:r>
          </w:p>
        </w:tc>
      </w:tr>
      <w:tr>
        <w:tblPrEx>
          <w:tblCellMar>
            <w:top w:w="0" w:type="dxa"/>
            <w:left w:w="108" w:type="dxa"/>
            <w:bottom w:w="0" w:type="dxa"/>
            <w:right w:w="108" w:type="dxa"/>
          </w:tblCellMar>
        </w:tblPrEx>
        <w:trPr>
          <w:trHeight w:val="375" w:hRule="atLeast"/>
        </w:trPr>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项目主管部门</w:t>
            </w:r>
          </w:p>
        </w:tc>
        <w:tc>
          <w:tcPr>
            <w:tcW w:w="2977"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2268" w:type="dxa"/>
            <w:gridSpan w:val="5"/>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项目执行单位</w:t>
            </w:r>
          </w:p>
        </w:tc>
        <w:tc>
          <w:tcPr>
            <w:tcW w:w="2126" w:type="dxa"/>
            <w:gridSpan w:val="5"/>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项目负责人</w:t>
            </w:r>
          </w:p>
        </w:tc>
        <w:tc>
          <w:tcPr>
            <w:tcW w:w="2977"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2268" w:type="dxa"/>
            <w:gridSpan w:val="5"/>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联系电话</w:t>
            </w:r>
          </w:p>
        </w:tc>
        <w:tc>
          <w:tcPr>
            <w:tcW w:w="2126" w:type="dxa"/>
            <w:gridSpan w:val="5"/>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单位地址</w:t>
            </w:r>
          </w:p>
        </w:tc>
        <w:tc>
          <w:tcPr>
            <w:tcW w:w="2977"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2268" w:type="dxa"/>
            <w:gridSpan w:val="5"/>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邮政编码</w:t>
            </w:r>
          </w:p>
        </w:tc>
        <w:tc>
          <w:tcPr>
            <w:tcW w:w="2126" w:type="dxa"/>
            <w:gridSpan w:val="5"/>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1185" w:hRule="atLeast"/>
        </w:trPr>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项目申请理由 和主要内容</w:t>
            </w:r>
          </w:p>
        </w:tc>
        <w:tc>
          <w:tcPr>
            <w:tcW w:w="7371" w:type="dxa"/>
            <w:gridSpan w:val="14"/>
            <w:tcBorders>
              <w:top w:val="single" w:color="000000" w:sz="4" w:space="0"/>
              <w:left w:val="nil"/>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（1.已完成或正在实施的项目简况；2.申请资金安排项目的主要内容。）</w:t>
            </w:r>
          </w:p>
        </w:tc>
      </w:tr>
      <w:tr>
        <w:tblPrEx>
          <w:tblCellMar>
            <w:top w:w="0" w:type="dxa"/>
            <w:left w:w="108" w:type="dxa"/>
            <w:bottom w:w="0" w:type="dxa"/>
            <w:right w:w="108" w:type="dxa"/>
          </w:tblCellMar>
        </w:tblPrEx>
        <w:trPr>
          <w:trHeight w:val="375" w:hRule="atLeast"/>
        </w:trPr>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项目总预算</w:t>
            </w:r>
          </w:p>
        </w:tc>
        <w:tc>
          <w:tcPr>
            <w:tcW w:w="2977" w:type="dxa"/>
            <w:gridSpan w:val="4"/>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2268" w:type="dxa"/>
            <w:gridSpan w:val="5"/>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项目当年预算</w:t>
            </w:r>
          </w:p>
        </w:tc>
        <w:tc>
          <w:tcPr>
            <w:tcW w:w="2126" w:type="dxa"/>
            <w:gridSpan w:val="5"/>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92" w:hRule="atLeast"/>
        </w:trPr>
        <w:tc>
          <w:tcPr>
            <w:tcW w:w="22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项目资金来源</w:t>
            </w:r>
          </w:p>
        </w:tc>
        <w:tc>
          <w:tcPr>
            <w:tcW w:w="5245" w:type="dxa"/>
            <w:gridSpan w:val="9"/>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来源项目</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金额</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合计</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公共预算财政拨款</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  其中：本奖补资金的申请数</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政府性基金预算财政拨款</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其他资金</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xml:space="preserve">  其中：使用以前年度财政拨款结余</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restart"/>
            <w:tcBorders>
              <w:top w:val="nil"/>
              <w:left w:val="single" w:color="000000" w:sz="4" w:space="0"/>
              <w:bottom w:val="single" w:color="000000" w:sz="4" w:space="0"/>
              <w:right w:val="single" w:color="000000" w:sz="4" w:space="0"/>
            </w:tcBorders>
            <w:noWrap w:val="0"/>
            <w:textDirection w:val="tbRlV"/>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项目支出预算及测算依据</w:t>
            </w:r>
          </w:p>
        </w:tc>
        <w:tc>
          <w:tcPr>
            <w:tcW w:w="1134" w:type="dxa"/>
            <w:vMerge w:val="restart"/>
            <w:tcBorders>
              <w:top w:val="nil"/>
              <w:left w:val="single" w:color="000000" w:sz="4" w:space="0"/>
              <w:bottom w:val="single" w:color="000000" w:sz="4" w:space="0"/>
              <w:right w:val="single" w:color="000000" w:sz="4" w:space="0"/>
            </w:tcBorders>
            <w:noWrap w:val="0"/>
            <w:textDirection w:val="tbRlV"/>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申请资金支出明细预算</w:t>
            </w:r>
          </w:p>
        </w:tc>
        <w:tc>
          <w:tcPr>
            <w:tcW w:w="5245" w:type="dxa"/>
            <w:gridSpan w:val="9"/>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项目支出明细</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金额</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合计</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6.</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7.</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5245" w:type="dxa"/>
            <w:gridSpan w:val="9"/>
            <w:tcBorders>
              <w:top w:val="single" w:color="000000" w:sz="4" w:space="0"/>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9.</w:t>
            </w:r>
          </w:p>
        </w:tc>
        <w:tc>
          <w:tcPr>
            <w:tcW w:w="2126" w:type="dxa"/>
            <w:gridSpan w:val="5"/>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1125"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测算依据及说明</w:t>
            </w:r>
          </w:p>
        </w:tc>
        <w:tc>
          <w:tcPr>
            <w:tcW w:w="7371" w:type="dxa"/>
            <w:gridSpan w:val="14"/>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810" w:hRule="atLeast"/>
        </w:trPr>
        <w:tc>
          <w:tcPr>
            <w:tcW w:w="22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项目采购</w:t>
            </w:r>
          </w:p>
        </w:tc>
        <w:tc>
          <w:tcPr>
            <w:tcW w:w="3828" w:type="dxa"/>
            <w:gridSpan w:val="6"/>
            <w:tcBorders>
              <w:top w:val="single" w:color="000000" w:sz="4" w:space="0"/>
              <w:left w:val="nil"/>
              <w:bottom w:val="single" w:color="000000"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品    名</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数量</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金额</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2"/>
                <w14:textFill>
                  <w14:solidFill>
                    <w14:schemeClr w14:val="tx1"/>
                  </w14:solidFill>
                </w14:textFill>
              </w:rPr>
            </w:pPr>
            <w:r>
              <w:rPr>
                <w:rFonts w:hint="eastAsia" w:ascii="仿宋_GB2312" w:hAnsi="宋体" w:eastAsia="仿宋_GB2312" w:cs="宋体"/>
                <w:color w:val="000000" w:themeColor="text1"/>
                <w:kern w:val="0"/>
                <w:sz w:val="22"/>
                <w14:textFill>
                  <w14:solidFill>
                    <w14:schemeClr w14:val="tx1"/>
                  </w14:solidFill>
                </w14:textFill>
              </w:rPr>
              <w:t>是否属新增资产配置预算</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3828" w:type="dxa"/>
            <w:gridSpan w:val="6"/>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3828" w:type="dxa"/>
            <w:gridSpan w:val="6"/>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3828" w:type="dxa"/>
            <w:gridSpan w:val="6"/>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3828" w:type="dxa"/>
            <w:gridSpan w:val="6"/>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3828" w:type="dxa"/>
            <w:gridSpan w:val="6"/>
            <w:tcBorders>
              <w:top w:val="single" w:color="000000" w:sz="4" w:space="0"/>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top"/>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c>
          <w:tcPr>
            <w:tcW w:w="1134" w:type="dxa"/>
            <w:gridSpan w:val="3"/>
            <w:tcBorders>
              <w:top w:val="nil"/>
              <w:left w:val="nil"/>
              <w:bottom w:val="single" w:color="000000" w:sz="4" w:space="0"/>
              <w:right w:val="single" w:color="000000" w:sz="4" w:space="0"/>
            </w:tcBorders>
            <w:noWrap w:val="0"/>
            <w:vAlign w:val="top"/>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22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项目绩效目标</w:t>
            </w:r>
          </w:p>
        </w:tc>
        <w:tc>
          <w:tcPr>
            <w:tcW w:w="382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长期目标</w:t>
            </w:r>
          </w:p>
        </w:tc>
        <w:tc>
          <w:tcPr>
            <w:tcW w:w="3543" w:type="dxa"/>
            <w:gridSpan w:val="8"/>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年度目标</w:t>
            </w:r>
          </w:p>
        </w:tc>
      </w:tr>
      <w:tr>
        <w:tblPrEx>
          <w:tblCellMar>
            <w:top w:w="0" w:type="dxa"/>
            <w:left w:w="108" w:type="dxa"/>
            <w:bottom w:w="0" w:type="dxa"/>
            <w:right w:w="108" w:type="dxa"/>
          </w:tblCellMar>
        </w:tblPrEx>
        <w:trPr>
          <w:trHeight w:val="810" w:hRule="atLeast"/>
        </w:trPr>
        <w:tc>
          <w:tcPr>
            <w:tcW w:w="22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382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（申请资金3-5年预期实现目标）</w:t>
            </w:r>
          </w:p>
        </w:tc>
        <w:tc>
          <w:tcPr>
            <w:tcW w:w="3543" w:type="dxa"/>
            <w:gridSpan w:val="8"/>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（申请资金年度预期实现目标）</w:t>
            </w:r>
          </w:p>
        </w:tc>
      </w:tr>
      <w:tr>
        <w:tblPrEx>
          <w:tblCellMar>
            <w:top w:w="0" w:type="dxa"/>
            <w:left w:w="108" w:type="dxa"/>
            <w:bottom w:w="0" w:type="dxa"/>
            <w:right w:w="108" w:type="dxa"/>
          </w:tblCellMar>
        </w:tblPrEx>
        <w:trPr>
          <w:trHeight w:val="645" w:hRule="atLeast"/>
        </w:trPr>
        <w:tc>
          <w:tcPr>
            <w:tcW w:w="1134" w:type="dxa"/>
            <w:vMerge w:val="restart"/>
            <w:tcBorders>
              <w:top w:val="nil"/>
              <w:left w:val="single" w:color="000000" w:sz="4" w:space="0"/>
              <w:right w:val="single" w:color="000000" w:sz="4" w:space="0"/>
            </w:tcBorders>
            <w:noWrap w:val="0"/>
            <w:textDirection w:val="tbRlV"/>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项目绩效情况</w:t>
            </w:r>
          </w:p>
        </w:tc>
        <w:tc>
          <w:tcPr>
            <w:tcW w:w="1134" w:type="dxa"/>
            <w:vMerge w:val="restart"/>
            <w:tcBorders>
              <w:top w:val="nil"/>
              <w:left w:val="single" w:color="000000" w:sz="4" w:space="0"/>
              <w:right w:val="single" w:color="000000" w:sz="4" w:space="0"/>
            </w:tcBorders>
            <w:noWrap w:val="0"/>
            <w:textDirection w:val="tbRlV"/>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申请资金长期绩效指标</w:t>
            </w:r>
          </w:p>
        </w:tc>
        <w:tc>
          <w:tcPr>
            <w:tcW w:w="1418"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一级指标</w:t>
            </w:r>
          </w:p>
        </w:tc>
        <w:tc>
          <w:tcPr>
            <w:tcW w:w="1559"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二级指标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指标  内容</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指标值</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备注</w:t>
            </w:r>
          </w:p>
        </w:tc>
      </w:tr>
      <w:tr>
        <w:tblPrEx>
          <w:tblCellMar>
            <w:top w:w="0" w:type="dxa"/>
            <w:left w:w="108" w:type="dxa"/>
            <w:bottom w:w="0" w:type="dxa"/>
            <w:right w:w="108" w:type="dxa"/>
          </w:tblCellMar>
        </w:tblPrEx>
        <w:trPr>
          <w:trHeight w:val="42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产出指标</w:t>
            </w: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数量指标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质量指标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时效指标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成本指标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效益指标</w:t>
            </w: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经济效益  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社会效益  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环境效益  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可持续影  响指标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auto"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tcBorders>
              <w:top w:val="nil"/>
              <w:left w:val="nil"/>
              <w:bottom w:val="single" w:color="auto"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w:t>
            </w:r>
          </w:p>
        </w:tc>
        <w:tc>
          <w:tcPr>
            <w:tcW w:w="851" w:type="dxa"/>
            <w:gridSpan w:val="2"/>
            <w:tcBorders>
              <w:top w:val="nil"/>
              <w:left w:val="nil"/>
              <w:bottom w:val="single" w:color="auto"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auto"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restart"/>
            <w:tcBorders>
              <w:top w:val="single" w:color="auto" w:sz="4" w:space="0"/>
              <w:left w:val="single" w:color="000000"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服务对象满意度指标</w:t>
            </w:r>
          </w:p>
        </w:tc>
        <w:tc>
          <w:tcPr>
            <w:tcW w:w="1559" w:type="dxa"/>
            <w:gridSpan w:val="2"/>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具体指标</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98"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000000"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left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2268" w:type="dxa"/>
            <w:gridSpan w:val="6"/>
            <w:tcBorders>
              <w:top w:val="single" w:color="000000" w:sz="4" w:space="0"/>
              <w:left w:val="single" w:color="auto" w:sz="4" w:space="0"/>
              <w:bottom w:val="single" w:color="auto"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97"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left w:val="single" w:color="000000" w:sz="4" w:space="0"/>
              <w:bottom w:val="single" w:color="auto"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000000" w:sz="4" w:space="0"/>
              <w:bottom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left w:val="single" w:color="auto" w:sz="4" w:space="0"/>
              <w:bottom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s="宋体"/>
                <w:color w:val="000000" w:themeColor="text1"/>
                <w:kern w:val="0"/>
                <w:sz w:val="26"/>
                <w:szCs w:val="26"/>
                <w14:textFill>
                  <w14:solidFill>
                    <w14:schemeClr w14:val="tx1"/>
                  </w14:solidFill>
                </w14:textFill>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s="宋体"/>
                <w:color w:val="000000" w:themeColor="text1"/>
                <w:kern w:val="0"/>
                <w:sz w:val="26"/>
                <w:szCs w:val="26"/>
                <w14:textFill>
                  <w14:solidFill>
                    <w14:schemeClr w14:val="tx1"/>
                  </w14:solidFill>
                </w14:textFill>
              </w:rPr>
            </w:pPr>
          </w:p>
        </w:tc>
        <w:tc>
          <w:tcPr>
            <w:tcW w:w="2268" w:type="dxa"/>
            <w:gridSpan w:val="6"/>
            <w:tcBorders>
              <w:top w:val="single" w:color="000000" w:sz="4" w:space="0"/>
              <w:left w:val="single" w:color="auto" w:sz="4" w:space="0"/>
              <w:bottom w:val="single" w:color="auto" w:sz="4" w:space="0"/>
              <w:right w:val="single" w:color="000000" w:sz="4" w:space="0"/>
            </w:tcBorders>
            <w:noWrap w:val="0"/>
            <w:vAlign w:val="center"/>
          </w:tcPr>
          <w:p>
            <w:pPr>
              <w:spacing w:line="400" w:lineRule="exact"/>
              <w:jc w:val="center"/>
              <w:rPr>
                <w:rFonts w:hint="eastAsia" w:ascii="仿宋_GB2312" w:hAnsi="宋体" w:eastAsia="仿宋_GB2312" w:cs="宋体"/>
                <w:color w:val="000000" w:themeColor="text1"/>
                <w:kern w:val="0"/>
                <w:sz w:val="26"/>
                <w:szCs w:val="26"/>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restart"/>
            <w:tcBorders>
              <w:top w:val="single" w:color="auto" w:sz="4" w:space="0"/>
              <w:left w:val="single" w:color="000000" w:sz="4" w:space="0"/>
              <w:bottom w:val="single" w:color="auto" w:sz="4" w:space="0"/>
              <w:right w:val="single" w:color="auto" w:sz="4" w:space="0"/>
            </w:tcBorders>
            <w:noWrap w:val="0"/>
            <w:textDirection w:val="tbRlV"/>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申请资金年度绩效指标</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一级指标</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二级指标</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指标  内容</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上年    实际值</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预期   实现值</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备注</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restart"/>
            <w:tcBorders>
              <w:top w:val="single" w:color="auto" w:sz="4" w:space="0"/>
              <w:left w:val="single" w:color="auto"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产出指标</w:t>
            </w:r>
          </w:p>
        </w:tc>
        <w:tc>
          <w:tcPr>
            <w:tcW w:w="1559" w:type="dxa"/>
            <w:gridSpan w:val="2"/>
            <w:vMerge w:val="restart"/>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数量指标</w:t>
            </w:r>
          </w:p>
        </w:tc>
        <w:tc>
          <w:tcPr>
            <w:tcW w:w="851" w:type="dxa"/>
            <w:gridSpan w:val="2"/>
            <w:tcBorders>
              <w:top w:val="single" w:color="auto"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single" w:color="auto"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single" w:color="auto"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single" w:color="auto"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auto"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auto"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质量指标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auto"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auto"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时效指标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auto"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auto"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成本指标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auto"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left w:val="single" w:color="auto"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效益指标</w:t>
            </w: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经济效益  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社会效益  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环境效益  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可持续影  响指标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服务对象满意度指标</w:t>
            </w:r>
          </w:p>
        </w:tc>
        <w:tc>
          <w:tcPr>
            <w:tcW w:w="1559" w:type="dxa"/>
            <w:gridSpan w:val="2"/>
            <w:vMerge w:val="restart"/>
            <w:tcBorders>
              <w:top w:val="nil"/>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具体指标</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1559" w:type="dxa"/>
            <w:gridSpan w:val="2"/>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6"/>
                <w:szCs w:val="26"/>
                <w14:textFill>
                  <w14:solidFill>
                    <w14:schemeClr w14:val="tx1"/>
                  </w14:solidFill>
                </w14:textFill>
              </w:rPr>
            </w:pP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134" w:type="dxa"/>
            <w:vMerge w:val="continue"/>
            <w:tcBorders>
              <w:top w:val="nil"/>
              <w:left w:val="single" w:color="000000" w:sz="4" w:space="0"/>
              <w:bottom w:val="single" w:color="000000" w:sz="4" w:space="0"/>
              <w:right w:val="single" w:color="000000" w:sz="4" w:space="0"/>
            </w:tcBorders>
            <w:noWrap w:val="0"/>
            <w:vAlign w:val="center"/>
          </w:tcPr>
          <w:p>
            <w:pPr>
              <w:spacing w:line="400" w:lineRule="exact"/>
              <w:jc w:val="left"/>
              <w:rPr>
                <w:rFonts w:ascii="仿宋_GB2312" w:hAnsi="宋体" w:eastAsia="仿宋_GB2312" w:cs="宋体"/>
                <w:color w:val="000000" w:themeColor="text1"/>
                <w:kern w:val="0"/>
                <w:sz w:val="28"/>
                <w:szCs w:val="28"/>
                <w14:textFill>
                  <w14:solidFill>
                    <w14:schemeClr w14:val="tx1"/>
                  </w14:solidFill>
                </w14:textFill>
              </w:rPr>
            </w:pPr>
          </w:p>
        </w:tc>
        <w:tc>
          <w:tcPr>
            <w:tcW w:w="1418"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w:t>
            </w:r>
          </w:p>
        </w:tc>
        <w:tc>
          <w:tcPr>
            <w:tcW w:w="1559"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851"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5"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1276" w:type="dxa"/>
            <w:gridSpan w:val="4"/>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c>
          <w:tcPr>
            <w:tcW w:w="992" w:type="dxa"/>
            <w:gridSpan w:val="2"/>
            <w:tcBorders>
              <w:top w:val="nil"/>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6"/>
                <w:szCs w:val="26"/>
                <w14:textFill>
                  <w14:solidFill>
                    <w14:schemeClr w14:val="tx1"/>
                  </w14:solidFill>
                </w14:textFill>
              </w:rPr>
            </w:pPr>
            <w:r>
              <w:rPr>
                <w:rFonts w:hint="eastAsia" w:ascii="仿宋_GB2312" w:hAnsi="宋体" w:eastAsia="仿宋_GB2312" w:cs="宋体"/>
                <w:color w:val="000000" w:themeColor="text1"/>
                <w:kern w:val="0"/>
                <w:sz w:val="26"/>
                <w:szCs w:val="26"/>
                <w14:textFill>
                  <w14:solidFill>
                    <w14:schemeClr w14:val="tx1"/>
                  </w14:solidFill>
                </w14:textFill>
              </w:rPr>
              <w:t>　</w:t>
            </w:r>
          </w:p>
        </w:tc>
      </w:tr>
      <w:tr>
        <w:tblPrEx>
          <w:tblCellMar>
            <w:top w:w="0" w:type="dxa"/>
            <w:left w:w="108" w:type="dxa"/>
            <w:bottom w:w="0" w:type="dxa"/>
            <w:right w:w="108" w:type="dxa"/>
          </w:tblCellMar>
        </w:tblPrEx>
        <w:trPr>
          <w:trHeight w:val="750" w:hRule="atLeast"/>
        </w:trPr>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其他说明       的问题</w:t>
            </w:r>
          </w:p>
        </w:tc>
        <w:tc>
          <w:tcPr>
            <w:tcW w:w="7371" w:type="dxa"/>
            <w:gridSpan w:val="14"/>
            <w:tcBorders>
              <w:top w:val="single" w:color="000000" w:sz="4" w:space="0"/>
              <w:left w:val="nil"/>
              <w:bottom w:val="single" w:color="000000" w:sz="4" w:space="0"/>
              <w:right w:val="single" w:color="000000" w:sz="4" w:space="0"/>
            </w:tcBorders>
            <w:noWrap w:val="0"/>
            <w:vAlign w:val="center"/>
          </w:tcPr>
          <w:p>
            <w:pPr>
              <w:spacing w:line="400" w:lineRule="exact"/>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p>
            <w:pPr>
              <w:spacing w:line="400" w:lineRule="exact"/>
              <w:jc w:val="center"/>
              <w:rPr>
                <w:rFonts w:hint="eastAsia" w:ascii="仿宋_GB2312" w:hAnsi="宋体" w:eastAsia="仿宋_GB2312" w:cs="宋体"/>
                <w:color w:val="000000" w:themeColor="text1"/>
                <w:kern w:val="0"/>
                <w:sz w:val="24"/>
                <w:szCs w:val="24"/>
                <w14:textFill>
                  <w14:solidFill>
                    <w14:schemeClr w14:val="tx1"/>
                  </w14:solidFill>
                </w14:textFill>
              </w:rPr>
            </w:pPr>
          </w:p>
        </w:tc>
      </w:tr>
    </w:tbl>
    <w:p>
      <w:pPr>
        <w:spacing w:line="600" w:lineRule="exact"/>
        <w:contextualSpacing/>
        <w:rPr>
          <w:rFonts w:ascii="仿宋_GB2312" w:hAnsi="仿宋" w:eastAsia="仿宋_GB2312" w:cs="黑体"/>
          <w:color w:val="000000" w:themeColor="text1"/>
          <w:sz w:val="32"/>
          <w:szCs w:val="32"/>
          <w14:textFill>
            <w14:solidFill>
              <w14:schemeClr w14:val="tx1"/>
            </w14:solidFill>
          </w14:textFill>
        </w:rPr>
        <w:sectPr>
          <w:pgSz w:w="11906" w:h="16838"/>
          <w:pgMar w:top="1440" w:right="1800" w:bottom="1440" w:left="1800" w:header="851" w:footer="567" w:gutter="0"/>
          <w:pgNumType w:fmt="numberInDash"/>
          <w:cols w:space="720" w:num="1"/>
          <w:docGrid w:type="lines" w:linePitch="312" w:charSpace="0"/>
        </w:sectPr>
      </w:pPr>
    </w:p>
    <w:p>
      <w:pPr>
        <w:widowControl/>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附件3</w:t>
      </w:r>
    </w:p>
    <w:p>
      <w:pPr>
        <w:spacing w:line="400" w:lineRule="exact"/>
        <w:contextualSpacing/>
        <w:rPr>
          <w:rFonts w:hint="eastAsia" w:ascii="方正小标宋简体" w:eastAsia="方正小标宋简体"/>
          <w:color w:val="000000" w:themeColor="text1"/>
          <w:sz w:val="32"/>
          <w:szCs w:val="32"/>
          <w14:textFill>
            <w14:solidFill>
              <w14:schemeClr w14:val="tx1"/>
            </w14:solidFill>
          </w14:textFill>
        </w:rPr>
      </w:pPr>
    </w:p>
    <w:p>
      <w:pPr>
        <w:widowControl/>
        <w:jc w:val="center"/>
        <w:rPr>
          <w:rFonts w:hint="eastAsia" w:ascii="方正小标宋简体" w:hAnsi="方正大标宋简体" w:eastAsia="方正小标宋简体" w:cs="宋体"/>
          <w:color w:val="000000" w:themeColor="text1"/>
          <w:kern w:val="0"/>
          <w:sz w:val="36"/>
          <w:szCs w:val="36"/>
          <w14:textFill>
            <w14:solidFill>
              <w14:schemeClr w14:val="tx1"/>
            </w14:solidFill>
          </w14:textFill>
        </w:rPr>
      </w:pPr>
      <w:r>
        <w:rPr>
          <w:rFonts w:hint="eastAsia" w:ascii="方正小标宋简体" w:hAnsi="方正大标宋简体" w:eastAsia="方正小标宋简体" w:cs="宋体"/>
          <w:color w:val="000000" w:themeColor="text1"/>
          <w:kern w:val="0"/>
          <w:sz w:val="36"/>
          <w:szCs w:val="36"/>
          <w14:textFill>
            <w14:solidFill>
              <w14:schemeClr w14:val="tx1"/>
            </w14:solidFill>
          </w14:textFill>
        </w:rPr>
        <w:t>项目申报表填报说明</w:t>
      </w:r>
    </w:p>
    <w:p>
      <w:pPr>
        <w:spacing w:line="600" w:lineRule="exact"/>
        <w:rPr>
          <w:rFonts w:hint="eastAsia" w:ascii="方正小标宋简体" w:hAnsi="仿宋_GB2312" w:eastAsia="方正小标宋简体"/>
          <w:color w:val="000000" w:themeColor="text1"/>
          <w:sz w:val="32"/>
          <w14:textFill>
            <w14:solidFill>
              <w14:schemeClr w14:val="tx1"/>
            </w14:solidFill>
          </w14:textFill>
        </w:rPr>
      </w:pPr>
    </w:p>
    <w:p>
      <w:pPr>
        <w:spacing w:line="600" w:lineRule="exact"/>
        <w:contextualSpacing/>
        <w:rPr>
          <w:rFonts w:hint="eastAsia"/>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ab/>
      </w:r>
      <w:r>
        <w:rPr>
          <w:rFonts w:hint="eastAsia" w:ascii="仿宋_GB2312" w:hAnsi="仿宋_GB2312" w:eastAsia="仿宋_GB2312"/>
          <w:color w:val="000000" w:themeColor="text1"/>
          <w:sz w:val="32"/>
          <w14:textFill>
            <w14:solidFill>
              <w14:schemeClr w14:val="tx1"/>
            </w14:solidFill>
          </w14:textFill>
        </w:rPr>
        <w:t xml:space="preserve"> 1．项目名称：按规范的项目名称内容填报，填写2023年申报资金安排的项目名称。</w:t>
      </w:r>
    </w:p>
    <w:p>
      <w:pPr>
        <w:spacing w:line="600" w:lineRule="exact"/>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ab/>
      </w:r>
      <w:r>
        <w:rPr>
          <w:rFonts w:hint="eastAsia" w:ascii="仿宋_GB2312" w:hAnsi="仿宋_GB2312" w:eastAsia="仿宋_GB2312"/>
          <w:color w:val="000000" w:themeColor="text1"/>
          <w:sz w:val="32"/>
          <w14:textFill>
            <w14:solidFill>
              <w14:schemeClr w14:val="tx1"/>
            </w14:solidFill>
          </w14:textFill>
        </w:rPr>
        <w:t xml:space="preserve"> 2．项目主管部门：填写市（州）、直管市、林区住房和城乡建设部门全称。</w:t>
      </w:r>
    </w:p>
    <w:p>
      <w:pPr>
        <w:spacing w:line="600" w:lineRule="exact"/>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ab/>
      </w:r>
      <w:r>
        <w:rPr>
          <w:rFonts w:hint="eastAsia" w:ascii="仿宋_GB2312" w:hAnsi="仿宋_GB2312" w:eastAsia="仿宋_GB2312"/>
          <w:color w:val="000000" w:themeColor="text1"/>
          <w:sz w:val="32"/>
          <w14:textFill>
            <w14:solidFill>
              <w14:schemeClr w14:val="tx1"/>
            </w14:solidFill>
          </w14:textFill>
        </w:rPr>
        <w:t xml:space="preserve"> 3．项目执行单位：填写项目用款单位。</w:t>
      </w:r>
    </w:p>
    <w:p>
      <w:pPr>
        <w:spacing w:line="600" w:lineRule="exact"/>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ab/>
      </w:r>
      <w:r>
        <w:rPr>
          <w:rFonts w:hint="eastAsia" w:ascii="仿宋_GB2312" w:hAnsi="仿宋_GB2312" w:eastAsia="仿宋_GB2312"/>
          <w:color w:val="000000" w:themeColor="text1"/>
          <w:sz w:val="32"/>
          <w14:textFill>
            <w14:solidFill>
              <w14:schemeClr w14:val="tx1"/>
            </w14:solidFill>
          </w14:textFill>
        </w:rPr>
        <w:t xml:space="preserve"> 4．项目负责人：填写项目用款单位负责人。</w:t>
      </w:r>
    </w:p>
    <w:p>
      <w:pPr>
        <w:spacing w:line="600" w:lineRule="exact"/>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ab/>
      </w:r>
      <w:r>
        <w:rPr>
          <w:rFonts w:hint="eastAsia" w:ascii="仿宋_GB2312" w:hAnsi="仿宋_GB2312" w:eastAsia="仿宋_GB2312"/>
          <w:color w:val="000000" w:themeColor="text1"/>
          <w:sz w:val="32"/>
          <w14:textFill>
            <w14:solidFill>
              <w14:schemeClr w14:val="tx1"/>
            </w14:solidFill>
          </w14:textFill>
        </w:rPr>
        <w:t xml:space="preserve"> 5．联系电话：填写项目用款单位负责人和经办人联系电话。</w:t>
      </w:r>
    </w:p>
    <w:p>
      <w:pPr>
        <w:spacing w:line="600" w:lineRule="exact"/>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ab/>
      </w:r>
      <w:r>
        <w:rPr>
          <w:rFonts w:hint="eastAsia" w:ascii="仿宋_GB2312" w:hAnsi="仿宋_GB2312" w:eastAsia="仿宋_GB2312"/>
          <w:color w:val="000000" w:themeColor="text1"/>
          <w:sz w:val="32"/>
          <w14:textFill>
            <w14:solidFill>
              <w14:schemeClr w14:val="tx1"/>
            </w14:solidFill>
          </w14:textFill>
        </w:rPr>
        <w:t xml:space="preserve"> 6．项目申请理由和主要内容：应符合国家有关方针政策和公共财政支出方向、范围，包括项目简述、与单位职能的相关性、可行性和必要性分析、计划执行的时间进度(具体到年月)和预算、实施范围、组织实施方式、保证项目实施的制度和措施等基本情况。对于持续性项目，还要对以前年度项目实施时间、完成情况和实际支出等予以说明。包括已完成或正在实施的项目简况、申请资金安排项目的主要内容。</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7．项目支出明细预算：应反映项目支出的具体内容。</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8．测算依据及说明：应当明细、可供审查。</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9．项目总预算和当年预算：分别填列项目实施的总预算和当年申报的预算。</w:t>
      </w:r>
    </w:p>
    <w:p>
      <w:pPr>
        <w:spacing w:line="600" w:lineRule="exact"/>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ab/>
      </w:r>
      <w:r>
        <w:rPr>
          <w:rFonts w:hint="eastAsia" w:ascii="仿宋_GB2312" w:hAnsi="仿宋_GB2312" w:eastAsia="仿宋_GB2312"/>
          <w:color w:val="000000" w:themeColor="text1"/>
          <w:sz w:val="32"/>
          <w14:textFill>
            <w14:solidFill>
              <w14:schemeClr w14:val="tx1"/>
            </w14:solidFill>
          </w14:textFill>
        </w:rPr>
        <w:t xml:space="preserve"> 10．项目资金来源：按照实际填列项目当年预算中具体的资金来源。</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11．项目绩效目标：描述实施项目计划在一定期限内达到的产出和效果。</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（1）长期目标：概括描述延续性项目在整个计划期内的总体产出和效果（延续性项目）。</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（2）年度目标：概括描述项目在本年度所计划达到的产出和效果。</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12．长期绩效指标：是对延续性项目长期绩效目标的细化和量化，针对申请资金填报，一般包括：</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1）产出指标：反映项目根据既定目标计划完成的产品和服务情况。可进一步细分为：数量指标，反映项目计划完成的产品或服务的数量；质量指标，反映项目计划提供产品或服务达到的标准、水平和效果；时效指标，反映项目计划提供产品或服务的及时程度和效率情况；成本指标，反映项目计划提供产品或服务所需成本，分单位成本和总成本等。</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（2）效益指标：反映与既定绩效目标相关的、财政支出预期结果的实现程度，包括经济效益指标、社会效益指标、环境效益指标、可持续影响指标等。</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（3）服务对象满意程度指标：反映服务对象对财政支出效果的满意程度，根据实际细化为具体指标。</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（4）指标内容：根据实际工作需要将细分的绩效指标确定为具体内容。</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（5）指标值：对指标内容确定具体值，其中，可量化的用数值描述，不可量化的以定性描述。</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6）备注：反映“指标值”的填报依据或基准数据、考核指标的方式等。其中，“填报依据”指填报指标值的相关政策文件规定；若无政策依据，该栏需填“基准数据”，可以是过去三年的平均值、以前某年度的数值、平均趋势、类似项目的先进水平、行业标准、经验标准等。例如，某指标是“学前班招收城市适龄儿童的比例”，指标值是“2006年城市儿童接受学前教育的比例达到85%”，基准数据可以填报“1999年城市儿童接受学前教育的比例为75%”。“考核指标的方式”，即获取指标和指标值中相关信息的方式。</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13．年度绩效指标：是对项目年度绩效目标的细化和量化，针对申请资金填报。</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（1）上年实际值：上年度指标实际完成值。对于新增项目，此栏不填。</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（2）预期指标值：本年度预期要达到的指标值。</w:t>
      </w:r>
    </w:p>
    <w:p>
      <w:pPr>
        <w:spacing w:line="600" w:lineRule="exact"/>
        <w:ind w:firstLine="640" w:firstLineChars="200"/>
        <w:contextualSpacing/>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（3）其余事项填写参照“长期绩效指标”。</w:t>
      </w:r>
    </w:p>
    <w:p>
      <w:pPr>
        <w:rPr>
          <w:color w:val="000000" w:themeColor="text1"/>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14．其他说明的问题:对于不可预见性问题、项目实施可能面临的困难进行分析和说明。</w:t>
      </w:r>
      <w:bookmarkEnd w:id="0"/>
    </w:p>
    <w:sectPr>
      <w:footerReference r:id="rId5" w:type="default"/>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right"/>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5 -</w:t>
                    </w:r>
                    <w:r>
                      <w:rPr>
                        <w:rFonts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6 -</w:t>
    </w:r>
    <w:r>
      <w:rPr>
        <w:rFonts w:ascii="宋体" w:hAnsi="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17 -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jc w:val="right"/>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17 -</w:t>
                    </w:r>
                    <w:r>
                      <w:rPr>
                        <w:rFonts w:ascii="宋体" w:hAnsi="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007D0B6B"/>
    <w:rsid w:val="000021AF"/>
    <w:rsid w:val="00022525"/>
    <w:rsid w:val="00022AB3"/>
    <w:rsid w:val="0002453F"/>
    <w:rsid w:val="00027FD5"/>
    <w:rsid w:val="00033B2F"/>
    <w:rsid w:val="00035D25"/>
    <w:rsid w:val="000408BD"/>
    <w:rsid w:val="00043C56"/>
    <w:rsid w:val="00045CC1"/>
    <w:rsid w:val="000557C3"/>
    <w:rsid w:val="00063758"/>
    <w:rsid w:val="00073955"/>
    <w:rsid w:val="000773AA"/>
    <w:rsid w:val="00077C94"/>
    <w:rsid w:val="00090ADD"/>
    <w:rsid w:val="0009308E"/>
    <w:rsid w:val="00093394"/>
    <w:rsid w:val="000A4055"/>
    <w:rsid w:val="000A5CBA"/>
    <w:rsid w:val="000B2983"/>
    <w:rsid w:val="000C549C"/>
    <w:rsid w:val="000E4D4C"/>
    <w:rsid w:val="000E61BD"/>
    <w:rsid w:val="000F2B08"/>
    <w:rsid w:val="000F576A"/>
    <w:rsid w:val="00102691"/>
    <w:rsid w:val="001054B1"/>
    <w:rsid w:val="00113C35"/>
    <w:rsid w:val="00135EEC"/>
    <w:rsid w:val="00137D73"/>
    <w:rsid w:val="00144E71"/>
    <w:rsid w:val="001547CE"/>
    <w:rsid w:val="00161167"/>
    <w:rsid w:val="00171104"/>
    <w:rsid w:val="00182EF4"/>
    <w:rsid w:val="0019395F"/>
    <w:rsid w:val="001944B6"/>
    <w:rsid w:val="00195056"/>
    <w:rsid w:val="00196BA3"/>
    <w:rsid w:val="001A091B"/>
    <w:rsid w:val="001A6AD5"/>
    <w:rsid w:val="001B625E"/>
    <w:rsid w:val="001B7A56"/>
    <w:rsid w:val="001D5AEF"/>
    <w:rsid w:val="001E778C"/>
    <w:rsid w:val="001F5AFE"/>
    <w:rsid w:val="001F71D0"/>
    <w:rsid w:val="001F76F1"/>
    <w:rsid w:val="0020336C"/>
    <w:rsid w:val="002042B9"/>
    <w:rsid w:val="0021216B"/>
    <w:rsid w:val="00212D3C"/>
    <w:rsid w:val="00213D73"/>
    <w:rsid w:val="00222350"/>
    <w:rsid w:val="002232C3"/>
    <w:rsid w:val="0023077E"/>
    <w:rsid w:val="002378AA"/>
    <w:rsid w:val="00240115"/>
    <w:rsid w:val="00242C52"/>
    <w:rsid w:val="0025354D"/>
    <w:rsid w:val="002575D3"/>
    <w:rsid w:val="00263966"/>
    <w:rsid w:val="00272057"/>
    <w:rsid w:val="00281721"/>
    <w:rsid w:val="002869D8"/>
    <w:rsid w:val="002912E4"/>
    <w:rsid w:val="002977E0"/>
    <w:rsid w:val="002A0868"/>
    <w:rsid w:val="002A4251"/>
    <w:rsid w:val="002B0B2E"/>
    <w:rsid w:val="002B480D"/>
    <w:rsid w:val="002C0CFB"/>
    <w:rsid w:val="002D3864"/>
    <w:rsid w:val="002D3D60"/>
    <w:rsid w:val="002D592B"/>
    <w:rsid w:val="002D6382"/>
    <w:rsid w:val="002D6BA7"/>
    <w:rsid w:val="002F74BD"/>
    <w:rsid w:val="00304946"/>
    <w:rsid w:val="00327DCA"/>
    <w:rsid w:val="00334636"/>
    <w:rsid w:val="0033522C"/>
    <w:rsid w:val="003400F3"/>
    <w:rsid w:val="00340EE0"/>
    <w:rsid w:val="00345B0E"/>
    <w:rsid w:val="00351527"/>
    <w:rsid w:val="003558AD"/>
    <w:rsid w:val="00363AF2"/>
    <w:rsid w:val="0036529D"/>
    <w:rsid w:val="00370149"/>
    <w:rsid w:val="0038173B"/>
    <w:rsid w:val="003865C8"/>
    <w:rsid w:val="00391A79"/>
    <w:rsid w:val="003A0F64"/>
    <w:rsid w:val="003A3C63"/>
    <w:rsid w:val="003B17A8"/>
    <w:rsid w:val="003B42C7"/>
    <w:rsid w:val="003B459D"/>
    <w:rsid w:val="003B6C02"/>
    <w:rsid w:val="003B77B8"/>
    <w:rsid w:val="003C6328"/>
    <w:rsid w:val="003C7029"/>
    <w:rsid w:val="003D23C8"/>
    <w:rsid w:val="003E1697"/>
    <w:rsid w:val="003F38E3"/>
    <w:rsid w:val="003F70B4"/>
    <w:rsid w:val="004017EF"/>
    <w:rsid w:val="00410122"/>
    <w:rsid w:val="004156DE"/>
    <w:rsid w:val="0042495B"/>
    <w:rsid w:val="0042751A"/>
    <w:rsid w:val="00434EA4"/>
    <w:rsid w:val="004371B2"/>
    <w:rsid w:val="00445A9D"/>
    <w:rsid w:val="00445E95"/>
    <w:rsid w:val="00447007"/>
    <w:rsid w:val="004627F9"/>
    <w:rsid w:val="00473AE9"/>
    <w:rsid w:val="00474BF8"/>
    <w:rsid w:val="00476C6C"/>
    <w:rsid w:val="004A069F"/>
    <w:rsid w:val="004A5528"/>
    <w:rsid w:val="004A5C65"/>
    <w:rsid w:val="004D54BA"/>
    <w:rsid w:val="004E1803"/>
    <w:rsid w:val="004E201B"/>
    <w:rsid w:val="004F40CC"/>
    <w:rsid w:val="004F469A"/>
    <w:rsid w:val="004F495F"/>
    <w:rsid w:val="00507091"/>
    <w:rsid w:val="00507CF3"/>
    <w:rsid w:val="00510E92"/>
    <w:rsid w:val="005110E3"/>
    <w:rsid w:val="00513591"/>
    <w:rsid w:val="00513D3A"/>
    <w:rsid w:val="00526FE6"/>
    <w:rsid w:val="00527018"/>
    <w:rsid w:val="00534284"/>
    <w:rsid w:val="0053636C"/>
    <w:rsid w:val="005463D4"/>
    <w:rsid w:val="005468E8"/>
    <w:rsid w:val="005730DE"/>
    <w:rsid w:val="00580055"/>
    <w:rsid w:val="00582197"/>
    <w:rsid w:val="005976F7"/>
    <w:rsid w:val="005B237A"/>
    <w:rsid w:val="005C2137"/>
    <w:rsid w:val="005C3221"/>
    <w:rsid w:val="005E0860"/>
    <w:rsid w:val="005E5293"/>
    <w:rsid w:val="00600F8E"/>
    <w:rsid w:val="00604BD2"/>
    <w:rsid w:val="00606B0D"/>
    <w:rsid w:val="00611B22"/>
    <w:rsid w:val="00612BF1"/>
    <w:rsid w:val="006228D0"/>
    <w:rsid w:val="00623F90"/>
    <w:rsid w:val="00630572"/>
    <w:rsid w:val="00633622"/>
    <w:rsid w:val="0063436F"/>
    <w:rsid w:val="00636D05"/>
    <w:rsid w:val="006513BF"/>
    <w:rsid w:val="00654E33"/>
    <w:rsid w:val="006610F0"/>
    <w:rsid w:val="0066445E"/>
    <w:rsid w:val="006B4EE3"/>
    <w:rsid w:val="006C7186"/>
    <w:rsid w:val="006D4D7A"/>
    <w:rsid w:val="006D6818"/>
    <w:rsid w:val="006D71C5"/>
    <w:rsid w:val="006E0076"/>
    <w:rsid w:val="006E2A05"/>
    <w:rsid w:val="006E459D"/>
    <w:rsid w:val="006E70FC"/>
    <w:rsid w:val="006F42E5"/>
    <w:rsid w:val="006F77EA"/>
    <w:rsid w:val="00703C31"/>
    <w:rsid w:val="00710F7B"/>
    <w:rsid w:val="00720C3E"/>
    <w:rsid w:val="00720D73"/>
    <w:rsid w:val="00721F72"/>
    <w:rsid w:val="00736716"/>
    <w:rsid w:val="0073694F"/>
    <w:rsid w:val="00742FB9"/>
    <w:rsid w:val="00743CAD"/>
    <w:rsid w:val="00747E56"/>
    <w:rsid w:val="00753A7D"/>
    <w:rsid w:val="0076195E"/>
    <w:rsid w:val="0076588F"/>
    <w:rsid w:val="00782DFA"/>
    <w:rsid w:val="007833F6"/>
    <w:rsid w:val="00791A98"/>
    <w:rsid w:val="00791FF9"/>
    <w:rsid w:val="007A4A0A"/>
    <w:rsid w:val="007A57E9"/>
    <w:rsid w:val="007A7A36"/>
    <w:rsid w:val="007B79B5"/>
    <w:rsid w:val="007C6CC0"/>
    <w:rsid w:val="007D0B6B"/>
    <w:rsid w:val="007D5CC6"/>
    <w:rsid w:val="007E1EB0"/>
    <w:rsid w:val="007F099D"/>
    <w:rsid w:val="007F1461"/>
    <w:rsid w:val="00801650"/>
    <w:rsid w:val="00801D82"/>
    <w:rsid w:val="00802797"/>
    <w:rsid w:val="008179BD"/>
    <w:rsid w:val="008211C2"/>
    <w:rsid w:val="008223F6"/>
    <w:rsid w:val="00823408"/>
    <w:rsid w:val="0082669F"/>
    <w:rsid w:val="00832351"/>
    <w:rsid w:val="008469FE"/>
    <w:rsid w:val="00850A70"/>
    <w:rsid w:val="008633A2"/>
    <w:rsid w:val="00864564"/>
    <w:rsid w:val="00866A78"/>
    <w:rsid w:val="008776BF"/>
    <w:rsid w:val="00883964"/>
    <w:rsid w:val="00897F17"/>
    <w:rsid w:val="008A3B49"/>
    <w:rsid w:val="008A7FFA"/>
    <w:rsid w:val="008C3B30"/>
    <w:rsid w:val="008D1185"/>
    <w:rsid w:val="008D2E8B"/>
    <w:rsid w:val="008D3825"/>
    <w:rsid w:val="008D4BDF"/>
    <w:rsid w:val="008D6C11"/>
    <w:rsid w:val="008D6D03"/>
    <w:rsid w:val="008D6D27"/>
    <w:rsid w:val="008E2689"/>
    <w:rsid w:val="008E65F9"/>
    <w:rsid w:val="008F2464"/>
    <w:rsid w:val="00904A2D"/>
    <w:rsid w:val="0090791F"/>
    <w:rsid w:val="00913FDC"/>
    <w:rsid w:val="00914406"/>
    <w:rsid w:val="00915807"/>
    <w:rsid w:val="009173B4"/>
    <w:rsid w:val="0092763C"/>
    <w:rsid w:val="009305B4"/>
    <w:rsid w:val="00942795"/>
    <w:rsid w:val="00944050"/>
    <w:rsid w:val="00957D8B"/>
    <w:rsid w:val="009663E3"/>
    <w:rsid w:val="00967AEF"/>
    <w:rsid w:val="009729CB"/>
    <w:rsid w:val="0098569D"/>
    <w:rsid w:val="00987857"/>
    <w:rsid w:val="0099023F"/>
    <w:rsid w:val="00993B3F"/>
    <w:rsid w:val="00996EBB"/>
    <w:rsid w:val="009B3F02"/>
    <w:rsid w:val="009B748B"/>
    <w:rsid w:val="009D3553"/>
    <w:rsid w:val="009E3E82"/>
    <w:rsid w:val="009F242B"/>
    <w:rsid w:val="00A03DA2"/>
    <w:rsid w:val="00A06C11"/>
    <w:rsid w:val="00A06E08"/>
    <w:rsid w:val="00A07792"/>
    <w:rsid w:val="00A1401B"/>
    <w:rsid w:val="00A163A0"/>
    <w:rsid w:val="00A231B2"/>
    <w:rsid w:val="00A232FC"/>
    <w:rsid w:val="00A33563"/>
    <w:rsid w:val="00A33C4B"/>
    <w:rsid w:val="00A34ACC"/>
    <w:rsid w:val="00A34F92"/>
    <w:rsid w:val="00A45BE2"/>
    <w:rsid w:val="00A45F51"/>
    <w:rsid w:val="00A518B5"/>
    <w:rsid w:val="00A52661"/>
    <w:rsid w:val="00A55146"/>
    <w:rsid w:val="00A61CAE"/>
    <w:rsid w:val="00A8068E"/>
    <w:rsid w:val="00A80BCB"/>
    <w:rsid w:val="00A8315E"/>
    <w:rsid w:val="00A855D9"/>
    <w:rsid w:val="00A913B1"/>
    <w:rsid w:val="00A93047"/>
    <w:rsid w:val="00AA5D84"/>
    <w:rsid w:val="00AC7EE1"/>
    <w:rsid w:val="00AD13E0"/>
    <w:rsid w:val="00AD270E"/>
    <w:rsid w:val="00AD5B3D"/>
    <w:rsid w:val="00AD5E3E"/>
    <w:rsid w:val="00AE31D2"/>
    <w:rsid w:val="00AF1D31"/>
    <w:rsid w:val="00B0321F"/>
    <w:rsid w:val="00B20831"/>
    <w:rsid w:val="00B45E4A"/>
    <w:rsid w:val="00B53D55"/>
    <w:rsid w:val="00B60112"/>
    <w:rsid w:val="00B6077E"/>
    <w:rsid w:val="00B772D3"/>
    <w:rsid w:val="00B8098D"/>
    <w:rsid w:val="00B80A8B"/>
    <w:rsid w:val="00B92FE5"/>
    <w:rsid w:val="00BA1348"/>
    <w:rsid w:val="00BA6E3E"/>
    <w:rsid w:val="00BA718A"/>
    <w:rsid w:val="00BB2DCE"/>
    <w:rsid w:val="00BD05A1"/>
    <w:rsid w:val="00BE3C2B"/>
    <w:rsid w:val="00BF060B"/>
    <w:rsid w:val="00BF304E"/>
    <w:rsid w:val="00BF355A"/>
    <w:rsid w:val="00BF573B"/>
    <w:rsid w:val="00C068B4"/>
    <w:rsid w:val="00C069ED"/>
    <w:rsid w:val="00C10DDD"/>
    <w:rsid w:val="00C1678C"/>
    <w:rsid w:val="00C20E55"/>
    <w:rsid w:val="00C215B0"/>
    <w:rsid w:val="00C22DE0"/>
    <w:rsid w:val="00C315A7"/>
    <w:rsid w:val="00C45A15"/>
    <w:rsid w:val="00C45C5D"/>
    <w:rsid w:val="00C45E10"/>
    <w:rsid w:val="00C47F1C"/>
    <w:rsid w:val="00C54D6A"/>
    <w:rsid w:val="00C567F9"/>
    <w:rsid w:val="00C56E83"/>
    <w:rsid w:val="00C57235"/>
    <w:rsid w:val="00C65540"/>
    <w:rsid w:val="00C67D81"/>
    <w:rsid w:val="00C809F5"/>
    <w:rsid w:val="00C83757"/>
    <w:rsid w:val="00C87554"/>
    <w:rsid w:val="00CA4EBC"/>
    <w:rsid w:val="00CB15E1"/>
    <w:rsid w:val="00CB4D1F"/>
    <w:rsid w:val="00CB66BA"/>
    <w:rsid w:val="00CF6F04"/>
    <w:rsid w:val="00CF7819"/>
    <w:rsid w:val="00D0003C"/>
    <w:rsid w:val="00D04236"/>
    <w:rsid w:val="00D21EE0"/>
    <w:rsid w:val="00D22251"/>
    <w:rsid w:val="00D25ADF"/>
    <w:rsid w:val="00D357A3"/>
    <w:rsid w:val="00D37094"/>
    <w:rsid w:val="00D442FE"/>
    <w:rsid w:val="00D51055"/>
    <w:rsid w:val="00D51892"/>
    <w:rsid w:val="00D64330"/>
    <w:rsid w:val="00D65B66"/>
    <w:rsid w:val="00D673A5"/>
    <w:rsid w:val="00D72283"/>
    <w:rsid w:val="00D72592"/>
    <w:rsid w:val="00D73C16"/>
    <w:rsid w:val="00D80B5C"/>
    <w:rsid w:val="00D8574B"/>
    <w:rsid w:val="00D962D9"/>
    <w:rsid w:val="00D97A38"/>
    <w:rsid w:val="00DA3FCD"/>
    <w:rsid w:val="00DB2326"/>
    <w:rsid w:val="00DB6A59"/>
    <w:rsid w:val="00DD03AE"/>
    <w:rsid w:val="00DD12DB"/>
    <w:rsid w:val="00DD38E2"/>
    <w:rsid w:val="00DE2759"/>
    <w:rsid w:val="00DF603A"/>
    <w:rsid w:val="00E0397C"/>
    <w:rsid w:val="00E105B9"/>
    <w:rsid w:val="00E14333"/>
    <w:rsid w:val="00E2491D"/>
    <w:rsid w:val="00E30A01"/>
    <w:rsid w:val="00E30ED1"/>
    <w:rsid w:val="00E34D48"/>
    <w:rsid w:val="00E44473"/>
    <w:rsid w:val="00E46459"/>
    <w:rsid w:val="00E4656E"/>
    <w:rsid w:val="00E4696A"/>
    <w:rsid w:val="00E559A4"/>
    <w:rsid w:val="00E62D25"/>
    <w:rsid w:val="00E77D91"/>
    <w:rsid w:val="00E8539D"/>
    <w:rsid w:val="00EA5778"/>
    <w:rsid w:val="00EB2F42"/>
    <w:rsid w:val="00ED6ABD"/>
    <w:rsid w:val="00EE0BF0"/>
    <w:rsid w:val="00EE3ABC"/>
    <w:rsid w:val="00EF1B62"/>
    <w:rsid w:val="00EF3017"/>
    <w:rsid w:val="00F05429"/>
    <w:rsid w:val="00F40C25"/>
    <w:rsid w:val="00F41A58"/>
    <w:rsid w:val="00F4447B"/>
    <w:rsid w:val="00F504EE"/>
    <w:rsid w:val="00F52025"/>
    <w:rsid w:val="00F57C61"/>
    <w:rsid w:val="00F8139F"/>
    <w:rsid w:val="00F838C4"/>
    <w:rsid w:val="00F862AE"/>
    <w:rsid w:val="00FA592D"/>
    <w:rsid w:val="00FA77D7"/>
    <w:rsid w:val="00FB761F"/>
    <w:rsid w:val="00FD76B1"/>
    <w:rsid w:val="00FE3219"/>
    <w:rsid w:val="00FE412F"/>
    <w:rsid w:val="00FE47BA"/>
    <w:rsid w:val="00FF67CF"/>
    <w:rsid w:val="0F2D5874"/>
    <w:rsid w:val="102A5C8F"/>
    <w:rsid w:val="1BEFBF64"/>
    <w:rsid w:val="1DB86168"/>
    <w:rsid w:val="1F236109"/>
    <w:rsid w:val="24915CB5"/>
    <w:rsid w:val="276F9F60"/>
    <w:rsid w:val="307F864D"/>
    <w:rsid w:val="327C5640"/>
    <w:rsid w:val="36543DC5"/>
    <w:rsid w:val="395B7D44"/>
    <w:rsid w:val="3C3FF470"/>
    <w:rsid w:val="3E3165E5"/>
    <w:rsid w:val="3FF75F33"/>
    <w:rsid w:val="41B66B23"/>
    <w:rsid w:val="426B0E17"/>
    <w:rsid w:val="4A2658A1"/>
    <w:rsid w:val="4FF2565D"/>
    <w:rsid w:val="51F73C0B"/>
    <w:rsid w:val="5C8451E4"/>
    <w:rsid w:val="5CBA02CB"/>
    <w:rsid w:val="5E977924"/>
    <w:rsid w:val="5EE69626"/>
    <w:rsid w:val="612D90A8"/>
    <w:rsid w:val="64EE55D5"/>
    <w:rsid w:val="67B839DF"/>
    <w:rsid w:val="67F7B880"/>
    <w:rsid w:val="69827C4E"/>
    <w:rsid w:val="6AFFB8CD"/>
    <w:rsid w:val="6B901FAA"/>
    <w:rsid w:val="78FFF717"/>
    <w:rsid w:val="79372281"/>
    <w:rsid w:val="B5BBB48E"/>
    <w:rsid w:val="B7FACF3B"/>
    <w:rsid w:val="B7FFCB36"/>
    <w:rsid w:val="BBEF5FC6"/>
    <w:rsid w:val="BEF54195"/>
    <w:rsid w:val="BFEA31E2"/>
    <w:rsid w:val="CBFF3C62"/>
    <w:rsid w:val="CED700D7"/>
    <w:rsid w:val="D2D713F4"/>
    <w:rsid w:val="D3EA7FD4"/>
    <w:rsid w:val="D3F44A4B"/>
    <w:rsid w:val="DBFBBDA2"/>
    <w:rsid w:val="DEFFD8C7"/>
    <w:rsid w:val="DFBFC943"/>
    <w:rsid w:val="EFFFE0B8"/>
    <w:rsid w:val="F3FF7830"/>
    <w:rsid w:val="F7E7BE64"/>
    <w:rsid w:val="FBB8D470"/>
    <w:rsid w:val="FDED9EB4"/>
    <w:rsid w:val="FEFD0EE1"/>
    <w:rsid w:val="FFFF86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rPr>
      <w:rFonts w:eastAsia="宋体"/>
      <w:sz w:val="21"/>
      <w:szCs w:val="22"/>
    </w:rPr>
  </w:style>
  <w:style w:type="paragraph" w:styleId="3">
    <w:name w:val="Balloon Text"/>
    <w:basedOn w:val="1"/>
    <w:link w:val="12"/>
    <w:unhideWhenUsed/>
    <w:qFormat/>
    <w:uiPriority w:val="99"/>
    <w:rPr>
      <w:rFonts w:eastAsia="宋体"/>
      <w:kern w:val="0"/>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20"/>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20"/>
    </w:rPr>
  </w:style>
  <w:style w:type="character" w:styleId="8">
    <w:name w:val="page number"/>
    <w:basedOn w:val="7"/>
    <w:semiHidden/>
    <w:unhideWhenUsed/>
    <w:qFormat/>
    <w:uiPriority w:val="99"/>
  </w:style>
  <w:style w:type="character" w:styleId="9">
    <w:name w:val="Hyperlink"/>
    <w:unhideWhenUsed/>
    <w:qFormat/>
    <w:uiPriority w:val="99"/>
    <w:rPr>
      <w:rFonts w:ascii="Times New Roman" w:hAnsi="Times New Roman" w:eastAsia="宋体" w:cs="Times New Roman"/>
      <w:color w:val="0000FF"/>
      <w:u w:val="single"/>
    </w:rPr>
  </w:style>
  <w:style w:type="character" w:customStyle="1" w:styleId="10">
    <w:name w:val="页脚 Char"/>
    <w:link w:val="4"/>
    <w:qFormat/>
    <w:uiPriority w:val="99"/>
    <w:rPr>
      <w:rFonts w:ascii="Times New Roman" w:hAnsi="Times New Roman" w:eastAsia="宋体" w:cs="Times New Roman"/>
      <w:sz w:val="18"/>
      <w:szCs w:val="20"/>
    </w:rPr>
  </w:style>
  <w:style w:type="character" w:customStyle="1" w:styleId="11">
    <w:name w:val="日期 Char"/>
    <w:link w:val="2"/>
    <w:semiHidden/>
    <w:qFormat/>
    <w:uiPriority w:val="99"/>
    <w:rPr>
      <w:rFonts w:ascii="Times New Roman" w:hAnsi="Times New Roman" w:eastAsia="宋体" w:cs="Times New Roman"/>
    </w:rPr>
  </w:style>
  <w:style w:type="character" w:customStyle="1" w:styleId="12">
    <w:name w:val="批注框文本 Char"/>
    <w:link w:val="3"/>
    <w:semiHidden/>
    <w:qFormat/>
    <w:uiPriority w:val="99"/>
    <w:rPr>
      <w:rFonts w:ascii="Times New Roman" w:hAnsi="Times New Roman" w:eastAsia="宋体" w:cs="Times New Roman"/>
      <w:kern w:val="0"/>
      <w:sz w:val="18"/>
      <w:szCs w:val="18"/>
    </w:rPr>
  </w:style>
  <w:style w:type="character" w:customStyle="1" w:styleId="13">
    <w:name w:val="页眉 Char"/>
    <w:link w:val="5"/>
    <w:qFormat/>
    <w:uiPriority w:val="99"/>
    <w:rPr>
      <w:rFonts w:ascii="Times New Roman" w:hAnsi="Times New Roman" w:eastAsia="宋体" w:cs="Times New Roman"/>
      <w:sz w:val="18"/>
      <w:szCs w:val="20"/>
    </w:rPr>
  </w:style>
  <w:style w:type="character" w:customStyle="1" w:styleId="14">
    <w:name w:val="_Style 13"/>
    <w:qFormat/>
    <w:uiPriority w:val="19"/>
    <w:rPr>
      <w:rFonts w:ascii="Times New Roman" w:hAnsi="Times New Roman" w:eastAsia="宋体" w:cs="Times New Roman"/>
      <w:i/>
      <w:iCs/>
      <w:color w:val="404040"/>
    </w:rPr>
  </w:style>
  <w:style w:type="character" w:customStyle="1" w:styleId="15">
    <w:name w:val="引用 Char"/>
    <w:link w:val="16"/>
    <w:qFormat/>
    <w:uiPriority w:val="29"/>
    <w:rPr>
      <w:rFonts w:ascii="Times New Roman" w:hAnsi="Times New Roman" w:eastAsia="宋体" w:cs="Times New Roman"/>
      <w:i/>
      <w:iCs/>
      <w:color w:val="000000"/>
      <w:kern w:val="0"/>
      <w:sz w:val="20"/>
      <w:szCs w:val="20"/>
    </w:rPr>
  </w:style>
  <w:style w:type="paragraph" w:customStyle="1" w:styleId="16">
    <w:name w:val="Quote"/>
    <w:basedOn w:val="1"/>
    <w:next w:val="1"/>
    <w:link w:val="15"/>
    <w:qFormat/>
    <w:uiPriority w:val="29"/>
    <w:rPr>
      <w:rFonts w:eastAsia="宋体"/>
      <w:i/>
      <w:iCs/>
      <w:color w:val="000000"/>
      <w:kern w:val="0"/>
      <w:sz w:val="20"/>
      <w:szCs w:val="20"/>
    </w:rPr>
  </w:style>
  <w:style w:type="paragraph" w:styleId="17">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17</Pages>
  <Words>6152</Words>
  <Characters>6418</Characters>
  <Lines>1</Lines>
  <Paragraphs>1</Paragraphs>
  <TotalTime>1</TotalTime>
  <ScaleCrop>false</ScaleCrop>
  <LinksUpToDate>false</LinksUpToDate>
  <CharactersWithSpaces>6901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2022-05-18T15:54:00Z</dcterms:created>
  <dc:creator>Epoint</dc:creator>
  <cp:lastModifiedBy>冯卫/信息中心/湖北省住房和城乡建设厅</cp:lastModifiedBy>
  <dcterms:modified xsi:type="dcterms:W3CDTF">2023-02-24T03:20:32Z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6DDB3265830E4E438804A62EE821AA32</vt:lpwstr>
  </property>
</Properties>
</file>