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hAnsi="Arial" w:eastAsia="方正小标宋简体" w:cs="Arial"/>
          <w:sz w:val="32"/>
          <w:szCs w:val="32"/>
        </w:rPr>
      </w:pPr>
      <w:r>
        <w:rPr>
          <w:rFonts w:hint="eastAsia" w:ascii="方正小标宋简体" w:hAnsi="Arial" w:eastAsia="方正小标宋简体" w:cs="Arial"/>
          <w:sz w:val="32"/>
          <w:szCs w:val="32"/>
        </w:rPr>
        <w:t>附件1：</w:t>
      </w:r>
    </w:p>
    <w:p>
      <w:pPr>
        <w:jc w:val="center"/>
        <w:rPr>
          <w:rFonts w:ascii="方正小标宋简体" w:hAnsi="宋体" w:eastAsia="方正小标宋简体" w:cs="宋体"/>
          <w:sz w:val="44"/>
          <w:szCs w:val="44"/>
        </w:rPr>
      </w:pPr>
      <w:r>
        <w:rPr>
          <w:rFonts w:hint="eastAsia" w:ascii="方正小标宋简体" w:hAnsi="Arial" w:eastAsia="方正小标宋简体" w:cs="Arial"/>
          <w:sz w:val="44"/>
          <w:szCs w:val="44"/>
        </w:rPr>
        <w:t>201</w:t>
      </w:r>
      <w:r>
        <w:rPr>
          <w:rFonts w:hint="eastAsia" w:ascii="方正小标宋简体" w:hAnsi="Arial" w:eastAsia="方正小标宋简体" w:cs="Arial"/>
          <w:sz w:val="44"/>
          <w:szCs w:val="44"/>
          <w:lang w:val="en-US" w:eastAsia="zh-CN"/>
        </w:rPr>
        <w:t>9</w:t>
      </w:r>
      <w:r>
        <w:rPr>
          <w:rFonts w:hint="eastAsia" w:ascii="方正小标宋简体" w:hAnsi="Arial" w:eastAsia="方正小标宋简体" w:cs="Arial"/>
          <w:sz w:val="44"/>
          <w:szCs w:val="44"/>
        </w:rPr>
        <w:t>年度XX资金绩效自评报告</w:t>
      </w:r>
    </w:p>
    <w:p>
      <w:pPr>
        <w:jc w:val="center"/>
        <w:rPr>
          <w:rFonts w:ascii="仿宋_GB2312"/>
          <w:sz w:val="32"/>
          <w:szCs w:val="32"/>
        </w:rPr>
      </w:pPr>
    </w:p>
    <w:p>
      <w:pPr>
        <w:numPr>
          <w:ilvl w:val="0"/>
          <w:numId w:val="1"/>
        </w:numPr>
        <w:spacing w:line="61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基本情况</w:t>
      </w:r>
    </w:p>
    <w:p>
      <w:pPr>
        <w:spacing w:line="61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简要概述项目立项和项目资金情况（包括资金结构、投向、用途、分配方式、结果等相关情况）。</w:t>
      </w:r>
    </w:p>
    <w:p>
      <w:pPr>
        <w:spacing w:line="610" w:lineRule="exact"/>
        <w:ind w:firstLine="640" w:firstLineChars="200"/>
        <w:rPr>
          <w:rFonts w:ascii="黑体" w:hAnsi="黑体" w:eastAsia="黑体"/>
          <w:sz w:val="32"/>
          <w:szCs w:val="32"/>
        </w:rPr>
      </w:pPr>
      <w:r>
        <w:rPr>
          <w:rFonts w:hint="eastAsia" w:ascii="黑体" w:hAnsi="黑体" w:eastAsia="黑体"/>
          <w:sz w:val="32"/>
          <w:szCs w:val="32"/>
        </w:rPr>
        <w:t>二、资金投入情况分析</w:t>
      </w:r>
    </w:p>
    <w:p>
      <w:pPr>
        <w:spacing w:line="61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（一）项目资金到位情况分析。</w:t>
      </w:r>
    </w:p>
    <w:p>
      <w:pPr>
        <w:spacing w:line="61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（二）项目资金执行情况分析。</w:t>
      </w:r>
    </w:p>
    <w:p>
      <w:pPr>
        <w:spacing w:line="61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（三）项目资金管理情况分析。</w:t>
      </w:r>
    </w:p>
    <w:p>
      <w:pPr>
        <w:spacing w:line="610" w:lineRule="exact"/>
        <w:ind w:firstLine="640" w:firstLineChars="200"/>
        <w:rPr>
          <w:rFonts w:ascii="黑体" w:hAnsi="黑体" w:eastAsia="黑体"/>
          <w:sz w:val="32"/>
          <w:szCs w:val="32"/>
        </w:rPr>
      </w:pPr>
      <w:r>
        <w:rPr>
          <w:rFonts w:hint="eastAsia" w:ascii="黑体" w:hAnsi="黑体" w:eastAsia="黑体"/>
          <w:sz w:val="32"/>
          <w:szCs w:val="32"/>
        </w:rPr>
        <w:t>三、绩效完成情况分析（包括完成情况和偏离原因等）</w:t>
      </w:r>
    </w:p>
    <w:p>
      <w:pPr>
        <w:spacing w:line="61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（一）项目建设具体安排情况。</w:t>
      </w:r>
    </w:p>
    <w:p>
      <w:pPr>
        <w:spacing w:line="61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（二）项目建设目标完成情况及未完成原因分析。</w:t>
      </w:r>
    </w:p>
    <w:p>
      <w:pPr>
        <w:spacing w:line="61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1.项目产出完成情况</w:t>
      </w:r>
    </w:p>
    <w:p>
      <w:pPr>
        <w:spacing w:line="61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2.项目效益完成情况</w:t>
      </w:r>
    </w:p>
    <w:p>
      <w:pPr>
        <w:spacing w:line="610" w:lineRule="exact"/>
        <w:ind w:firstLine="640" w:firstLineChars="200"/>
        <w:rPr>
          <w:rFonts w:ascii="黑体" w:hAnsi="黑体" w:eastAsia="黑体"/>
          <w:sz w:val="32"/>
          <w:szCs w:val="32"/>
        </w:rPr>
      </w:pPr>
      <w:r>
        <w:rPr>
          <w:rFonts w:hint="eastAsia" w:ascii="黑体" w:hAnsi="黑体" w:eastAsia="黑体"/>
          <w:sz w:val="32"/>
          <w:szCs w:val="32"/>
        </w:rPr>
        <w:t>四、经验与存在的问题</w:t>
      </w:r>
    </w:p>
    <w:p>
      <w:pPr>
        <w:spacing w:line="61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（一）资金管理方面。</w:t>
      </w:r>
    </w:p>
    <w:p>
      <w:pPr>
        <w:spacing w:line="61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（二）项目管理方面。</w:t>
      </w:r>
    </w:p>
    <w:p>
      <w:pPr>
        <w:spacing w:line="61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（三）其他方面。</w:t>
      </w:r>
    </w:p>
    <w:p>
      <w:pPr>
        <w:spacing w:line="610" w:lineRule="exact"/>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建议和改进举措</w:t>
      </w:r>
    </w:p>
    <w:p>
      <w:pPr>
        <w:spacing w:line="61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针对存在的问题提出改进措施及相关建议。</w:t>
      </w:r>
    </w:p>
    <w:p>
      <w:pPr>
        <w:numPr>
          <w:ilvl w:val="0"/>
          <w:numId w:val="0"/>
        </w:numPr>
        <w:spacing w:line="61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六、上年度绩效自评结果应用情况</w:t>
      </w:r>
    </w:p>
    <w:p>
      <w:pPr>
        <w:spacing w:line="61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针对上年度的绩效自评结果提出的问题是否进行整改并制定相应措施。</w:t>
      </w:r>
    </w:p>
    <w:p>
      <w:pPr>
        <w:spacing w:line="610" w:lineRule="exact"/>
        <w:ind w:firstLine="640" w:firstLineChars="200"/>
        <w:rPr>
          <w:rFonts w:ascii="仿宋_GB2312" w:hAnsi="楷体" w:eastAsia="仿宋_GB2312"/>
          <w:kern w:val="0"/>
          <w:sz w:val="32"/>
          <w:szCs w:val="32"/>
        </w:rPr>
      </w:pPr>
      <w:r>
        <w:rPr>
          <w:rFonts w:hint="eastAsia" w:ascii="黑体" w:hAnsi="黑体" w:eastAsia="黑体"/>
          <w:sz w:val="32"/>
          <w:szCs w:val="32"/>
          <w:lang w:val="en-US" w:eastAsia="zh-CN"/>
        </w:rPr>
        <w:t>七</w:t>
      </w:r>
      <w:r>
        <w:rPr>
          <w:rFonts w:hint="eastAsia" w:ascii="黑体" w:hAnsi="黑体" w:eastAsia="黑体"/>
          <w:sz w:val="32"/>
          <w:szCs w:val="32"/>
        </w:rPr>
        <w:t>、自评得分总体情况（见附件2</w:t>
      </w:r>
      <w:r>
        <w:rPr>
          <w:rFonts w:ascii="黑体" w:hAnsi="黑体" w:eastAsia="黑体"/>
          <w:sz w:val="32"/>
          <w:szCs w:val="32"/>
        </w:rPr>
        <w:t xml:space="preserve"> </w:t>
      </w:r>
      <w:r>
        <w:rPr>
          <w:rFonts w:hint="eastAsia" w:ascii="黑体" w:hAnsi="黑体" w:eastAsia="黑体"/>
          <w:sz w:val="32"/>
          <w:szCs w:val="32"/>
        </w:rPr>
        <w:t>表格）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C0EE8F"/>
    <w:multiLevelType w:val="singleLevel"/>
    <w:tmpl w:val="94C0EE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A0"/>
    <w:rsid w:val="003213A0"/>
    <w:rsid w:val="008313A4"/>
    <w:rsid w:val="030C0FF5"/>
    <w:rsid w:val="2A693B46"/>
    <w:rsid w:val="32CF16C7"/>
    <w:rsid w:val="3CFA1C83"/>
    <w:rsid w:val="3F5E5C1A"/>
    <w:rsid w:val="43BB442B"/>
    <w:rsid w:val="4B3B2039"/>
    <w:rsid w:val="55F9750B"/>
    <w:rsid w:val="582E6A37"/>
    <w:rsid w:val="5BA41819"/>
    <w:rsid w:val="63C141F9"/>
    <w:rsid w:val="7BC9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Words>
  <Characters>218</Characters>
  <Lines>1</Lines>
  <Paragraphs>1</Paragraphs>
  <TotalTime>3</TotalTime>
  <ScaleCrop>false</ScaleCrop>
  <LinksUpToDate>false</LinksUpToDate>
  <CharactersWithSpaces>255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2020-04-02T14:58:10Z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