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E03C">
      <w:pPr>
        <w:jc w:val="left"/>
      </w:pPr>
    </w:p>
    <w:p w14:paraId="62C0446D">
      <w:pPr>
        <w:autoSpaceDE w:val="0"/>
        <w:autoSpaceDN w:val="0"/>
        <w:spacing w:before="156" w:beforeLines="50"/>
        <w:jc w:val="right"/>
      </w:pPr>
    </w:p>
    <w:p w14:paraId="2F6E33EF">
      <w:pPr>
        <w:autoSpaceDE w:val="0"/>
        <w:autoSpaceDN w:val="0"/>
        <w:spacing w:after="93" w:afterLines="30" w:line="220" w:lineRule="exact"/>
        <w:jc w:val="right"/>
      </w:pPr>
      <w:bookmarkStart w:id="0" w:name="fawenjiguandaizi"/>
      <w:bookmarkEnd w:id="0"/>
    </w:p>
    <w:p w14:paraId="7FEDE0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 w:bidi="ar"/>
        </w:rPr>
      </w:pPr>
      <w:bookmarkStart w:id="1" w:name="zhengwen"/>
      <w:bookmarkEnd w:id="1"/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 w:bidi="ar"/>
        </w:rPr>
        <w:t>关于印发《湖北省住建领域人工智能应用</w:t>
      </w:r>
    </w:p>
    <w:p w14:paraId="0A7EE1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 w:bidi="ar"/>
        </w:rPr>
        <w:t>经验做法（第三批）》的通知</w:t>
      </w:r>
    </w:p>
    <w:p w14:paraId="1EDFB5FC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</w:p>
    <w:p w14:paraId="5E9E21ED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各市、州、直管市、神农架林区自然资源和城乡建设局、住房和城市更新局、城管委（局）、公积金中心，武汉市园林和林业局、水务局，宜昌市林业和园林局，仙桃市住房保障服务中心、林业事业发展中心，天门市住房保障服务中心，厅机关各处室、厅直属各单位，各相关单位：</w:t>
      </w:r>
    </w:p>
    <w:p w14:paraId="14466844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为总结推广全省住建领域人工智能应用经验做法，发挥典型示范、以点带面作用，省住建厅征集梳理各地实践做法，形成《湖北省住建领域人工智能应用经验做法（第三批）》（见附件），现印发给你们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请各地、各单位结合工作实际，深入学习借鉴，积极推动人工智能技术与住建各业务深度融合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助力全省住建事业高质量发展。  </w:t>
      </w:r>
    </w:p>
    <w:p w14:paraId="0FF24094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</w:p>
    <w:p w14:paraId="258BA2DB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附件：湖北省住建领域人工智能应用经验做法（第三批）</w:t>
      </w:r>
    </w:p>
    <w:p w14:paraId="69771B80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</w:p>
    <w:p w14:paraId="2D67D7AA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 w:bidi="ar"/>
        </w:rPr>
        <w:t>（此页无正文）</w:t>
      </w:r>
    </w:p>
    <w:p w14:paraId="6F44D1A8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</w:p>
    <w:p w14:paraId="2EBFF7A4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</w:p>
    <w:p w14:paraId="1ABAFF51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湖北省住房和城乡建设厅       </w:t>
      </w:r>
    </w:p>
    <w:p w14:paraId="35F70DBC">
      <w:pPr>
        <w:keepNext w:val="0"/>
        <w:keepLines w:val="0"/>
        <w:pageBreakBefore w:val="0"/>
        <w:widowControl w:val="0"/>
        <w:suppressLineNumbers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 xml:space="preserve"> 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2026年7月13日              </w:t>
      </w:r>
    </w:p>
    <w:p w14:paraId="5B822FB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sectPr>
          <w:footerReference r:id="rId3" w:type="default"/>
          <w:pgSz w:w="11906" w:h="16838"/>
          <w:pgMar w:top="2098" w:right="1474" w:bottom="1984" w:left="1587" w:header="720" w:footer="1587" w:gutter="0"/>
          <w:pgNumType w:fmt="decimal"/>
          <w:cols w:space="720" w:num="1"/>
          <w:titlePg/>
          <w:docGrid w:type="lines" w:linePitch="312" w:charSpace="0"/>
        </w:sectPr>
      </w:pPr>
    </w:p>
    <w:p w14:paraId="22D5ED5A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eastAsia" w:ascii="国标黑体" w:hAnsi="国标黑体" w:eastAsia="国标黑体" w:cs="国标黑体"/>
          <w:sz w:val="32"/>
          <w:szCs w:val="32"/>
          <w:lang w:eastAsia="zh-CN"/>
        </w:rPr>
      </w:pPr>
      <w:r>
        <w:rPr>
          <w:rFonts w:hint="eastAsia" w:ascii="国标黑体" w:hAnsi="国标黑体" w:eastAsia="国标黑体" w:cs="国标黑体"/>
          <w:sz w:val="32"/>
          <w:szCs w:val="32"/>
          <w:lang w:eastAsia="zh-CN"/>
        </w:rPr>
        <w:t>附件</w:t>
      </w:r>
    </w:p>
    <w:p w14:paraId="50DDB200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湖北省住建领域人工智能应用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经验做法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第三批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）</w:t>
      </w:r>
    </w:p>
    <w:tbl>
      <w:tblPr>
        <w:tblStyle w:val="9"/>
        <w:tblW w:w="15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815"/>
        <w:gridCol w:w="1860"/>
        <w:gridCol w:w="3225"/>
        <w:gridCol w:w="3660"/>
        <w:gridCol w:w="3855"/>
      </w:tblGrid>
      <w:tr w14:paraId="587B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  <w:noWrap w:val="0"/>
            <w:vAlign w:val="center"/>
          </w:tcPr>
          <w:p w14:paraId="59B76C44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  <w:lang w:eastAsia="zh-CN"/>
              </w:rPr>
              <w:t>序</w:t>
            </w: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  <w:t>号</w:t>
            </w:r>
          </w:p>
        </w:tc>
        <w:tc>
          <w:tcPr>
            <w:tcW w:w="1815" w:type="dxa"/>
            <w:noWrap w:val="0"/>
            <w:vAlign w:val="center"/>
          </w:tcPr>
          <w:p w14:paraId="08614947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  <w:t>场景类别</w:t>
            </w:r>
          </w:p>
        </w:tc>
        <w:tc>
          <w:tcPr>
            <w:tcW w:w="1860" w:type="dxa"/>
            <w:noWrap w:val="0"/>
            <w:vAlign w:val="center"/>
          </w:tcPr>
          <w:p w14:paraId="1EC2CC43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3225" w:type="dxa"/>
            <w:noWrap w:val="0"/>
            <w:vAlign w:val="center"/>
          </w:tcPr>
          <w:p w14:paraId="31F8A7B1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  <w:lang w:eastAsia="zh-CN"/>
              </w:rPr>
              <w:t>申报</w:t>
            </w: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  <w:t>单位</w:t>
            </w:r>
          </w:p>
        </w:tc>
        <w:tc>
          <w:tcPr>
            <w:tcW w:w="3660" w:type="dxa"/>
            <w:noWrap w:val="0"/>
            <w:vAlign w:val="center"/>
          </w:tcPr>
          <w:p w14:paraId="5606A444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  <w:t>经验做法</w:t>
            </w:r>
          </w:p>
        </w:tc>
        <w:tc>
          <w:tcPr>
            <w:tcW w:w="3855" w:type="dxa"/>
            <w:noWrap w:val="0"/>
            <w:vAlign w:val="center"/>
          </w:tcPr>
          <w:p w14:paraId="71F0A1B5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  <w:t>应用成效</w:t>
            </w:r>
          </w:p>
        </w:tc>
      </w:tr>
      <w:tr w14:paraId="23286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803" w:type="dxa"/>
            <w:noWrap w:val="0"/>
            <w:vAlign w:val="center"/>
          </w:tcPr>
          <w:p w14:paraId="49BACD2F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15" w:type="dxa"/>
            <w:vMerge w:val="restart"/>
            <w:noWrap w:val="0"/>
            <w:vAlign w:val="center"/>
          </w:tcPr>
          <w:p w14:paraId="1DCA3C22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  <w:lang w:val="en-US" w:eastAsia="zh-CN"/>
              </w:rPr>
              <w:t>工地智能监管</w:t>
            </w:r>
          </w:p>
        </w:tc>
        <w:tc>
          <w:tcPr>
            <w:tcW w:w="1860" w:type="dxa"/>
            <w:noWrap w:val="0"/>
            <w:vAlign w:val="center"/>
          </w:tcPr>
          <w:p w14:paraId="3DC4B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多源融合超前</w:t>
            </w:r>
          </w:p>
          <w:p w14:paraId="2AA50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地质预报系统</w:t>
            </w:r>
          </w:p>
        </w:tc>
        <w:tc>
          <w:tcPr>
            <w:tcW w:w="3225" w:type="dxa"/>
            <w:noWrap w:val="0"/>
            <w:vAlign w:val="center"/>
          </w:tcPr>
          <w:p w14:paraId="1B391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中国葛洲坝集团股份有限公司</w:t>
            </w:r>
          </w:p>
        </w:tc>
        <w:tc>
          <w:tcPr>
            <w:tcW w:w="3660" w:type="dxa"/>
            <w:noWrap w:val="0"/>
            <w:vAlign w:val="center"/>
          </w:tcPr>
          <w:p w14:paraId="7B814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研发多源融合超前地质预报系统，融合多源探测数据，结合BIM完成地质、设计、施工数据三维集成。创新三维风险预警方法，建立“预报-验证-学习”迭代机制动态修正判别规则，依托体素、插值建模输出三维BIM成果，智能识别地质风险并预警，持续提升预报精度与施工处置针对性。</w:t>
            </w:r>
          </w:p>
        </w:tc>
        <w:tc>
          <w:tcPr>
            <w:tcW w:w="3855" w:type="dxa"/>
            <w:noWrap w:val="0"/>
            <w:vAlign w:val="center"/>
          </w:tcPr>
          <w:p w14:paraId="7FCC3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荣获2024-2025年度中国能建数字化优秀案例人工智能类别三等奖。系统已在长阳抽蓄地下厂房、利川纳水溪水利工程、当阳北绕城公路隧道、三峡新通道场内公路隧道等项目试点应用。全面、及时、精准识别地质灾害风险，减少安全事故，保障工程安全进度，控制建设成本。</w:t>
            </w:r>
          </w:p>
        </w:tc>
      </w:tr>
      <w:tr w14:paraId="3812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803" w:type="dxa"/>
            <w:noWrap w:val="0"/>
            <w:vAlign w:val="center"/>
          </w:tcPr>
          <w:p w14:paraId="2188E9FE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15" w:type="dxa"/>
            <w:vMerge w:val="continue"/>
            <w:noWrap w:val="0"/>
            <w:vAlign w:val="center"/>
          </w:tcPr>
          <w:p w14:paraId="09EEF426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31E0A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基于无人机航测的土方测算平台</w:t>
            </w:r>
          </w:p>
        </w:tc>
        <w:tc>
          <w:tcPr>
            <w:tcW w:w="3225" w:type="dxa"/>
            <w:noWrap w:val="0"/>
            <w:vAlign w:val="center"/>
          </w:tcPr>
          <w:p w14:paraId="5FD62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中国一冶集团有限公司</w:t>
            </w:r>
          </w:p>
        </w:tc>
        <w:tc>
          <w:tcPr>
            <w:tcW w:w="3660" w:type="dxa"/>
            <w:noWrap w:val="0"/>
            <w:vAlign w:val="center"/>
          </w:tcPr>
          <w:p w14:paraId="221E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打造全流程智慧土方管控体系，融合BIM技术实现土方工程三维可视化管理。运用物联网开展智慧机械监管，创新采用无人机+机巢+云端协同模式，完成全自动远程巡检与数据采集，借助倾斜摄影生成高精度三维模型，提供毫米级测算数据。</w:t>
            </w:r>
          </w:p>
        </w:tc>
        <w:tc>
          <w:tcPr>
            <w:tcW w:w="3855" w:type="dxa"/>
            <w:noWrap w:val="0"/>
            <w:vAlign w:val="center"/>
          </w:tcPr>
          <w:p w14:paraId="23C39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解决传统人工测算误差大的问题，显著提升土方计量精度，土方开挖量核算新增34.09万立方米，增加产值684.39万元；有效降本提速，相较传统作业模式节约成本152万元，缩短工期87天。</w:t>
            </w:r>
          </w:p>
        </w:tc>
      </w:tr>
      <w:tr w14:paraId="7C279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803" w:type="dxa"/>
            <w:noWrap w:val="0"/>
            <w:vAlign w:val="center"/>
          </w:tcPr>
          <w:p w14:paraId="1EDA5BF7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15" w:type="dxa"/>
            <w:noWrap w:val="0"/>
            <w:vAlign w:val="center"/>
          </w:tcPr>
          <w:p w14:paraId="5AFE3582">
            <w:pPr>
              <w:spacing w:beforeLines="0" w:afterLines="0"/>
              <w:jc w:val="center"/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</w:rPr>
            </w:pPr>
          </w:p>
          <w:p w14:paraId="42AACC69">
            <w:pPr>
              <w:spacing w:beforeLines="0" w:afterLines="0"/>
              <w:jc w:val="center"/>
              <w:rPr>
                <w:rFonts w:hint="eastAsia" w:ascii="国标楷体" w:hAnsi="国标楷体" w:eastAsia="国标楷体" w:cs="国标楷体"/>
                <w:b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</w:rPr>
              <w:t>城市</w:t>
            </w: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  <w:lang w:eastAsia="zh-CN"/>
              </w:rPr>
              <w:t>智能</w:t>
            </w: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</w:rPr>
              <w:t>管理</w:t>
            </w:r>
          </w:p>
        </w:tc>
        <w:tc>
          <w:tcPr>
            <w:tcW w:w="1860" w:type="dxa"/>
            <w:noWrap w:val="0"/>
            <w:vAlign w:val="center"/>
          </w:tcPr>
          <w:p w14:paraId="61678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城市管家智慧</w:t>
            </w:r>
          </w:p>
          <w:p w14:paraId="1F34A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平台</w:t>
            </w:r>
          </w:p>
        </w:tc>
        <w:tc>
          <w:tcPr>
            <w:tcW w:w="3225" w:type="dxa"/>
            <w:noWrap w:val="0"/>
            <w:vAlign w:val="center"/>
          </w:tcPr>
          <w:p w14:paraId="2C9BD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宜昌市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宜都市城市管理执法局</w:t>
            </w:r>
          </w:p>
        </w:tc>
        <w:tc>
          <w:tcPr>
            <w:tcW w:w="3660" w:type="dxa"/>
            <w:noWrap w:val="0"/>
            <w:vAlign w:val="center"/>
          </w:tcPr>
          <w:p w14:paraId="4F7CB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搭建“城市管家”智慧平台，融合物联网、北斗定位、视频监控，引入AI识别、智能传感、无人作业技术。拓展平台数据接入与AI研判能力，开发智慧环卫、市政、园林智能预警、决策辅助模块。落地智能无人保洁、智慧驿站等AI场景。推进智治融合，以AI赋能全域网格化管理，配套数字化作业标准。</w:t>
            </w:r>
          </w:p>
        </w:tc>
        <w:tc>
          <w:tcPr>
            <w:tcW w:w="3855" w:type="dxa"/>
            <w:noWrap w:val="0"/>
            <w:vAlign w:val="center"/>
          </w:tcPr>
          <w:p w14:paraId="13A23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实现城市问题自动发现，问题发现时长缩短40%，处置周期压缩30%。机械化作业率提升至86%，无人设备替代人工，大幅降低人力投入。推动城市管理由人工巡查转向AI主动预判，城市洁净度、运维响应效率显著提升。</w:t>
            </w:r>
          </w:p>
        </w:tc>
      </w:tr>
      <w:tr w14:paraId="78DE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803" w:type="dxa"/>
            <w:noWrap w:val="0"/>
            <w:vAlign w:val="center"/>
          </w:tcPr>
          <w:p w14:paraId="0B83BC60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15" w:type="dxa"/>
            <w:vMerge w:val="restart"/>
            <w:noWrap w:val="0"/>
            <w:vAlign w:val="center"/>
          </w:tcPr>
          <w:p w14:paraId="26A0A487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</w:rPr>
              <w:t>城市</w:t>
            </w: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  <w:lang w:eastAsia="zh-CN"/>
              </w:rPr>
              <w:t>智能</w:t>
            </w: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</w:rPr>
              <w:t>管理</w:t>
            </w:r>
          </w:p>
        </w:tc>
        <w:tc>
          <w:tcPr>
            <w:tcW w:w="1860" w:type="dxa"/>
            <w:noWrap w:val="0"/>
            <w:vAlign w:val="center"/>
          </w:tcPr>
          <w:p w14:paraId="6FDE7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城市智能巡查</w:t>
            </w:r>
          </w:p>
        </w:tc>
        <w:tc>
          <w:tcPr>
            <w:tcW w:w="3225" w:type="dxa"/>
            <w:noWrap w:val="0"/>
            <w:vAlign w:val="center"/>
          </w:tcPr>
          <w:p w14:paraId="670B6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武汉市城市管理执法委员会</w:t>
            </w:r>
          </w:p>
          <w:p w14:paraId="4E38D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政通智慧城市运营科技有限公司</w:t>
            </w:r>
          </w:p>
          <w:p w14:paraId="1F188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深圳市锐明像素科技有限公司</w:t>
            </w:r>
          </w:p>
          <w:p w14:paraId="7EA15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武汉市测绘研究院</w:t>
            </w:r>
          </w:p>
          <w:p w14:paraId="166CE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武汉航飞科技有限公司</w:t>
            </w:r>
          </w:p>
          <w:p w14:paraId="64F41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普宙科技有限公司</w:t>
            </w:r>
          </w:p>
        </w:tc>
        <w:tc>
          <w:tcPr>
            <w:tcW w:w="3660" w:type="dxa"/>
            <w:noWrap w:val="0"/>
            <w:vAlign w:val="center"/>
          </w:tcPr>
          <w:p w14:paraId="62D8B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构建以全息智能采集车、共享网约车、无人机巡飞为核心的天地一体智能巡查体系。通过车载摄像头与无人机搭载的图像采集终端，结合AI图像识别算法，实现对城市管理高频问题的自动发现、智能识别与高效派发，显著提升巡查效率与问题处置响应速度。</w:t>
            </w:r>
          </w:p>
        </w:tc>
        <w:tc>
          <w:tcPr>
            <w:tcW w:w="3855" w:type="dxa"/>
            <w:noWrap w:val="0"/>
            <w:vAlign w:val="center"/>
          </w:tcPr>
          <w:p w14:paraId="13604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2026年，全息智能采集车巡查21533公里，发现上报问题102562件，整改率98.7%；共享网约车巡查自动抓拍识别问题17469件，整改率99.6%；无人机飞行60余架次，巡查近500公里，识别问题2254件，整改率82.11%。</w:t>
            </w:r>
          </w:p>
        </w:tc>
      </w:tr>
      <w:tr w14:paraId="249C3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803" w:type="dxa"/>
            <w:noWrap w:val="0"/>
            <w:vAlign w:val="center"/>
          </w:tcPr>
          <w:p w14:paraId="46DD7BF4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15" w:type="dxa"/>
            <w:vMerge w:val="continue"/>
            <w:noWrap w:val="0"/>
            <w:vAlign w:val="center"/>
          </w:tcPr>
          <w:p w14:paraId="6CB446D0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741F3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园林问题识别</w:t>
            </w:r>
          </w:p>
          <w:p w14:paraId="674BE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智能体</w:t>
            </w:r>
          </w:p>
        </w:tc>
        <w:tc>
          <w:tcPr>
            <w:tcW w:w="3225" w:type="dxa"/>
            <w:noWrap w:val="0"/>
            <w:vAlign w:val="center"/>
          </w:tcPr>
          <w:p w14:paraId="25122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武汉市园林和林业局</w:t>
            </w:r>
          </w:p>
          <w:p w14:paraId="49B34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武汉仕代环境科技有限公司</w:t>
            </w:r>
          </w:p>
        </w:tc>
        <w:tc>
          <w:tcPr>
            <w:tcW w:w="3660" w:type="dxa"/>
            <w:noWrap w:val="0"/>
            <w:vAlign w:val="center"/>
          </w:tcPr>
          <w:p w14:paraId="06492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通过武汉市级、区级和公园的数字化平台积累园林病虫害、植物养护、园容卫生、占绿毁绿等事件图片超200万张，园林病虫害样本10万余份，形成园林垂直领域的数据要素集和知识图谱，打造园林领域的问题事件识别智能体，可以在人工巡查基础上提供AI辅助识别。</w:t>
            </w:r>
          </w:p>
        </w:tc>
        <w:tc>
          <w:tcPr>
            <w:tcW w:w="3855" w:type="dxa"/>
            <w:noWrap w:val="0"/>
            <w:vAlign w:val="center"/>
          </w:tcPr>
          <w:p w14:paraId="4DABC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应用于武汉市园林智慧管理平台，在武汉市园林智慧管理平台的市级道路和市级公园巡查中，结合现有巡查app，新增AI智能体辅助识别考核问题，问题发现率提升至99%，巡查效率提升60%。</w:t>
            </w:r>
          </w:p>
        </w:tc>
      </w:tr>
      <w:tr w14:paraId="10E3E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</w:trPr>
        <w:tc>
          <w:tcPr>
            <w:tcW w:w="803" w:type="dxa"/>
            <w:noWrap w:val="0"/>
            <w:vAlign w:val="center"/>
          </w:tcPr>
          <w:p w14:paraId="44E35994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15" w:type="dxa"/>
            <w:vMerge w:val="continue"/>
            <w:noWrap w:val="0"/>
            <w:vAlign w:val="center"/>
          </w:tcPr>
          <w:p w14:paraId="554AF0AE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26A01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北斗+低空经济测绘技术赋能住建领域全场景治理创新应用</w:t>
            </w:r>
          </w:p>
        </w:tc>
        <w:tc>
          <w:tcPr>
            <w:tcW w:w="3225" w:type="dxa"/>
            <w:noWrap w:val="0"/>
            <w:vAlign w:val="center"/>
          </w:tcPr>
          <w:p w14:paraId="56E2C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湖北城市建设职业技术学院城市安全学院、广州南方测绘科技股份有限公司</w:t>
            </w:r>
          </w:p>
        </w:tc>
        <w:tc>
          <w:tcPr>
            <w:tcW w:w="3660" w:type="dxa"/>
            <w:noWrap w:val="0"/>
            <w:vAlign w:val="center"/>
          </w:tcPr>
          <w:p w14:paraId="05285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运用实景三维数据融合、北斗CORS高并发定位技术，依托测绘成果的机器视觉与深度学习算法，建立基于北斗+三维低空多场景应用大模型，实现了多场景的自动化监测和AI巡查功能。</w:t>
            </w:r>
          </w:p>
        </w:tc>
        <w:tc>
          <w:tcPr>
            <w:tcW w:w="3855" w:type="dxa"/>
            <w:noWrap w:val="0"/>
            <w:vAlign w:val="center"/>
          </w:tcPr>
          <w:p w14:paraId="43E4F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应用于数智孝感项目桥梁和广告牌监测；远安县自动化巡查平台，市容环境与违建、市政设施巡查、工业园区治理巡查、生态环境整治、地质灾害巡查等无人机自动巡检。市政设施安全风险预警提前72小时以上，应急响应效率提升82%。</w:t>
            </w:r>
          </w:p>
        </w:tc>
      </w:tr>
      <w:tr w14:paraId="44777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atLeast"/>
        </w:trPr>
        <w:tc>
          <w:tcPr>
            <w:tcW w:w="803" w:type="dxa"/>
            <w:noWrap w:val="0"/>
            <w:vAlign w:val="center"/>
          </w:tcPr>
          <w:p w14:paraId="25DB40BB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15" w:type="dxa"/>
            <w:vMerge w:val="restart"/>
            <w:noWrap w:val="0"/>
            <w:vAlign w:val="center"/>
          </w:tcPr>
          <w:p w14:paraId="081313D8">
            <w:pPr>
              <w:spacing w:beforeLines="0" w:afterLines="0"/>
              <w:jc w:val="center"/>
              <w:rPr>
                <w:rFonts w:hint="eastAsia" w:ascii="国标楷体" w:hAnsi="国标楷体" w:eastAsia="国标楷体" w:cs="国标楷体"/>
                <w:b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</w:rPr>
              <w:t>工程</w:t>
            </w: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  <w:lang w:eastAsia="zh-CN"/>
              </w:rPr>
              <w:t>智能</w:t>
            </w: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</w:rPr>
              <w:t>招投标</w:t>
            </w:r>
          </w:p>
        </w:tc>
        <w:tc>
          <w:tcPr>
            <w:tcW w:w="1860" w:type="dxa"/>
            <w:noWrap w:val="0"/>
            <w:vAlign w:val="center"/>
          </w:tcPr>
          <w:p w14:paraId="2537C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AI工程文件智能审核与对比</w:t>
            </w:r>
          </w:p>
        </w:tc>
        <w:tc>
          <w:tcPr>
            <w:tcW w:w="3225" w:type="dxa"/>
            <w:noWrap w:val="0"/>
            <w:vAlign w:val="center"/>
          </w:tcPr>
          <w:p w14:paraId="69B5C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武汉汇科智创科技有限公司</w:t>
            </w:r>
          </w:p>
        </w:tc>
        <w:tc>
          <w:tcPr>
            <w:tcW w:w="3660" w:type="dxa"/>
            <w:noWrap w:val="0"/>
            <w:vAlign w:val="center"/>
          </w:tcPr>
          <w:p w14:paraId="6F651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内嵌流程中台轻量化AI工具，可对表单、附件、制度文件多维比对。配套工程长文档专业审核工具，基于图谱增强RAG与多智能体协同，全方位核验合同、投标文件合规、完整、真实、逻辑情况，自动生成审核报告及整改建议。</w:t>
            </w:r>
          </w:p>
        </w:tc>
        <w:tc>
          <w:tcPr>
            <w:tcW w:w="3855" w:type="dxa"/>
            <w:noWrap w:val="0"/>
            <w:vAlign w:val="center"/>
          </w:tcPr>
          <w:p w14:paraId="7DA9F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应用于汉阳市政计量产值审核、合同、投标文件等工程文件资料审核流程，整体流程流转效率提升65%，单份合同审核时长由2小时压缩至0.5小时，高风险问题提前拦截率提升85%。</w:t>
            </w:r>
          </w:p>
        </w:tc>
      </w:tr>
      <w:tr w14:paraId="10926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  <w:noWrap w:val="0"/>
            <w:vAlign w:val="center"/>
          </w:tcPr>
          <w:p w14:paraId="169E8529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815" w:type="dxa"/>
            <w:vMerge w:val="continue"/>
            <w:noWrap w:val="0"/>
            <w:vAlign w:val="center"/>
          </w:tcPr>
          <w:p w14:paraId="6D9A77DB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5DF34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人工智能+工程招投标”融合应用</w:t>
            </w:r>
          </w:p>
        </w:tc>
        <w:tc>
          <w:tcPr>
            <w:tcW w:w="3225" w:type="dxa"/>
            <w:noWrap w:val="0"/>
            <w:vAlign w:val="center"/>
          </w:tcPr>
          <w:p w14:paraId="7F068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中交武汉智行国际工程咨询有限公司</w:t>
            </w:r>
          </w:p>
        </w:tc>
        <w:tc>
          <w:tcPr>
            <w:tcW w:w="3660" w:type="dxa"/>
            <w:noWrap w:val="0"/>
            <w:vAlign w:val="center"/>
          </w:tcPr>
          <w:p w14:paraId="46013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建设“智慧投标服务平台”，实现智能解析、智能匹配、知识库、智能编制、智能评审等功能，解决招标文件关键信息遗漏、标书编制效率低、审核风险难以量化、企业知识资产无法沉淀复用等四大核心痛点。</w:t>
            </w:r>
          </w:p>
        </w:tc>
        <w:tc>
          <w:tcPr>
            <w:tcW w:w="3855" w:type="dxa"/>
            <w:noWrap w:val="0"/>
            <w:vAlign w:val="center"/>
          </w:tcPr>
          <w:p w14:paraId="50F42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招标文件解析由人工平均8小时缩短至分钟级，商务标编制时间缩减80%，技术标编制时间缩减50%，标书合规性检查覆盖率达100%。通过智能匹配与可行性分析，盲目投标率下降约35%，整体中标率提升超10%。年均投标投入预计降低30%以上，直接创效超500万元。</w:t>
            </w:r>
          </w:p>
        </w:tc>
      </w:tr>
      <w:tr w14:paraId="5356E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</w:trPr>
        <w:tc>
          <w:tcPr>
            <w:tcW w:w="803" w:type="dxa"/>
            <w:noWrap w:val="0"/>
            <w:vAlign w:val="center"/>
          </w:tcPr>
          <w:p w14:paraId="7F145824">
            <w:pPr>
              <w:spacing w:beforeLines="0" w:afterLines="0"/>
              <w:jc w:val="center"/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815" w:type="dxa"/>
            <w:vMerge w:val="restart"/>
            <w:noWrap w:val="0"/>
            <w:vAlign w:val="center"/>
          </w:tcPr>
          <w:p w14:paraId="76A65A79">
            <w:pPr>
              <w:spacing w:beforeLines="0" w:afterLines="0"/>
              <w:jc w:val="center"/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  <w:lang w:eastAsia="zh-CN"/>
              </w:rPr>
              <w:t>智慧</w:t>
            </w:r>
            <w:r>
              <w:rPr>
                <w:rFonts w:hint="eastAsia" w:ascii="国标楷体" w:hAnsi="国标楷体" w:eastAsia="国标楷体" w:cs="国标楷体"/>
                <w:b/>
                <w:bCs/>
                <w:color w:val="000000"/>
                <w:sz w:val="22"/>
                <w:szCs w:val="22"/>
              </w:rPr>
              <w:t>物业服务</w:t>
            </w:r>
          </w:p>
          <w:p w14:paraId="701D3BE4">
            <w:pPr>
              <w:spacing w:beforeLines="0" w:afterLines="0"/>
              <w:jc w:val="center"/>
              <w:rPr>
                <w:rFonts w:hint="eastAsia" w:ascii="国标楷体" w:hAnsi="国标楷体" w:eastAsia="国标楷体" w:cs="国标楷体"/>
                <w:b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31F2A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智慧物业大数据平台</w:t>
            </w:r>
          </w:p>
        </w:tc>
        <w:tc>
          <w:tcPr>
            <w:tcW w:w="3225" w:type="dxa"/>
            <w:noWrap w:val="0"/>
            <w:vAlign w:val="center"/>
          </w:tcPr>
          <w:p w14:paraId="7FFE0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荆门市住房和城市更新局</w:t>
            </w:r>
          </w:p>
        </w:tc>
        <w:tc>
          <w:tcPr>
            <w:tcW w:w="3660" w:type="dxa"/>
            <w:noWrap w:val="0"/>
            <w:vAlign w:val="center"/>
          </w:tcPr>
          <w:p w14:paraId="3AA99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系统采用“1+1+4”架构，设业主、企业、政务三端口。平台搭载AI能力，可智能调解物业矛盾纠纷；接驳物联网硬件，依托技术实现高空抛物追踪、电梯阻车等智慧管控。政务端依托大数据中心，以AI赋能全域物业动态监管、信用评测与服务品质研判，全流程线上办结各类物业行政备案，精准高效开展行业监管。</w:t>
            </w:r>
          </w:p>
        </w:tc>
        <w:tc>
          <w:tcPr>
            <w:tcW w:w="3855" w:type="dxa"/>
            <w:noWrap w:val="0"/>
            <w:vAlign w:val="center"/>
          </w:tcPr>
          <w:p w14:paraId="1A1DC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品质监管方面：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已覆盖中心城区试点小区19个，投诉率下降36%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；维修资金方面：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涵盖中心城区415家物业小区、388602户业主，维修资金审批时限提升50%以上；AI调解维权方面：共收集信访投诉1017条，业主诉求平均响应时间缩短至2小时，市12345政务服务热线物业领域投诉信访量同比下降12.5%，增强业主满意度和获得感。</w:t>
            </w:r>
          </w:p>
        </w:tc>
      </w:tr>
      <w:tr w14:paraId="32D6A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803" w:type="dxa"/>
            <w:noWrap w:val="0"/>
            <w:vAlign w:val="center"/>
          </w:tcPr>
          <w:p w14:paraId="7873BDC2">
            <w:pPr>
              <w:spacing w:beforeLines="0" w:afterLines="0"/>
              <w:jc w:val="center"/>
              <w:rPr>
                <w:rFonts w:hint="default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国标黑体" w:hAnsi="国标黑体" w:eastAsia="国标黑体" w:cs="国标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815" w:type="dxa"/>
            <w:vMerge w:val="continue"/>
            <w:noWrap w:val="0"/>
            <w:vAlign w:val="center"/>
          </w:tcPr>
          <w:p w14:paraId="3D1DCB58">
            <w:pPr>
              <w:spacing w:beforeLines="0" w:afterLines="0"/>
              <w:jc w:val="center"/>
              <w:rPr>
                <w:rFonts w:hint="eastAsia" w:ascii="国标楷体" w:hAnsi="国标楷体" w:eastAsia="国标楷体" w:cs="国标楷体"/>
                <w:b/>
                <w:bCs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60" w:type="dxa"/>
            <w:noWrap w:val="0"/>
            <w:vAlign w:val="center"/>
          </w:tcPr>
          <w:p w14:paraId="425FF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“阳光夏”数智</w:t>
            </w:r>
          </w:p>
          <w:p w14:paraId="282EA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物业治理平台</w:t>
            </w:r>
          </w:p>
        </w:tc>
        <w:tc>
          <w:tcPr>
            <w:tcW w:w="3225" w:type="dxa"/>
            <w:noWrap w:val="0"/>
            <w:vAlign w:val="center"/>
          </w:tcPr>
          <w:p w14:paraId="0AFB5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武汉市江夏区住房和城市更新局</w:t>
            </w:r>
          </w:p>
        </w:tc>
        <w:tc>
          <w:tcPr>
            <w:tcW w:w="3660" w:type="dxa"/>
            <w:noWrap w:val="0"/>
            <w:vAlign w:val="center"/>
          </w:tcPr>
          <w:p w14:paraId="57C35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上线“阳光夏”数智物业治理平台，整合线上缴费、信息查询、财务公示、AI客服等功能，实现办事“零跑腿”。创新AI智能处置与楼栋扫码报事，依托AI自动识别、派单、应答，简化报修流程，推动物业治理精细化、数字化升级。</w:t>
            </w:r>
          </w:p>
        </w:tc>
        <w:tc>
          <w:tcPr>
            <w:tcW w:w="3855" w:type="dxa"/>
            <w:noWrap w:val="0"/>
            <w:vAlign w:val="center"/>
          </w:tcPr>
          <w:p w14:paraId="42692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平台已覆盖10个试点小区，问题闭环处置率达98.6%，居民诉求平均响应时间缩短至1-2小时。截至5月，全区试点小区物业投诉率整体下降18.15%，群众获得感显著增强，居民满意度达95%以上。</w:t>
            </w:r>
          </w:p>
        </w:tc>
      </w:tr>
    </w:tbl>
    <w:p w14:paraId="346D9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4FD1EDF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</w:pPr>
      <w:bookmarkStart w:id="2" w:name="_GoBack"/>
      <w:bookmarkEnd w:id="2"/>
    </w:p>
    <w:sectPr>
      <w:pgSz w:w="16838" w:h="11906" w:orient="landscape"/>
      <w:pgMar w:top="1134" w:right="907" w:bottom="1134" w:left="907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iberation Sans">
    <w:altName w:val="Vijaya"/>
    <w:panose1 w:val="020B0604020202020204"/>
    <w:charset w:val="00"/>
    <w:family w:val="swiss"/>
    <w:pitch w:val="default"/>
    <w:sig w:usb0="00000000" w:usb1="00000000" w:usb2="00000021" w:usb3="00000000" w:csb0="600001BF" w:csb1="DFF7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国标黑体">
    <w:altName w:val="黑体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国标楷体">
    <w:altName w:val="楷体_GB2312"/>
    <w:panose1 w:val="02000500000000000000"/>
    <w:charset w:val="00"/>
    <w:family w:val="auto"/>
    <w:pitch w:val="default"/>
    <w:sig w:usb0="00000000" w:usb1="00000000" w:usb2="00000000" w:usb3="00000000" w:csb0="00060007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09C3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B7B567">
                          <w:pPr>
                            <w:pStyle w:val="4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B7B567">
                    <w:pPr>
                      <w:pStyle w:val="4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yMzE1OTc2ZTUwOWYzNDA2OTFmMThmZDgyZGI1YmUifQ=="/>
  </w:docVars>
  <w:rsids>
    <w:rsidRoot w:val="00172A27"/>
    <w:rsid w:val="005E5293"/>
    <w:rsid w:val="009F242B"/>
    <w:rsid w:val="00AD5B3D"/>
    <w:rsid w:val="00B772D3"/>
    <w:rsid w:val="00EA5778"/>
    <w:rsid w:val="07F55276"/>
    <w:rsid w:val="0F2D5874"/>
    <w:rsid w:val="0FD82BFE"/>
    <w:rsid w:val="1DB86168"/>
    <w:rsid w:val="1F236109"/>
    <w:rsid w:val="1FFC0D9F"/>
    <w:rsid w:val="23101AF0"/>
    <w:rsid w:val="2C4017BE"/>
    <w:rsid w:val="2F912348"/>
    <w:rsid w:val="343F5485"/>
    <w:rsid w:val="368B07C3"/>
    <w:rsid w:val="377BD738"/>
    <w:rsid w:val="39D10894"/>
    <w:rsid w:val="3BFD2942"/>
    <w:rsid w:val="3EDF671A"/>
    <w:rsid w:val="3FC775F9"/>
    <w:rsid w:val="40045ED8"/>
    <w:rsid w:val="412375AF"/>
    <w:rsid w:val="49383CEB"/>
    <w:rsid w:val="4A2658A1"/>
    <w:rsid w:val="4C3C6D63"/>
    <w:rsid w:val="52C6B792"/>
    <w:rsid w:val="55E3D5B2"/>
    <w:rsid w:val="58F50704"/>
    <w:rsid w:val="5BD66EC6"/>
    <w:rsid w:val="5E977924"/>
    <w:rsid w:val="5FA80E86"/>
    <w:rsid w:val="64EE55D5"/>
    <w:rsid w:val="6DDFD6C8"/>
    <w:rsid w:val="6F6FACDF"/>
    <w:rsid w:val="739DB7E9"/>
    <w:rsid w:val="757FB1EE"/>
    <w:rsid w:val="76E7F39D"/>
    <w:rsid w:val="776FEACE"/>
    <w:rsid w:val="77FF3543"/>
    <w:rsid w:val="7BD7BB71"/>
    <w:rsid w:val="7EEFEC92"/>
    <w:rsid w:val="7EFE02EC"/>
    <w:rsid w:val="7F71D2CA"/>
    <w:rsid w:val="7FA653CD"/>
    <w:rsid w:val="7FDF09D7"/>
    <w:rsid w:val="7FFDE167"/>
    <w:rsid w:val="7FFF5182"/>
    <w:rsid w:val="8FFC7E28"/>
    <w:rsid w:val="9AEFD700"/>
    <w:rsid w:val="9AFC44D5"/>
    <w:rsid w:val="ADA38A20"/>
    <w:rsid w:val="BABD2BA5"/>
    <w:rsid w:val="BFFF213D"/>
    <w:rsid w:val="CBFDFF81"/>
    <w:rsid w:val="DE664CC1"/>
    <w:rsid w:val="DFF7F34C"/>
    <w:rsid w:val="E47F66A6"/>
    <w:rsid w:val="EBCFB4DE"/>
    <w:rsid w:val="ECC3D887"/>
    <w:rsid w:val="EF7DD97E"/>
    <w:rsid w:val="F06E413C"/>
    <w:rsid w:val="F5EFFD91"/>
    <w:rsid w:val="F767D5CA"/>
    <w:rsid w:val="FAFF8A10"/>
    <w:rsid w:val="FBEBB083"/>
    <w:rsid w:val="FF5BD7F4"/>
    <w:rsid w:val="FFC6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widowControl w:val="0"/>
      <w:suppressLineNumbers/>
      <w:suppressAutoHyphens/>
      <w:bidi w:val="0"/>
      <w:spacing w:before="120" w:after="120"/>
    </w:pPr>
    <w:rPr>
      <w:rFonts w:ascii="Times New Roman" w:hAnsi="Times New Roman" w:eastAsia="宋体" w:cs="Times New Roman"/>
      <w:i/>
      <w:iCs/>
      <w:color w:val="auto"/>
      <w:sz w:val="24"/>
      <w:szCs w:val="24"/>
    </w:rPr>
  </w:style>
  <w:style w:type="paragraph" w:styleId="3">
    <w:name w:val="Body Text"/>
    <w:basedOn w:val="1"/>
    <w:qFormat/>
    <w:uiPriority w:val="0"/>
    <w:pPr>
      <w:suppressAutoHyphens/>
      <w:bidi w:val="0"/>
      <w:spacing w:before="0" w:after="140" w:line="276" w:lineRule="auto"/>
    </w:pPr>
    <w:rPr>
      <w:rFonts w:ascii="Times New Roman" w:hAnsi="Times New Roman" w:eastAsia="宋体" w:cs="Times New Roman"/>
      <w:color w:val="auto"/>
      <w:sz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List"/>
    <w:basedOn w:val="3"/>
    <w:qFormat/>
    <w:uiPriority w:val="0"/>
    <w:rPr>
      <w:rFonts w:ascii="Times New Roman" w:hAnsi="Times New Roman" w:eastAsia="宋体" w:cs="Times New Roman"/>
    </w:rPr>
  </w:style>
  <w:style w:type="paragraph" w:styleId="7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默认段落字体1"/>
    <w:qFormat/>
    <w:uiPriority w:val="0"/>
    <w:rPr>
      <w:rFonts w:ascii="Times New Roman" w:hAnsi="Times New Roman" w:eastAsia="宋体" w:cs="Times New Roman"/>
    </w:rPr>
  </w:style>
  <w:style w:type="paragraph" w:customStyle="1" w:styleId="13">
    <w:name w:val="Heading"/>
    <w:basedOn w:val="1"/>
    <w:next w:val="3"/>
    <w:qFormat/>
    <w:uiPriority w:val="0"/>
    <w:pPr>
      <w:keepNext/>
      <w:widowControl w:val="0"/>
      <w:suppressAutoHyphens/>
      <w:bidi w:val="0"/>
      <w:spacing w:before="240" w:after="120"/>
    </w:pPr>
    <w:rPr>
      <w:rFonts w:ascii="Liberation Sans" w:hAnsi="Liberation Sans" w:eastAsia="Noto Sans CJK SC Regular" w:cs="Noto Sans CJK SC Regular"/>
      <w:color w:val="auto"/>
      <w:sz w:val="28"/>
      <w:szCs w:val="28"/>
      <w:lang w:bidi="ar-SA"/>
    </w:rPr>
  </w:style>
  <w:style w:type="paragraph" w:customStyle="1" w:styleId="14">
    <w:name w:val="Index"/>
    <w:basedOn w:val="1"/>
    <w:qFormat/>
    <w:uiPriority w:val="0"/>
    <w:pPr>
      <w:widowControl w:val="0"/>
      <w:suppressLineNumbers/>
      <w:suppressAutoHyphens/>
      <w:bidi w:val="0"/>
    </w:pPr>
    <w:rPr>
      <w:rFonts w:ascii="Times New Roman" w:hAnsi="Times New Roman" w:eastAsia="宋体" w:cs="Times New Roman"/>
      <w:color w:val="auto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P R C</Company>
  <Pages>5</Pages>
  <Words>350</Words>
  <Characters>354</Characters>
  <Lines>1</Lines>
  <Paragraphs>1</Paragraphs>
  <TotalTime>0</TotalTime>
  <ScaleCrop>false</ScaleCrop>
  <LinksUpToDate>false</LinksUpToDate>
  <CharactersWithSpaces>379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2022-05-18T23:54:00Z</dcterms:created>
  <dc:creator>Epoint</dc:creator>
  <cp:lastModifiedBy>Kathy 敏</cp:lastModifiedBy>
  <dcterms:modified xsi:type="dcterms:W3CDTF">2026-07-15T07:43:20Z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5DE6EF64B33D489E88D8B7081B7B0CC5</vt:lpwstr>
  </property>
  <property fmtid="{D5CDD505-2E9C-101B-9397-08002B2CF9AE}" pid="4" name="KSOTemplateDocerSaveRecord">
    <vt:lpwstr>eyJoZGlkIjoiMjk2ZGZmMzI3ZDEyZTNmYTRlYzFlYmMwODMzNWEyNjciLCJ1c2VySWQiOiI3MTQ3Nzc1MjIifQ==</vt:lpwstr>
  </property>
</Properties>
</file>