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1D64A6">
      <w:pPr>
        <w:pStyle w:val="4"/>
        <w:spacing w:before="4"/>
        <w:rPr>
          <w:rFonts w:ascii="Times New Roman"/>
          <w:sz w:val="17"/>
        </w:rPr>
      </w:pPr>
      <w:r>
        <w:rPr>
          <w:rFonts w:ascii="Times New Roman"/>
          <w:sz w:val="17"/>
        </w:rPr>
        <w:drawing>
          <wp:anchor distT="0" distB="0" distL="0" distR="0" simplePos="0" relativeHeight="251659264" behindDoc="0" locked="0" layoutInCell="1" allowOverlap="1">
            <wp:simplePos x="0" y="0"/>
            <wp:positionH relativeFrom="page">
              <wp:posOffset>0</wp:posOffset>
            </wp:positionH>
            <wp:positionV relativeFrom="page">
              <wp:posOffset>1670685</wp:posOffset>
            </wp:positionV>
            <wp:extent cx="6623685" cy="7626985"/>
            <wp:effectExtent l="0" t="0" r="0" b="0"/>
            <wp:wrapNone/>
            <wp:docPr id="1" name="Image 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9" cstate="print"/>
                    <a:stretch>
                      <a:fillRect/>
                    </a:stretch>
                  </pic:blipFill>
                  <pic:spPr>
                    <a:xfrm>
                      <a:off x="0" y="0"/>
                      <a:ext cx="6623684" cy="7626744"/>
                    </a:xfrm>
                    <a:prstGeom prst="rect">
                      <a:avLst/>
                    </a:prstGeom>
                  </pic:spPr>
                </pic:pic>
              </a:graphicData>
            </a:graphic>
          </wp:anchor>
        </w:drawing>
      </w:r>
    </w:p>
    <w:p w14:paraId="735F138E">
      <w:pPr>
        <w:pStyle w:val="4"/>
        <w:spacing w:after="0"/>
        <w:rPr>
          <w:rFonts w:ascii="Times New Roman"/>
          <w:sz w:val="17"/>
        </w:rPr>
        <w:sectPr>
          <w:footerReference r:id="rId5" w:type="even"/>
          <w:type w:val="continuous"/>
          <w:pgSz w:w="10440" w:h="14740"/>
          <w:pgMar w:top="1680" w:right="0" w:bottom="0" w:left="0" w:header="0" w:footer="0" w:gutter="0"/>
          <w:pgNumType w:start="2"/>
          <w:cols w:space="720" w:num="1"/>
        </w:sectPr>
      </w:pPr>
    </w:p>
    <w:p w14:paraId="796DF4CE">
      <w:pPr>
        <w:pStyle w:val="4"/>
        <w:spacing w:before="389"/>
        <w:rPr>
          <w:rFonts w:ascii="Times New Roman"/>
          <w:sz w:val="44"/>
        </w:rPr>
      </w:pPr>
    </w:p>
    <w:p w14:paraId="16F43358">
      <w:pPr>
        <w:pStyle w:val="10"/>
        <w:spacing w:line="465" w:lineRule="auto"/>
      </w:pPr>
      <w:r>
        <w:rPr>
          <w:spacing w:val="-2"/>
        </w:rPr>
        <w:t>湖北省建设工程工程量清单计价指引（2026）</w:t>
      </w:r>
    </w:p>
    <w:p w14:paraId="7FDB04C0">
      <w:pPr>
        <w:pStyle w:val="4"/>
        <w:spacing w:line="320" w:lineRule="exact"/>
        <w:ind w:left="282"/>
        <w:jc w:val="center"/>
        <w:rPr>
          <w:rFonts w:ascii="微软雅黑"/>
        </w:rPr>
      </w:pPr>
      <w:r>
        <w:rPr>
          <w:rFonts w:ascii="微软雅黑"/>
          <w:w w:val="90"/>
        </w:rPr>
        <w:t>Hubei</w:t>
      </w:r>
      <w:r>
        <w:rPr>
          <w:rFonts w:ascii="微软雅黑"/>
          <w:spacing w:val="1"/>
        </w:rPr>
        <w:t xml:space="preserve"> </w:t>
      </w:r>
      <w:r>
        <w:rPr>
          <w:rFonts w:ascii="微软雅黑"/>
          <w:w w:val="90"/>
        </w:rPr>
        <w:t>Province</w:t>
      </w:r>
      <w:r>
        <w:rPr>
          <w:rFonts w:ascii="微软雅黑"/>
          <w:spacing w:val="3"/>
        </w:rPr>
        <w:t xml:space="preserve"> </w:t>
      </w:r>
      <w:r>
        <w:rPr>
          <w:rFonts w:ascii="微软雅黑"/>
          <w:w w:val="90"/>
        </w:rPr>
        <w:t>Guidelines</w:t>
      </w:r>
      <w:r>
        <w:rPr>
          <w:rFonts w:ascii="微软雅黑"/>
          <w:spacing w:val="2"/>
        </w:rPr>
        <w:t xml:space="preserve"> </w:t>
      </w:r>
      <w:r>
        <w:rPr>
          <w:rFonts w:ascii="微软雅黑"/>
          <w:w w:val="90"/>
        </w:rPr>
        <w:t>for</w:t>
      </w:r>
      <w:r>
        <w:rPr>
          <w:rFonts w:ascii="微软雅黑"/>
          <w:spacing w:val="5"/>
        </w:rPr>
        <w:t xml:space="preserve"> </w:t>
      </w:r>
      <w:r>
        <w:rPr>
          <w:rFonts w:ascii="微软雅黑"/>
          <w:w w:val="90"/>
        </w:rPr>
        <w:t>Bills</w:t>
      </w:r>
      <w:r>
        <w:rPr>
          <w:rFonts w:ascii="微软雅黑"/>
          <w:spacing w:val="-2"/>
        </w:rPr>
        <w:t xml:space="preserve"> </w:t>
      </w:r>
      <w:r>
        <w:rPr>
          <w:rFonts w:ascii="微软雅黑"/>
          <w:w w:val="90"/>
        </w:rPr>
        <w:t>of</w:t>
      </w:r>
      <w:r>
        <w:rPr>
          <w:rFonts w:ascii="微软雅黑"/>
          <w:spacing w:val="3"/>
        </w:rPr>
        <w:t xml:space="preserve"> </w:t>
      </w:r>
      <w:r>
        <w:rPr>
          <w:rFonts w:ascii="微软雅黑"/>
          <w:w w:val="90"/>
        </w:rPr>
        <w:t>Quantities</w:t>
      </w:r>
      <w:r>
        <w:rPr>
          <w:rFonts w:ascii="微软雅黑"/>
          <w:spacing w:val="-1"/>
        </w:rPr>
        <w:t xml:space="preserve"> </w:t>
      </w:r>
      <w:r>
        <w:rPr>
          <w:rFonts w:ascii="微软雅黑"/>
          <w:w w:val="90"/>
        </w:rPr>
        <w:t>Valuation</w:t>
      </w:r>
      <w:r>
        <w:rPr>
          <w:rFonts w:ascii="微软雅黑"/>
          <w:spacing w:val="2"/>
        </w:rPr>
        <w:t xml:space="preserve"> </w:t>
      </w:r>
      <w:r>
        <w:rPr>
          <w:rFonts w:ascii="微软雅黑"/>
          <w:spacing w:val="-5"/>
          <w:w w:val="90"/>
        </w:rPr>
        <w:t>for</w:t>
      </w:r>
    </w:p>
    <w:p w14:paraId="3A2DA6FC">
      <w:pPr>
        <w:pStyle w:val="4"/>
        <w:spacing w:before="182"/>
        <w:ind w:left="278"/>
        <w:jc w:val="center"/>
        <w:rPr>
          <w:rFonts w:ascii="微软雅黑" w:eastAsia="微软雅黑"/>
        </w:rPr>
      </w:pPr>
      <w:r>
        <w:rPr>
          <w:rFonts w:ascii="微软雅黑" w:eastAsia="微软雅黑"/>
          <w:w w:val="90"/>
        </w:rPr>
        <w:t>Construction</w:t>
      </w:r>
      <w:r>
        <w:rPr>
          <w:rFonts w:ascii="微软雅黑" w:eastAsia="微软雅黑"/>
          <w:spacing w:val="-7"/>
        </w:rPr>
        <w:t xml:space="preserve"> </w:t>
      </w:r>
      <w:r>
        <w:rPr>
          <w:rFonts w:ascii="微软雅黑" w:eastAsia="微软雅黑"/>
          <w:spacing w:val="-2"/>
        </w:rPr>
        <w:t>Works（2026）</w:t>
      </w:r>
    </w:p>
    <w:p w14:paraId="335F4CBA">
      <w:pPr>
        <w:pStyle w:val="4"/>
        <w:rPr>
          <w:rFonts w:ascii="微软雅黑"/>
        </w:rPr>
      </w:pPr>
    </w:p>
    <w:p w14:paraId="017C3BFA">
      <w:pPr>
        <w:pStyle w:val="4"/>
        <w:rPr>
          <w:rFonts w:ascii="微软雅黑"/>
        </w:rPr>
      </w:pPr>
    </w:p>
    <w:p w14:paraId="4620B323">
      <w:pPr>
        <w:pStyle w:val="4"/>
        <w:rPr>
          <w:rFonts w:ascii="微软雅黑"/>
        </w:rPr>
      </w:pPr>
    </w:p>
    <w:p w14:paraId="4149B290">
      <w:pPr>
        <w:pStyle w:val="4"/>
        <w:rPr>
          <w:rFonts w:ascii="微软雅黑"/>
        </w:rPr>
      </w:pPr>
    </w:p>
    <w:p w14:paraId="1EAC31A5">
      <w:pPr>
        <w:pStyle w:val="4"/>
        <w:rPr>
          <w:rFonts w:ascii="微软雅黑"/>
        </w:rPr>
      </w:pPr>
    </w:p>
    <w:p w14:paraId="79791C72">
      <w:pPr>
        <w:pStyle w:val="4"/>
        <w:rPr>
          <w:rFonts w:ascii="微软雅黑"/>
        </w:rPr>
      </w:pPr>
    </w:p>
    <w:p w14:paraId="67F7B4B2">
      <w:pPr>
        <w:pStyle w:val="4"/>
        <w:rPr>
          <w:rFonts w:ascii="微软雅黑"/>
        </w:rPr>
      </w:pPr>
    </w:p>
    <w:p w14:paraId="7D493D9B">
      <w:pPr>
        <w:pStyle w:val="4"/>
        <w:rPr>
          <w:rFonts w:ascii="微软雅黑"/>
        </w:rPr>
      </w:pPr>
    </w:p>
    <w:p w14:paraId="6341F61D">
      <w:pPr>
        <w:pStyle w:val="4"/>
        <w:rPr>
          <w:rFonts w:ascii="微软雅黑"/>
        </w:rPr>
      </w:pPr>
    </w:p>
    <w:p w14:paraId="074C937C">
      <w:pPr>
        <w:pStyle w:val="4"/>
        <w:rPr>
          <w:rFonts w:ascii="微软雅黑"/>
        </w:rPr>
      </w:pPr>
    </w:p>
    <w:p w14:paraId="2B2757F5">
      <w:pPr>
        <w:pStyle w:val="4"/>
        <w:rPr>
          <w:rFonts w:ascii="微软雅黑"/>
        </w:rPr>
      </w:pPr>
    </w:p>
    <w:p w14:paraId="042CEAF3">
      <w:pPr>
        <w:pStyle w:val="4"/>
        <w:spacing w:before="225"/>
        <w:rPr>
          <w:rFonts w:ascii="微软雅黑"/>
        </w:rPr>
      </w:pPr>
    </w:p>
    <w:p w14:paraId="70944AB2">
      <w:pPr>
        <w:spacing w:before="0" w:line="487" w:lineRule="auto"/>
        <w:ind w:left="3707" w:right="3422" w:firstLine="0"/>
        <w:jc w:val="center"/>
        <w:rPr>
          <w:sz w:val="30"/>
        </w:rPr>
      </w:pPr>
      <w:r>
        <w:rPr>
          <w:spacing w:val="-2"/>
          <w:sz w:val="30"/>
        </w:rPr>
        <w:t>湖北省住房和城乡建设厅二〇二六年一月</w:t>
      </w:r>
    </w:p>
    <w:p w14:paraId="127C977D">
      <w:pPr>
        <w:spacing w:after="0" w:line="487" w:lineRule="auto"/>
        <w:jc w:val="center"/>
        <w:rPr>
          <w:sz w:val="30"/>
        </w:rPr>
        <w:sectPr>
          <w:pgSz w:w="10440" w:h="14740"/>
          <w:pgMar w:top="1680" w:right="0" w:bottom="280" w:left="0" w:header="0" w:footer="0" w:gutter="0"/>
          <w:cols w:space="720" w:num="1"/>
        </w:sectPr>
      </w:pPr>
    </w:p>
    <w:p w14:paraId="566C8695">
      <w:pPr>
        <w:pStyle w:val="4"/>
        <w:spacing w:before="7"/>
        <w:rPr>
          <w:sz w:val="3"/>
        </w:rPr>
      </w:pPr>
    </w:p>
    <w:p w14:paraId="5998E581">
      <w:pPr>
        <w:pStyle w:val="4"/>
        <w:spacing w:line="20" w:lineRule="exact"/>
        <w:ind w:left="1701"/>
        <w:rPr>
          <w:sz w:val="2"/>
        </w:rPr>
      </w:pPr>
      <w:r>
        <w:rPr>
          <w:sz w:val="2"/>
        </w:rPr>
        <mc:AlternateContent>
          <mc:Choice Requires="wpg">
            <w:drawing>
              <wp:inline distT="0" distB="0" distL="0" distR="0">
                <wp:extent cx="4463415" cy="9525"/>
                <wp:effectExtent l="0" t="0" r="0" b="0"/>
                <wp:docPr id="5" name="Group 5"/>
                <wp:cNvGraphicFramePr/>
                <a:graphic xmlns:a="http://schemas.openxmlformats.org/drawingml/2006/main">
                  <a:graphicData uri="http://schemas.microsoft.com/office/word/2010/wordprocessingGroup">
                    <wpg:wgp>
                      <wpg:cNvGrpSpPr/>
                      <wpg:grpSpPr>
                        <a:xfrm>
                          <a:off x="0" y="0"/>
                          <a:ext cx="4463415" cy="9525"/>
                          <a:chOff x="0" y="0"/>
                          <a:chExt cx="4463415" cy="9525"/>
                        </a:xfrm>
                      </wpg:grpSpPr>
                      <wps:wsp>
                        <wps:cNvPr id="6" name="Graphic 6"/>
                        <wps:cNvSpPr/>
                        <wps:spPr>
                          <a:xfrm>
                            <a:off x="0" y="0"/>
                            <a:ext cx="4463415" cy="9525"/>
                          </a:xfrm>
                          <a:custGeom>
                            <a:avLst/>
                            <a:gdLst/>
                            <a:ahLst/>
                            <a:cxnLst/>
                            <a:rect l="l" t="t" r="r" b="b"/>
                            <a:pathLst>
                              <a:path w="4463415" h="9525">
                                <a:moveTo>
                                  <a:pt x="4463415" y="9143"/>
                                </a:moveTo>
                                <a:lnTo>
                                  <a:pt x="0" y="9143"/>
                                </a:lnTo>
                                <a:lnTo>
                                  <a:pt x="0" y="0"/>
                                </a:lnTo>
                                <a:lnTo>
                                  <a:pt x="4463415" y="0"/>
                                </a:lnTo>
                                <a:lnTo>
                                  <a:pt x="4463415" y="9143"/>
                                </a:lnTo>
                                <a:close/>
                              </a:path>
                            </a:pathLst>
                          </a:custGeom>
                          <a:solidFill>
                            <a:srgbClr val="000000"/>
                          </a:solidFill>
                        </wps:spPr>
                        <wps:bodyPr wrap="square" lIns="0" tIns="0" rIns="0" bIns="0" rtlCol="0">
                          <a:noAutofit/>
                        </wps:bodyPr>
                      </wps:wsp>
                    </wpg:wgp>
                  </a:graphicData>
                </a:graphic>
              </wp:inline>
            </w:drawing>
          </mc:Choice>
          <mc:Fallback>
            <w:pict>
              <v:group id="Group 5" o:spid="_x0000_s1026" o:spt="203" style="height:0.75pt;width:351.45pt;" coordsize="4463415,9525" o:gfxdata="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2x0UINUAAAADAQAADwAAAAAAAAABACAAAAAiAAAAZHJzL2Rvd25yZXYueG1sUEsBAhQAFAAA&#10;AAgAh07iQAL+yn1kAgAACQYAAA4AAAAAAAAAAQAgAAAAJAEAAGRycy9lMm9Eb2MueG1sUEsFBgAA&#10;AAAGAAYAWQEAAPoFAAAAAA==&#10;">
                <o:lock v:ext="edit" aspectratio="f"/>
                <v:shape id="Graphic 6" o:spid="_x0000_s1026" o:spt="100" style="position:absolute;left:0;top:0;height:9525;width:4463415;" fillcolor="#000000" filled="t" stroked="f" coordsize="4463415,9525" o:gfxdata="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UoN68AAAA&#10;2gAAAA8AAAAAAAAAAQAgAAAAIgAAAGRycy9kb3ducmV2LnhtbFBLAQIUABQAAAAIAIdO4kAzLwWe&#10;OwAAADkAAAAQAAAAAAAAAAEAIAAAAAsBAABkcnMvc2hhcGV4bWwueG1sUEsFBgAAAAAGAAYAWwEA&#10;ALUDAAAAAA==&#10;" path="m4463415,9143l0,9143,0,0,4463415,0,4463415,9143xe">
                  <v:fill on="t" focussize="0,0"/>
                  <v:stroke on="f"/>
                  <v:imagedata o:title=""/>
                  <o:lock v:ext="edit" aspectratio="f"/>
                  <v:textbox inset="0mm,0mm,0mm,0mm"/>
                </v:shape>
                <w10:wrap type="none"/>
                <w10:anchorlock/>
              </v:group>
            </w:pict>
          </mc:Fallback>
        </mc:AlternateContent>
      </w:r>
    </w:p>
    <w:p w14:paraId="1B8AF75D">
      <w:pPr>
        <w:pStyle w:val="4"/>
        <w:spacing w:before="144"/>
        <w:rPr>
          <w:sz w:val="32"/>
        </w:rPr>
      </w:pPr>
    </w:p>
    <w:p w14:paraId="7BC896FA">
      <w:pPr>
        <w:spacing w:before="0"/>
        <w:ind w:left="0" w:right="3" w:firstLine="0"/>
        <w:jc w:val="center"/>
        <w:rPr>
          <w:rFonts w:ascii="Microsoft JhengHei" w:eastAsia="Microsoft JhengHei"/>
          <w:b/>
          <w:sz w:val="32"/>
        </w:rPr>
      </w:pPr>
      <w:r>
        <w:rPr>
          <w:rFonts w:ascii="Microsoft JhengHei" w:eastAsia="Microsoft JhengHei"/>
          <w:b/>
          <w:spacing w:val="-4"/>
          <w:sz w:val="32"/>
        </w:rPr>
        <w:t>编审委员会</w:t>
      </w:r>
    </w:p>
    <w:p w14:paraId="43B282A1">
      <w:pPr>
        <w:pStyle w:val="4"/>
        <w:rPr>
          <w:rFonts w:ascii="Microsoft JhengHei"/>
          <w:b/>
          <w:sz w:val="20"/>
        </w:rPr>
      </w:pPr>
    </w:p>
    <w:p w14:paraId="5344CB5F">
      <w:pPr>
        <w:pStyle w:val="4"/>
        <w:spacing w:before="110"/>
        <w:rPr>
          <w:rFonts w:ascii="Microsoft JhengHei"/>
          <w:b/>
          <w:sz w:val="20"/>
        </w:rPr>
      </w:pPr>
    </w:p>
    <w:tbl>
      <w:tblPr>
        <w:tblStyle w:val="11"/>
        <w:tblW w:w="0" w:type="auto"/>
        <w:tblInd w:w="165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470"/>
        <w:gridCol w:w="559"/>
        <w:gridCol w:w="1121"/>
        <w:gridCol w:w="559"/>
        <w:gridCol w:w="560"/>
        <w:gridCol w:w="471"/>
      </w:tblGrid>
      <w:tr w14:paraId="5F0DF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4" w:hRule="atLeast"/>
        </w:trPr>
        <w:tc>
          <w:tcPr>
            <w:tcW w:w="470" w:type="dxa"/>
          </w:tcPr>
          <w:p w14:paraId="08BC1ED5">
            <w:pPr>
              <w:pStyle w:val="15"/>
              <w:spacing w:line="320" w:lineRule="exact"/>
              <w:ind w:left="50"/>
              <w:rPr>
                <w:sz w:val="28"/>
              </w:rPr>
            </w:pPr>
            <w:r>
              <w:rPr>
                <w:spacing w:val="-10"/>
                <w:sz w:val="28"/>
              </w:rPr>
              <w:t>主</w:t>
            </w:r>
          </w:p>
        </w:tc>
        <w:tc>
          <w:tcPr>
            <w:tcW w:w="559" w:type="dxa"/>
          </w:tcPr>
          <w:p w14:paraId="53E5E191">
            <w:pPr>
              <w:pStyle w:val="15"/>
              <w:rPr>
                <w:rFonts w:ascii="Times New Roman"/>
                <w:sz w:val="24"/>
              </w:rPr>
            </w:pPr>
          </w:p>
        </w:tc>
        <w:tc>
          <w:tcPr>
            <w:tcW w:w="1121" w:type="dxa"/>
          </w:tcPr>
          <w:p w14:paraId="66698CB7">
            <w:pPr>
              <w:pStyle w:val="15"/>
              <w:spacing w:line="320" w:lineRule="exact"/>
              <w:jc w:val="center"/>
              <w:rPr>
                <w:sz w:val="28"/>
              </w:rPr>
            </w:pPr>
            <w:r>
              <w:rPr>
                <w:spacing w:val="-5"/>
                <w:sz w:val="28"/>
              </w:rPr>
              <w:t>审：龙</w:t>
            </w:r>
          </w:p>
        </w:tc>
        <w:tc>
          <w:tcPr>
            <w:tcW w:w="559" w:type="dxa"/>
          </w:tcPr>
          <w:p w14:paraId="0BC18824">
            <w:pPr>
              <w:pStyle w:val="15"/>
              <w:spacing w:line="320" w:lineRule="exact"/>
              <w:jc w:val="center"/>
              <w:rPr>
                <w:sz w:val="28"/>
              </w:rPr>
            </w:pPr>
            <w:r>
              <w:rPr>
                <w:spacing w:val="-10"/>
                <w:sz w:val="28"/>
              </w:rPr>
              <w:t>宁</w:t>
            </w:r>
          </w:p>
        </w:tc>
        <w:tc>
          <w:tcPr>
            <w:tcW w:w="1031" w:type="dxa"/>
            <w:gridSpan w:val="2"/>
          </w:tcPr>
          <w:p w14:paraId="6CA921D1">
            <w:pPr>
              <w:pStyle w:val="15"/>
              <w:rPr>
                <w:rFonts w:ascii="Times New Roman"/>
                <w:sz w:val="24"/>
              </w:rPr>
            </w:pPr>
          </w:p>
        </w:tc>
      </w:tr>
      <w:tr w14:paraId="4C356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04" w:hRule="atLeast"/>
        </w:trPr>
        <w:tc>
          <w:tcPr>
            <w:tcW w:w="470" w:type="dxa"/>
          </w:tcPr>
          <w:p w14:paraId="4FA14C50">
            <w:pPr>
              <w:pStyle w:val="15"/>
              <w:spacing w:before="184" w:line="300" w:lineRule="exact"/>
              <w:ind w:left="50"/>
              <w:rPr>
                <w:sz w:val="28"/>
              </w:rPr>
            </w:pPr>
            <w:r>
              <w:rPr>
                <w:spacing w:val="-10"/>
                <w:sz w:val="28"/>
              </w:rPr>
              <w:t>副</w:t>
            </w:r>
          </w:p>
        </w:tc>
        <w:tc>
          <w:tcPr>
            <w:tcW w:w="559" w:type="dxa"/>
          </w:tcPr>
          <w:p w14:paraId="3CA7D7B0">
            <w:pPr>
              <w:pStyle w:val="15"/>
              <w:spacing w:before="184" w:line="300" w:lineRule="exact"/>
              <w:ind w:left="139"/>
              <w:rPr>
                <w:sz w:val="28"/>
              </w:rPr>
            </w:pPr>
            <w:r>
              <w:rPr>
                <w:spacing w:val="-10"/>
                <w:sz w:val="28"/>
              </w:rPr>
              <w:t>主</w:t>
            </w:r>
          </w:p>
        </w:tc>
        <w:tc>
          <w:tcPr>
            <w:tcW w:w="1121" w:type="dxa"/>
          </w:tcPr>
          <w:p w14:paraId="59ED9559">
            <w:pPr>
              <w:pStyle w:val="15"/>
              <w:spacing w:before="184" w:line="300" w:lineRule="exact"/>
              <w:jc w:val="center"/>
              <w:rPr>
                <w:sz w:val="28"/>
              </w:rPr>
            </w:pPr>
            <w:r>
              <w:rPr>
                <w:spacing w:val="-5"/>
                <w:sz w:val="28"/>
              </w:rPr>
              <w:t>审：周</w:t>
            </w:r>
          </w:p>
        </w:tc>
        <w:tc>
          <w:tcPr>
            <w:tcW w:w="559" w:type="dxa"/>
          </w:tcPr>
          <w:p w14:paraId="0DC2A6E2">
            <w:pPr>
              <w:pStyle w:val="15"/>
              <w:spacing w:before="184" w:line="300" w:lineRule="exact"/>
              <w:jc w:val="center"/>
              <w:rPr>
                <w:sz w:val="28"/>
              </w:rPr>
            </w:pPr>
            <w:r>
              <w:rPr>
                <w:spacing w:val="-10"/>
                <w:sz w:val="28"/>
              </w:rPr>
              <w:t>伟</w:t>
            </w:r>
          </w:p>
        </w:tc>
        <w:tc>
          <w:tcPr>
            <w:tcW w:w="560" w:type="dxa"/>
          </w:tcPr>
          <w:p w14:paraId="095BF017">
            <w:pPr>
              <w:pStyle w:val="15"/>
              <w:spacing w:before="184" w:line="300" w:lineRule="exact"/>
              <w:ind w:left="139"/>
              <w:rPr>
                <w:sz w:val="28"/>
              </w:rPr>
            </w:pPr>
            <w:r>
              <w:rPr>
                <w:spacing w:val="-10"/>
                <w:sz w:val="28"/>
              </w:rPr>
              <w:t>王</w:t>
            </w:r>
          </w:p>
        </w:tc>
        <w:tc>
          <w:tcPr>
            <w:tcW w:w="471" w:type="dxa"/>
          </w:tcPr>
          <w:p w14:paraId="535F86E6">
            <w:pPr>
              <w:pStyle w:val="15"/>
              <w:spacing w:before="184" w:line="300" w:lineRule="exact"/>
              <w:ind w:left="141"/>
              <w:rPr>
                <w:sz w:val="28"/>
              </w:rPr>
            </w:pPr>
            <w:r>
              <w:rPr>
                <w:spacing w:val="-10"/>
                <w:sz w:val="28"/>
              </w:rPr>
              <w:t>波</w:t>
            </w:r>
          </w:p>
        </w:tc>
      </w:tr>
    </w:tbl>
    <w:p w14:paraId="2F0EA925">
      <w:pPr>
        <w:tabs>
          <w:tab w:val="left" w:pos="2819"/>
        </w:tabs>
        <w:spacing w:before="405"/>
        <w:ind w:left="1701" w:right="0" w:firstLine="0"/>
        <w:jc w:val="left"/>
        <w:rPr>
          <w:sz w:val="28"/>
        </w:rPr>
      </w:pPr>
      <w:r>
        <w:rPr>
          <w:spacing w:val="-10"/>
          <w:sz w:val="28"/>
        </w:rPr>
        <w:t>主</w:t>
      </w:r>
      <w:r>
        <w:rPr>
          <w:sz w:val="28"/>
        </w:rPr>
        <w:tab/>
      </w:r>
      <w:r>
        <w:rPr>
          <w:spacing w:val="-2"/>
          <w:sz w:val="28"/>
        </w:rPr>
        <w:t>编：叶小</w:t>
      </w:r>
      <w:r>
        <w:rPr>
          <w:spacing w:val="-10"/>
          <w:sz w:val="28"/>
        </w:rPr>
        <w:t>宁</w:t>
      </w:r>
    </w:p>
    <w:p w14:paraId="769F4087">
      <w:pPr>
        <w:pStyle w:val="4"/>
        <w:spacing w:before="10"/>
        <w:rPr>
          <w:sz w:val="28"/>
        </w:rPr>
      </w:pPr>
    </w:p>
    <w:p w14:paraId="59E1CFCF">
      <w:pPr>
        <w:spacing w:before="0"/>
        <w:ind w:left="1701" w:right="0" w:firstLine="0"/>
        <w:jc w:val="left"/>
        <w:rPr>
          <w:sz w:val="28"/>
        </w:rPr>
      </w:pPr>
      <w:r>
        <w:rPr>
          <w:sz w:val="28"/>
        </w:rPr>
        <w:t>编制专家组：梅耀辉</w:t>
      </w:r>
      <w:r>
        <w:rPr>
          <w:spacing w:val="60"/>
          <w:w w:val="150"/>
          <w:sz w:val="28"/>
        </w:rPr>
        <w:t xml:space="preserve"> </w:t>
      </w:r>
      <w:r>
        <w:rPr>
          <w:sz w:val="28"/>
        </w:rPr>
        <w:t>程</w:t>
      </w:r>
      <w:r>
        <w:rPr>
          <w:spacing w:val="63"/>
          <w:w w:val="150"/>
          <w:sz w:val="28"/>
        </w:rPr>
        <w:t xml:space="preserve"> </w:t>
      </w:r>
      <w:r>
        <w:rPr>
          <w:sz w:val="28"/>
        </w:rPr>
        <w:t>征</w:t>
      </w:r>
      <w:r>
        <w:rPr>
          <w:spacing w:val="63"/>
          <w:w w:val="150"/>
          <w:sz w:val="28"/>
        </w:rPr>
        <w:t xml:space="preserve"> </w:t>
      </w:r>
      <w:r>
        <w:rPr>
          <w:spacing w:val="-4"/>
          <w:sz w:val="28"/>
        </w:rPr>
        <w:t>郭建华</w:t>
      </w:r>
    </w:p>
    <w:p w14:paraId="0F0E8E32">
      <w:pPr>
        <w:pStyle w:val="4"/>
        <w:spacing w:before="9"/>
        <w:rPr>
          <w:sz w:val="28"/>
        </w:rPr>
      </w:pPr>
    </w:p>
    <w:p w14:paraId="51DB5E17">
      <w:pPr>
        <w:spacing w:before="1"/>
        <w:ind w:left="1701" w:right="0" w:firstLine="0"/>
        <w:jc w:val="left"/>
        <w:rPr>
          <w:sz w:val="28"/>
        </w:rPr>
      </w:pPr>
      <w:r>
        <w:rPr>
          <w:sz w:val="28"/>
        </w:rPr>
        <w:t>编</w:t>
      </w:r>
      <w:r>
        <w:rPr>
          <w:spacing w:val="66"/>
          <w:w w:val="150"/>
          <w:sz w:val="28"/>
        </w:rPr>
        <w:t xml:space="preserve"> </w:t>
      </w:r>
      <w:r>
        <w:rPr>
          <w:sz w:val="28"/>
        </w:rPr>
        <w:t>制</w:t>
      </w:r>
      <w:r>
        <w:rPr>
          <w:spacing w:val="67"/>
          <w:w w:val="150"/>
          <w:sz w:val="28"/>
        </w:rPr>
        <w:t xml:space="preserve"> </w:t>
      </w:r>
      <w:r>
        <w:rPr>
          <w:sz w:val="28"/>
        </w:rPr>
        <w:t>人：梁富运</w:t>
      </w:r>
      <w:r>
        <w:rPr>
          <w:spacing w:val="66"/>
          <w:w w:val="150"/>
          <w:sz w:val="28"/>
        </w:rPr>
        <w:t xml:space="preserve"> </w:t>
      </w:r>
      <w:r>
        <w:rPr>
          <w:sz w:val="28"/>
        </w:rPr>
        <w:t>余</w:t>
      </w:r>
      <w:r>
        <w:rPr>
          <w:spacing w:val="69"/>
          <w:w w:val="150"/>
          <w:sz w:val="28"/>
        </w:rPr>
        <w:t xml:space="preserve"> </w:t>
      </w:r>
      <w:r>
        <w:rPr>
          <w:sz w:val="28"/>
        </w:rPr>
        <w:t>霞</w:t>
      </w:r>
      <w:r>
        <w:rPr>
          <w:spacing w:val="66"/>
          <w:w w:val="150"/>
          <w:sz w:val="28"/>
        </w:rPr>
        <w:t xml:space="preserve"> </w:t>
      </w:r>
      <w:r>
        <w:rPr>
          <w:sz w:val="28"/>
        </w:rPr>
        <w:t>刘</w:t>
      </w:r>
      <w:r>
        <w:rPr>
          <w:spacing w:val="67"/>
          <w:w w:val="150"/>
          <w:sz w:val="28"/>
        </w:rPr>
        <w:t xml:space="preserve"> </w:t>
      </w:r>
      <w:r>
        <w:rPr>
          <w:sz w:val="28"/>
        </w:rPr>
        <w:t>玲</w:t>
      </w:r>
      <w:r>
        <w:rPr>
          <w:spacing w:val="69"/>
          <w:w w:val="150"/>
          <w:sz w:val="28"/>
        </w:rPr>
        <w:t xml:space="preserve"> </w:t>
      </w:r>
      <w:r>
        <w:rPr>
          <w:spacing w:val="-4"/>
          <w:sz w:val="28"/>
        </w:rPr>
        <w:t>伍文文</w:t>
      </w:r>
    </w:p>
    <w:p w14:paraId="56B15869">
      <w:pPr>
        <w:pStyle w:val="4"/>
        <w:spacing w:before="7"/>
        <w:rPr>
          <w:sz w:val="28"/>
        </w:rPr>
      </w:pPr>
    </w:p>
    <w:p w14:paraId="5218A82B">
      <w:pPr>
        <w:spacing w:before="0" w:line="487" w:lineRule="auto"/>
        <w:ind w:left="3381" w:right="1726" w:hanging="1680"/>
        <w:jc w:val="left"/>
        <w:rPr>
          <w:sz w:val="28"/>
        </w:rPr>
      </w:pPr>
      <w:r>
        <w:rPr>
          <w:sz w:val="28"/>
        </w:rPr>
        <w:t>审查专家组：吴</w:t>
      </w:r>
      <w:r>
        <w:rPr>
          <w:spacing w:val="66"/>
          <w:w w:val="150"/>
          <w:sz w:val="28"/>
        </w:rPr>
        <w:t xml:space="preserve"> </w:t>
      </w:r>
      <w:r>
        <w:rPr>
          <w:sz w:val="28"/>
        </w:rPr>
        <w:t>雯</w:t>
      </w:r>
      <w:r>
        <w:rPr>
          <w:spacing w:val="66"/>
          <w:w w:val="150"/>
          <w:sz w:val="28"/>
        </w:rPr>
        <w:t xml:space="preserve"> </w:t>
      </w:r>
      <w:r>
        <w:rPr>
          <w:sz w:val="28"/>
        </w:rPr>
        <w:t>吉</w:t>
      </w:r>
      <w:r>
        <w:rPr>
          <w:spacing w:val="68"/>
          <w:w w:val="150"/>
          <w:sz w:val="28"/>
        </w:rPr>
        <w:t xml:space="preserve"> </w:t>
      </w:r>
      <w:r>
        <w:rPr>
          <w:sz w:val="28"/>
        </w:rPr>
        <w:t>莹</w:t>
      </w:r>
      <w:r>
        <w:rPr>
          <w:spacing w:val="66"/>
          <w:w w:val="150"/>
          <w:sz w:val="28"/>
        </w:rPr>
        <w:t xml:space="preserve"> </w:t>
      </w:r>
      <w:r>
        <w:rPr>
          <w:sz w:val="28"/>
        </w:rPr>
        <w:t>徐</w:t>
      </w:r>
      <w:r>
        <w:rPr>
          <w:spacing w:val="66"/>
          <w:w w:val="150"/>
          <w:sz w:val="28"/>
        </w:rPr>
        <w:t xml:space="preserve"> </w:t>
      </w:r>
      <w:r>
        <w:rPr>
          <w:sz w:val="28"/>
        </w:rPr>
        <w:t>涛</w:t>
      </w:r>
      <w:r>
        <w:rPr>
          <w:spacing w:val="68"/>
          <w:w w:val="150"/>
          <w:sz w:val="28"/>
        </w:rPr>
        <w:t xml:space="preserve"> </w:t>
      </w:r>
      <w:r>
        <w:rPr>
          <w:sz w:val="28"/>
        </w:rPr>
        <w:t>周</w:t>
      </w:r>
      <w:r>
        <w:rPr>
          <w:spacing w:val="66"/>
          <w:w w:val="150"/>
          <w:sz w:val="28"/>
        </w:rPr>
        <w:t xml:space="preserve"> </w:t>
      </w:r>
      <w:r>
        <w:rPr>
          <w:sz w:val="28"/>
        </w:rPr>
        <w:t>萤</w:t>
      </w:r>
      <w:r>
        <w:rPr>
          <w:spacing w:val="66"/>
          <w:w w:val="150"/>
          <w:sz w:val="28"/>
        </w:rPr>
        <w:t xml:space="preserve"> </w:t>
      </w:r>
      <w:r>
        <w:rPr>
          <w:sz w:val="28"/>
        </w:rPr>
        <w:t>孙</w:t>
      </w:r>
      <w:r>
        <w:rPr>
          <w:spacing w:val="68"/>
          <w:w w:val="150"/>
          <w:sz w:val="28"/>
        </w:rPr>
        <w:t xml:space="preserve"> </w:t>
      </w:r>
      <w:r>
        <w:rPr>
          <w:sz w:val="28"/>
        </w:rPr>
        <w:t>智</w:t>
      </w:r>
      <w:r>
        <w:rPr>
          <w:spacing w:val="11"/>
          <w:sz w:val="28"/>
        </w:rPr>
        <w:t>张其涛 李祖华</w:t>
      </w:r>
    </w:p>
    <w:p w14:paraId="34893720">
      <w:pPr>
        <w:spacing w:after="0" w:line="487" w:lineRule="auto"/>
        <w:jc w:val="left"/>
        <w:rPr>
          <w:sz w:val="28"/>
        </w:rPr>
        <w:sectPr>
          <w:headerReference r:id="rId6" w:type="default"/>
          <w:headerReference r:id="rId7" w:type="even"/>
          <w:pgSz w:w="10440" w:h="14740"/>
          <w:pgMar w:top="1040" w:right="0" w:bottom="280" w:left="0" w:header="858" w:footer="0" w:gutter="0"/>
          <w:cols w:space="720" w:num="1"/>
        </w:sectPr>
      </w:pPr>
    </w:p>
    <w:p w14:paraId="6A554199">
      <w:pPr>
        <w:pStyle w:val="4"/>
        <w:spacing w:before="175"/>
        <w:rPr>
          <w:sz w:val="32"/>
        </w:rPr>
      </w:pPr>
    </w:p>
    <w:p w14:paraId="26139F7B">
      <w:pPr>
        <w:pStyle w:val="2"/>
        <w:tabs>
          <w:tab w:val="left" w:pos="1239"/>
        </w:tabs>
        <w:ind w:left="280"/>
      </w:pPr>
      <w:r>
        <w:rPr>
          <w:spacing w:val="-10"/>
        </w:rPr>
        <w:t>前</w:t>
      </w:r>
      <w:r>
        <w:tab/>
      </w:r>
      <w:r>
        <w:rPr>
          <w:spacing w:val="-10"/>
        </w:rPr>
        <w:t>言</w:t>
      </w:r>
    </w:p>
    <w:p w14:paraId="71F8CDEC">
      <w:pPr>
        <w:pStyle w:val="4"/>
        <w:spacing w:before="88"/>
        <w:rPr>
          <w:sz w:val="32"/>
        </w:rPr>
      </w:pPr>
    </w:p>
    <w:p w14:paraId="55E9FC27">
      <w:pPr>
        <w:pStyle w:val="4"/>
        <w:spacing w:line="364" w:lineRule="auto"/>
        <w:ind w:left="1416" w:right="1011" w:firstLine="480"/>
      </w:pPr>
      <w:r>
        <w:t>2025</w:t>
      </w:r>
      <w:r>
        <w:rPr>
          <w:spacing w:val="-40"/>
        </w:rPr>
        <w:t xml:space="preserve"> 年 </w:t>
      </w:r>
      <w:r>
        <w:t>9</w:t>
      </w:r>
      <w:r>
        <w:rPr>
          <w:spacing w:val="-40"/>
        </w:rPr>
        <w:t xml:space="preserve"> 月 </w:t>
      </w:r>
      <w:r>
        <w:t>1</w:t>
      </w:r>
      <w:r>
        <w:rPr>
          <w:spacing w:val="-20"/>
        </w:rPr>
        <w:t xml:space="preserve"> 日，《建设工程工程量清单计价标准</w:t>
      </w:r>
      <w:r>
        <w:rPr>
          <w:spacing w:val="-200"/>
        </w:rPr>
        <w:t>》</w:t>
      </w:r>
      <w:r>
        <w:t>（GB/T</w:t>
      </w:r>
      <w:r>
        <w:rPr>
          <w:spacing w:val="-60"/>
        </w:rPr>
        <w:t xml:space="preserve"> </w:t>
      </w:r>
      <w:r>
        <w:t>50500—2024）及《房屋建筑与装饰工程工程量计算标准》（GB/T 50854—2024）等工程量计算标准（以下统称“24</w:t>
      </w:r>
      <w:r>
        <w:rPr>
          <w:spacing w:val="-10"/>
        </w:rPr>
        <w:t xml:space="preserve"> 清单标准”</w:t>
      </w:r>
      <w:r>
        <w:t>）正式实施，标志着工程造价行业进入</w:t>
      </w:r>
      <w:r>
        <w:rPr>
          <w:spacing w:val="-1"/>
        </w:rPr>
        <w:t xml:space="preserve">了市场化、规范化发展的新阶段。为贯彻落实 </w:t>
      </w:r>
      <w:r>
        <w:t>24</w:t>
      </w:r>
      <w:r>
        <w:rPr>
          <w:spacing w:val="-4"/>
        </w:rPr>
        <w:t xml:space="preserve"> 清单标准，深入推进工程</w:t>
      </w:r>
      <w:r>
        <w:rPr>
          <w:spacing w:val="-2"/>
        </w:rPr>
        <w:t>造价市场化改革，湖北省住房和城乡建设厅组织行业专业力量，先后编写并</w:t>
      </w:r>
      <w:r>
        <w:t>发布了《建设工程工程量清单计价（GB/T 50500—2024）及计算标准应用与</w:t>
      </w:r>
      <w:r>
        <w:rPr>
          <w:spacing w:val="-2"/>
        </w:rPr>
        <w:t>实务》（以下简称《应用与实务》）及《湖北省房屋建筑和市政基础设施工程最高投标限价编制案例指南》（以下简称《案例指南》）。本次《湖北省建设工程工程量清单计价指引（2026）》（以下简称《计价指引》）的制定与发布，是我省在前述工作基础上，持续完善本地化计价体系、坚定不移推进工程造价改革走向深入的又一重要举措。</w:t>
      </w:r>
    </w:p>
    <w:p w14:paraId="6A246741">
      <w:pPr>
        <w:pStyle w:val="4"/>
        <w:spacing w:before="7"/>
        <w:ind w:left="1896"/>
      </w:pPr>
      <w:r>
        <w:rPr>
          <w:spacing w:val="-1"/>
        </w:rPr>
        <w:t>一、奠基破局的序曲：《应用与实务》</w:t>
      </w:r>
    </w:p>
    <w:p w14:paraId="4B79C541">
      <w:pPr>
        <w:pStyle w:val="4"/>
        <w:spacing w:before="161" w:line="364" w:lineRule="auto"/>
        <w:ind w:left="1416" w:right="1131" w:firstLine="480"/>
        <w:jc w:val="both"/>
      </w:pPr>
      <w:r>
        <w:rPr>
          <w:spacing w:val="-14"/>
        </w:rPr>
        <w:t xml:space="preserve">《应用与实务》是全国首部由省级住建部门发布的 </w:t>
      </w:r>
      <w:r>
        <w:rPr>
          <w:spacing w:val="-4"/>
        </w:rPr>
        <w:t>24</w:t>
      </w:r>
      <w:r>
        <w:rPr>
          <w:spacing w:val="-16"/>
        </w:rPr>
        <w:t xml:space="preserve"> 清单标准配套“工</w:t>
      </w:r>
      <w:r>
        <w:rPr>
          <w:spacing w:val="-2"/>
        </w:rPr>
        <w:t>具书”。它以“立足国家标准，细化湖北特色”为宗旨，对标准条文进行本地化解析，对计价程序和计价表格进行完善细化，并辅以丰富的应用实务示例，帮助从业人员系统理解新标准。</w:t>
      </w:r>
    </w:p>
    <w:p w14:paraId="0F04C579">
      <w:pPr>
        <w:pStyle w:val="4"/>
        <w:spacing w:before="2"/>
        <w:ind w:left="1896"/>
      </w:pPr>
      <w:r>
        <w:rPr>
          <w:spacing w:val="-1"/>
        </w:rPr>
        <w:t>二、核心突破的华章：《案例指南》</w:t>
      </w:r>
    </w:p>
    <w:p w14:paraId="3767A1D4">
      <w:pPr>
        <w:pStyle w:val="4"/>
        <w:spacing w:before="160" w:line="364" w:lineRule="auto"/>
        <w:ind w:left="1416" w:right="1131" w:firstLine="480"/>
        <w:jc w:val="both"/>
      </w:pPr>
      <w:r>
        <w:rPr>
          <w:spacing w:val="-2"/>
        </w:rPr>
        <w:t xml:space="preserve">《案例指南》作为全国首部由省级住建部门发布的 </w:t>
      </w:r>
      <w:r>
        <w:t>2024</w:t>
      </w:r>
      <w:r>
        <w:rPr>
          <w:spacing w:val="-6"/>
        </w:rPr>
        <w:t xml:space="preserve"> 清单标准配套</w:t>
      </w:r>
      <w:r>
        <w:t xml:space="preserve"> </w:t>
      </w:r>
      <w:r>
        <w:rPr>
          <w:spacing w:val="-2"/>
        </w:rPr>
        <w:t>“案例集”，其编制具有明确的现实针对性。它聚焦于市场化计价模式下的核心难点——最高投标限价编制，精选房屋建筑与市政基础设施领域的典型工程实例，在数据来源选取、市场化计价、措施分析等关键操作环节提供了清晰、完整的示范。该指南的发布，为省内建设各方主体开展招投标计价活</w:t>
      </w:r>
      <w:r>
        <w:rPr>
          <w:spacing w:val="-3"/>
        </w:rPr>
        <w:t>动提供了实操参考，对规范计价行为、推动新标准平稳落地具有重要的指导</w:t>
      </w:r>
    </w:p>
    <w:p w14:paraId="78069810">
      <w:pPr>
        <w:pStyle w:val="4"/>
        <w:spacing w:after="0" w:line="364" w:lineRule="auto"/>
        <w:jc w:val="both"/>
        <w:sectPr>
          <w:footerReference r:id="rId8" w:type="default"/>
          <w:footerReference r:id="rId9" w:type="even"/>
          <w:pgSz w:w="10440" w:h="14740"/>
          <w:pgMar w:top="1100" w:right="0" w:bottom="860" w:left="0" w:header="0" w:footer="676" w:gutter="0"/>
          <w:pgNumType w:start="1"/>
          <w:cols w:space="720" w:num="1"/>
        </w:sectPr>
      </w:pPr>
    </w:p>
    <w:p w14:paraId="1229AD01">
      <w:pPr>
        <w:pStyle w:val="4"/>
        <w:spacing w:before="94"/>
      </w:pPr>
    </w:p>
    <w:p w14:paraId="194A41F4">
      <w:pPr>
        <w:pStyle w:val="4"/>
        <w:ind w:left="1132"/>
      </w:pPr>
      <w:r>
        <w:rPr>
          <w:spacing w:val="-4"/>
        </w:rPr>
        <w:t>作用。</w:t>
      </w:r>
    </w:p>
    <w:p w14:paraId="6C8C9365">
      <w:pPr>
        <w:pStyle w:val="4"/>
        <w:spacing w:before="160"/>
        <w:ind w:left="1612"/>
      </w:pPr>
      <w:r>
        <w:rPr>
          <w:spacing w:val="-1"/>
        </w:rPr>
        <w:t>三、引领赋能的交响：《计价指引》</w:t>
      </w:r>
    </w:p>
    <w:p w14:paraId="61EC1BAB">
      <w:pPr>
        <w:pStyle w:val="4"/>
        <w:spacing w:before="161"/>
        <w:ind w:left="1612"/>
        <w:jc w:val="both"/>
      </w:pPr>
      <w:r>
        <w:rPr>
          <w:spacing w:val="-2"/>
        </w:rPr>
        <w:t xml:space="preserve">《计价指引》为省级建设行政管理部门发布的 </w:t>
      </w:r>
      <w:r>
        <w:t>24</w:t>
      </w:r>
      <w:r>
        <w:rPr>
          <w:spacing w:val="-7"/>
        </w:rPr>
        <w:t xml:space="preserve"> 清单标准配套文件，</w:t>
      </w:r>
    </w:p>
    <w:p w14:paraId="24814781">
      <w:pPr>
        <w:pStyle w:val="4"/>
        <w:spacing w:before="160" w:line="364" w:lineRule="auto"/>
        <w:ind w:left="1132" w:right="1376"/>
        <w:jc w:val="both"/>
      </w:pPr>
      <w:r>
        <w:rPr>
          <w:spacing w:val="-2"/>
        </w:rPr>
        <w:t xml:space="preserve">在施工合同约定执行 </w:t>
      </w:r>
      <w:r>
        <w:t>24</w:t>
      </w:r>
      <w:r>
        <w:rPr>
          <w:spacing w:val="-4"/>
        </w:rPr>
        <w:t xml:space="preserve"> 清单标准时，应同时执行《计价指引》。它在前两</w:t>
      </w:r>
      <w:r>
        <w:rPr>
          <w:spacing w:val="-2"/>
        </w:rPr>
        <w:t>部技术资料基础上，以“契约精神”和“市场化”为核心理念，进一步明确了我省建设工程清单计价的费用组成、计价程序、价格确定及重点问题理解应用等内容，全方位帮助市场主体适应清单计价市场化要求。《计价指引》</w:t>
      </w:r>
      <w:r>
        <w:rPr>
          <w:spacing w:val="-1"/>
        </w:rPr>
        <w:t xml:space="preserve">与《应用与实务》《案例指南》一道，构成了我省贯彻落实 </w:t>
      </w:r>
      <w:r>
        <w:t>24</w:t>
      </w:r>
      <w:r>
        <w:rPr>
          <w:spacing w:val="-4"/>
        </w:rPr>
        <w:t xml:space="preserve"> 清单标准的</w:t>
      </w:r>
      <w:r>
        <w:t xml:space="preserve"> </w:t>
      </w:r>
      <w:r>
        <w:rPr>
          <w:spacing w:val="-2"/>
        </w:rPr>
        <w:t>“三部曲”。</w:t>
      </w:r>
    </w:p>
    <w:p w14:paraId="370C4ED0">
      <w:pPr>
        <w:pStyle w:val="4"/>
        <w:spacing w:before="4" w:line="364" w:lineRule="auto"/>
        <w:ind w:left="1132" w:right="1414" w:firstLine="720"/>
        <w:jc w:val="both"/>
      </w:pPr>
      <w:r>
        <w:rPr>
          <w:spacing w:val="-2"/>
        </w:rPr>
        <w:t>24</w:t>
      </w:r>
      <w:r>
        <w:rPr>
          <w:spacing w:val="-11"/>
        </w:rPr>
        <w:t xml:space="preserve"> 清单标准注重发挥市场在价格形成中的决定性作用。它引导建设单</w:t>
      </w:r>
      <w:r>
        <w:rPr>
          <w:spacing w:val="-2"/>
        </w:rPr>
        <w:t>位摆脱对政府定额的依赖，掌握市场数据，增强市场意识；引导施工单位转变经营理念，增强市场竞争意识和成本管控能力；引导造价咨询企业加强造价数据积累分析，实施全过程造价管控，促进工程造价行业提质增效。</w:t>
      </w:r>
    </w:p>
    <w:p w14:paraId="0F257CD3">
      <w:pPr>
        <w:pStyle w:val="4"/>
        <w:spacing w:before="2" w:line="364" w:lineRule="auto"/>
        <w:ind w:left="1132" w:right="1294" w:firstLine="480"/>
      </w:pPr>
      <w:r>
        <w:rPr>
          <w:spacing w:val="-5"/>
        </w:rPr>
        <w:t xml:space="preserve">工程造价市场化改革没有终点，我省贯彻落实 </w:t>
      </w:r>
      <w:r>
        <w:rPr>
          <w:spacing w:val="-2"/>
        </w:rPr>
        <w:t>24</w:t>
      </w:r>
      <w:r>
        <w:rPr>
          <w:spacing w:val="-10"/>
        </w:rPr>
        <w:t xml:space="preserve"> 清单标准的“三部曲”</w:t>
      </w:r>
      <w:r>
        <w:rPr>
          <w:spacing w:val="-2"/>
        </w:rPr>
        <w:t>也不是终曲。“十五五”的画卷已徐徐展开，在数字化、绿色化、融合化等方向上，在工程总承包等模式下，在城市更新等领域中，工程造价仍存在广阔的改革空间，</w:t>
      </w:r>
      <w:r>
        <w:rPr>
          <w:color w:val="0F1114"/>
          <w:spacing w:val="-2"/>
        </w:rPr>
        <w:t>我厅将继续发挥引领作用，凝聚合力，深化关键技术与管理模式研究，不断完善市场化计价配套体系，共同推动行业持续进步，为湖北加快建成战略支点贡献坚实的造价专业力量。</w:t>
      </w:r>
    </w:p>
    <w:p w14:paraId="2DB9244C">
      <w:pPr>
        <w:pStyle w:val="4"/>
        <w:spacing w:after="0" w:line="364" w:lineRule="auto"/>
        <w:sectPr>
          <w:headerReference r:id="rId10" w:type="default"/>
          <w:headerReference r:id="rId11" w:type="even"/>
          <w:pgSz w:w="10440" w:h="14740"/>
          <w:pgMar w:top="1100" w:right="0" w:bottom="860" w:left="0" w:header="878" w:footer="0" w:gutter="0"/>
          <w:cols w:space="720" w:num="1"/>
        </w:sectPr>
      </w:pPr>
    </w:p>
    <w:p w14:paraId="12CCE1A4">
      <w:pPr>
        <w:pStyle w:val="4"/>
        <w:rPr>
          <w:sz w:val="32"/>
        </w:rPr>
      </w:pPr>
    </w:p>
    <w:p w14:paraId="42657A31">
      <w:pPr>
        <w:pStyle w:val="4"/>
        <w:spacing w:before="389"/>
        <w:rPr>
          <w:sz w:val="32"/>
        </w:rPr>
      </w:pPr>
    </w:p>
    <w:p w14:paraId="4CC79E95">
      <w:pPr>
        <w:pStyle w:val="2"/>
        <w:tabs>
          <w:tab w:val="left" w:pos="1239"/>
        </w:tabs>
        <w:ind w:left="280"/>
      </w:pPr>
      <w:r>
        <w:rPr>
          <w:spacing w:val="-10"/>
        </w:rPr>
        <w:t>目</w:t>
      </w:r>
      <w:r>
        <w:tab/>
      </w:r>
      <w:r>
        <w:rPr>
          <w:spacing w:val="-10"/>
        </w:rPr>
        <w:t>录</w:t>
      </w:r>
    </w:p>
    <w:p w14:paraId="73989B1E">
      <w:pPr>
        <w:pStyle w:val="2"/>
        <w:spacing w:after="0"/>
        <w:sectPr>
          <w:pgSz w:w="10440" w:h="14740"/>
          <w:pgMar w:top="1100" w:right="0" w:bottom="1686" w:left="0" w:header="878" w:footer="0" w:gutter="0"/>
          <w:cols w:space="720" w:num="1"/>
        </w:sectPr>
      </w:pPr>
    </w:p>
    <w:sdt>
      <w:sdtPr>
        <w:id w:val="147456764"/>
        <w:docPartObj>
          <w:docPartGallery w:val="Table of Contents"/>
          <w:docPartUnique/>
        </w:docPartObj>
      </w:sdtPr>
      <w:sdtContent>
        <w:p w14:paraId="212EEFC3">
          <w:pPr>
            <w:pStyle w:val="9"/>
            <w:tabs>
              <w:tab w:val="left" w:pos="2615"/>
              <w:tab w:val="right" w:leader="dot" w:pos="9295"/>
            </w:tabs>
            <w:spacing w:before="467"/>
          </w:pPr>
          <w:r>
            <w:fldChar w:fldCharType="begin"/>
          </w:r>
          <w:r>
            <w:instrText xml:space="preserve"> HYPERLINK \l "_bookmark0" </w:instrText>
          </w:r>
          <w:r>
            <w:fldChar w:fldCharType="separate"/>
          </w:r>
          <w:r>
            <w:t>第一部</w:t>
          </w:r>
          <w:r>
            <w:rPr>
              <w:spacing w:val="-10"/>
            </w:rPr>
            <w:t>分</w:t>
          </w:r>
          <w:r>
            <w:tab/>
          </w:r>
          <w:r>
            <w:t>24</w:t>
          </w:r>
          <w:r>
            <w:rPr>
              <w:spacing w:val="-62"/>
            </w:rPr>
            <w:t xml:space="preserve"> </w:t>
          </w:r>
          <w:r>
            <w:t>清单标准的主要内</w:t>
          </w:r>
          <w:r>
            <w:rPr>
              <w:spacing w:val="-10"/>
            </w:rPr>
            <w:t>涵</w:t>
          </w:r>
          <w:r>
            <w:rPr>
              <w:spacing w:val="-10"/>
            </w:rPr>
            <w:fldChar w:fldCharType="end"/>
          </w:r>
          <w:r>
            <w:rPr>
              <w:rFonts w:ascii="Times New Roman" w:eastAsia="Times New Roman"/>
            </w:rPr>
            <w:tab/>
          </w:r>
          <w:r>
            <w:fldChar w:fldCharType="begin"/>
          </w:r>
          <w:r>
            <w:instrText xml:space="preserve"> HYPERLINK \l "_bookmark0" </w:instrText>
          </w:r>
          <w:r>
            <w:fldChar w:fldCharType="separate"/>
          </w:r>
          <w:r>
            <w:rPr>
              <w:spacing w:val="-10"/>
            </w:rPr>
            <w:t>1</w:t>
          </w:r>
          <w:r>
            <w:rPr>
              <w:spacing w:val="-10"/>
            </w:rPr>
            <w:fldChar w:fldCharType="end"/>
          </w:r>
        </w:p>
        <w:p w14:paraId="041C5E8A">
          <w:pPr>
            <w:pStyle w:val="8"/>
            <w:tabs>
              <w:tab w:val="right" w:leader="dot" w:pos="9297"/>
            </w:tabs>
            <w:spacing w:before="98"/>
          </w:pPr>
          <w:r>
            <w:fldChar w:fldCharType="begin"/>
          </w:r>
          <w:r>
            <w:instrText xml:space="preserve"> HYPERLINK \l "_bookmark1" </w:instrText>
          </w:r>
          <w:r>
            <w:fldChar w:fldCharType="separate"/>
          </w:r>
          <w:r>
            <w:t>一、弘扬契约精神，夯实市场交易基</w:t>
          </w:r>
          <w:r>
            <w:rPr>
              <w:spacing w:val="-10"/>
            </w:rPr>
            <w:t>石</w:t>
          </w:r>
          <w:r>
            <w:rPr>
              <w:spacing w:val="-10"/>
            </w:rPr>
            <w:fldChar w:fldCharType="end"/>
          </w:r>
          <w:r>
            <w:rPr>
              <w:rFonts w:ascii="Times New Roman" w:eastAsia="Times New Roman"/>
            </w:rPr>
            <w:tab/>
          </w:r>
          <w:r>
            <w:fldChar w:fldCharType="begin"/>
          </w:r>
          <w:r>
            <w:instrText xml:space="preserve"> HYPERLINK \l "_bookmark1" </w:instrText>
          </w:r>
          <w:r>
            <w:fldChar w:fldCharType="separate"/>
          </w:r>
          <w:r>
            <w:rPr>
              <w:spacing w:val="-10"/>
            </w:rPr>
            <w:t>1</w:t>
          </w:r>
          <w:r>
            <w:rPr>
              <w:spacing w:val="-10"/>
            </w:rPr>
            <w:fldChar w:fldCharType="end"/>
          </w:r>
        </w:p>
        <w:p w14:paraId="43ECD566">
          <w:pPr>
            <w:pStyle w:val="8"/>
            <w:tabs>
              <w:tab w:val="right" w:leader="dot" w:pos="9297"/>
            </w:tabs>
          </w:pPr>
          <w:r>
            <w:fldChar w:fldCharType="begin"/>
          </w:r>
          <w:r>
            <w:instrText xml:space="preserve"> HYPERLINK \l "_bookmark2" </w:instrText>
          </w:r>
          <w:r>
            <w:fldChar w:fldCharType="separate"/>
          </w:r>
          <w:r>
            <w:t>二、深化市场化改革，激发行业内生动</w:t>
          </w:r>
          <w:r>
            <w:rPr>
              <w:spacing w:val="-10"/>
            </w:rPr>
            <w:t>力</w:t>
          </w:r>
          <w:r>
            <w:rPr>
              <w:spacing w:val="-10"/>
            </w:rPr>
            <w:fldChar w:fldCharType="end"/>
          </w:r>
          <w:r>
            <w:rPr>
              <w:rFonts w:ascii="Times New Roman" w:eastAsia="Times New Roman"/>
            </w:rPr>
            <w:tab/>
          </w:r>
          <w:r>
            <w:fldChar w:fldCharType="begin"/>
          </w:r>
          <w:r>
            <w:instrText xml:space="preserve"> HYPERLINK \l "_bookmark2" </w:instrText>
          </w:r>
          <w:r>
            <w:fldChar w:fldCharType="separate"/>
          </w:r>
          <w:r>
            <w:rPr>
              <w:spacing w:val="-10"/>
            </w:rPr>
            <w:t>3</w:t>
          </w:r>
          <w:r>
            <w:rPr>
              <w:spacing w:val="-10"/>
            </w:rPr>
            <w:fldChar w:fldCharType="end"/>
          </w:r>
        </w:p>
        <w:p w14:paraId="7E03ED1D">
          <w:pPr>
            <w:pStyle w:val="8"/>
            <w:tabs>
              <w:tab w:val="right" w:leader="dot" w:pos="9297"/>
            </w:tabs>
          </w:pPr>
          <w:r>
            <w:fldChar w:fldCharType="begin"/>
          </w:r>
          <w:r>
            <w:instrText xml:space="preserve"> HYPERLINK \l "_bookmark3" </w:instrText>
          </w:r>
          <w:r>
            <w:fldChar w:fldCharType="separate"/>
          </w:r>
          <w:r>
            <w:t>三、准确把握清单内涵，助力高质量发</w:t>
          </w:r>
          <w:r>
            <w:rPr>
              <w:spacing w:val="-10"/>
            </w:rPr>
            <w:t>展</w:t>
          </w:r>
          <w:r>
            <w:rPr>
              <w:spacing w:val="-10"/>
            </w:rPr>
            <w:fldChar w:fldCharType="end"/>
          </w:r>
          <w:r>
            <w:rPr>
              <w:rFonts w:ascii="Times New Roman" w:eastAsia="Times New Roman"/>
            </w:rPr>
            <w:tab/>
          </w:r>
          <w:r>
            <w:fldChar w:fldCharType="begin"/>
          </w:r>
          <w:r>
            <w:instrText xml:space="preserve"> HYPERLINK \l "_bookmark3" </w:instrText>
          </w:r>
          <w:r>
            <w:fldChar w:fldCharType="separate"/>
          </w:r>
          <w:r>
            <w:rPr>
              <w:spacing w:val="-10"/>
            </w:rPr>
            <w:t>6</w:t>
          </w:r>
          <w:r>
            <w:rPr>
              <w:spacing w:val="-10"/>
            </w:rPr>
            <w:fldChar w:fldCharType="end"/>
          </w:r>
        </w:p>
        <w:p w14:paraId="05B26F33">
          <w:pPr>
            <w:pStyle w:val="9"/>
            <w:tabs>
              <w:tab w:val="left" w:pos="2615"/>
              <w:tab w:val="right" w:leader="dot" w:pos="9295"/>
            </w:tabs>
          </w:pPr>
          <w:r>
            <w:fldChar w:fldCharType="begin"/>
          </w:r>
          <w:r>
            <w:instrText xml:space="preserve"> HYPERLINK \l "_bookmark4" </w:instrText>
          </w:r>
          <w:r>
            <w:fldChar w:fldCharType="separate"/>
          </w:r>
          <w:r>
            <w:t>第二部</w:t>
          </w:r>
          <w:r>
            <w:rPr>
              <w:spacing w:val="-10"/>
            </w:rPr>
            <w:t>分</w:t>
          </w:r>
          <w:r>
            <w:tab/>
          </w:r>
          <w:r>
            <w:t>一般规定及计价说</w:t>
          </w:r>
          <w:r>
            <w:rPr>
              <w:spacing w:val="-10"/>
            </w:rPr>
            <w:t>明</w:t>
          </w:r>
          <w:r>
            <w:rPr>
              <w:spacing w:val="-10"/>
            </w:rPr>
            <w:fldChar w:fldCharType="end"/>
          </w:r>
          <w:r>
            <w:rPr>
              <w:rFonts w:ascii="Times New Roman" w:eastAsia="Times New Roman"/>
            </w:rPr>
            <w:tab/>
          </w:r>
          <w:r>
            <w:fldChar w:fldCharType="begin"/>
          </w:r>
          <w:r>
            <w:instrText xml:space="preserve"> HYPERLINK \l "_bookmark4" </w:instrText>
          </w:r>
          <w:r>
            <w:fldChar w:fldCharType="separate"/>
          </w:r>
          <w:r>
            <w:rPr>
              <w:spacing w:val="-10"/>
            </w:rPr>
            <w:t>7</w:t>
          </w:r>
          <w:r>
            <w:rPr>
              <w:spacing w:val="-10"/>
            </w:rPr>
            <w:fldChar w:fldCharType="end"/>
          </w:r>
        </w:p>
        <w:p w14:paraId="379E007A">
          <w:pPr>
            <w:pStyle w:val="8"/>
            <w:tabs>
              <w:tab w:val="right" w:leader="dot" w:pos="9297"/>
            </w:tabs>
            <w:spacing w:before="98"/>
          </w:pPr>
          <w:r>
            <w:fldChar w:fldCharType="begin"/>
          </w:r>
          <w:r>
            <w:instrText xml:space="preserve"> HYPERLINK \l "_bookmark5" </w:instrText>
          </w:r>
          <w:r>
            <w:fldChar w:fldCharType="separate"/>
          </w:r>
          <w:r>
            <w:t>一、一般规</w:t>
          </w:r>
          <w:r>
            <w:rPr>
              <w:spacing w:val="-10"/>
            </w:rPr>
            <w:t>定</w:t>
          </w:r>
          <w:r>
            <w:rPr>
              <w:spacing w:val="-10"/>
            </w:rPr>
            <w:fldChar w:fldCharType="end"/>
          </w:r>
          <w:r>
            <w:rPr>
              <w:rFonts w:ascii="Times New Roman" w:eastAsia="Times New Roman"/>
            </w:rPr>
            <w:tab/>
          </w:r>
          <w:r>
            <w:fldChar w:fldCharType="begin"/>
          </w:r>
          <w:r>
            <w:instrText xml:space="preserve"> HYPERLINK \l "_bookmark5" </w:instrText>
          </w:r>
          <w:r>
            <w:fldChar w:fldCharType="separate"/>
          </w:r>
          <w:r>
            <w:rPr>
              <w:spacing w:val="-10"/>
            </w:rPr>
            <w:t>7</w:t>
          </w:r>
          <w:r>
            <w:rPr>
              <w:spacing w:val="-10"/>
            </w:rPr>
            <w:fldChar w:fldCharType="end"/>
          </w:r>
        </w:p>
        <w:p w14:paraId="29944A54">
          <w:pPr>
            <w:pStyle w:val="8"/>
            <w:tabs>
              <w:tab w:val="right" w:leader="dot" w:pos="9297"/>
            </w:tabs>
          </w:pPr>
          <w:r>
            <w:fldChar w:fldCharType="begin"/>
          </w:r>
          <w:r>
            <w:instrText xml:space="preserve"> HYPERLINK \l "_bookmark6" </w:instrText>
          </w:r>
          <w:r>
            <w:fldChar w:fldCharType="separate"/>
          </w:r>
          <w:r>
            <w:t>二、分部分项工程项目清</w:t>
          </w:r>
          <w:r>
            <w:rPr>
              <w:spacing w:val="-10"/>
            </w:rPr>
            <w:t>单</w:t>
          </w:r>
          <w:r>
            <w:rPr>
              <w:spacing w:val="-10"/>
            </w:rPr>
            <w:fldChar w:fldCharType="end"/>
          </w:r>
          <w:r>
            <w:rPr>
              <w:rFonts w:ascii="Times New Roman" w:eastAsia="Times New Roman"/>
            </w:rPr>
            <w:tab/>
          </w:r>
          <w:r>
            <w:fldChar w:fldCharType="begin"/>
          </w:r>
          <w:r>
            <w:instrText xml:space="preserve"> HYPERLINK \l "_bookmark6" </w:instrText>
          </w:r>
          <w:r>
            <w:fldChar w:fldCharType="separate"/>
          </w:r>
          <w:r>
            <w:rPr>
              <w:spacing w:val="-10"/>
            </w:rPr>
            <w:t>8</w:t>
          </w:r>
          <w:r>
            <w:rPr>
              <w:spacing w:val="-10"/>
            </w:rPr>
            <w:fldChar w:fldCharType="end"/>
          </w:r>
        </w:p>
        <w:p w14:paraId="107F70C3">
          <w:pPr>
            <w:pStyle w:val="8"/>
            <w:tabs>
              <w:tab w:val="right" w:leader="dot" w:pos="9297"/>
            </w:tabs>
            <w:spacing w:before="191"/>
          </w:pPr>
          <w:r>
            <w:fldChar w:fldCharType="begin"/>
          </w:r>
          <w:r>
            <w:instrText xml:space="preserve"> HYPERLINK \l "_bookmark7" </w:instrText>
          </w:r>
          <w:r>
            <w:fldChar w:fldCharType="separate"/>
          </w:r>
          <w:r>
            <w:t>三、措施项目清</w:t>
          </w:r>
          <w:r>
            <w:rPr>
              <w:spacing w:val="-10"/>
            </w:rPr>
            <w:t>单</w:t>
          </w:r>
          <w:r>
            <w:rPr>
              <w:spacing w:val="-10"/>
            </w:rPr>
            <w:fldChar w:fldCharType="end"/>
          </w:r>
          <w:r>
            <w:rPr>
              <w:rFonts w:ascii="Times New Roman" w:eastAsia="Times New Roman"/>
            </w:rPr>
            <w:tab/>
          </w:r>
          <w:r>
            <w:fldChar w:fldCharType="begin"/>
          </w:r>
          <w:r>
            <w:instrText xml:space="preserve"> HYPERLINK \l "_bookmark7" </w:instrText>
          </w:r>
          <w:r>
            <w:fldChar w:fldCharType="separate"/>
          </w:r>
          <w:r>
            <w:rPr>
              <w:spacing w:val="-5"/>
            </w:rPr>
            <w:t>1</w:t>
          </w:r>
          <w:r>
            <w:rPr>
              <w:spacing w:val="-5"/>
            </w:rPr>
            <w:fldChar w:fldCharType="end"/>
          </w:r>
          <w:r>
            <w:fldChar w:fldCharType="begin"/>
          </w:r>
          <w:r>
            <w:instrText xml:space="preserve"> HYPERLINK \l "_bookmark7" </w:instrText>
          </w:r>
          <w:r>
            <w:fldChar w:fldCharType="separate"/>
          </w:r>
          <w:r>
            <w:rPr>
              <w:spacing w:val="-5"/>
            </w:rPr>
            <w:t>2</w:t>
          </w:r>
          <w:r>
            <w:rPr>
              <w:spacing w:val="-5"/>
            </w:rPr>
            <w:fldChar w:fldCharType="end"/>
          </w:r>
        </w:p>
        <w:p w14:paraId="7365121E">
          <w:pPr>
            <w:pStyle w:val="8"/>
            <w:tabs>
              <w:tab w:val="right" w:leader="dot" w:pos="9297"/>
            </w:tabs>
          </w:pPr>
          <w:r>
            <w:fldChar w:fldCharType="begin"/>
          </w:r>
          <w:r>
            <w:instrText xml:space="preserve"> HYPERLINK \l "_bookmark8" </w:instrText>
          </w:r>
          <w:r>
            <w:fldChar w:fldCharType="separate"/>
          </w:r>
          <w:r>
            <w:t>四、其他项目清</w:t>
          </w:r>
          <w:r>
            <w:rPr>
              <w:spacing w:val="-10"/>
            </w:rPr>
            <w:t>单</w:t>
          </w:r>
          <w:r>
            <w:rPr>
              <w:spacing w:val="-10"/>
            </w:rPr>
            <w:fldChar w:fldCharType="end"/>
          </w:r>
          <w:r>
            <w:rPr>
              <w:rFonts w:ascii="Times New Roman" w:eastAsia="Times New Roman"/>
            </w:rPr>
            <w:tab/>
          </w:r>
          <w:r>
            <w:fldChar w:fldCharType="begin"/>
          </w:r>
          <w:r>
            <w:instrText xml:space="preserve"> HYPERLINK \l "_bookmark8" </w:instrText>
          </w:r>
          <w:r>
            <w:fldChar w:fldCharType="separate"/>
          </w:r>
          <w:r>
            <w:rPr>
              <w:spacing w:val="-5"/>
            </w:rPr>
            <w:t>1</w:t>
          </w:r>
          <w:r>
            <w:rPr>
              <w:spacing w:val="-5"/>
            </w:rPr>
            <w:fldChar w:fldCharType="end"/>
          </w:r>
          <w:r>
            <w:fldChar w:fldCharType="begin"/>
          </w:r>
          <w:r>
            <w:instrText xml:space="preserve"> HYPERLINK \l "_bookmark8" </w:instrText>
          </w:r>
          <w:r>
            <w:fldChar w:fldCharType="separate"/>
          </w:r>
          <w:r>
            <w:rPr>
              <w:spacing w:val="-5"/>
            </w:rPr>
            <w:t>3</w:t>
          </w:r>
          <w:r>
            <w:rPr>
              <w:spacing w:val="-5"/>
            </w:rPr>
            <w:fldChar w:fldCharType="end"/>
          </w:r>
        </w:p>
        <w:p w14:paraId="2BE4DB0C">
          <w:pPr>
            <w:pStyle w:val="8"/>
            <w:tabs>
              <w:tab w:val="right" w:leader="dot" w:pos="9297"/>
            </w:tabs>
          </w:pPr>
          <w:r>
            <w:fldChar w:fldCharType="begin"/>
          </w:r>
          <w:r>
            <w:instrText xml:space="preserve"> HYPERLINK \l "_bookmark9" </w:instrText>
          </w:r>
          <w:r>
            <w:fldChar w:fldCharType="separate"/>
          </w:r>
          <w:r>
            <w:t>五、增值</w:t>
          </w:r>
          <w:r>
            <w:rPr>
              <w:spacing w:val="-10"/>
            </w:rPr>
            <w:t>税</w:t>
          </w:r>
          <w:r>
            <w:rPr>
              <w:spacing w:val="-10"/>
            </w:rPr>
            <w:fldChar w:fldCharType="end"/>
          </w:r>
          <w:r>
            <w:rPr>
              <w:rFonts w:ascii="Times New Roman" w:eastAsia="Times New Roman"/>
            </w:rPr>
            <w:tab/>
          </w:r>
          <w:r>
            <w:fldChar w:fldCharType="begin"/>
          </w:r>
          <w:r>
            <w:instrText xml:space="preserve"> HYPERLINK \l "_bookmark9" </w:instrText>
          </w:r>
          <w:r>
            <w:fldChar w:fldCharType="separate"/>
          </w:r>
          <w:r>
            <w:rPr>
              <w:spacing w:val="-5"/>
            </w:rPr>
            <w:t>1</w:t>
          </w:r>
          <w:r>
            <w:rPr>
              <w:spacing w:val="-5"/>
            </w:rPr>
            <w:fldChar w:fldCharType="end"/>
          </w:r>
          <w:r>
            <w:fldChar w:fldCharType="begin"/>
          </w:r>
          <w:r>
            <w:instrText xml:space="preserve"> HYPERLINK \l "_bookmark9" </w:instrText>
          </w:r>
          <w:r>
            <w:fldChar w:fldCharType="separate"/>
          </w:r>
          <w:r>
            <w:rPr>
              <w:spacing w:val="-5"/>
            </w:rPr>
            <w:t>4</w:t>
          </w:r>
          <w:r>
            <w:rPr>
              <w:spacing w:val="-5"/>
            </w:rPr>
            <w:fldChar w:fldCharType="end"/>
          </w:r>
        </w:p>
        <w:p w14:paraId="09B6F66F">
          <w:pPr>
            <w:pStyle w:val="8"/>
            <w:tabs>
              <w:tab w:val="right" w:leader="dot" w:pos="9297"/>
            </w:tabs>
            <w:spacing w:before="194"/>
          </w:pPr>
          <w:r>
            <w:fldChar w:fldCharType="begin"/>
          </w:r>
          <w:r>
            <w:instrText xml:space="preserve"> HYPERLINK \l "_bookmark10" </w:instrText>
          </w:r>
          <w:r>
            <w:fldChar w:fldCharType="separate"/>
          </w:r>
          <w:r>
            <w:t>六、补充清</w:t>
          </w:r>
          <w:r>
            <w:rPr>
              <w:spacing w:val="-10"/>
            </w:rPr>
            <w:t>单</w:t>
          </w:r>
          <w:r>
            <w:rPr>
              <w:spacing w:val="-10"/>
            </w:rPr>
            <w:fldChar w:fldCharType="end"/>
          </w:r>
          <w:r>
            <w:rPr>
              <w:rFonts w:ascii="Times New Roman" w:eastAsia="Times New Roman"/>
            </w:rPr>
            <w:tab/>
          </w:r>
          <w:r>
            <w:fldChar w:fldCharType="begin"/>
          </w:r>
          <w:r>
            <w:instrText xml:space="preserve"> HYPERLINK \l "_bookmark10" </w:instrText>
          </w:r>
          <w:r>
            <w:fldChar w:fldCharType="separate"/>
          </w:r>
          <w:r>
            <w:rPr>
              <w:spacing w:val="-5"/>
            </w:rPr>
            <w:t>1</w:t>
          </w:r>
          <w:r>
            <w:rPr>
              <w:spacing w:val="-5"/>
            </w:rPr>
            <w:fldChar w:fldCharType="end"/>
          </w:r>
          <w:r>
            <w:fldChar w:fldCharType="begin"/>
          </w:r>
          <w:r>
            <w:instrText xml:space="preserve"> HYPERLINK \l "_bookmark10" </w:instrText>
          </w:r>
          <w:r>
            <w:fldChar w:fldCharType="separate"/>
          </w:r>
          <w:r>
            <w:rPr>
              <w:spacing w:val="-5"/>
            </w:rPr>
            <w:t>4</w:t>
          </w:r>
          <w:r>
            <w:rPr>
              <w:spacing w:val="-5"/>
            </w:rPr>
            <w:fldChar w:fldCharType="end"/>
          </w:r>
        </w:p>
        <w:p w14:paraId="357C9E90">
          <w:pPr>
            <w:pStyle w:val="9"/>
            <w:tabs>
              <w:tab w:val="left" w:pos="2615"/>
              <w:tab w:val="right" w:leader="dot" w:pos="9292"/>
            </w:tabs>
            <w:spacing w:before="192"/>
          </w:pPr>
          <w:r>
            <w:fldChar w:fldCharType="begin"/>
          </w:r>
          <w:r>
            <w:instrText xml:space="preserve"> HYPERLINK \l "_bookmark11" </w:instrText>
          </w:r>
          <w:r>
            <w:fldChar w:fldCharType="separate"/>
          </w:r>
          <w:r>
            <w:t>第三部</w:t>
          </w:r>
          <w:r>
            <w:rPr>
              <w:spacing w:val="-10"/>
            </w:rPr>
            <w:t>分</w:t>
          </w:r>
          <w:r>
            <w:tab/>
          </w:r>
          <w:r>
            <w:t>建筑安装工程费用计价程</w:t>
          </w:r>
          <w:r>
            <w:rPr>
              <w:spacing w:val="-10"/>
            </w:rPr>
            <w:t>序</w:t>
          </w:r>
          <w:r>
            <w:rPr>
              <w:spacing w:val="-10"/>
            </w:rPr>
            <w:fldChar w:fldCharType="end"/>
          </w:r>
          <w:r>
            <w:rPr>
              <w:rFonts w:ascii="Times New Roman" w:eastAsia="Times New Roman"/>
            </w:rPr>
            <w:tab/>
          </w:r>
          <w:r>
            <w:fldChar w:fldCharType="begin"/>
          </w:r>
          <w:r>
            <w:instrText xml:space="preserve"> HYPERLINK \l "_bookmark11" </w:instrText>
          </w:r>
          <w:r>
            <w:fldChar w:fldCharType="separate"/>
          </w:r>
          <w:r>
            <w:rPr>
              <w:spacing w:val="-5"/>
            </w:rPr>
            <w:t>1</w:t>
          </w:r>
          <w:r>
            <w:rPr>
              <w:spacing w:val="-5"/>
            </w:rPr>
            <w:fldChar w:fldCharType="end"/>
          </w:r>
          <w:r>
            <w:fldChar w:fldCharType="begin"/>
          </w:r>
          <w:r>
            <w:instrText xml:space="preserve"> HYPERLINK \l "_bookmark11" </w:instrText>
          </w:r>
          <w:r>
            <w:fldChar w:fldCharType="separate"/>
          </w:r>
          <w:r>
            <w:rPr>
              <w:spacing w:val="-5"/>
            </w:rPr>
            <w:t>5</w:t>
          </w:r>
          <w:r>
            <w:rPr>
              <w:spacing w:val="-5"/>
            </w:rPr>
            <w:fldChar w:fldCharType="end"/>
          </w:r>
        </w:p>
        <w:p w14:paraId="5D0F2772">
          <w:pPr>
            <w:pStyle w:val="8"/>
            <w:tabs>
              <w:tab w:val="right" w:leader="dot" w:pos="9297"/>
            </w:tabs>
            <w:spacing w:before="98"/>
          </w:pPr>
          <w:r>
            <w:fldChar w:fldCharType="begin"/>
          </w:r>
          <w:r>
            <w:instrText xml:space="preserve"> HYPERLINK \l "_bookmark12" </w:instrText>
          </w:r>
          <w:r>
            <w:fldChar w:fldCharType="separate"/>
          </w:r>
          <w:r>
            <w:t>一、招投标阶</w:t>
          </w:r>
          <w:r>
            <w:rPr>
              <w:spacing w:val="-10"/>
            </w:rPr>
            <w:t>段</w:t>
          </w:r>
          <w:r>
            <w:rPr>
              <w:spacing w:val="-10"/>
            </w:rPr>
            <w:fldChar w:fldCharType="end"/>
          </w:r>
          <w:r>
            <w:rPr>
              <w:rFonts w:ascii="Times New Roman" w:eastAsia="Times New Roman"/>
            </w:rPr>
            <w:tab/>
          </w:r>
          <w:r>
            <w:fldChar w:fldCharType="begin"/>
          </w:r>
          <w:r>
            <w:instrText xml:space="preserve"> HYPERLINK \l "_bookmark12" </w:instrText>
          </w:r>
          <w:r>
            <w:fldChar w:fldCharType="separate"/>
          </w:r>
          <w:r>
            <w:rPr>
              <w:spacing w:val="-5"/>
            </w:rPr>
            <w:t>1</w:t>
          </w:r>
          <w:r>
            <w:rPr>
              <w:spacing w:val="-5"/>
            </w:rPr>
            <w:fldChar w:fldCharType="end"/>
          </w:r>
          <w:r>
            <w:fldChar w:fldCharType="begin"/>
          </w:r>
          <w:r>
            <w:instrText xml:space="preserve"> HYPERLINK \l "_bookmark12" </w:instrText>
          </w:r>
          <w:r>
            <w:fldChar w:fldCharType="separate"/>
          </w:r>
          <w:r>
            <w:rPr>
              <w:spacing w:val="-5"/>
            </w:rPr>
            <w:t>5</w:t>
          </w:r>
          <w:r>
            <w:rPr>
              <w:spacing w:val="-5"/>
            </w:rPr>
            <w:fldChar w:fldCharType="end"/>
          </w:r>
        </w:p>
        <w:p w14:paraId="4BF0783C">
          <w:pPr>
            <w:pStyle w:val="8"/>
            <w:tabs>
              <w:tab w:val="right" w:leader="dot" w:pos="9297"/>
            </w:tabs>
            <w:spacing w:before="191"/>
          </w:pPr>
          <w:r>
            <w:fldChar w:fldCharType="begin"/>
          </w:r>
          <w:r>
            <w:instrText xml:space="preserve"> HYPERLINK \l "_bookmark13" </w:instrText>
          </w:r>
          <w:r>
            <w:fldChar w:fldCharType="separate"/>
          </w:r>
          <w:r>
            <w:t>二、工程结算阶</w:t>
          </w:r>
          <w:r>
            <w:rPr>
              <w:spacing w:val="-10"/>
            </w:rPr>
            <w:t>段</w:t>
          </w:r>
          <w:r>
            <w:rPr>
              <w:spacing w:val="-10"/>
            </w:rPr>
            <w:fldChar w:fldCharType="end"/>
          </w:r>
          <w:r>
            <w:rPr>
              <w:rFonts w:ascii="Times New Roman" w:eastAsia="Times New Roman"/>
            </w:rPr>
            <w:tab/>
          </w:r>
          <w:r>
            <w:fldChar w:fldCharType="begin"/>
          </w:r>
          <w:r>
            <w:instrText xml:space="preserve"> HYPERLINK \l "_bookmark13" </w:instrText>
          </w:r>
          <w:r>
            <w:fldChar w:fldCharType="separate"/>
          </w:r>
          <w:r>
            <w:rPr>
              <w:spacing w:val="-5"/>
            </w:rPr>
            <w:t>1</w:t>
          </w:r>
          <w:r>
            <w:rPr>
              <w:spacing w:val="-5"/>
            </w:rPr>
            <w:fldChar w:fldCharType="end"/>
          </w:r>
          <w:r>
            <w:fldChar w:fldCharType="begin"/>
          </w:r>
          <w:r>
            <w:instrText xml:space="preserve"> HYPERLINK \l "_bookmark13" </w:instrText>
          </w:r>
          <w:r>
            <w:fldChar w:fldCharType="separate"/>
          </w:r>
          <w:r>
            <w:rPr>
              <w:spacing w:val="-5"/>
            </w:rPr>
            <w:t>6</w:t>
          </w:r>
          <w:r>
            <w:rPr>
              <w:spacing w:val="-5"/>
            </w:rPr>
            <w:fldChar w:fldCharType="end"/>
          </w:r>
        </w:p>
        <w:p w14:paraId="276FA507">
          <w:pPr>
            <w:pStyle w:val="8"/>
            <w:tabs>
              <w:tab w:val="right" w:leader="dot" w:pos="9297"/>
            </w:tabs>
          </w:pPr>
          <w:r>
            <w:fldChar w:fldCharType="begin"/>
          </w:r>
          <w:r>
            <w:instrText xml:space="preserve"> HYPERLINK \l "_bookmark14" </w:instrText>
          </w:r>
          <w:r>
            <w:fldChar w:fldCharType="separate"/>
          </w:r>
          <w:r>
            <w:t>三、说</w:t>
          </w:r>
          <w:r>
            <w:rPr>
              <w:spacing w:val="-10"/>
            </w:rPr>
            <w:t>明</w:t>
          </w:r>
          <w:r>
            <w:rPr>
              <w:spacing w:val="-10"/>
            </w:rPr>
            <w:fldChar w:fldCharType="end"/>
          </w:r>
          <w:r>
            <w:rPr>
              <w:rFonts w:ascii="Times New Roman" w:eastAsia="Times New Roman"/>
            </w:rPr>
            <w:tab/>
          </w:r>
          <w:r>
            <w:fldChar w:fldCharType="begin"/>
          </w:r>
          <w:r>
            <w:instrText xml:space="preserve"> HYPERLINK \l "_bookmark14" </w:instrText>
          </w:r>
          <w:r>
            <w:fldChar w:fldCharType="separate"/>
          </w:r>
          <w:r>
            <w:rPr>
              <w:spacing w:val="-5"/>
            </w:rPr>
            <w:t>1</w:t>
          </w:r>
          <w:r>
            <w:rPr>
              <w:spacing w:val="-5"/>
            </w:rPr>
            <w:fldChar w:fldCharType="end"/>
          </w:r>
          <w:r>
            <w:fldChar w:fldCharType="begin"/>
          </w:r>
          <w:r>
            <w:instrText xml:space="preserve"> HYPERLINK \l "_bookmark14" </w:instrText>
          </w:r>
          <w:r>
            <w:fldChar w:fldCharType="separate"/>
          </w:r>
          <w:r>
            <w:rPr>
              <w:spacing w:val="-5"/>
            </w:rPr>
            <w:t>7</w:t>
          </w:r>
          <w:r>
            <w:rPr>
              <w:spacing w:val="-5"/>
            </w:rPr>
            <w:fldChar w:fldCharType="end"/>
          </w:r>
        </w:p>
        <w:p w14:paraId="29D01627">
          <w:pPr>
            <w:pStyle w:val="9"/>
            <w:tabs>
              <w:tab w:val="left" w:pos="2615"/>
              <w:tab w:val="right" w:leader="dot" w:pos="9292"/>
            </w:tabs>
            <w:spacing w:before="192"/>
          </w:pPr>
          <w:r>
            <w:fldChar w:fldCharType="begin"/>
          </w:r>
          <w:r>
            <w:instrText xml:space="preserve"> HYPERLINK \l "_bookmark15" </w:instrText>
          </w:r>
          <w:r>
            <w:fldChar w:fldCharType="separate"/>
          </w:r>
          <w:r>
            <w:t>第四部</w:t>
          </w:r>
          <w:r>
            <w:rPr>
              <w:spacing w:val="-10"/>
            </w:rPr>
            <w:t>分</w:t>
          </w:r>
          <w:r>
            <w:tab/>
          </w:r>
          <w:r>
            <w:t>建筑安装工程费用计算方</w:t>
          </w:r>
          <w:r>
            <w:rPr>
              <w:spacing w:val="-10"/>
            </w:rPr>
            <w:t>法</w:t>
          </w:r>
          <w:r>
            <w:rPr>
              <w:spacing w:val="-10"/>
            </w:rPr>
            <w:fldChar w:fldCharType="end"/>
          </w:r>
          <w:r>
            <w:rPr>
              <w:rFonts w:ascii="Times New Roman" w:eastAsia="Times New Roman"/>
            </w:rPr>
            <w:tab/>
          </w:r>
          <w:r>
            <w:fldChar w:fldCharType="begin"/>
          </w:r>
          <w:r>
            <w:instrText xml:space="preserve"> HYPERLINK \l "_bookmark15" </w:instrText>
          </w:r>
          <w:r>
            <w:fldChar w:fldCharType="separate"/>
          </w:r>
          <w:r>
            <w:rPr>
              <w:spacing w:val="-5"/>
            </w:rPr>
            <w:t>1</w:t>
          </w:r>
          <w:r>
            <w:rPr>
              <w:spacing w:val="-5"/>
            </w:rPr>
            <w:fldChar w:fldCharType="end"/>
          </w:r>
          <w:r>
            <w:fldChar w:fldCharType="begin"/>
          </w:r>
          <w:r>
            <w:instrText xml:space="preserve"> HYPERLINK \l "_bookmark15" </w:instrText>
          </w:r>
          <w:r>
            <w:fldChar w:fldCharType="separate"/>
          </w:r>
          <w:r>
            <w:rPr>
              <w:spacing w:val="-5"/>
            </w:rPr>
            <w:t>8</w:t>
          </w:r>
          <w:r>
            <w:rPr>
              <w:spacing w:val="-5"/>
            </w:rPr>
            <w:fldChar w:fldCharType="end"/>
          </w:r>
        </w:p>
        <w:p w14:paraId="68B6B79A">
          <w:pPr>
            <w:pStyle w:val="8"/>
            <w:tabs>
              <w:tab w:val="right" w:leader="dot" w:pos="9297"/>
            </w:tabs>
            <w:spacing w:before="98"/>
          </w:pPr>
          <w:r>
            <w:fldChar w:fldCharType="begin"/>
          </w:r>
          <w:r>
            <w:instrText xml:space="preserve"> HYPERLINK \l "_bookmark16" </w:instrText>
          </w:r>
          <w:r>
            <w:fldChar w:fldCharType="separate"/>
          </w:r>
          <w:r>
            <w:t>一、最高投标限</w:t>
          </w:r>
          <w:r>
            <w:rPr>
              <w:spacing w:val="-10"/>
            </w:rPr>
            <w:t>价</w:t>
          </w:r>
          <w:r>
            <w:rPr>
              <w:spacing w:val="-10"/>
            </w:rPr>
            <w:fldChar w:fldCharType="end"/>
          </w:r>
          <w:r>
            <w:rPr>
              <w:rFonts w:ascii="Times New Roman" w:eastAsia="Times New Roman"/>
            </w:rPr>
            <w:tab/>
          </w:r>
          <w:r>
            <w:fldChar w:fldCharType="begin"/>
          </w:r>
          <w:r>
            <w:instrText xml:space="preserve"> HYPERLINK \l "_bookmark16" </w:instrText>
          </w:r>
          <w:r>
            <w:fldChar w:fldCharType="separate"/>
          </w:r>
          <w:r>
            <w:rPr>
              <w:spacing w:val="-5"/>
            </w:rPr>
            <w:t>1</w:t>
          </w:r>
          <w:r>
            <w:rPr>
              <w:spacing w:val="-5"/>
            </w:rPr>
            <w:fldChar w:fldCharType="end"/>
          </w:r>
          <w:r>
            <w:fldChar w:fldCharType="begin"/>
          </w:r>
          <w:r>
            <w:instrText xml:space="preserve"> HYPERLINK \l "_bookmark16" </w:instrText>
          </w:r>
          <w:r>
            <w:fldChar w:fldCharType="separate"/>
          </w:r>
          <w:r>
            <w:rPr>
              <w:spacing w:val="-5"/>
            </w:rPr>
            <w:t>8</w:t>
          </w:r>
          <w:r>
            <w:rPr>
              <w:spacing w:val="-5"/>
            </w:rPr>
            <w:fldChar w:fldCharType="end"/>
          </w:r>
        </w:p>
        <w:p w14:paraId="34D54944">
          <w:pPr>
            <w:pStyle w:val="8"/>
            <w:tabs>
              <w:tab w:val="right" w:leader="dot" w:pos="9297"/>
            </w:tabs>
          </w:pPr>
          <w:r>
            <w:fldChar w:fldCharType="begin"/>
          </w:r>
          <w:r>
            <w:instrText xml:space="preserve"> HYPERLINK \l "_bookmark17" </w:instrText>
          </w:r>
          <w:r>
            <w:fldChar w:fldCharType="separate"/>
          </w:r>
          <w:r>
            <w:t>二、投标报</w:t>
          </w:r>
          <w:r>
            <w:rPr>
              <w:spacing w:val="-10"/>
            </w:rPr>
            <w:t>价</w:t>
          </w:r>
          <w:r>
            <w:rPr>
              <w:spacing w:val="-10"/>
            </w:rPr>
            <w:fldChar w:fldCharType="end"/>
          </w:r>
          <w:r>
            <w:rPr>
              <w:rFonts w:ascii="Times New Roman" w:eastAsia="Times New Roman"/>
            </w:rPr>
            <w:tab/>
          </w:r>
          <w:r>
            <w:fldChar w:fldCharType="begin"/>
          </w:r>
          <w:r>
            <w:instrText xml:space="preserve"> HYPERLINK \l "_bookmark17" </w:instrText>
          </w:r>
          <w:r>
            <w:fldChar w:fldCharType="separate"/>
          </w:r>
          <w:r>
            <w:rPr>
              <w:spacing w:val="-5"/>
            </w:rPr>
            <w:t>2</w:t>
          </w:r>
          <w:r>
            <w:rPr>
              <w:spacing w:val="-5"/>
            </w:rPr>
            <w:fldChar w:fldCharType="end"/>
          </w:r>
          <w:r>
            <w:fldChar w:fldCharType="begin"/>
          </w:r>
          <w:r>
            <w:instrText xml:space="preserve"> HYPERLINK \l "_bookmark17" </w:instrText>
          </w:r>
          <w:r>
            <w:fldChar w:fldCharType="separate"/>
          </w:r>
          <w:r>
            <w:rPr>
              <w:spacing w:val="-5"/>
            </w:rPr>
            <w:t>1</w:t>
          </w:r>
          <w:r>
            <w:rPr>
              <w:spacing w:val="-5"/>
            </w:rPr>
            <w:fldChar w:fldCharType="end"/>
          </w:r>
        </w:p>
        <w:p w14:paraId="7B31679B">
          <w:pPr>
            <w:pStyle w:val="8"/>
            <w:tabs>
              <w:tab w:val="right" w:leader="dot" w:pos="9297"/>
            </w:tabs>
            <w:spacing w:before="191"/>
          </w:pPr>
          <w:r>
            <w:fldChar w:fldCharType="begin"/>
          </w:r>
          <w:r>
            <w:instrText xml:space="preserve"> HYPERLINK \l "_bookmark18" </w:instrText>
          </w:r>
          <w:r>
            <w:fldChar w:fldCharType="separate"/>
          </w:r>
          <w:r>
            <w:t>三、工程结</w:t>
          </w:r>
          <w:r>
            <w:rPr>
              <w:spacing w:val="-10"/>
            </w:rPr>
            <w:t>算</w:t>
          </w:r>
          <w:r>
            <w:rPr>
              <w:spacing w:val="-10"/>
            </w:rPr>
            <w:fldChar w:fldCharType="end"/>
          </w:r>
          <w:r>
            <w:rPr>
              <w:rFonts w:ascii="Times New Roman" w:eastAsia="Times New Roman"/>
            </w:rPr>
            <w:tab/>
          </w:r>
          <w:r>
            <w:fldChar w:fldCharType="begin"/>
          </w:r>
          <w:r>
            <w:instrText xml:space="preserve"> HYPERLINK \l "_bookmark18" </w:instrText>
          </w:r>
          <w:r>
            <w:fldChar w:fldCharType="separate"/>
          </w:r>
          <w:r>
            <w:rPr>
              <w:spacing w:val="-5"/>
            </w:rPr>
            <w:t>2</w:t>
          </w:r>
          <w:r>
            <w:rPr>
              <w:spacing w:val="-5"/>
            </w:rPr>
            <w:fldChar w:fldCharType="end"/>
          </w:r>
          <w:r>
            <w:fldChar w:fldCharType="begin"/>
          </w:r>
          <w:r>
            <w:instrText xml:space="preserve"> HYPERLINK \l "_bookmark18" </w:instrText>
          </w:r>
          <w:r>
            <w:fldChar w:fldCharType="separate"/>
          </w:r>
          <w:r>
            <w:rPr>
              <w:spacing w:val="-5"/>
            </w:rPr>
            <w:t>2</w:t>
          </w:r>
          <w:r>
            <w:rPr>
              <w:spacing w:val="-5"/>
            </w:rPr>
            <w:fldChar w:fldCharType="end"/>
          </w:r>
        </w:p>
        <w:p w14:paraId="18D6932D">
          <w:pPr>
            <w:pStyle w:val="9"/>
            <w:tabs>
              <w:tab w:val="left" w:pos="2615"/>
              <w:tab w:val="right" w:leader="dot" w:pos="9292"/>
            </w:tabs>
          </w:pPr>
          <w:r>
            <w:fldChar w:fldCharType="begin"/>
          </w:r>
          <w:r>
            <w:instrText xml:space="preserve"> HYPERLINK \l "_bookmark19" </w:instrText>
          </w:r>
          <w:r>
            <w:fldChar w:fldCharType="separate"/>
          </w:r>
          <w:r>
            <w:t>第五部</w:t>
          </w:r>
          <w:r>
            <w:rPr>
              <w:spacing w:val="-10"/>
            </w:rPr>
            <w:t>分</w:t>
          </w:r>
          <w:r>
            <w:tab/>
          </w:r>
          <w:r>
            <w:t>有关问题说</w:t>
          </w:r>
          <w:r>
            <w:rPr>
              <w:spacing w:val="-10"/>
            </w:rPr>
            <w:t>明</w:t>
          </w:r>
          <w:r>
            <w:rPr>
              <w:spacing w:val="-10"/>
            </w:rPr>
            <w:fldChar w:fldCharType="end"/>
          </w:r>
          <w:r>
            <w:rPr>
              <w:rFonts w:ascii="Times New Roman" w:eastAsia="Times New Roman"/>
            </w:rPr>
            <w:tab/>
          </w:r>
          <w:r>
            <w:fldChar w:fldCharType="begin"/>
          </w:r>
          <w:r>
            <w:instrText xml:space="preserve"> HYPERLINK \l "_bookmark19" </w:instrText>
          </w:r>
          <w:r>
            <w:fldChar w:fldCharType="separate"/>
          </w:r>
          <w:r>
            <w:rPr>
              <w:spacing w:val="-5"/>
            </w:rPr>
            <w:t>2</w:t>
          </w:r>
          <w:r>
            <w:rPr>
              <w:spacing w:val="-5"/>
            </w:rPr>
            <w:fldChar w:fldCharType="end"/>
          </w:r>
          <w:r>
            <w:fldChar w:fldCharType="begin"/>
          </w:r>
          <w:r>
            <w:instrText xml:space="preserve"> HYPERLINK \l "_bookmark19" </w:instrText>
          </w:r>
          <w:r>
            <w:fldChar w:fldCharType="separate"/>
          </w:r>
          <w:r>
            <w:rPr>
              <w:spacing w:val="-5"/>
            </w:rPr>
            <w:t>3</w:t>
          </w:r>
          <w:r>
            <w:rPr>
              <w:spacing w:val="-5"/>
            </w:rPr>
            <w:fldChar w:fldCharType="end"/>
          </w:r>
        </w:p>
        <w:p w14:paraId="787C3440">
          <w:pPr>
            <w:pStyle w:val="8"/>
            <w:tabs>
              <w:tab w:val="right" w:leader="dot" w:pos="9297"/>
            </w:tabs>
            <w:spacing w:before="96" w:after="20"/>
          </w:pPr>
          <w:r>
            <w:fldChar w:fldCharType="begin"/>
          </w:r>
          <w:r>
            <w:instrText xml:space="preserve"> HYPERLINK \l "_bookmark20" </w:instrText>
          </w:r>
          <w:r>
            <w:fldChar w:fldCharType="separate"/>
          </w:r>
          <w:r>
            <w:t>一、人工费调整及人工成本综合指数应用说</w:t>
          </w:r>
          <w:r>
            <w:rPr>
              <w:spacing w:val="-10"/>
            </w:rPr>
            <w:t>明</w:t>
          </w:r>
          <w:r>
            <w:rPr>
              <w:spacing w:val="-10"/>
            </w:rPr>
            <w:fldChar w:fldCharType="end"/>
          </w:r>
          <w:r>
            <w:rPr>
              <w:rFonts w:ascii="Times New Roman" w:eastAsia="Times New Roman"/>
            </w:rPr>
            <w:tab/>
          </w:r>
          <w:r>
            <w:fldChar w:fldCharType="begin"/>
          </w:r>
          <w:r>
            <w:instrText xml:space="preserve"> HYPERLINK \l "_bookmark20" </w:instrText>
          </w:r>
          <w:r>
            <w:fldChar w:fldCharType="separate"/>
          </w:r>
          <w:r>
            <w:rPr>
              <w:spacing w:val="-5"/>
            </w:rPr>
            <w:t>2</w:t>
          </w:r>
          <w:r>
            <w:rPr>
              <w:spacing w:val="-5"/>
            </w:rPr>
            <w:fldChar w:fldCharType="end"/>
          </w:r>
          <w:r>
            <w:fldChar w:fldCharType="begin"/>
          </w:r>
          <w:r>
            <w:instrText xml:space="preserve"> HYPERLINK \l "_bookmark20" </w:instrText>
          </w:r>
          <w:r>
            <w:fldChar w:fldCharType="separate"/>
          </w:r>
          <w:r>
            <w:rPr>
              <w:spacing w:val="-5"/>
            </w:rPr>
            <w:t>3</w:t>
          </w:r>
          <w:r>
            <w:rPr>
              <w:spacing w:val="-5"/>
            </w:rPr>
            <w:fldChar w:fldCharType="end"/>
          </w:r>
        </w:p>
        <w:p w14:paraId="77920D94">
          <w:pPr>
            <w:pStyle w:val="6"/>
            <w:tabs>
              <w:tab w:val="left" w:leader="dot" w:pos="8774"/>
            </w:tabs>
            <w:spacing w:before="370"/>
          </w:pPr>
          <w:r>
            <w:fldChar w:fldCharType="begin"/>
          </w:r>
          <w:r>
            <w:instrText xml:space="preserve"> HYPERLINK \l "_bookmark21" </w:instrText>
          </w:r>
          <w:r>
            <w:fldChar w:fldCharType="separate"/>
          </w:r>
          <w:r>
            <w:t>二、机械费调整及机械价格综合指数应用说</w:t>
          </w:r>
          <w:r>
            <w:rPr>
              <w:spacing w:val="-10"/>
            </w:rPr>
            <w:t>明</w:t>
          </w:r>
          <w:r>
            <w:rPr>
              <w:spacing w:val="-10"/>
            </w:rPr>
            <w:fldChar w:fldCharType="end"/>
          </w:r>
          <w:r>
            <w:rPr>
              <w:rFonts w:ascii="Times New Roman" w:eastAsia="Times New Roman"/>
            </w:rPr>
            <w:tab/>
          </w:r>
          <w:r>
            <w:fldChar w:fldCharType="begin"/>
          </w:r>
          <w:r>
            <w:instrText xml:space="preserve"> HYPERLINK \l "_bookmark21" </w:instrText>
          </w:r>
          <w:r>
            <w:fldChar w:fldCharType="separate"/>
          </w:r>
          <w:r>
            <w:rPr>
              <w:spacing w:val="-5"/>
            </w:rPr>
            <w:t>2</w:t>
          </w:r>
          <w:r>
            <w:rPr>
              <w:spacing w:val="-5"/>
            </w:rPr>
            <w:fldChar w:fldCharType="end"/>
          </w:r>
          <w:r>
            <w:fldChar w:fldCharType="begin"/>
          </w:r>
          <w:r>
            <w:instrText xml:space="preserve"> HYPERLINK \l "_bookmark21" </w:instrText>
          </w:r>
          <w:r>
            <w:fldChar w:fldCharType="separate"/>
          </w:r>
          <w:r>
            <w:rPr>
              <w:spacing w:val="-5"/>
            </w:rPr>
            <w:t>6</w:t>
          </w:r>
          <w:r>
            <w:rPr>
              <w:spacing w:val="-5"/>
            </w:rPr>
            <w:fldChar w:fldCharType="end"/>
          </w:r>
        </w:p>
        <w:p w14:paraId="612295B4">
          <w:pPr>
            <w:pStyle w:val="6"/>
            <w:tabs>
              <w:tab w:val="left" w:leader="dot" w:pos="8774"/>
            </w:tabs>
          </w:pPr>
          <w:r>
            <w:fldChar w:fldCharType="begin"/>
          </w:r>
          <w:r>
            <w:instrText xml:space="preserve"> HYPERLINK \l "_bookmark22" </w:instrText>
          </w:r>
          <w:r>
            <w:fldChar w:fldCharType="separate"/>
          </w:r>
          <w:r>
            <w:t>三、我省《消耗量》应用说</w:t>
          </w:r>
          <w:r>
            <w:rPr>
              <w:spacing w:val="-10"/>
            </w:rPr>
            <w:t>明</w:t>
          </w:r>
          <w:r>
            <w:rPr>
              <w:spacing w:val="-10"/>
            </w:rPr>
            <w:fldChar w:fldCharType="end"/>
          </w:r>
          <w:r>
            <w:rPr>
              <w:rFonts w:ascii="Times New Roman" w:eastAsia="Times New Roman"/>
            </w:rPr>
            <w:tab/>
          </w:r>
          <w:r>
            <w:fldChar w:fldCharType="begin"/>
          </w:r>
          <w:r>
            <w:instrText xml:space="preserve"> HYPERLINK \l "_bookmark22" </w:instrText>
          </w:r>
          <w:r>
            <w:fldChar w:fldCharType="separate"/>
          </w:r>
          <w:r>
            <w:rPr>
              <w:spacing w:val="-5"/>
            </w:rPr>
            <w:t>2</w:t>
          </w:r>
          <w:r>
            <w:rPr>
              <w:spacing w:val="-5"/>
            </w:rPr>
            <w:fldChar w:fldCharType="end"/>
          </w:r>
          <w:r>
            <w:fldChar w:fldCharType="begin"/>
          </w:r>
          <w:r>
            <w:instrText xml:space="preserve"> HYPERLINK \l "_bookmark22" </w:instrText>
          </w:r>
          <w:r>
            <w:fldChar w:fldCharType="separate"/>
          </w:r>
          <w:r>
            <w:rPr>
              <w:spacing w:val="-5"/>
            </w:rPr>
            <w:t>8</w:t>
          </w:r>
          <w:r>
            <w:rPr>
              <w:spacing w:val="-5"/>
            </w:rPr>
            <w:fldChar w:fldCharType="end"/>
          </w:r>
        </w:p>
        <w:p w14:paraId="7CC619AF">
          <w:pPr>
            <w:pStyle w:val="6"/>
            <w:tabs>
              <w:tab w:val="left" w:leader="dot" w:pos="8774"/>
            </w:tabs>
            <w:spacing w:before="194"/>
          </w:pPr>
          <w:r>
            <w:fldChar w:fldCharType="begin"/>
          </w:r>
          <w:r>
            <w:instrText xml:space="preserve"> HYPERLINK \l "_bookmark23" </w:instrText>
          </w:r>
          <w:r>
            <w:fldChar w:fldCharType="separate"/>
          </w:r>
          <w:r>
            <w:t>四、我省《消耗量定额及全费用基价表》应用说</w:t>
          </w:r>
          <w:r>
            <w:rPr>
              <w:spacing w:val="-10"/>
            </w:rPr>
            <w:t>明</w:t>
          </w:r>
          <w:r>
            <w:rPr>
              <w:spacing w:val="-10"/>
            </w:rPr>
            <w:fldChar w:fldCharType="end"/>
          </w:r>
          <w:r>
            <w:rPr>
              <w:rFonts w:ascii="Times New Roman" w:eastAsia="Times New Roman"/>
            </w:rPr>
            <w:tab/>
          </w:r>
          <w:r>
            <w:fldChar w:fldCharType="begin"/>
          </w:r>
          <w:r>
            <w:instrText xml:space="preserve"> HYPERLINK \l "_bookmark23" </w:instrText>
          </w:r>
          <w:r>
            <w:fldChar w:fldCharType="separate"/>
          </w:r>
          <w:r>
            <w:rPr>
              <w:spacing w:val="-5"/>
            </w:rPr>
            <w:t>2</w:t>
          </w:r>
          <w:r>
            <w:rPr>
              <w:spacing w:val="-5"/>
            </w:rPr>
            <w:fldChar w:fldCharType="end"/>
          </w:r>
          <w:r>
            <w:fldChar w:fldCharType="begin"/>
          </w:r>
          <w:r>
            <w:instrText xml:space="preserve"> HYPERLINK \l "_bookmark23" </w:instrText>
          </w:r>
          <w:r>
            <w:fldChar w:fldCharType="separate"/>
          </w:r>
          <w:r>
            <w:rPr>
              <w:spacing w:val="-5"/>
            </w:rPr>
            <w:t>9</w:t>
          </w:r>
          <w:r>
            <w:rPr>
              <w:spacing w:val="-5"/>
            </w:rPr>
            <w:fldChar w:fldCharType="end"/>
          </w:r>
        </w:p>
        <w:p w14:paraId="7A740A3E">
          <w:pPr>
            <w:pStyle w:val="6"/>
            <w:tabs>
              <w:tab w:val="left" w:leader="dot" w:pos="8774"/>
            </w:tabs>
          </w:pPr>
          <w:r>
            <w:fldChar w:fldCharType="begin"/>
          </w:r>
          <w:r>
            <w:instrText xml:space="preserve"> HYPERLINK \l "_bookmark24" </w:instrText>
          </w:r>
          <w:r>
            <w:fldChar w:fldCharType="separate"/>
          </w:r>
          <w:r>
            <w:t>五、“11</w:t>
          </w:r>
          <w:r>
            <w:rPr>
              <w:spacing w:val="-60"/>
            </w:rPr>
            <w:t xml:space="preserve"> </w:t>
          </w:r>
          <w:r>
            <w:t>号文”应用说</w:t>
          </w:r>
          <w:r>
            <w:rPr>
              <w:spacing w:val="-10"/>
            </w:rPr>
            <w:t>明</w:t>
          </w:r>
          <w:r>
            <w:rPr>
              <w:spacing w:val="-10"/>
            </w:rPr>
            <w:fldChar w:fldCharType="end"/>
          </w:r>
          <w:r>
            <w:rPr>
              <w:rFonts w:ascii="Times New Roman" w:hAnsi="Times New Roman" w:eastAsia="Times New Roman"/>
            </w:rPr>
            <w:tab/>
          </w:r>
          <w:r>
            <w:fldChar w:fldCharType="begin"/>
          </w:r>
          <w:r>
            <w:instrText xml:space="preserve"> HYPERLINK \l "_bookmark24" </w:instrText>
          </w:r>
          <w:r>
            <w:fldChar w:fldCharType="separate"/>
          </w:r>
          <w:r>
            <w:rPr>
              <w:spacing w:val="-5"/>
            </w:rPr>
            <w:t>3</w:t>
          </w:r>
          <w:r>
            <w:rPr>
              <w:spacing w:val="-5"/>
            </w:rPr>
            <w:fldChar w:fldCharType="end"/>
          </w:r>
          <w:r>
            <w:fldChar w:fldCharType="begin"/>
          </w:r>
          <w:r>
            <w:instrText xml:space="preserve"> HYPERLINK \l "_bookmark24" </w:instrText>
          </w:r>
          <w:r>
            <w:fldChar w:fldCharType="separate"/>
          </w:r>
          <w:r>
            <w:rPr>
              <w:spacing w:val="-5"/>
            </w:rPr>
            <w:t>0</w:t>
          </w:r>
          <w:r>
            <w:rPr>
              <w:spacing w:val="-5"/>
            </w:rPr>
            <w:fldChar w:fldCharType="end"/>
          </w:r>
        </w:p>
        <w:p w14:paraId="2BDEAAF7">
          <w:pPr>
            <w:pStyle w:val="7"/>
            <w:tabs>
              <w:tab w:val="left" w:leader="dot" w:pos="8769"/>
            </w:tabs>
            <w:spacing w:before="191"/>
          </w:pPr>
          <w:r>
            <w:fldChar w:fldCharType="begin"/>
          </w:r>
          <w:r>
            <w:instrText xml:space="preserve"> HYPERLINK \l "_bookmark25" </w:instrText>
          </w:r>
          <w:r>
            <w:fldChar w:fldCharType="separate"/>
          </w:r>
          <w:r>
            <w:t>第六部分 典型问题解</w:t>
          </w:r>
          <w:r>
            <w:rPr>
              <w:spacing w:val="-10"/>
            </w:rPr>
            <w:t>答</w:t>
          </w:r>
          <w:r>
            <w:rPr>
              <w:spacing w:val="-10"/>
            </w:rPr>
            <w:fldChar w:fldCharType="end"/>
          </w:r>
          <w:r>
            <w:rPr>
              <w:rFonts w:ascii="Times New Roman" w:eastAsia="Times New Roman"/>
            </w:rPr>
            <w:tab/>
          </w:r>
          <w:r>
            <w:fldChar w:fldCharType="begin"/>
          </w:r>
          <w:r>
            <w:instrText xml:space="preserve"> HYPERLINK \l "_bookmark25" </w:instrText>
          </w:r>
          <w:r>
            <w:fldChar w:fldCharType="separate"/>
          </w:r>
          <w:r>
            <w:rPr>
              <w:spacing w:val="-5"/>
            </w:rPr>
            <w:t>3</w:t>
          </w:r>
          <w:r>
            <w:rPr>
              <w:spacing w:val="-5"/>
            </w:rPr>
            <w:fldChar w:fldCharType="end"/>
          </w:r>
          <w:r>
            <w:fldChar w:fldCharType="begin"/>
          </w:r>
          <w:r>
            <w:instrText xml:space="preserve"> HYPERLINK \l "_bookmark25" </w:instrText>
          </w:r>
          <w:r>
            <w:fldChar w:fldCharType="separate"/>
          </w:r>
          <w:r>
            <w:rPr>
              <w:spacing w:val="-5"/>
            </w:rPr>
            <w:t>1</w:t>
          </w:r>
          <w:r>
            <w:rPr>
              <w:spacing w:val="-5"/>
            </w:rPr>
            <w:fldChar w:fldCharType="end"/>
          </w:r>
        </w:p>
        <w:p w14:paraId="4B1E2044">
          <w:pPr>
            <w:pStyle w:val="7"/>
            <w:tabs>
              <w:tab w:val="left" w:pos="2332"/>
              <w:tab w:val="left" w:leader="dot" w:pos="8769"/>
            </w:tabs>
          </w:pPr>
          <w:r>
            <w:fldChar w:fldCharType="begin"/>
          </w:r>
          <w:r>
            <w:instrText xml:space="preserve"> HYPERLINK \l "_bookmark26" </w:instrText>
          </w:r>
          <w:r>
            <w:fldChar w:fldCharType="separate"/>
          </w:r>
          <w:r>
            <w:t>第七部</w:t>
          </w:r>
          <w:r>
            <w:rPr>
              <w:spacing w:val="-10"/>
            </w:rPr>
            <w:t>分</w:t>
          </w:r>
          <w:r>
            <w:tab/>
          </w:r>
          <w:r>
            <w:t>附</w:t>
          </w:r>
          <w:r>
            <w:rPr>
              <w:spacing w:val="-10"/>
            </w:rPr>
            <w:t>录</w:t>
          </w:r>
          <w:r>
            <w:rPr>
              <w:spacing w:val="-10"/>
            </w:rPr>
            <w:fldChar w:fldCharType="end"/>
          </w:r>
          <w:r>
            <w:rPr>
              <w:rFonts w:ascii="Times New Roman" w:eastAsia="Times New Roman"/>
            </w:rPr>
            <w:tab/>
          </w:r>
          <w:r>
            <w:fldChar w:fldCharType="begin"/>
          </w:r>
          <w:r>
            <w:instrText xml:space="preserve"> HYPERLINK \l "_bookmark26" </w:instrText>
          </w:r>
          <w:r>
            <w:fldChar w:fldCharType="separate"/>
          </w:r>
          <w:r>
            <w:rPr>
              <w:spacing w:val="-5"/>
            </w:rPr>
            <w:t>3</w:t>
          </w:r>
          <w:r>
            <w:rPr>
              <w:spacing w:val="-5"/>
            </w:rPr>
            <w:fldChar w:fldCharType="end"/>
          </w:r>
          <w:r>
            <w:fldChar w:fldCharType="begin"/>
          </w:r>
          <w:r>
            <w:instrText xml:space="preserve"> HYPERLINK \l "_bookmark26" </w:instrText>
          </w:r>
          <w:r>
            <w:fldChar w:fldCharType="separate"/>
          </w:r>
          <w:r>
            <w:rPr>
              <w:spacing w:val="-5"/>
            </w:rPr>
            <w:t>8</w:t>
          </w:r>
          <w:r>
            <w:rPr>
              <w:spacing w:val="-5"/>
            </w:rPr>
            <w:fldChar w:fldCharType="end"/>
          </w:r>
        </w:p>
        <w:p w14:paraId="2FDB4D28">
          <w:pPr>
            <w:pStyle w:val="6"/>
            <w:tabs>
              <w:tab w:val="left" w:leader="dot" w:pos="8774"/>
            </w:tabs>
            <w:spacing w:before="98" w:line="316" w:lineRule="auto"/>
            <w:ind w:left="2032" w:right="1414" w:hanging="480"/>
          </w:pPr>
          <w:r>
            <w:fldChar w:fldCharType="begin"/>
          </w:r>
          <w:r>
            <w:instrText xml:space="preserve"> HYPERLINK \l "_bookmark27" </w:instrText>
          </w:r>
          <w:r>
            <w:fldChar w:fldCharType="separate"/>
          </w:r>
          <w:r>
            <w:t>一</w:t>
          </w:r>
          <w:r>
            <w:fldChar w:fldCharType="end"/>
          </w:r>
          <w:r>
            <w:fldChar w:fldCharType="begin"/>
          </w:r>
          <w:r>
            <w:instrText xml:space="preserve"> HYPERLINK \l "_bookmark27" </w:instrText>
          </w:r>
          <w:r>
            <w:fldChar w:fldCharType="separate"/>
          </w:r>
          <w:r>
            <w:rPr>
              <w:spacing w:val="-53"/>
            </w:rPr>
            <w:t>、</w:t>
          </w:r>
          <w:r>
            <w:t>关于贯</w:t>
          </w:r>
          <w:r>
            <w:rPr>
              <w:spacing w:val="-56"/>
            </w:rPr>
            <w:t>彻</w:t>
          </w:r>
          <w:r>
            <w:t>《建设工程工程量清单计价标准</w:t>
          </w:r>
          <w:r>
            <w:rPr>
              <w:spacing w:val="-111"/>
            </w:rPr>
            <w:t>》</w:t>
          </w:r>
          <w:r>
            <w:t>（GB/T</w:t>
          </w:r>
          <w:r>
            <w:rPr>
              <w:spacing w:val="-41"/>
            </w:rPr>
            <w:t xml:space="preserve"> </w:t>
          </w:r>
          <w:r>
            <w:t>50500—2024</w:t>
          </w:r>
          <w:r>
            <w:fldChar w:fldCharType="end"/>
          </w:r>
          <w:r>
            <w:t xml:space="preserve">） </w:t>
          </w:r>
          <w:r>
            <w:rPr>
              <w:spacing w:val="-2"/>
            </w:rPr>
            <w:t>安全文明施工费有关事项的通知</w:t>
          </w:r>
          <w:r>
            <w:rPr>
              <w:rFonts w:ascii="Times New Roman" w:hAnsi="Times New Roman" w:eastAsia="Times New Roman"/>
            </w:rPr>
            <w:tab/>
          </w:r>
          <w:r>
            <w:fldChar w:fldCharType="begin"/>
          </w:r>
          <w:r>
            <w:instrText xml:space="preserve"> HYPERLINK \l "_bookmark27" </w:instrText>
          </w:r>
          <w:r>
            <w:fldChar w:fldCharType="separate"/>
          </w:r>
          <w:r>
            <w:rPr>
              <w:spacing w:val="-6"/>
            </w:rPr>
            <w:t>39</w:t>
          </w:r>
          <w:r>
            <w:rPr>
              <w:spacing w:val="-6"/>
            </w:rPr>
            <w:fldChar w:fldCharType="end"/>
          </w:r>
        </w:p>
        <w:p w14:paraId="2CDD9C04">
          <w:pPr>
            <w:pStyle w:val="6"/>
            <w:spacing w:before="93"/>
          </w:pPr>
          <w:r>
            <w:fldChar w:fldCharType="begin"/>
          </w:r>
          <w:r>
            <w:instrText xml:space="preserve"> HYPERLINK \l "_bookmark28" </w:instrText>
          </w:r>
          <w:r>
            <w:fldChar w:fldCharType="separate"/>
          </w:r>
          <w:r>
            <w:t>二</w:t>
          </w:r>
          <w:r>
            <w:fldChar w:fldCharType="end"/>
          </w:r>
          <w:r>
            <w:fldChar w:fldCharType="begin"/>
          </w:r>
          <w:r>
            <w:instrText xml:space="preserve"> HYPERLINK \l "_bookmark28" </w:instrText>
          </w:r>
          <w:r>
            <w:fldChar w:fldCharType="separate"/>
          </w:r>
          <w:r>
            <w:rPr>
              <w:spacing w:val="-1"/>
            </w:rPr>
            <w:t>、关于发布建设工程人工成本综合指数及机械价格综合指数的通</w:t>
          </w:r>
          <w:r>
            <w:rPr>
              <w:spacing w:val="-1"/>
            </w:rPr>
            <w:fldChar w:fldCharType="end"/>
          </w:r>
        </w:p>
        <w:p w14:paraId="5AEE317F">
          <w:pPr>
            <w:pStyle w:val="5"/>
            <w:tabs>
              <w:tab w:val="left" w:leader="dot" w:pos="8774"/>
            </w:tabs>
          </w:pPr>
          <w:r>
            <w:rPr>
              <w:spacing w:val="-10"/>
            </w:rPr>
            <w:t>知</w:t>
          </w:r>
          <w:r>
            <w:rPr>
              <w:rFonts w:ascii="Times New Roman" w:eastAsia="Times New Roman"/>
            </w:rPr>
            <w:tab/>
          </w:r>
          <w:r>
            <w:fldChar w:fldCharType="begin"/>
          </w:r>
          <w:r>
            <w:instrText xml:space="preserve"> HYPERLINK \l "_bookmark28" </w:instrText>
          </w:r>
          <w:r>
            <w:fldChar w:fldCharType="separate"/>
          </w:r>
          <w:r>
            <w:rPr>
              <w:spacing w:val="-5"/>
            </w:rPr>
            <w:t>51</w:t>
          </w:r>
          <w:r>
            <w:rPr>
              <w:spacing w:val="-5"/>
            </w:rPr>
            <w:fldChar w:fldCharType="end"/>
          </w:r>
        </w:p>
        <w:p w14:paraId="4FF1064B">
          <w:pPr>
            <w:pStyle w:val="6"/>
            <w:tabs>
              <w:tab w:val="left" w:leader="dot" w:pos="8774"/>
            </w:tabs>
          </w:pPr>
          <w:r>
            <w:fldChar w:fldCharType="begin"/>
          </w:r>
          <w:r>
            <w:instrText xml:space="preserve"> HYPERLINK \l "_bookmark29" </w:instrText>
          </w:r>
          <w:r>
            <w:fldChar w:fldCharType="separate"/>
          </w:r>
          <w:r>
            <w:t>三、关于全面推进全省房屋市政工程智慧工地建设的通</w:t>
          </w:r>
          <w:r>
            <w:rPr>
              <w:spacing w:val="-10"/>
            </w:rPr>
            <w:t>知</w:t>
          </w:r>
          <w:r>
            <w:rPr>
              <w:spacing w:val="-10"/>
            </w:rPr>
            <w:fldChar w:fldCharType="end"/>
          </w:r>
          <w:r>
            <w:rPr>
              <w:rFonts w:ascii="Times New Roman" w:eastAsia="Times New Roman"/>
            </w:rPr>
            <w:tab/>
          </w:r>
          <w:r>
            <w:fldChar w:fldCharType="begin"/>
          </w:r>
          <w:r>
            <w:instrText xml:space="preserve"> HYPERLINK \l "_bookmark29" </w:instrText>
          </w:r>
          <w:r>
            <w:fldChar w:fldCharType="separate"/>
          </w:r>
          <w:r>
            <w:rPr>
              <w:spacing w:val="-5"/>
            </w:rPr>
            <w:t>5</w:t>
          </w:r>
          <w:r>
            <w:rPr>
              <w:spacing w:val="-5"/>
            </w:rPr>
            <w:fldChar w:fldCharType="end"/>
          </w:r>
          <w:r>
            <w:fldChar w:fldCharType="begin"/>
          </w:r>
          <w:r>
            <w:instrText xml:space="preserve"> HYPERLINK \l "_bookmark29" </w:instrText>
          </w:r>
          <w:r>
            <w:fldChar w:fldCharType="separate"/>
          </w:r>
          <w:r>
            <w:rPr>
              <w:spacing w:val="-5"/>
            </w:rPr>
            <w:t>4</w:t>
          </w:r>
          <w:r>
            <w:rPr>
              <w:spacing w:val="-5"/>
            </w:rPr>
            <w:fldChar w:fldCharType="end"/>
          </w:r>
        </w:p>
        <w:p w14:paraId="24A0781C">
          <w:pPr>
            <w:pStyle w:val="6"/>
            <w:spacing w:before="191"/>
          </w:pPr>
          <w:r>
            <w:fldChar w:fldCharType="begin"/>
          </w:r>
          <w:r>
            <w:instrText xml:space="preserve"> HYPERLINK \l "_bookmark30" </w:instrText>
          </w:r>
          <w:r>
            <w:fldChar w:fldCharType="separate"/>
          </w:r>
          <w:r>
            <w:t>四</w:t>
          </w:r>
          <w:r>
            <w:fldChar w:fldCharType="end"/>
          </w:r>
          <w:r>
            <w:fldChar w:fldCharType="begin"/>
          </w:r>
          <w:r>
            <w:instrText xml:space="preserve"> HYPERLINK \l "_bookmark30" </w:instrText>
          </w:r>
          <w:r>
            <w:fldChar w:fldCharType="separate"/>
          </w:r>
          <w:r>
            <w:t>、建设工程工程量清单计价（GB/T</w:t>
          </w:r>
          <w:r>
            <w:rPr>
              <w:spacing w:val="66"/>
            </w:rPr>
            <w:t xml:space="preserve"> </w:t>
          </w:r>
          <w:r>
            <w:t>50500—2024）</w:t>
          </w:r>
          <w:r>
            <w:rPr>
              <w:spacing w:val="-2"/>
            </w:rPr>
            <w:t>及计算标准应</w:t>
          </w:r>
          <w:r>
            <w:rPr>
              <w:spacing w:val="-2"/>
            </w:rPr>
            <w:fldChar w:fldCharType="end"/>
          </w:r>
        </w:p>
        <w:p w14:paraId="7F397CF3">
          <w:pPr>
            <w:pStyle w:val="5"/>
            <w:tabs>
              <w:tab w:val="left" w:leader="dot" w:pos="8774"/>
            </w:tabs>
          </w:pPr>
          <w:r>
            <w:t>用与实</w:t>
          </w:r>
          <w:r>
            <w:rPr>
              <w:spacing w:val="-10"/>
            </w:rPr>
            <w:t>务</w:t>
          </w:r>
          <w:r>
            <w:rPr>
              <w:rFonts w:ascii="Times New Roman" w:eastAsia="Times New Roman"/>
            </w:rPr>
            <w:tab/>
          </w:r>
          <w:r>
            <w:fldChar w:fldCharType="begin"/>
          </w:r>
          <w:r>
            <w:instrText xml:space="preserve"> HYPERLINK \l "_bookmark30" </w:instrText>
          </w:r>
          <w:r>
            <w:fldChar w:fldCharType="separate"/>
          </w:r>
          <w:r>
            <w:rPr>
              <w:spacing w:val="-5"/>
            </w:rPr>
            <w:t>60</w:t>
          </w:r>
          <w:r>
            <w:rPr>
              <w:spacing w:val="-5"/>
            </w:rPr>
            <w:fldChar w:fldCharType="end"/>
          </w:r>
        </w:p>
        <w:p w14:paraId="5C5A0F8F">
          <w:pPr>
            <w:pStyle w:val="6"/>
          </w:pPr>
          <w:r>
            <w:fldChar w:fldCharType="begin"/>
          </w:r>
          <w:r>
            <w:instrText xml:space="preserve"> HYPERLINK \l "_bookmark31" </w:instrText>
          </w:r>
          <w:r>
            <w:fldChar w:fldCharType="separate"/>
          </w:r>
          <w:r>
            <w:t>五</w:t>
          </w:r>
          <w:r>
            <w:fldChar w:fldCharType="end"/>
          </w:r>
          <w:r>
            <w:fldChar w:fldCharType="begin"/>
          </w:r>
          <w:r>
            <w:instrText xml:space="preserve"> HYPERLINK \l "_bookmark31" </w:instrText>
          </w:r>
          <w:r>
            <w:fldChar w:fldCharType="separate"/>
          </w:r>
          <w:r>
            <w:rPr>
              <w:spacing w:val="-1"/>
            </w:rPr>
            <w:t>、湖北省房屋建筑和市政基础设施工程最高投标限价编制案例指</w:t>
          </w:r>
          <w:r>
            <w:rPr>
              <w:spacing w:val="-1"/>
            </w:rPr>
            <w:fldChar w:fldCharType="end"/>
          </w:r>
        </w:p>
        <w:p w14:paraId="5E386356">
          <w:pPr>
            <w:pStyle w:val="5"/>
            <w:tabs>
              <w:tab w:val="left" w:leader="dot" w:pos="8774"/>
            </w:tabs>
            <w:spacing w:before="100"/>
          </w:pPr>
          <w:r>
            <w:rPr>
              <w:spacing w:val="-10"/>
            </w:rPr>
            <w:t>南</w:t>
          </w:r>
          <w:r>
            <w:rPr>
              <w:rFonts w:ascii="Times New Roman" w:eastAsia="Times New Roman"/>
            </w:rPr>
            <w:tab/>
          </w:r>
          <w:r>
            <w:fldChar w:fldCharType="begin"/>
          </w:r>
          <w:r>
            <w:instrText xml:space="preserve"> HYPERLINK \l "_bookmark31" </w:instrText>
          </w:r>
          <w:r>
            <w:fldChar w:fldCharType="separate"/>
          </w:r>
          <w:r>
            <w:rPr>
              <w:spacing w:val="-5"/>
            </w:rPr>
            <w:t>60</w:t>
          </w:r>
          <w:r>
            <w:rPr>
              <w:spacing w:val="-5"/>
            </w:rPr>
            <w:fldChar w:fldCharType="end"/>
          </w:r>
        </w:p>
      </w:sdtContent>
    </w:sdt>
    <w:p w14:paraId="4508A371">
      <w:pPr>
        <w:pStyle w:val="5"/>
        <w:spacing w:after="0"/>
        <w:sectPr>
          <w:type w:val="continuous"/>
          <w:pgSz w:w="10440" w:h="14740"/>
          <w:pgMar w:top="1119" w:right="0" w:bottom="1686" w:left="0" w:header="878" w:footer="0" w:gutter="0"/>
          <w:cols w:space="720" w:num="1"/>
        </w:sectPr>
      </w:pPr>
    </w:p>
    <w:p w14:paraId="036B349E">
      <w:pPr>
        <w:pStyle w:val="4"/>
        <w:spacing w:before="175"/>
        <w:rPr>
          <w:sz w:val="32"/>
        </w:rPr>
      </w:pPr>
    </w:p>
    <w:p w14:paraId="17AAB57F">
      <w:pPr>
        <w:pStyle w:val="2"/>
        <w:ind w:left="279"/>
      </w:pPr>
      <w:bookmarkStart w:id="0" w:name="第一部分  24清单标准的主要内涵"/>
      <w:bookmarkEnd w:id="0"/>
      <w:bookmarkStart w:id="1" w:name="_bookmark0"/>
      <w:bookmarkEnd w:id="1"/>
      <w:r>
        <w:t>第一部分</w:t>
      </w:r>
      <w:r>
        <w:rPr>
          <w:spacing w:val="53"/>
          <w:w w:val="150"/>
        </w:rPr>
        <w:t xml:space="preserve"> </w:t>
      </w:r>
      <w:r>
        <w:rPr>
          <w:rFonts w:ascii="Times New Roman" w:eastAsia="Times New Roman"/>
        </w:rPr>
        <w:t>24</w:t>
      </w:r>
      <w:r>
        <w:rPr>
          <w:rFonts w:ascii="Times New Roman" w:eastAsia="Times New Roman"/>
          <w:spacing w:val="-7"/>
        </w:rPr>
        <w:t xml:space="preserve"> </w:t>
      </w:r>
      <w:r>
        <w:rPr>
          <w:spacing w:val="-2"/>
        </w:rPr>
        <w:t>清单标准的主要内涵</w:t>
      </w:r>
    </w:p>
    <w:p w14:paraId="31E1D5CC">
      <w:pPr>
        <w:pStyle w:val="4"/>
        <w:spacing w:before="88"/>
        <w:rPr>
          <w:sz w:val="32"/>
        </w:rPr>
      </w:pPr>
    </w:p>
    <w:p w14:paraId="4DE723F6">
      <w:pPr>
        <w:pStyle w:val="4"/>
        <w:spacing w:line="364" w:lineRule="auto"/>
        <w:ind w:left="1416" w:right="1131" w:firstLine="480"/>
        <w:jc w:val="both"/>
      </w:pPr>
      <w:r>
        <w:rPr>
          <w:spacing w:val="-8"/>
        </w:rPr>
        <w:t>24</w:t>
      </w:r>
      <w:r>
        <w:rPr>
          <w:spacing w:val="-14"/>
        </w:rPr>
        <w:t xml:space="preserve"> 清单标准已于 </w:t>
      </w:r>
      <w:r>
        <w:rPr>
          <w:spacing w:val="-8"/>
        </w:rPr>
        <w:t>2025</w:t>
      </w:r>
      <w:r>
        <w:rPr>
          <w:spacing w:val="-18"/>
        </w:rPr>
        <w:t xml:space="preserve"> 年 </w:t>
      </w:r>
      <w:r>
        <w:rPr>
          <w:spacing w:val="-8"/>
        </w:rPr>
        <w:t>9</w:t>
      </w:r>
      <w:r>
        <w:rPr>
          <w:spacing w:val="-18"/>
        </w:rPr>
        <w:t xml:space="preserve"> 月 </w:t>
      </w:r>
      <w:r>
        <w:rPr>
          <w:spacing w:val="-8"/>
        </w:rPr>
        <w:t>1</w:t>
      </w:r>
      <w:r>
        <w:rPr>
          <w:spacing w:val="-12"/>
        </w:rPr>
        <w:t xml:space="preserve"> 日起正式实施。作为工程造价领域的核</w:t>
      </w:r>
      <w:r>
        <w:rPr>
          <w:spacing w:val="-2"/>
        </w:rPr>
        <w:t>心技术标准，其修订与实施是落实党的二十届三中全会“构建高水平社会主义市场经济体制，充分发挥市场在资源配置中的决定性作用”精神的重要举</w:t>
      </w:r>
      <w:r>
        <w:rPr>
          <w:spacing w:val="-4"/>
        </w:rPr>
        <w:t>措。相较于以往，24</w:t>
      </w:r>
      <w:r>
        <w:rPr>
          <w:spacing w:val="-9"/>
        </w:rPr>
        <w:t xml:space="preserve"> 清单标准在计价理念、管理机制和实操要求上实现了历</w:t>
      </w:r>
      <w:r>
        <w:rPr>
          <w:spacing w:val="-2"/>
        </w:rPr>
        <w:t>史跨越，其内涵主要体现为“契约精神夯实交易基石，市场化改革激发内生</w:t>
      </w:r>
      <w:r>
        <w:rPr>
          <w:spacing w:val="-4"/>
        </w:rPr>
        <w:t>动力”。</w:t>
      </w:r>
    </w:p>
    <w:p w14:paraId="1142724A">
      <w:pPr>
        <w:pStyle w:val="4"/>
        <w:spacing w:before="160"/>
        <w:ind w:left="1896"/>
      </w:pPr>
      <w:bookmarkStart w:id="2" w:name="一、弘扬契约精神，夯实市场交易基石"/>
      <w:bookmarkEnd w:id="2"/>
      <w:bookmarkStart w:id="3" w:name="_bookmark1"/>
      <w:bookmarkEnd w:id="3"/>
      <w:r>
        <w:rPr>
          <w:spacing w:val="-1"/>
        </w:rPr>
        <w:t>一、弘扬契约精神，夯实市场交易基石</w:t>
      </w:r>
    </w:p>
    <w:p w14:paraId="47B5C165">
      <w:pPr>
        <w:pStyle w:val="4"/>
        <w:spacing w:before="9"/>
      </w:pPr>
    </w:p>
    <w:p w14:paraId="6C654857">
      <w:pPr>
        <w:pStyle w:val="4"/>
        <w:ind w:left="1896"/>
      </w:pPr>
      <w:r>
        <w:rPr>
          <w:spacing w:val="-3"/>
        </w:rPr>
        <w:t>契约精神是市场经济的灵魂，建设工程计价活动属于民事活动，应遵循</w:t>
      </w:r>
    </w:p>
    <w:p w14:paraId="573978F6">
      <w:pPr>
        <w:pStyle w:val="4"/>
        <w:spacing w:before="161" w:line="364" w:lineRule="auto"/>
        <w:ind w:left="1416" w:right="1011"/>
      </w:pPr>
      <w:r>
        <w:rPr>
          <w:spacing w:val="-2"/>
        </w:rPr>
        <w:t>《中华人民共和国民法典》规定的民事活动基本原则，即：平等、自愿、公</w:t>
      </w:r>
      <w:r>
        <w:t>平、诚信，不得违反法律，不得违背公序良俗。24</w:t>
      </w:r>
      <w:r>
        <w:rPr>
          <w:spacing w:val="-8"/>
        </w:rPr>
        <w:t xml:space="preserve"> 清单标准首次将“平等自</w:t>
      </w:r>
      <w:r>
        <w:rPr>
          <w:spacing w:val="-6"/>
        </w:rPr>
        <w:t>愿、诚实守信、有约从约”等契约原则明确写入总则，构建了“法律设底线、</w:t>
      </w:r>
      <w:r>
        <w:rPr>
          <w:spacing w:val="-2"/>
        </w:rPr>
        <w:t>市场定规则、契约抓落实”的计价逻辑。其核心要求是保障市场主体契约自由、规范契约形成过程、明确风险分担机制、强化合同履行监督，从根源上预防和化解工程结算争议。</w:t>
      </w:r>
    </w:p>
    <w:p w14:paraId="61AECB3D">
      <w:pPr>
        <w:pStyle w:val="4"/>
        <w:spacing w:before="3"/>
        <w:ind w:left="1896"/>
      </w:pPr>
      <w:r>
        <w:t>（一）</w:t>
      </w:r>
      <w:r>
        <w:rPr>
          <w:spacing w:val="-1"/>
        </w:rPr>
        <w:t>保障契约自由，释放市场主体自主决策空间</w:t>
      </w:r>
    </w:p>
    <w:p w14:paraId="1E162B09">
      <w:pPr>
        <w:pStyle w:val="4"/>
        <w:spacing w:before="161" w:line="364" w:lineRule="auto"/>
        <w:ind w:left="1416" w:right="1034" w:firstLine="480"/>
        <w:jc w:val="both"/>
      </w:pPr>
      <w:r>
        <w:t>24</w:t>
      </w:r>
      <w:r>
        <w:rPr>
          <w:spacing w:val="-4"/>
        </w:rPr>
        <w:t xml:space="preserve"> 清单标准打破了传统计价模式中政府定额主导的路径依赖，明确赋予</w:t>
      </w:r>
      <w:r>
        <w:rPr>
          <w:spacing w:val="-2"/>
        </w:rPr>
        <w:t>发承包双方在市场交易活动中的充分自主决策权。在招标阶段，招标人可根据项目特性自主确定清单列项，以多元化数据来源编制最高投标限价；投标人可结合自身技术装备、管理水平和施工方案，自主测算人工费、材料费、施工机具使用费、管理费及利润，灵活确定综合单价，自主补充措施项目清</w:t>
      </w:r>
      <w:r>
        <w:rPr>
          <w:spacing w:val="-4"/>
        </w:rPr>
        <w:t>单，自由选择措施项目清单组价方式。例如，24</w:t>
      </w:r>
      <w:r>
        <w:rPr>
          <w:spacing w:val="-11"/>
        </w:rPr>
        <w:t xml:space="preserve"> 清单标准第 </w:t>
      </w:r>
      <w:r>
        <w:rPr>
          <w:spacing w:val="-4"/>
        </w:rPr>
        <w:t>6.1.5</w:t>
      </w:r>
      <w:r>
        <w:rPr>
          <w:spacing w:val="-9"/>
        </w:rPr>
        <w:t xml:space="preserve"> 条规定：</w:t>
      </w:r>
      <w:r>
        <w:rPr>
          <w:spacing w:val="-4"/>
        </w:rPr>
        <w:t xml:space="preserve"> </w:t>
      </w:r>
      <w:r>
        <w:rPr>
          <w:spacing w:val="-2"/>
        </w:rPr>
        <w:t>“如投标人对措施项目清单有疑问或异议的，可按招标文件的规定以书面形</w:t>
      </w:r>
    </w:p>
    <w:p w14:paraId="26DD1424">
      <w:pPr>
        <w:pStyle w:val="4"/>
        <w:spacing w:after="0" w:line="364" w:lineRule="auto"/>
        <w:jc w:val="both"/>
        <w:sectPr>
          <w:headerReference r:id="rId12" w:type="default"/>
          <w:footerReference r:id="rId14" w:type="default"/>
          <w:headerReference r:id="rId13" w:type="even"/>
          <w:footerReference r:id="rId15" w:type="even"/>
          <w:pgSz w:w="10440" w:h="14740"/>
          <w:pgMar w:top="1100" w:right="0" w:bottom="860" w:left="0" w:header="878" w:footer="676" w:gutter="0"/>
          <w:pgNumType w:start="1"/>
          <w:cols w:space="720" w:num="1"/>
        </w:sectPr>
      </w:pPr>
    </w:p>
    <w:p w14:paraId="37751A5B">
      <w:pPr>
        <w:pStyle w:val="4"/>
        <w:spacing w:before="94"/>
      </w:pPr>
    </w:p>
    <w:p w14:paraId="275B7FE1">
      <w:pPr>
        <w:pStyle w:val="4"/>
        <w:spacing w:line="364" w:lineRule="auto"/>
        <w:ind w:left="1132" w:right="1414"/>
        <w:jc w:val="both"/>
      </w:pPr>
      <w:r>
        <w:rPr>
          <w:spacing w:val="-2"/>
        </w:rPr>
        <w:t>式提请招标人澄清或修正，若投标人认为需要增加措施项目的，可在措施项目中补充列项及报价，并对措施项目清单的准确性和完整性负责。”这种对自主决策空间的拓展，充分彰显了市场经济“自愿交易”的核心特质以及民事活动“意思自治”的法律原则。</w:t>
      </w:r>
    </w:p>
    <w:p w14:paraId="47CB93B2">
      <w:pPr>
        <w:pStyle w:val="4"/>
        <w:spacing w:before="2"/>
        <w:ind w:left="1612"/>
      </w:pPr>
      <w:r>
        <w:t>（二）</w:t>
      </w:r>
      <w:r>
        <w:rPr>
          <w:spacing w:val="-1"/>
        </w:rPr>
        <w:t>规范契约形成，筑牢依法合规的交易基础</w:t>
      </w:r>
    </w:p>
    <w:p w14:paraId="5ABF2C94">
      <w:pPr>
        <w:pStyle w:val="4"/>
        <w:spacing w:before="161" w:line="364" w:lineRule="auto"/>
        <w:ind w:left="1132" w:right="1418" w:firstLine="480"/>
      </w:pPr>
      <w:r>
        <w:rPr>
          <w:spacing w:val="-4"/>
        </w:rPr>
        <w:t>契约自由并非无边界的自由，24</w:t>
      </w:r>
      <w:r>
        <w:rPr>
          <w:spacing w:val="-12"/>
        </w:rPr>
        <w:t xml:space="preserve"> 清单标准通过“法定优先”原则划定了</w:t>
      </w:r>
      <w:r>
        <w:t>计价活动的法律红线，确保契约形成过程合法合规。例如，24</w:t>
      </w:r>
      <w:r>
        <w:rPr>
          <w:spacing w:val="-8"/>
        </w:rPr>
        <w:t xml:space="preserve"> 清单标准第</w:t>
      </w:r>
    </w:p>
    <w:p w14:paraId="7D488AB0">
      <w:pPr>
        <w:pStyle w:val="4"/>
        <w:spacing w:before="1" w:line="364" w:lineRule="auto"/>
        <w:ind w:left="1132" w:right="1376"/>
        <w:jc w:val="both"/>
      </w:pPr>
      <w:r>
        <w:t>3.3.1</w:t>
      </w:r>
      <w:r>
        <w:rPr>
          <w:spacing w:val="-6"/>
        </w:rPr>
        <w:t xml:space="preserve"> 条规定的“不得采用无限风险、所有风险或类似语句约定工程计量与</w:t>
      </w:r>
      <w:r>
        <w:rPr>
          <w:spacing w:val="-2"/>
        </w:rPr>
        <w:t>计价中的风险内容及范围”，契合了《中华人民共和国民法典》第四百九十七条中“提供格式条款一方不合理地免除或者减轻其责任、加重对方责任、</w:t>
      </w:r>
      <w:r>
        <w:rPr>
          <w:spacing w:val="-6"/>
        </w:rPr>
        <w:t>限制对方主要权利的，该格式条款无效”；又如，24</w:t>
      </w:r>
      <w:r>
        <w:rPr>
          <w:spacing w:val="-11"/>
        </w:rPr>
        <w:t xml:space="preserve"> 清单标准第 </w:t>
      </w:r>
      <w:r>
        <w:rPr>
          <w:spacing w:val="-6"/>
        </w:rPr>
        <w:t>3.4.4</w:t>
      </w:r>
      <w:r>
        <w:rPr>
          <w:spacing w:val="-10"/>
        </w:rPr>
        <w:t xml:space="preserve"> 条规</w:t>
      </w:r>
      <w:r>
        <w:rPr>
          <w:spacing w:val="-2"/>
        </w:rPr>
        <w:t>定的“合同约定不得背离招标文件中关于工程范围、工期、价款、质量等实质性内容”，衔接了《中华人民共和国招标投标法实施条例》第五十七条中 “招标人和中标人应当依照招标投标法和本条例的规定签订书面合同，合同的标的、价款、质量、履行期限等主要条款应当与招标文件和中标人的投标文件的内容一致。招标人和中标人不得再行订立背离合同实质性内容的其他</w:t>
      </w:r>
      <w:r>
        <w:rPr>
          <w:spacing w:val="-4"/>
        </w:rPr>
        <w:t>协议”。</w:t>
      </w:r>
    </w:p>
    <w:p w14:paraId="255F72AB">
      <w:pPr>
        <w:pStyle w:val="4"/>
        <w:spacing w:before="6"/>
        <w:ind w:left="1612"/>
      </w:pPr>
      <w:r>
        <w:t>（三）</w:t>
      </w:r>
      <w:r>
        <w:rPr>
          <w:spacing w:val="-1"/>
        </w:rPr>
        <w:t>明确风险分担，构建权责对等的平衡机制</w:t>
      </w:r>
    </w:p>
    <w:p w14:paraId="48B4DABF">
      <w:pPr>
        <w:pStyle w:val="4"/>
        <w:spacing w:before="161" w:line="364" w:lineRule="auto"/>
        <w:ind w:left="1132" w:right="1376" w:firstLine="480"/>
        <w:jc w:val="both"/>
      </w:pPr>
      <w:r>
        <w:rPr>
          <w:spacing w:val="-2"/>
        </w:rPr>
        <w:t>风险分担不合理是工程结算纠纷的主要根源之一，24</w:t>
      </w:r>
      <w:r>
        <w:rPr>
          <w:spacing w:val="-12"/>
        </w:rPr>
        <w:t xml:space="preserve"> 清单标准基于“谁</w:t>
      </w:r>
      <w:r>
        <w:rPr>
          <w:spacing w:val="-2"/>
        </w:rPr>
        <w:t>的责任由谁承担”“谁风险可控由谁承担”原则，建立了系统化的风险划分体系，引导发承包双方根据工程项目特点在合同中作出详细约定，避免因约定不明引发纠纷。标准明确界定了发承包双方的风险边界：发包人承担单价合同工程除措施项目清单以外的工程量清单缺陷、发包人提供的工程项目原始数据和基准资料错误、发包人批准的工程变更、发包人要求的赶工停工、</w:t>
      </w:r>
      <w:r>
        <w:rPr>
          <w:spacing w:val="-3"/>
        </w:rPr>
        <w:t>法律法规与政策性变化、超出约定风险范围和幅度的物价变化等风险；承包</w:t>
      </w:r>
    </w:p>
    <w:p w14:paraId="1E39CAD0">
      <w:pPr>
        <w:pStyle w:val="4"/>
        <w:spacing w:after="0" w:line="364" w:lineRule="auto"/>
        <w:jc w:val="both"/>
        <w:sectPr>
          <w:pgSz w:w="10440" w:h="14740"/>
          <w:pgMar w:top="1100" w:right="0" w:bottom="860" w:left="0" w:header="878" w:footer="676" w:gutter="0"/>
          <w:cols w:space="720" w:num="1"/>
        </w:sectPr>
      </w:pPr>
    </w:p>
    <w:p w14:paraId="224B12C2">
      <w:pPr>
        <w:pStyle w:val="4"/>
        <w:spacing w:before="94"/>
      </w:pPr>
    </w:p>
    <w:p w14:paraId="5C742BC0">
      <w:pPr>
        <w:pStyle w:val="4"/>
        <w:spacing w:line="364" w:lineRule="auto"/>
        <w:ind w:left="1416" w:right="1131"/>
        <w:jc w:val="both"/>
      </w:pPr>
      <w:r>
        <w:rPr>
          <w:spacing w:val="-2"/>
        </w:rPr>
        <w:t>人承担总价合同工程的清单缺陷、施工技术风险、管理风险、措施项目清单准确性、未超出约定风险范围和幅度的物价变化等风险；物价异常波动、不可抗力事件等导致的风险，根据风险的不同属性确定相应承担方。当然，基于权责对等原则，承担风险的一方也应享有对等权益。例如，措施项目清单准确性、完整性的风险由承包人承担，这意味着措施项目清单的报价也应包括承包人为履行合同责任和义务所发生相关费用。</w:t>
      </w:r>
    </w:p>
    <w:p w14:paraId="208376D4">
      <w:pPr>
        <w:pStyle w:val="4"/>
        <w:spacing w:before="4"/>
        <w:ind w:left="1896"/>
      </w:pPr>
      <w:r>
        <w:t>（四）</w:t>
      </w:r>
      <w:r>
        <w:rPr>
          <w:spacing w:val="-1"/>
        </w:rPr>
        <w:t>强化契约履行，保障工程交易的闭环管理</w:t>
      </w:r>
    </w:p>
    <w:p w14:paraId="4E8A48C3">
      <w:pPr>
        <w:pStyle w:val="4"/>
        <w:spacing w:before="160" w:line="364" w:lineRule="auto"/>
        <w:ind w:left="1416" w:right="1133" w:firstLine="480"/>
      </w:pPr>
      <w:r>
        <w:rPr>
          <w:spacing w:val="-2"/>
        </w:rPr>
        <w:t xml:space="preserve">《中华人民共和国民法典》第五百零九条规定：“当事人应当按照约定全面履行自己的义务。”“有约从约”这一原则在 </w:t>
      </w:r>
      <w:r>
        <w:t>24</w:t>
      </w:r>
      <w:r>
        <w:rPr>
          <w:spacing w:val="-6"/>
        </w:rPr>
        <w:t xml:space="preserve"> 清单标准中得到了充</w:t>
      </w:r>
    </w:p>
    <w:p w14:paraId="5F59969D">
      <w:pPr>
        <w:pStyle w:val="4"/>
        <w:spacing w:before="1"/>
        <w:ind w:left="1416"/>
      </w:pPr>
      <w:r>
        <w:rPr>
          <w:spacing w:val="-7"/>
        </w:rPr>
        <w:t xml:space="preserve">分体现。例如，第 </w:t>
      </w:r>
      <w:r>
        <w:t>10.1.1</w:t>
      </w:r>
      <w:r>
        <w:rPr>
          <w:spacing w:val="-9"/>
        </w:rPr>
        <w:t xml:space="preserve"> 条规定：“发承包双方应按照合同约定的时限、</w:t>
      </w:r>
    </w:p>
    <w:p w14:paraId="55084BC9">
      <w:pPr>
        <w:pStyle w:val="4"/>
        <w:spacing w:before="161" w:line="364" w:lineRule="auto"/>
        <w:ind w:left="1416" w:right="1131"/>
      </w:pPr>
      <w:r>
        <w:rPr>
          <w:spacing w:val="-3"/>
        </w:rPr>
        <w:t xml:space="preserve">计价方式办理工程结算。”第 </w:t>
      </w:r>
      <w:r>
        <w:t>11.4.3</w:t>
      </w:r>
      <w:r>
        <w:rPr>
          <w:spacing w:val="-6"/>
        </w:rPr>
        <w:t xml:space="preserve"> 条规定：“除非因发承包双方中的一</w:t>
      </w:r>
      <w:r>
        <w:rPr>
          <w:spacing w:val="-2"/>
        </w:rPr>
        <w:t xml:space="preserve">方违约而引起合同已无法继续履行，或双方协商确定停止施工或合同已经解除，发包人或承包人即使按照本标准第 </w:t>
      </w:r>
      <w:r>
        <w:t>11.4.1</w:t>
      </w:r>
      <w:r>
        <w:rPr>
          <w:spacing w:val="-6"/>
        </w:rPr>
        <w:t xml:space="preserve"> 条的规定提请了争议解决，</w:t>
      </w:r>
      <w:r>
        <w:rPr>
          <w:spacing w:val="-2"/>
        </w:rPr>
        <w:t>发承包双方仍应在争议发生后继续履行合同工程，直至仲裁委员会作出裁决或人民法院作出判决。”“有约必守”是契约精神的核心要求。唯有做到诚信履约，方能将发承包双方基于平等自愿原则达成的合意落实到位，实现建设目标、提升项目价值；唯有坚持契约精神，才能构建权责明晰的造价管理体系，保障市场交易秩序稳定。</w:t>
      </w:r>
    </w:p>
    <w:p w14:paraId="395D843C">
      <w:pPr>
        <w:pStyle w:val="4"/>
        <w:spacing w:before="161"/>
        <w:ind w:left="1896"/>
      </w:pPr>
      <w:bookmarkStart w:id="4" w:name="二、深化市场化改革，激发行业内生动力"/>
      <w:bookmarkEnd w:id="4"/>
      <w:bookmarkStart w:id="5" w:name="_bookmark2"/>
      <w:bookmarkEnd w:id="5"/>
      <w:r>
        <w:rPr>
          <w:spacing w:val="-1"/>
        </w:rPr>
        <w:t>二、深化市场化改革，激发行业内生动力</w:t>
      </w:r>
    </w:p>
    <w:p w14:paraId="4F226447">
      <w:pPr>
        <w:pStyle w:val="4"/>
        <w:spacing w:before="8"/>
      </w:pPr>
    </w:p>
    <w:p w14:paraId="6CD42469">
      <w:pPr>
        <w:pStyle w:val="4"/>
        <w:spacing w:before="1" w:line="364" w:lineRule="auto"/>
        <w:ind w:left="1416" w:right="1131" w:firstLine="480"/>
      </w:pPr>
      <w:r>
        <w:rPr>
          <w:spacing w:val="-11"/>
        </w:rPr>
        <w:t>党的二十届四中全会提出“加快构建高水平社会主义市场经济体制</w:t>
      </w:r>
      <w:r>
        <w:rPr>
          <w:spacing w:val="-63"/>
        </w:rPr>
        <w:t>”“加</w:t>
      </w:r>
      <w:r>
        <w:rPr>
          <w:spacing w:val="-2"/>
        </w:rPr>
        <w:t xml:space="preserve">快完善要素市场化配置体制机制”。市场化是 </w:t>
      </w:r>
      <w:r>
        <w:t>24</w:t>
      </w:r>
      <w:r>
        <w:rPr>
          <w:spacing w:val="-6"/>
        </w:rPr>
        <w:t xml:space="preserve"> 清单标准的核心导向，其</w:t>
      </w:r>
      <w:r>
        <w:rPr>
          <w:spacing w:val="-2"/>
        </w:rPr>
        <w:t>开篇首个条文便提及编制目标——完善工程造价市场形成机制。其本质是通过“清单计量、市场询价、自主报价、竞争定价”的新型计价模式，推动工</w:t>
      </w:r>
      <w:r>
        <w:rPr>
          <w:spacing w:val="-4"/>
        </w:rPr>
        <w:t>程造价从“静态定额管控”向“动态市场调节”转变。24</w:t>
      </w:r>
      <w:r>
        <w:rPr>
          <w:spacing w:val="-10"/>
        </w:rPr>
        <w:t xml:space="preserve"> 清单标准在市场化</w:t>
      </w:r>
    </w:p>
    <w:p w14:paraId="73E7EBEE">
      <w:pPr>
        <w:pStyle w:val="4"/>
        <w:spacing w:after="0" w:line="364" w:lineRule="auto"/>
        <w:sectPr>
          <w:pgSz w:w="10440" w:h="14740"/>
          <w:pgMar w:top="1100" w:right="0" w:bottom="860" w:left="0" w:header="878" w:footer="676" w:gutter="0"/>
          <w:cols w:space="720" w:num="1"/>
        </w:sectPr>
      </w:pPr>
    </w:p>
    <w:p w14:paraId="7A6E44BE">
      <w:pPr>
        <w:pStyle w:val="4"/>
        <w:spacing w:before="94"/>
      </w:pPr>
    </w:p>
    <w:p w14:paraId="67ADF37C">
      <w:pPr>
        <w:pStyle w:val="4"/>
        <w:spacing w:line="364" w:lineRule="auto"/>
        <w:ind w:left="1132" w:right="1414"/>
      </w:pPr>
      <w:r>
        <w:rPr>
          <w:spacing w:val="-2"/>
        </w:rPr>
        <w:t>落地层面形成了“放权赋能、数据支撑、定额转型”的三维发力体系，为行业发展注入新活力。</w:t>
      </w:r>
    </w:p>
    <w:p w14:paraId="5E51352F">
      <w:pPr>
        <w:pStyle w:val="4"/>
        <w:spacing w:before="1"/>
        <w:ind w:left="1612"/>
      </w:pPr>
      <w:r>
        <w:t>（一）</w:t>
      </w:r>
      <w:r>
        <w:rPr>
          <w:spacing w:val="-1"/>
        </w:rPr>
        <w:t>放权赋能，落实市场主体自主计价权</w:t>
      </w:r>
    </w:p>
    <w:p w14:paraId="0BFBED31">
      <w:pPr>
        <w:pStyle w:val="4"/>
        <w:spacing w:before="161" w:line="364" w:lineRule="auto"/>
        <w:ind w:left="1132" w:right="1414" w:firstLine="480"/>
        <w:jc w:val="both"/>
      </w:pPr>
      <w:r>
        <w:rPr>
          <w:spacing w:val="-2"/>
        </w:rPr>
        <w:t>24</w:t>
      </w:r>
      <w:r>
        <w:rPr>
          <w:spacing w:val="-11"/>
        </w:rPr>
        <w:t xml:space="preserve"> 清单标准最显著的变化是大幅缩减强制性计价规定，将更多事项交由</w:t>
      </w:r>
      <w:r>
        <w:rPr>
          <w:spacing w:val="-2"/>
        </w:rPr>
        <w:t>市场主体自主决策，减少行政干预。编制工程量清单时，若出现工程量计算标准附录中未包括的项目，编制人可直接补充列项，无须报工程造价管理机构备案；编制最高投标限价时，工程造价管理机构发布的工程造价信息不再优先于市场价作为编制依据。这些均是“放管服”改革背景下工程造价进一步走向市场化的体现。</w:t>
      </w:r>
    </w:p>
    <w:p w14:paraId="07E7852C">
      <w:pPr>
        <w:pStyle w:val="4"/>
        <w:spacing w:before="3" w:line="364" w:lineRule="auto"/>
        <w:ind w:left="1132" w:right="1414" w:firstLine="480"/>
        <w:jc w:val="both"/>
      </w:pPr>
      <w:r>
        <w:rPr>
          <w:spacing w:val="-2"/>
        </w:rPr>
        <w:t xml:space="preserve">安全文明施工费方面，取消“安全文明施工费不得作为竞争性费用”的强制规定。我省进一步明确，应结合项目特点，按省、市（州）建设行政主管部门有关安全文明施工的规定，根据市场价格自主测算确定，其中安全生产措施费费率不得低于规定费率，其他安全文明施工费费率仅为参考。这种 </w:t>
      </w:r>
      <w:r>
        <w:rPr>
          <w:spacing w:val="-20"/>
        </w:rPr>
        <w:t>“下限管理、竞争报价”的模式，既守住了安全质量底线，又打破了以往“定</w:t>
      </w:r>
      <w:r>
        <w:rPr>
          <w:spacing w:val="-2"/>
        </w:rPr>
        <w:t>额决定价格”的传统范式，有助于进一步健全市场价格形成机制。</w:t>
      </w:r>
    </w:p>
    <w:p w14:paraId="0143CC05">
      <w:pPr>
        <w:pStyle w:val="4"/>
        <w:spacing w:before="4"/>
        <w:ind w:left="1612"/>
      </w:pPr>
      <w:r>
        <w:t>（二）</w:t>
      </w:r>
      <w:r>
        <w:rPr>
          <w:spacing w:val="-1"/>
        </w:rPr>
        <w:t>数据支撑，构建市场化计价的基础体系</w:t>
      </w:r>
    </w:p>
    <w:p w14:paraId="468010F2">
      <w:pPr>
        <w:pStyle w:val="4"/>
        <w:spacing w:before="160" w:line="364" w:lineRule="auto"/>
        <w:ind w:left="1132" w:right="1414" w:firstLine="480"/>
        <w:jc w:val="both"/>
      </w:pPr>
      <w:r>
        <w:rPr>
          <w:spacing w:val="-2"/>
        </w:rPr>
        <w:t>市场化计价的核心是“价格由市场说了算”，而真实、及时的市场数据</w:t>
      </w:r>
      <w:r>
        <w:rPr>
          <w:spacing w:val="-4"/>
        </w:rPr>
        <w:t>是实现这一目标的重要支撑。24</w:t>
      </w:r>
      <w:r>
        <w:rPr>
          <w:spacing w:val="-9"/>
        </w:rPr>
        <w:t xml:space="preserve"> 清单标准明确要求，投标报价应充分参考市</w:t>
      </w:r>
      <w:r>
        <w:rPr>
          <w:spacing w:val="-2"/>
        </w:rPr>
        <w:t>场价格信息、工程造价数据以及企业自身成本数据，不再将政府发布的定额和信息价作为主要依据。此举通过全面放开计价数据来源，引导施工企业从自身竞争力角度出发，探索成本控制与技术能力的融合创新，加强成本数据积累与应用，提升精细化成本管理水平。</w:t>
      </w:r>
    </w:p>
    <w:p w14:paraId="19F08B6A">
      <w:pPr>
        <w:pStyle w:val="4"/>
        <w:spacing w:before="4"/>
        <w:ind w:left="1612"/>
      </w:pPr>
      <w:r>
        <w:t>（三）</w:t>
      </w:r>
      <w:r>
        <w:rPr>
          <w:spacing w:val="-1"/>
        </w:rPr>
        <w:t>活用定额，实现消耗量定额的价值重塑</w:t>
      </w:r>
    </w:p>
    <w:p w14:paraId="3389B69C">
      <w:pPr>
        <w:pStyle w:val="4"/>
        <w:spacing w:before="160" w:line="364" w:lineRule="auto"/>
        <w:ind w:left="1132" w:right="1414" w:firstLine="480"/>
      </w:pPr>
      <w:r>
        <w:t>24</w:t>
      </w:r>
      <w:r>
        <w:rPr>
          <w:spacing w:val="-12"/>
        </w:rPr>
        <w:t xml:space="preserve"> 清单标准在最高投标限价和投标报价的编制依据中，取消了将政府颁</w:t>
      </w:r>
      <w:r>
        <w:rPr>
          <w:spacing w:val="-3"/>
        </w:rPr>
        <w:t>布的计价定额和信息价作为强制性或主要依据的规定。《湖北省建设工程造</w:t>
      </w:r>
    </w:p>
    <w:p w14:paraId="62182E3A">
      <w:pPr>
        <w:pStyle w:val="4"/>
        <w:spacing w:after="0" w:line="364" w:lineRule="auto"/>
        <w:sectPr>
          <w:pgSz w:w="10440" w:h="14740"/>
          <w:pgMar w:top="1100" w:right="0" w:bottom="860" w:left="0" w:header="878" w:footer="676" w:gutter="0"/>
          <w:cols w:space="720" w:num="1"/>
        </w:sectPr>
      </w:pPr>
    </w:p>
    <w:p w14:paraId="25E4D757">
      <w:pPr>
        <w:pStyle w:val="4"/>
        <w:spacing w:before="94"/>
      </w:pPr>
    </w:p>
    <w:p w14:paraId="5CF32E62">
      <w:pPr>
        <w:pStyle w:val="4"/>
        <w:spacing w:line="364" w:lineRule="auto"/>
        <w:ind w:left="1416" w:right="1011"/>
      </w:pPr>
      <w:r>
        <w:rPr>
          <w:spacing w:val="-14"/>
        </w:rPr>
        <w:t>价改革试点实施方案》也提出，要建立以历史数据为基础、市场询价为主导、</w:t>
      </w:r>
      <w:r>
        <w:t>定额计价为参考的最高投标限价编制规则。24</w:t>
      </w:r>
      <w:r>
        <w:rPr>
          <w:spacing w:val="-10"/>
        </w:rPr>
        <w:t xml:space="preserve"> 清单标准的实施，标志着政府</w:t>
      </w:r>
      <w:r>
        <w:rPr>
          <w:spacing w:val="-2"/>
        </w:rPr>
        <w:t>定额的角色已正式从“定价依据”转变为“计价参考”，从“唯一标准”转变为“数据来源之一”。</w:t>
      </w:r>
    </w:p>
    <w:p w14:paraId="2F217545">
      <w:pPr>
        <w:pStyle w:val="4"/>
        <w:spacing w:before="2" w:line="364" w:lineRule="auto"/>
        <w:ind w:left="1416" w:right="1094" w:firstLine="480"/>
        <w:jc w:val="both"/>
      </w:pPr>
      <w:r>
        <w:rPr>
          <w:spacing w:val="-2"/>
        </w:rPr>
        <w:t>市场化改革的一项重要举措是推动定额从“定价依据”向“参考工具”转型。24</w:t>
      </w:r>
      <w:r>
        <w:rPr>
          <w:spacing w:val="-9"/>
        </w:rPr>
        <w:t xml:space="preserve"> 清单标准明确了定额的新定位——作为投标人分析成本、测算报价</w:t>
      </w:r>
      <w:r>
        <w:rPr>
          <w:spacing w:val="-2"/>
        </w:rPr>
        <w:t>的参考资料，而非强制套用的计价标准。这种转型要求造价从业人员从“机械套定额”转向“活用定额”，充分挖掘定额的技术参考价值。</w:t>
      </w:r>
    </w:p>
    <w:p w14:paraId="19C7FDF5">
      <w:pPr>
        <w:pStyle w:val="4"/>
        <w:spacing w:before="3" w:line="364" w:lineRule="auto"/>
        <w:ind w:left="1416" w:right="1011" w:firstLine="480"/>
      </w:pPr>
      <w:r>
        <w:rPr>
          <w:spacing w:val="-2"/>
        </w:rPr>
        <w:t>推行市场化计价并非简单取消定额，而是构建一套以市场供求关系为核心、企业自主报价为基础、竞争形成价格的新机制。于招标人，当缺乏可靠企业数据时，可将定额消耗量作为成本测算的参考基准，并结合项目特点进行实质性修正，例如调整人工含量、材料损耗率等。针对市场供应充足、价格透明的材料设备，宜直接采用市场询价。针对采用先进工艺或管理手段可显著降低成本的项目，可通过设置合理价格激发市场竞争优势；于投标人，应摒弃对政府定额的过度依赖和机械套用，转变为基于企业内部定额、历史成本数据库、供应链采购价格及预期利润水平，独立完成综合单价分析。鼓励大型企业建立动态更新的企业定额库；于造价咨询服务机构，宜利用大数</w:t>
      </w:r>
      <w:r>
        <w:rPr>
          <w:spacing w:val="-16"/>
        </w:rPr>
        <w:t>据分析、造价指标对标等手段，为发承包双方提供前期投资估算、招标策划、</w:t>
      </w:r>
      <w:r>
        <w:rPr>
          <w:spacing w:val="-13"/>
        </w:rPr>
        <w:t>过程成本管控、结算审核等全链条服务，提升市场化定价的科学性与合理性。</w:t>
      </w:r>
    </w:p>
    <w:p w14:paraId="6A21A757">
      <w:pPr>
        <w:pStyle w:val="4"/>
        <w:spacing w:before="6"/>
        <w:ind w:left="1896"/>
      </w:pPr>
      <w:r>
        <w:rPr>
          <w:spacing w:val="-7"/>
        </w:rPr>
        <w:t xml:space="preserve">在活用定额时，应注意厘清 </w:t>
      </w:r>
      <w:r>
        <w:rPr>
          <w:spacing w:val="-2"/>
        </w:rPr>
        <w:t>24</w:t>
      </w:r>
      <w:r>
        <w:rPr>
          <w:spacing w:val="-15"/>
        </w:rPr>
        <w:t xml:space="preserve"> 清单标准和湖北省 </w:t>
      </w:r>
      <w:r>
        <w:rPr>
          <w:spacing w:val="-2"/>
        </w:rPr>
        <w:t>24</w:t>
      </w:r>
      <w:r>
        <w:rPr>
          <w:spacing w:val="-10"/>
        </w:rPr>
        <w:t xml:space="preserve"> 定额的关系。《湖</w:t>
      </w:r>
    </w:p>
    <w:p w14:paraId="4076718A">
      <w:pPr>
        <w:pStyle w:val="4"/>
        <w:spacing w:before="161"/>
        <w:ind w:left="1416"/>
      </w:pPr>
      <w:r>
        <w:rPr>
          <w:spacing w:val="-2"/>
        </w:rPr>
        <w:t>北省房屋建筑与装饰工程消耗量定额及全费用基价表》（2024）</w:t>
      </w:r>
      <w:r>
        <w:rPr>
          <w:spacing w:val="-24"/>
        </w:rPr>
        <w:t xml:space="preserve">等 </w:t>
      </w:r>
      <w:r>
        <w:rPr>
          <w:spacing w:val="-2"/>
        </w:rPr>
        <w:t>9</w:t>
      </w:r>
      <w:r>
        <w:rPr>
          <w:spacing w:val="-16"/>
        </w:rPr>
        <w:t xml:space="preserve"> 项定额</w:t>
      </w:r>
    </w:p>
    <w:p w14:paraId="4AB7FD34">
      <w:pPr>
        <w:pStyle w:val="4"/>
        <w:spacing w:before="160" w:line="364" w:lineRule="auto"/>
        <w:ind w:left="1416" w:right="1011"/>
      </w:pPr>
      <w:r>
        <w:t>（以下简称“24</w:t>
      </w:r>
      <w:r>
        <w:rPr>
          <w:spacing w:val="-6"/>
        </w:rPr>
        <w:t xml:space="preserve"> 定额”</w:t>
      </w:r>
      <w:r>
        <w:t>）发布在先，24</w:t>
      </w:r>
      <w:r>
        <w:rPr>
          <w:spacing w:val="-5"/>
        </w:rPr>
        <w:t xml:space="preserve"> 清单标准发布在后。</w:t>
      </w:r>
      <w:r>
        <w:t>24</w:t>
      </w:r>
      <w:r>
        <w:rPr>
          <w:spacing w:val="-5"/>
        </w:rPr>
        <w:t xml:space="preserve"> 定额各专业册的“总说明”均已注明，该定额依据《建设工程工程量清单计价规范》</w:t>
      </w:r>
      <w:r>
        <w:rPr>
          <w:spacing w:val="-2"/>
        </w:rPr>
        <w:t xml:space="preserve">（GB </w:t>
      </w:r>
      <w:r>
        <w:rPr>
          <w:spacing w:val="-6"/>
        </w:rPr>
        <w:t>50500—2013）（以下简称“2013</w:t>
      </w:r>
      <w:r>
        <w:rPr>
          <w:spacing w:val="-20"/>
        </w:rPr>
        <w:t xml:space="preserve"> 清单”</w:t>
      </w:r>
      <w:r>
        <w:rPr>
          <w:spacing w:val="-6"/>
        </w:rPr>
        <w:t>）</w:t>
      </w:r>
      <w:r>
        <w:rPr>
          <w:spacing w:val="-12"/>
        </w:rPr>
        <w:t xml:space="preserve">编制，其主要配套 </w:t>
      </w:r>
      <w:r>
        <w:rPr>
          <w:spacing w:val="-6"/>
        </w:rPr>
        <w:t>2013</w:t>
      </w:r>
      <w:r>
        <w:rPr>
          <w:spacing w:val="-16"/>
        </w:rPr>
        <w:t xml:space="preserve"> 清单使用。</w:t>
      </w:r>
      <w:r>
        <w:rPr>
          <w:spacing w:val="-3"/>
        </w:rPr>
        <w:t xml:space="preserve">当招标文件或施工合同约定“本工程采用 </w:t>
      </w:r>
      <w:r>
        <w:t>24</w:t>
      </w:r>
      <w:r>
        <w:rPr>
          <w:spacing w:val="-19"/>
        </w:rPr>
        <w:t xml:space="preserve"> 清单和 </w:t>
      </w:r>
      <w:r>
        <w:t>24</w:t>
      </w:r>
      <w:r>
        <w:rPr>
          <w:spacing w:val="-7"/>
        </w:rPr>
        <w:t xml:space="preserve"> 定额进行计价”等类</w:t>
      </w:r>
    </w:p>
    <w:p w14:paraId="3EF5C381">
      <w:pPr>
        <w:pStyle w:val="4"/>
        <w:spacing w:after="0" w:line="364" w:lineRule="auto"/>
        <w:sectPr>
          <w:pgSz w:w="10440" w:h="14740"/>
          <w:pgMar w:top="1100" w:right="0" w:bottom="860" w:left="0" w:header="878" w:footer="676" w:gutter="0"/>
          <w:cols w:space="720" w:num="1"/>
        </w:sectPr>
      </w:pPr>
    </w:p>
    <w:p w14:paraId="5124D807">
      <w:pPr>
        <w:pStyle w:val="4"/>
        <w:spacing w:before="94"/>
      </w:pPr>
    </w:p>
    <w:p w14:paraId="00D15B70">
      <w:pPr>
        <w:pStyle w:val="4"/>
        <w:ind w:left="1132"/>
      </w:pPr>
      <w:r>
        <w:rPr>
          <w:spacing w:val="-2"/>
        </w:rPr>
        <w:t xml:space="preserve">似表述，而无其他相关具体约定时，应注意，此时 </w:t>
      </w:r>
      <w:r>
        <w:t>24</w:t>
      </w:r>
      <w:r>
        <w:rPr>
          <w:spacing w:val="-6"/>
        </w:rPr>
        <w:t xml:space="preserve"> 定额仅起到辅助综合</w:t>
      </w:r>
    </w:p>
    <w:p w14:paraId="152D30E3">
      <w:pPr>
        <w:pStyle w:val="4"/>
        <w:spacing w:before="160"/>
        <w:ind w:left="1132"/>
      </w:pPr>
      <w:r>
        <w:rPr>
          <w:spacing w:val="-4"/>
        </w:rPr>
        <w:t>单价组价作用。24</w:t>
      </w:r>
      <w:r>
        <w:rPr>
          <w:spacing w:val="-20"/>
        </w:rPr>
        <w:t xml:space="preserve"> 清单标准与 </w:t>
      </w:r>
      <w:r>
        <w:rPr>
          <w:spacing w:val="-4"/>
        </w:rPr>
        <w:t>24</w:t>
      </w:r>
      <w:r>
        <w:rPr>
          <w:spacing w:val="-16"/>
        </w:rPr>
        <w:t xml:space="preserve"> 定额不一致之处，应以 </w:t>
      </w:r>
      <w:r>
        <w:rPr>
          <w:spacing w:val="-4"/>
        </w:rPr>
        <w:t>24</w:t>
      </w:r>
      <w:r>
        <w:rPr>
          <w:spacing w:val="-14"/>
        </w:rPr>
        <w:t xml:space="preserve"> 清单标准</w:t>
      </w:r>
      <w:r>
        <w:rPr>
          <w:spacing w:val="-4"/>
        </w:rPr>
        <w:t>（</w:t>
      </w:r>
      <w:r>
        <w:rPr>
          <w:spacing w:val="-7"/>
        </w:rPr>
        <w:t>包括</w:t>
      </w:r>
    </w:p>
    <w:p w14:paraId="79BA6916">
      <w:pPr>
        <w:pStyle w:val="4"/>
        <w:spacing w:before="161"/>
        <w:ind w:left="1132"/>
      </w:pPr>
      <w:r>
        <w:rPr>
          <w:spacing w:val="-5"/>
        </w:rPr>
        <w:t xml:space="preserve">当地建设主管部门发布的配套 </w:t>
      </w:r>
      <w:r>
        <w:t>24</w:t>
      </w:r>
      <w:r>
        <w:rPr>
          <w:spacing w:val="-8"/>
        </w:rPr>
        <w:t xml:space="preserve"> 清单标准应用的各项文件</w:t>
      </w:r>
      <w:r>
        <w:rPr>
          <w:spacing w:val="-53"/>
        </w:rPr>
        <w:t>）</w:t>
      </w:r>
      <w:r>
        <w:rPr>
          <w:spacing w:val="-18"/>
        </w:rPr>
        <w:t>规定为准。《计</w:t>
      </w:r>
    </w:p>
    <w:p w14:paraId="744107D2">
      <w:pPr>
        <w:pStyle w:val="4"/>
        <w:spacing w:before="160" w:line="364" w:lineRule="auto"/>
        <w:ind w:left="1132" w:right="1414"/>
      </w:pPr>
      <w:r>
        <w:rPr>
          <w:spacing w:val="-2"/>
        </w:rPr>
        <w:t xml:space="preserve">价指引》梳理了截至目前我省已发布的部分配套 </w:t>
      </w:r>
      <w:r>
        <w:t>24</w:t>
      </w:r>
      <w:r>
        <w:rPr>
          <w:spacing w:val="-6"/>
        </w:rPr>
        <w:t xml:space="preserve"> 清单标准应用的政策文</w:t>
      </w:r>
      <w:r>
        <w:rPr>
          <w:spacing w:val="-2"/>
        </w:rPr>
        <w:t>件及技术资料，详见第七部分《附录》。</w:t>
      </w:r>
    </w:p>
    <w:p w14:paraId="28B4ACA5">
      <w:pPr>
        <w:pStyle w:val="4"/>
        <w:spacing w:before="158"/>
        <w:ind w:left="1612"/>
      </w:pPr>
      <w:bookmarkStart w:id="6" w:name="三、准确把握清单内涵，助力高质量发展"/>
      <w:bookmarkEnd w:id="6"/>
      <w:bookmarkStart w:id="7" w:name="_bookmark3"/>
      <w:bookmarkEnd w:id="7"/>
      <w:r>
        <w:rPr>
          <w:spacing w:val="-1"/>
        </w:rPr>
        <w:t>三、准确把握清单内涵，助力高质量发展</w:t>
      </w:r>
    </w:p>
    <w:p w14:paraId="100FF06E">
      <w:pPr>
        <w:pStyle w:val="4"/>
        <w:spacing w:before="8"/>
      </w:pPr>
    </w:p>
    <w:p w14:paraId="37FECB32">
      <w:pPr>
        <w:pStyle w:val="4"/>
        <w:spacing w:before="1" w:line="364" w:lineRule="auto"/>
        <w:ind w:left="1132" w:right="1294" w:firstLine="480"/>
      </w:pPr>
      <w:r>
        <w:t>24</w:t>
      </w:r>
      <w:r>
        <w:rPr>
          <w:spacing w:val="-8"/>
        </w:rPr>
        <w:t xml:space="preserve"> 清单并非简单的“版本迭代”，而是一场深刻的“理念革命”。它把</w:t>
      </w:r>
      <w:r>
        <w:rPr>
          <w:spacing w:val="-2"/>
        </w:rPr>
        <w:t>契约写进标准，把市场还给主体，把风险厘定清楚，把监管后置到位。24</w:t>
      </w:r>
      <w:r>
        <w:rPr>
          <w:spacing w:val="80"/>
          <w:w w:val="150"/>
        </w:rPr>
        <w:t xml:space="preserve"> </w:t>
      </w:r>
      <w:r>
        <w:rPr>
          <w:spacing w:val="-2"/>
        </w:rPr>
        <w:t>清单标准的实施，标志着我国工程造价管理进入以契约为基础、以市场为主导的新阶段。通过契约精神的制度化、规范化，构建权责清晰、公平公正的交易秩序。唯有恪守承诺、权责相当、诚信履约，才能构建起长期稳定的合</w:t>
      </w:r>
      <w:r>
        <w:rPr>
          <w:spacing w:val="-16"/>
        </w:rPr>
        <w:t>作关系，有效降低交易成本，减少纠纷与内耗；通过市场化改革的深度推进，</w:t>
      </w:r>
      <w:r>
        <w:rPr>
          <w:spacing w:val="-2"/>
        </w:rPr>
        <w:t>释放企业创新活力，让价格真正反映市场供求关系和企业竞争力。唯有充分放权赋能，让市场在价格形成、资源配置中发挥决定性作用，才能激发企业创新活力，提升工程品质与投资效益。</w:t>
      </w:r>
    </w:p>
    <w:p w14:paraId="7D90DEE5">
      <w:pPr>
        <w:pStyle w:val="4"/>
        <w:spacing w:before="5" w:line="364" w:lineRule="auto"/>
        <w:ind w:left="1132" w:right="1414" w:firstLine="480"/>
      </w:pPr>
      <w:r>
        <w:rPr>
          <w:spacing w:val="-4"/>
        </w:rPr>
        <w:t xml:space="preserve">对我省而言，贯彻 </w:t>
      </w:r>
      <w:r>
        <w:t>24</w:t>
      </w:r>
      <w:r>
        <w:rPr>
          <w:spacing w:val="-6"/>
        </w:rPr>
        <w:t xml:space="preserve"> 清单标准精神，须持续深化“放管服”改革，一</w:t>
      </w:r>
      <w:r>
        <w:rPr>
          <w:spacing w:val="-2"/>
        </w:rPr>
        <w:t>方面进一步扩大市场主体自主计价权，完善市场化价格形成机制；另一方面强化契约履行监管，构建“数据支撑+信用约束”的监管体系。作为造价从业人员，更要切实转变理念，从“定额执行者”转型为“契约管理者、数据分析师、市场侦察兵”，在坚守契约精神的基础上，善用市场化工具，为我省工程造价行业高质量发展提供专业支撑。</w:t>
      </w:r>
    </w:p>
    <w:p w14:paraId="7860C7FD">
      <w:pPr>
        <w:pStyle w:val="4"/>
        <w:spacing w:after="0" w:line="364" w:lineRule="auto"/>
        <w:sectPr>
          <w:pgSz w:w="10440" w:h="14740"/>
          <w:pgMar w:top="1100" w:right="0" w:bottom="860" w:left="0" w:header="878" w:footer="676" w:gutter="0"/>
          <w:cols w:space="720" w:num="1"/>
        </w:sectPr>
      </w:pPr>
    </w:p>
    <w:p w14:paraId="1AC01529">
      <w:pPr>
        <w:pStyle w:val="4"/>
        <w:spacing w:before="19"/>
        <w:rPr>
          <w:sz w:val="32"/>
        </w:rPr>
      </w:pPr>
    </w:p>
    <w:p w14:paraId="26D41BD5">
      <w:pPr>
        <w:pStyle w:val="2"/>
      </w:pPr>
      <w:bookmarkStart w:id="8" w:name="_bookmark4"/>
      <w:bookmarkEnd w:id="8"/>
      <w:bookmarkStart w:id="9" w:name="第二部分  一般规定及计价说明"/>
      <w:bookmarkEnd w:id="9"/>
      <w:r>
        <w:t>第二部分</w:t>
      </w:r>
      <w:r>
        <w:rPr>
          <w:spacing w:val="48"/>
          <w:w w:val="150"/>
        </w:rPr>
        <w:t xml:space="preserve"> </w:t>
      </w:r>
      <w:r>
        <w:rPr>
          <w:spacing w:val="-2"/>
        </w:rPr>
        <w:t>一般规定及计价说明</w:t>
      </w:r>
    </w:p>
    <w:p w14:paraId="03DCABD8">
      <w:pPr>
        <w:pStyle w:val="4"/>
        <w:spacing w:before="88"/>
        <w:rPr>
          <w:sz w:val="32"/>
        </w:rPr>
      </w:pPr>
    </w:p>
    <w:p w14:paraId="70B3BDF5">
      <w:pPr>
        <w:pStyle w:val="4"/>
        <w:ind w:left="1896"/>
      </w:pPr>
      <w:bookmarkStart w:id="10" w:name="一、一般规定"/>
      <w:bookmarkEnd w:id="10"/>
      <w:bookmarkStart w:id="11" w:name="_bookmark5"/>
      <w:bookmarkEnd w:id="11"/>
      <w:r>
        <w:rPr>
          <w:spacing w:val="-2"/>
        </w:rPr>
        <w:t>一、一般规定</w:t>
      </w:r>
    </w:p>
    <w:p w14:paraId="2A14A97F">
      <w:pPr>
        <w:pStyle w:val="4"/>
        <w:spacing w:before="9"/>
      </w:pPr>
    </w:p>
    <w:p w14:paraId="59C266C2">
      <w:pPr>
        <w:pStyle w:val="14"/>
        <w:numPr>
          <w:ilvl w:val="0"/>
          <w:numId w:val="1"/>
        </w:numPr>
        <w:tabs>
          <w:tab w:val="left" w:pos="2138"/>
        </w:tabs>
        <w:spacing w:before="0" w:after="0" w:line="364" w:lineRule="auto"/>
        <w:ind w:left="1416" w:right="1131" w:firstLine="480"/>
        <w:jc w:val="both"/>
        <w:rPr>
          <w:sz w:val="24"/>
        </w:rPr>
      </w:pPr>
      <w:r>
        <w:rPr>
          <w:spacing w:val="-4"/>
          <w:sz w:val="24"/>
        </w:rPr>
        <w:t xml:space="preserve">《计价指引》与 </w:t>
      </w:r>
      <w:r>
        <w:rPr>
          <w:sz w:val="24"/>
        </w:rPr>
        <w:t>24</w:t>
      </w:r>
      <w:r>
        <w:rPr>
          <w:spacing w:val="-6"/>
          <w:sz w:val="24"/>
        </w:rPr>
        <w:t xml:space="preserve"> 清单标准配套使用，适用于湖北省行政区域内新</w:t>
      </w:r>
      <w:r>
        <w:rPr>
          <w:spacing w:val="-2"/>
          <w:sz w:val="24"/>
        </w:rPr>
        <w:t xml:space="preserve">建、扩建和改建工程施工发承包及实施阶段的计价活动，包括编制工程量清单、最高投标限价、投标报价，进行工程结算，以及签订和调整合同价款等活动。施工合同约定执行 </w:t>
      </w:r>
      <w:r>
        <w:rPr>
          <w:sz w:val="24"/>
        </w:rPr>
        <w:t>24</w:t>
      </w:r>
      <w:r>
        <w:rPr>
          <w:spacing w:val="-5"/>
          <w:sz w:val="24"/>
        </w:rPr>
        <w:t xml:space="preserve"> 清单标准的，应同时执行《计价指引》。</w:t>
      </w:r>
    </w:p>
    <w:p w14:paraId="6CDC49A0">
      <w:pPr>
        <w:pStyle w:val="14"/>
        <w:numPr>
          <w:ilvl w:val="0"/>
          <w:numId w:val="1"/>
        </w:numPr>
        <w:tabs>
          <w:tab w:val="left" w:pos="2136"/>
        </w:tabs>
        <w:spacing w:before="3" w:after="0" w:line="364" w:lineRule="auto"/>
        <w:ind w:left="1416" w:right="1131" w:firstLine="480"/>
        <w:jc w:val="both"/>
        <w:rPr>
          <w:sz w:val="24"/>
        </w:rPr>
      </w:pPr>
      <w:r>
        <w:rPr>
          <w:spacing w:val="-2"/>
          <w:sz w:val="24"/>
        </w:rPr>
        <w:t>使用财政资金或国有资金投资的建设工程，应按国家及行业工程量计算标准编制工程量清单，采用工程量清单计价；非使用财政资金或国有投资的建设工程，宜按国家及行业工程量计算标准编制工程量清单，采用工程量清单计价。</w:t>
      </w:r>
    </w:p>
    <w:p w14:paraId="4A4097BC">
      <w:pPr>
        <w:pStyle w:val="14"/>
        <w:numPr>
          <w:ilvl w:val="0"/>
          <w:numId w:val="1"/>
        </w:numPr>
        <w:tabs>
          <w:tab w:val="left" w:pos="2136"/>
        </w:tabs>
        <w:spacing w:before="2" w:after="0" w:line="364" w:lineRule="auto"/>
        <w:ind w:left="1416" w:right="1131" w:firstLine="480"/>
        <w:jc w:val="left"/>
        <w:rPr>
          <w:sz w:val="24"/>
        </w:rPr>
      </w:pPr>
      <w:r>
        <w:rPr>
          <w:spacing w:val="-2"/>
          <w:sz w:val="24"/>
        </w:rPr>
        <w:t>建设工程的计价活动应遵循客观公正、平等自愿、诚实守信、法定优先、有约从约的原则。</w:t>
      </w:r>
    </w:p>
    <w:p w14:paraId="78079550">
      <w:pPr>
        <w:pStyle w:val="14"/>
        <w:numPr>
          <w:ilvl w:val="0"/>
          <w:numId w:val="1"/>
        </w:numPr>
        <w:tabs>
          <w:tab w:val="left" w:pos="2136"/>
        </w:tabs>
        <w:spacing w:before="1" w:after="0" w:line="364" w:lineRule="auto"/>
        <w:ind w:left="1416" w:right="1131" w:firstLine="480"/>
        <w:jc w:val="left"/>
        <w:rPr>
          <w:sz w:val="24"/>
        </w:rPr>
      </w:pPr>
      <w:r>
        <w:rPr>
          <w:spacing w:val="-2"/>
          <w:sz w:val="24"/>
        </w:rPr>
        <w:t>工程量清单应按分部分项工程项目清单、措施项目清单、其他项目清单、增值税分别编制及计价。</w:t>
      </w:r>
    </w:p>
    <w:p w14:paraId="38D6E987">
      <w:pPr>
        <w:pStyle w:val="14"/>
        <w:numPr>
          <w:ilvl w:val="0"/>
          <w:numId w:val="1"/>
        </w:numPr>
        <w:tabs>
          <w:tab w:val="left" w:pos="2143"/>
        </w:tabs>
        <w:spacing w:before="2" w:after="0" w:line="364" w:lineRule="auto"/>
        <w:ind w:left="1416" w:right="1131" w:firstLine="480"/>
        <w:jc w:val="both"/>
        <w:rPr>
          <w:sz w:val="24"/>
        </w:rPr>
      </w:pPr>
      <w:r>
        <w:rPr>
          <w:spacing w:val="3"/>
          <w:sz w:val="24"/>
        </w:rPr>
        <w:t>工程量清单的清单项目综合单价及合价应为不含增值税的税前全费</w:t>
      </w:r>
      <w:r>
        <w:rPr>
          <w:spacing w:val="-6"/>
          <w:sz w:val="24"/>
        </w:rPr>
        <w:t>用价格，由人工费、材料费、施工机具使用费、管理费、利润等组成，包括</w:t>
      </w:r>
      <w:r>
        <w:rPr>
          <w:spacing w:val="-4"/>
          <w:sz w:val="24"/>
        </w:rPr>
        <w:t>相应清单项目约定或合理范围的风险费，以及不可或缺的辅助工作所需的费</w:t>
      </w:r>
      <w:r>
        <w:rPr>
          <w:spacing w:val="-7"/>
          <w:sz w:val="24"/>
        </w:rPr>
        <w:t>用。清单项目的税金应填写在增值税中，但其他项目清单中的专业工程暂估</w:t>
      </w:r>
      <w:r>
        <w:rPr>
          <w:sz w:val="24"/>
        </w:rPr>
        <w:t>价已含增值税，工程量清单的增值税中不应再计取其相应税金。</w:t>
      </w:r>
    </w:p>
    <w:p w14:paraId="326E4A96">
      <w:pPr>
        <w:pStyle w:val="14"/>
        <w:numPr>
          <w:ilvl w:val="0"/>
          <w:numId w:val="1"/>
        </w:numPr>
        <w:tabs>
          <w:tab w:val="left" w:pos="2136"/>
        </w:tabs>
        <w:spacing w:before="3" w:after="0" w:line="364" w:lineRule="auto"/>
        <w:ind w:left="1416" w:right="1011" w:firstLine="480"/>
        <w:jc w:val="left"/>
        <w:rPr>
          <w:sz w:val="24"/>
        </w:rPr>
      </w:pPr>
      <w:r>
        <w:rPr>
          <w:spacing w:val="-2"/>
          <w:sz w:val="24"/>
        </w:rPr>
        <w:t>采用单价合同的工程，分部分项工程项目清单的准确性、完整性应由</w:t>
      </w:r>
      <w:r>
        <w:rPr>
          <w:spacing w:val="-16"/>
          <w:sz w:val="24"/>
        </w:rPr>
        <w:t>发包人负责；采用总价合同的工程，已标价分部分项工程项目清单的准确性、</w:t>
      </w:r>
      <w:r>
        <w:rPr>
          <w:spacing w:val="-2"/>
          <w:sz w:val="24"/>
        </w:rPr>
        <w:t>完整性应由承包人负责。建设工程无论是采用单价合同或总价合同，按项编制的措施项目清单的完整性及准确性均应由承包人负责。</w:t>
      </w:r>
    </w:p>
    <w:p w14:paraId="1E20F23B">
      <w:pPr>
        <w:pStyle w:val="14"/>
        <w:numPr>
          <w:ilvl w:val="0"/>
          <w:numId w:val="1"/>
        </w:numPr>
        <w:tabs>
          <w:tab w:val="left" w:pos="2126"/>
        </w:tabs>
        <w:spacing w:before="2" w:after="0" w:line="240" w:lineRule="auto"/>
        <w:ind w:left="2126" w:right="0" w:hanging="230"/>
        <w:jc w:val="left"/>
        <w:rPr>
          <w:sz w:val="24"/>
        </w:rPr>
      </w:pPr>
      <w:r>
        <w:rPr>
          <w:spacing w:val="-3"/>
          <w:sz w:val="24"/>
        </w:rPr>
        <w:t>《计价指引》中有关安全文明施工费的内容依据《关于贯彻〈建设工</w:t>
      </w:r>
    </w:p>
    <w:p w14:paraId="2AF2C371">
      <w:pPr>
        <w:pStyle w:val="14"/>
        <w:spacing w:after="0" w:line="240" w:lineRule="auto"/>
        <w:jc w:val="left"/>
        <w:rPr>
          <w:sz w:val="24"/>
        </w:rPr>
        <w:sectPr>
          <w:pgSz w:w="10440" w:h="14740"/>
          <w:pgMar w:top="1100" w:right="0" w:bottom="860" w:left="0" w:header="878" w:footer="676" w:gutter="0"/>
          <w:cols w:space="720" w:num="1"/>
        </w:sectPr>
      </w:pPr>
    </w:p>
    <w:p w14:paraId="4F99DE65">
      <w:pPr>
        <w:pStyle w:val="4"/>
        <w:spacing w:before="94"/>
      </w:pPr>
    </w:p>
    <w:p w14:paraId="309F7EE4">
      <w:pPr>
        <w:pStyle w:val="4"/>
        <w:spacing w:line="364" w:lineRule="auto"/>
        <w:ind w:left="1132" w:right="1414"/>
        <w:jc w:val="both"/>
      </w:pPr>
      <w:r>
        <w:rPr>
          <w:spacing w:val="-2"/>
        </w:rPr>
        <w:t>程工程量清单计价标准〉（GB/T 50500—2024）安全文明施工费有关事项的</w:t>
      </w:r>
      <w:r>
        <w:t>通知》（鄂建标定〔2025〕11</w:t>
      </w:r>
      <w:r>
        <w:rPr>
          <w:spacing w:val="-15"/>
        </w:rPr>
        <w:t xml:space="preserve"> 号</w:t>
      </w:r>
      <w:r>
        <w:t>）（以下简称“11</w:t>
      </w:r>
      <w:r>
        <w:rPr>
          <w:spacing w:val="-10"/>
        </w:rPr>
        <w:t xml:space="preserve"> 号文</w:t>
      </w:r>
      <w:r>
        <w:t>”）编写。若后续</w:t>
      </w:r>
      <w:r>
        <w:rPr>
          <w:spacing w:val="-2"/>
        </w:rPr>
        <w:t>发布新的相关规定，应按最新发布文件执行。</w:t>
      </w:r>
    </w:p>
    <w:p w14:paraId="7A1D3952">
      <w:pPr>
        <w:pStyle w:val="14"/>
        <w:numPr>
          <w:ilvl w:val="0"/>
          <w:numId w:val="1"/>
        </w:numPr>
        <w:tabs>
          <w:tab w:val="left" w:pos="1854"/>
        </w:tabs>
        <w:spacing w:before="2" w:after="0" w:line="364" w:lineRule="auto"/>
        <w:ind w:left="1132" w:right="1294" w:firstLine="480"/>
        <w:jc w:val="both"/>
        <w:rPr>
          <w:sz w:val="24"/>
        </w:rPr>
      </w:pPr>
      <w:r>
        <w:rPr>
          <w:spacing w:val="1"/>
          <w:sz w:val="24"/>
        </w:rPr>
        <w:t>发包人应按照《国务院办公厅转发住房城乡建设部&lt;关于进一步加强</w:t>
      </w:r>
      <w:r>
        <w:rPr>
          <w:sz w:val="24"/>
        </w:rPr>
        <w:t>城市建筑垃圾治理的意见&gt;的通知》（国办函〔2025〕57</w:t>
      </w:r>
      <w:r>
        <w:rPr>
          <w:spacing w:val="-29"/>
          <w:sz w:val="24"/>
        </w:rPr>
        <w:t xml:space="preserve"> 号</w:t>
      </w:r>
      <w:r>
        <w:rPr>
          <w:sz w:val="24"/>
        </w:rPr>
        <w:t>）、《国务院关</w:t>
      </w:r>
      <w:r>
        <w:rPr>
          <w:spacing w:val="-2"/>
          <w:sz w:val="24"/>
        </w:rPr>
        <w:t>于印发&lt;固体废物综合治理行动计划&gt;的通知》</w:t>
      </w:r>
      <w:r>
        <w:rPr>
          <w:sz w:val="24"/>
        </w:rPr>
        <w:t>（</w:t>
      </w:r>
      <w:r>
        <w:rPr>
          <w:spacing w:val="-8"/>
          <w:sz w:val="24"/>
        </w:rPr>
        <w:t>国发〔</w:t>
      </w:r>
      <w:r>
        <w:rPr>
          <w:sz w:val="24"/>
        </w:rPr>
        <w:t>2025</w:t>
      </w:r>
      <w:r>
        <w:rPr>
          <w:spacing w:val="-20"/>
          <w:sz w:val="24"/>
        </w:rPr>
        <w:t>〕</w:t>
      </w:r>
      <w:r>
        <w:rPr>
          <w:sz w:val="24"/>
        </w:rPr>
        <w:t>14</w:t>
      </w:r>
      <w:r>
        <w:rPr>
          <w:spacing w:val="-30"/>
          <w:sz w:val="24"/>
        </w:rPr>
        <w:t xml:space="preserve"> 号</w:t>
      </w:r>
      <w:r>
        <w:rPr>
          <w:spacing w:val="-20"/>
          <w:sz w:val="24"/>
        </w:rPr>
        <w:t>）</w:t>
      </w:r>
      <w:r>
        <w:rPr>
          <w:sz w:val="24"/>
        </w:rPr>
        <w:t>以及我</w:t>
      </w:r>
      <w:r>
        <w:rPr>
          <w:spacing w:val="-2"/>
          <w:sz w:val="24"/>
        </w:rPr>
        <w:t>省有关规定，将建筑垃圾</w:t>
      </w:r>
      <w:r>
        <w:rPr>
          <w:sz w:val="24"/>
        </w:rPr>
        <w:t>（</w:t>
      </w:r>
      <w:r>
        <w:rPr>
          <w:spacing w:val="-5"/>
          <w:sz w:val="24"/>
        </w:rPr>
        <w:t>工程渣土、工程泥浆、工程垃圾、拆除垃圾、装修垃圾</w:t>
      </w:r>
      <w:r>
        <w:rPr>
          <w:spacing w:val="-8"/>
          <w:sz w:val="24"/>
        </w:rPr>
        <w:t>）</w:t>
      </w:r>
      <w:r>
        <w:rPr>
          <w:spacing w:val="-7"/>
          <w:sz w:val="24"/>
        </w:rPr>
        <w:t>减量、运输、利用、处置所需费用列入工程造价，在工程招标和施</w:t>
      </w:r>
      <w:r>
        <w:rPr>
          <w:spacing w:val="-9"/>
          <w:sz w:val="24"/>
        </w:rPr>
        <w:t>工设计中明确减量要求和措施。招标人、投标人需要时可结合项目实际及具</w:t>
      </w:r>
      <w:r>
        <w:rPr>
          <w:spacing w:val="-17"/>
          <w:sz w:val="24"/>
        </w:rPr>
        <w:t>体实施内容增补相关清单项，增补原则见本《计价指引》“补充清单”部分。</w:t>
      </w:r>
    </w:p>
    <w:p w14:paraId="1AF9B6DB">
      <w:pPr>
        <w:pStyle w:val="4"/>
        <w:spacing w:before="160"/>
        <w:ind w:left="1612"/>
      </w:pPr>
      <w:bookmarkStart w:id="12" w:name="二、分部分项工程项目清单"/>
      <w:bookmarkEnd w:id="12"/>
      <w:bookmarkStart w:id="13" w:name="_bookmark6"/>
      <w:bookmarkEnd w:id="13"/>
      <w:r>
        <w:rPr>
          <w:spacing w:val="-1"/>
        </w:rPr>
        <w:t>二、分部分项工程项目清单</w:t>
      </w:r>
    </w:p>
    <w:p w14:paraId="733CB91A">
      <w:pPr>
        <w:pStyle w:val="4"/>
        <w:spacing w:before="9"/>
      </w:pPr>
    </w:p>
    <w:p w14:paraId="540F9FCF">
      <w:pPr>
        <w:pStyle w:val="4"/>
        <w:spacing w:line="364" w:lineRule="auto"/>
        <w:ind w:left="1132" w:right="1414" w:firstLine="480"/>
      </w:pPr>
      <w:r>
        <w:rPr>
          <w:spacing w:val="-2"/>
        </w:rPr>
        <w:t>（一）综合单价中的人工费、材料费、施工机具使用费、管理费、利润应按下列规定计价。</w:t>
      </w:r>
    </w:p>
    <w:p w14:paraId="471BA47B">
      <w:pPr>
        <w:pStyle w:val="14"/>
        <w:numPr>
          <w:ilvl w:val="0"/>
          <w:numId w:val="2"/>
        </w:numPr>
        <w:tabs>
          <w:tab w:val="left" w:pos="1852"/>
        </w:tabs>
        <w:spacing w:before="1" w:after="0" w:line="364" w:lineRule="auto"/>
        <w:ind w:left="1132" w:right="1174" w:firstLine="480"/>
        <w:jc w:val="left"/>
        <w:rPr>
          <w:sz w:val="24"/>
        </w:rPr>
      </w:pPr>
      <w:r>
        <w:rPr>
          <w:spacing w:val="-2"/>
          <w:sz w:val="24"/>
        </w:rPr>
        <w:t>人工费：是指直接从事建筑安装工程施工的生产工人开支的各项费用，内容包括：</w:t>
      </w:r>
    </w:p>
    <w:p w14:paraId="7E5F5C2E">
      <w:pPr>
        <w:pStyle w:val="14"/>
        <w:numPr>
          <w:ilvl w:val="0"/>
          <w:numId w:val="3"/>
        </w:numPr>
        <w:tabs>
          <w:tab w:val="left" w:pos="2220"/>
        </w:tabs>
        <w:spacing w:before="1" w:after="0" w:line="364" w:lineRule="auto"/>
        <w:ind w:left="1132" w:right="1414" w:firstLine="480"/>
        <w:jc w:val="left"/>
        <w:rPr>
          <w:sz w:val="24"/>
        </w:rPr>
      </w:pPr>
      <w:r>
        <w:rPr>
          <w:spacing w:val="-2"/>
          <w:sz w:val="24"/>
        </w:rPr>
        <w:t>计时工资或计件工资：是指按计时工资标准和工作时间或对已做工作按计件单价支付给个人的劳动报酬。</w:t>
      </w:r>
    </w:p>
    <w:p w14:paraId="7266D1E6">
      <w:pPr>
        <w:pStyle w:val="14"/>
        <w:numPr>
          <w:ilvl w:val="0"/>
          <w:numId w:val="3"/>
        </w:numPr>
        <w:tabs>
          <w:tab w:val="left" w:pos="2220"/>
        </w:tabs>
        <w:spacing w:before="0" w:after="0" w:line="230" w:lineRule="exact"/>
        <w:ind w:left="2220" w:right="0" w:hanging="608"/>
        <w:jc w:val="left"/>
        <w:rPr>
          <w:sz w:val="24"/>
        </w:rPr>
      </w:pPr>
      <w:r>
        <w:rPr>
          <w:spacing w:val="-1"/>
          <w:sz w:val="24"/>
        </w:rPr>
        <w:t>奖金：是指对超额劳动和增收节支支付的劳动报酬。如节约奖、</w:t>
      </w:r>
    </w:p>
    <w:p w14:paraId="47C3CC42">
      <w:pPr>
        <w:pStyle w:val="4"/>
        <w:spacing w:before="161"/>
        <w:ind w:left="1132"/>
      </w:pPr>
      <w:r>
        <w:rPr>
          <w:spacing w:val="-2"/>
        </w:rPr>
        <w:t>劳动竞赛奖等。</w:t>
      </w:r>
    </w:p>
    <w:p w14:paraId="0A05F254">
      <w:pPr>
        <w:pStyle w:val="14"/>
        <w:numPr>
          <w:ilvl w:val="0"/>
          <w:numId w:val="3"/>
        </w:numPr>
        <w:tabs>
          <w:tab w:val="left" w:pos="2220"/>
        </w:tabs>
        <w:spacing w:before="158" w:after="0" w:line="364" w:lineRule="auto"/>
        <w:ind w:left="1132" w:right="1414" w:firstLine="480"/>
        <w:jc w:val="both"/>
        <w:rPr>
          <w:sz w:val="24"/>
        </w:rPr>
      </w:pPr>
      <w:r>
        <w:rPr>
          <w:spacing w:val="-2"/>
          <w:sz w:val="24"/>
        </w:rPr>
        <w:t>津贴、补贴：是指为了补偿职工特殊或额外的劳动消耗和因其他特殊原因支付给个人的津贴，以及为了保证职工工资水平不受物价影响支付给个人的物价补贴。如流动施工津贴、特殊地区施工津贴、高温（寒）作业临时津贴、高空津贴等。</w:t>
      </w:r>
    </w:p>
    <w:p w14:paraId="09CD013B">
      <w:pPr>
        <w:pStyle w:val="14"/>
        <w:numPr>
          <w:ilvl w:val="0"/>
          <w:numId w:val="3"/>
        </w:numPr>
        <w:tabs>
          <w:tab w:val="left" w:pos="2220"/>
        </w:tabs>
        <w:spacing w:before="0" w:after="0" w:line="364" w:lineRule="auto"/>
        <w:ind w:left="1132" w:right="1414" w:firstLine="480"/>
        <w:jc w:val="left"/>
        <w:rPr>
          <w:sz w:val="24"/>
        </w:rPr>
      </w:pPr>
      <w:r>
        <w:rPr>
          <w:spacing w:val="-2"/>
          <w:sz w:val="24"/>
        </w:rPr>
        <w:t>加班加点工资：是指按规定支付的在法定节假日工作的加班工资和在法定日工作时间外延时工作的加点工资。</w:t>
      </w:r>
    </w:p>
    <w:p w14:paraId="2DE5D3AA">
      <w:pPr>
        <w:pStyle w:val="14"/>
        <w:spacing w:after="0" w:line="364" w:lineRule="auto"/>
        <w:jc w:val="left"/>
        <w:rPr>
          <w:sz w:val="24"/>
        </w:rPr>
        <w:sectPr>
          <w:pgSz w:w="10440" w:h="14740"/>
          <w:pgMar w:top="1100" w:right="0" w:bottom="860" w:left="0" w:header="878" w:footer="676" w:gutter="0"/>
          <w:cols w:space="720" w:num="1"/>
        </w:sectPr>
      </w:pPr>
    </w:p>
    <w:p w14:paraId="100249EE">
      <w:pPr>
        <w:pStyle w:val="4"/>
        <w:spacing w:before="15"/>
      </w:pPr>
    </w:p>
    <w:p w14:paraId="2FAFAFA7">
      <w:pPr>
        <w:pStyle w:val="14"/>
        <w:numPr>
          <w:ilvl w:val="0"/>
          <w:numId w:val="3"/>
        </w:numPr>
        <w:tabs>
          <w:tab w:val="left" w:pos="2504"/>
        </w:tabs>
        <w:spacing w:before="0" w:after="0" w:line="364" w:lineRule="auto"/>
        <w:ind w:left="1416" w:right="1131" w:firstLine="480"/>
        <w:jc w:val="both"/>
        <w:rPr>
          <w:sz w:val="24"/>
        </w:rPr>
      </w:pPr>
      <w:r>
        <w:rPr>
          <w:spacing w:val="-2"/>
          <w:sz w:val="24"/>
        </w:rPr>
        <w:t>特殊情况下支付的工资：是指根据国家法律、法规和政策规定，因病、工伤、产假、计划生育假、婚丧假、事假、探亲假、定期休假、停工学习、执行国家或社会义务等原因按计时工资标准或计时工资标准的一定比例支付的工资。</w:t>
      </w:r>
    </w:p>
    <w:p w14:paraId="487FD94F">
      <w:pPr>
        <w:pStyle w:val="14"/>
        <w:numPr>
          <w:ilvl w:val="0"/>
          <w:numId w:val="3"/>
        </w:numPr>
        <w:tabs>
          <w:tab w:val="left" w:pos="2504"/>
        </w:tabs>
        <w:spacing w:before="0" w:after="0" w:line="364" w:lineRule="auto"/>
        <w:ind w:left="1416" w:right="1131" w:firstLine="480"/>
        <w:jc w:val="left"/>
        <w:rPr>
          <w:sz w:val="24"/>
        </w:rPr>
      </w:pPr>
      <w:r>
        <w:rPr>
          <w:spacing w:val="-2"/>
          <w:sz w:val="24"/>
        </w:rPr>
        <w:t>生产工人五险一金：是指从事建筑安装工程施工的生产工人的养老保险、医疗保险（含生育保险）、失业保险、工伤保险及住房公积金。</w:t>
      </w:r>
    </w:p>
    <w:p w14:paraId="3AD5014A">
      <w:pPr>
        <w:pStyle w:val="14"/>
        <w:numPr>
          <w:ilvl w:val="0"/>
          <w:numId w:val="2"/>
        </w:numPr>
        <w:tabs>
          <w:tab w:val="left" w:pos="2136"/>
        </w:tabs>
        <w:spacing w:before="75" w:after="0" w:line="364" w:lineRule="auto"/>
        <w:ind w:left="1416" w:right="1094" w:firstLine="480"/>
        <w:jc w:val="left"/>
        <w:rPr>
          <w:sz w:val="24"/>
        </w:rPr>
      </w:pPr>
      <w:r>
        <w:rPr>
          <w:spacing w:val="-2"/>
          <w:sz w:val="24"/>
        </w:rPr>
        <w:t>材料费：是指施工过程中耗费的原材料、辅助材料、构配件、零件、半成品或成品、工程设备的到场价格。内容包括：</w:t>
      </w:r>
    </w:p>
    <w:p w14:paraId="6737C429">
      <w:pPr>
        <w:pStyle w:val="14"/>
        <w:numPr>
          <w:ilvl w:val="0"/>
          <w:numId w:val="4"/>
        </w:numPr>
        <w:tabs>
          <w:tab w:val="left" w:pos="2504"/>
        </w:tabs>
        <w:spacing w:before="2" w:after="0" w:line="364" w:lineRule="auto"/>
        <w:ind w:left="1416" w:right="1131" w:firstLine="480"/>
        <w:jc w:val="left"/>
        <w:rPr>
          <w:sz w:val="24"/>
        </w:rPr>
      </w:pPr>
      <w:r>
        <w:rPr>
          <w:spacing w:val="-2"/>
          <w:sz w:val="24"/>
        </w:rPr>
        <w:t>材料原价：是指材料的出厂价或商家供应价格。进口材料的原价按有关规定计算。</w:t>
      </w:r>
    </w:p>
    <w:p w14:paraId="77D7179E">
      <w:pPr>
        <w:pStyle w:val="4"/>
        <w:spacing w:before="1" w:line="364" w:lineRule="auto"/>
        <w:ind w:left="1416" w:right="1131" w:firstLine="480"/>
      </w:pPr>
      <w:r>
        <w:rPr>
          <w:spacing w:val="-2"/>
        </w:rPr>
        <w:t>工程设备是指构成或计划构成永久工程一部分的机电设备、金属结构设备、仪器装置及其他类似的设备和装置。</w:t>
      </w:r>
    </w:p>
    <w:p w14:paraId="7DE2E6FD">
      <w:pPr>
        <w:pStyle w:val="14"/>
        <w:numPr>
          <w:ilvl w:val="0"/>
          <w:numId w:val="4"/>
        </w:numPr>
        <w:tabs>
          <w:tab w:val="left" w:pos="2504"/>
        </w:tabs>
        <w:spacing w:before="1" w:after="0" w:line="364" w:lineRule="auto"/>
        <w:ind w:left="1416" w:right="1133" w:firstLine="480"/>
        <w:jc w:val="left"/>
        <w:rPr>
          <w:sz w:val="24"/>
        </w:rPr>
      </w:pPr>
      <w:r>
        <w:rPr>
          <w:spacing w:val="-2"/>
          <w:sz w:val="24"/>
        </w:rPr>
        <w:t>材料运杂费：是指材料、工程设备自来源地运至工地仓库或指定堆放地点所发生的全部费用。</w:t>
      </w:r>
    </w:p>
    <w:p w14:paraId="41B2CD80">
      <w:pPr>
        <w:pStyle w:val="14"/>
        <w:numPr>
          <w:ilvl w:val="0"/>
          <w:numId w:val="4"/>
        </w:numPr>
        <w:tabs>
          <w:tab w:val="left" w:pos="2496"/>
        </w:tabs>
        <w:spacing w:before="1" w:after="0" w:line="240" w:lineRule="auto"/>
        <w:ind w:left="2496" w:right="0" w:hanging="600"/>
        <w:jc w:val="left"/>
        <w:rPr>
          <w:sz w:val="24"/>
        </w:rPr>
      </w:pPr>
      <w:r>
        <w:rPr>
          <w:spacing w:val="-1"/>
          <w:sz w:val="24"/>
        </w:rPr>
        <w:t>运输损耗费：是指材料在运输装卸过程中不可避免的损耗。</w:t>
      </w:r>
    </w:p>
    <w:p w14:paraId="658C542A">
      <w:pPr>
        <w:pStyle w:val="14"/>
        <w:numPr>
          <w:ilvl w:val="0"/>
          <w:numId w:val="4"/>
        </w:numPr>
        <w:tabs>
          <w:tab w:val="left" w:pos="2504"/>
        </w:tabs>
        <w:spacing w:before="161" w:after="0" w:line="364" w:lineRule="auto"/>
        <w:ind w:left="1416" w:right="1133" w:firstLine="480"/>
        <w:jc w:val="left"/>
        <w:rPr>
          <w:sz w:val="24"/>
        </w:rPr>
      </w:pPr>
      <w:r>
        <w:rPr>
          <w:spacing w:val="-2"/>
          <w:sz w:val="24"/>
        </w:rPr>
        <w:t>采购及保管费：是指为组织采购、供应和保管材料、工程设备过程中所需要的各项费用。包括采购费、仓储费、工地保管费、仓储损耗。</w:t>
      </w:r>
    </w:p>
    <w:p w14:paraId="7C688805">
      <w:pPr>
        <w:pStyle w:val="4"/>
        <w:spacing w:before="1" w:line="364" w:lineRule="auto"/>
        <w:ind w:left="1416" w:right="1131" w:firstLine="480"/>
      </w:pPr>
      <w:r>
        <w:rPr>
          <w:spacing w:val="-2"/>
        </w:rPr>
        <w:t>材料单价=[（材料原价+运杂费）×（1+运输损耗率）]×（1+采购保管</w:t>
      </w:r>
      <w:r>
        <w:rPr>
          <w:spacing w:val="-4"/>
        </w:rPr>
        <w:t>费率）</w:t>
      </w:r>
    </w:p>
    <w:p w14:paraId="3567132F">
      <w:pPr>
        <w:pStyle w:val="4"/>
        <w:spacing w:before="1" w:line="364" w:lineRule="auto"/>
        <w:ind w:left="1416" w:right="1131" w:firstLine="480"/>
      </w:pPr>
      <w:r>
        <w:rPr>
          <w:spacing w:val="-2"/>
        </w:rPr>
        <w:t>发包人提供材料的材料费（承包人自身应承担的安装损耗除外）不计入综合单价，仅作为计取总承包服务费的基础。</w:t>
      </w:r>
    </w:p>
    <w:p w14:paraId="2E7090A3">
      <w:pPr>
        <w:pStyle w:val="14"/>
        <w:numPr>
          <w:ilvl w:val="0"/>
          <w:numId w:val="2"/>
        </w:numPr>
        <w:tabs>
          <w:tab w:val="left" w:pos="2136"/>
        </w:tabs>
        <w:spacing w:before="1" w:after="0" w:line="364" w:lineRule="auto"/>
        <w:ind w:left="1416" w:right="1131" w:firstLine="480"/>
        <w:jc w:val="left"/>
        <w:rPr>
          <w:sz w:val="24"/>
        </w:rPr>
      </w:pPr>
      <w:r>
        <w:rPr>
          <w:spacing w:val="-2"/>
          <w:sz w:val="24"/>
        </w:rPr>
        <w:t>施工机具使用费：是指施工作业所发生的施工机械、仪器仪表使用费或其租赁费。</w:t>
      </w:r>
    </w:p>
    <w:p w14:paraId="23D8AC24">
      <w:pPr>
        <w:pStyle w:val="14"/>
        <w:numPr>
          <w:ilvl w:val="0"/>
          <w:numId w:val="5"/>
        </w:numPr>
        <w:tabs>
          <w:tab w:val="left" w:pos="2504"/>
        </w:tabs>
        <w:spacing w:before="1" w:after="0" w:line="364" w:lineRule="auto"/>
        <w:ind w:left="1416" w:right="1131" w:firstLine="480"/>
        <w:jc w:val="left"/>
        <w:rPr>
          <w:sz w:val="24"/>
        </w:rPr>
      </w:pPr>
      <w:r>
        <w:rPr>
          <w:spacing w:val="-2"/>
          <w:sz w:val="24"/>
        </w:rPr>
        <w:t>施工机械使用费：以施工机械台班耗用量乘以台班单价表示，施工机械台班单价应由下列七项费用组成：</w:t>
      </w:r>
    </w:p>
    <w:p w14:paraId="7BB977E1">
      <w:pPr>
        <w:pStyle w:val="14"/>
        <w:spacing w:after="0" w:line="364" w:lineRule="auto"/>
        <w:jc w:val="left"/>
        <w:rPr>
          <w:sz w:val="24"/>
        </w:rPr>
        <w:sectPr>
          <w:pgSz w:w="10440" w:h="14740"/>
          <w:pgMar w:top="1100" w:right="0" w:bottom="860" w:left="0" w:header="878" w:footer="676" w:gutter="0"/>
          <w:cols w:space="720" w:num="1"/>
        </w:sectPr>
      </w:pPr>
    </w:p>
    <w:p w14:paraId="7AD88B97">
      <w:pPr>
        <w:pStyle w:val="4"/>
        <w:spacing w:before="94"/>
      </w:pPr>
    </w:p>
    <w:p w14:paraId="36E283BA">
      <w:pPr>
        <w:pStyle w:val="4"/>
        <w:ind w:left="1612"/>
      </w:pPr>
      <w:r>
        <w:rPr>
          <w:spacing w:val="-13"/>
        </w:rPr>
        <w:t>①折旧费：指施工机械在规定的耐用总台班内，陆续收回其原值的费用。</w:t>
      </w:r>
    </w:p>
    <w:p w14:paraId="47767FBC">
      <w:pPr>
        <w:pStyle w:val="4"/>
        <w:spacing w:before="160" w:line="364" w:lineRule="auto"/>
        <w:ind w:left="1132" w:right="1414" w:firstLine="480"/>
      </w:pPr>
      <w:r>
        <w:rPr>
          <w:spacing w:val="-2"/>
        </w:rPr>
        <w:t>②检修费：指施工机械在规定的耐用总台班内，按规定的检修间隔进行必要的检修，以恢复其正常功能所需的费用。</w:t>
      </w:r>
    </w:p>
    <w:p w14:paraId="433D0B9F">
      <w:pPr>
        <w:pStyle w:val="4"/>
        <w:spacing w:before="2" w:line="364" w:lineRule="auto"/>
        <w:ind w:left="1132" w:right="1414" w:firstLine="480"/>
        <w:jc w:val="both"/>
      </w:pPr>
      <w:r>
        <w:rPr>
          <w:spacing w:val="-2"/>
        </w:rPr>
        <w:t>③维护费：指施工机械在规定的耐用总台班内，按规定的维护间隔进行各级维护和临时故障排除所需的费用。保障机械正常运转所需替换设备与随机配备工具附具的摊销费用、机械运转及日常维护所需润滑与擦拭的材料费用及机械停滞期间的维护费用等。</w:t>
      </w:r>
    </w:p>
    <w:p w14:paraId="18D1B8AB">
      <w:pPr>
        <w:pStyle w:val="4"/>
        <w:spacing w:before="2" w:line="364" w:lineRule="auto"/>
        <w:ind w:left="1132" w:right="1414" w:firstLine="480"/>
        <w:jc w:val="both"/>
      </w:pPr>
      <w:r>
        <w:rPr>
          <w:spacing w:val="-2"/>
        </w:rPr>
        <w:t>④安拆费及场外运费：安拆费指施工机械在现场进行安装与拆卸所需的人工、材料、机械和试运转费用以及机械辅助设施的折旧、搭设、拆除等费用；场外运费指施工机械整体或分体自停放地点运至施工现场或由一施工地点运至另一施工地点的运输、装卸、辅助材料等费用。</w:t>
      </w:r>
    </w:p>
    <w:p w14:paraId="0B550F72">
      <w:pPr>
        <w:pStyle w:val="4"/>
        <w:spacing w:before="2" w:line="364" w:lineRule="auto"/>
        <w:ind w:left="1132" w:right="1414" w:firstLine="480"/>
      </w:pPr>
      <w:r>
        <w:rPr>
          <w:spacing w:val="-2"/>
        </w:rPr>
        <w:t>工地间移动较为频繁的小型机械及部分机械的安拆费及场外运费，已包含在机械台班单价中。</w:t>
      </w:r>
    </w:p>
    <w:p w14:paraId="7741F698">
      <w:pPr>
        <w:pStyle w:val="4"/>
        <w:spacing w:before="2"/>
        <w:ind w:left="1612"/>
      </w:pPr>
      <w:r>
        <w:t>⑤人工费：指机上司机（司炉）</w:t>
      </w:r>
      <w:r>
        <w:rPr>
          <w:spacing w:val="-1"/>
        </w:rPr>
        <w:t>和其他操作人员的人工费。</w:t>
      </w:r>
    </w:p>
    <w:p w14:paraId="7D916A06">
      <w:pPr>
        <w:pStyle w:val="4"/>
        <w:spacing w:before="160" w:line="364" w:lineRule="auto"/>
        <w:ind w:left="1132" w:right="1414" w:firstLine="480"/>
      </w:pPr>
      <w:r>
        <w:rPr>
          <w:spacing w:val="-2"/>
        </w:rPr>
        <w:t>⑥燃料动力费：指施工机械在运转作业中所消耗的各种燃料及水、电等</w:t>
      </w:r>
      <w:r>
        <w:rPr>
          <w:spacing w:val="-4"/>
        </w:rPr>
        <w:t>费用。</w:t>
      </w:r>
    </w:p>
    <w:p w14:paraId="4F27CC43">
      <w:pPr>
        <w:pStyle w:val="4"/>
        <w:spacing w:before="1" w:line="364" w:lineRule="auto"/>
        <w:ind w:left="1132" w:right="1414" w:firstLine="480"/>
      </w:pPr>
      <w:r>
        <w:rPr>
          <w:spacing w:val="-2"/>
        </w:rPr>
        <w:t>⑦其他费：指施工机械按照国家规定应交纳的车船税、保险费及检测费</w:t>
      </w:r>
      <w:r>
        <w:rPr>
          <w:spacing w:val="-6"/>
        </w:rPr>
        <w:t>等。</w:t>
      </w:r>
    </w:p>
    <w:p w14:paraId="08A83467">
      <w:pPr>
        <w:pStyle w:val="14"/>
        <w:numPr>
          <w:ilvl w:val="0"/>
          <w:numId w:val="5"/>
        </w:numPr>
        <w:tabs>
          <w:tab w:val="left" w:pos="2220"/>
        </w:tabs>
        <w:spacing w:before="2" w:after="0" w:line="364" w:lineRule="auto"/>
        <w:ind w:left="1132" w:right="1414" w:firstLine="480"/>
        <w:jc w:val="left"/>
        <w:rPr>
          <w:sz w:val="24"/>
        </w:rPr>
      </w:pPr>
      <w:r>
        <w:rPr>
          <w:spacing w:val="-2"/>
          <w:sz w:val="24"/>
        </w:rPr>
        <w:t>仪器仪表使用费：是指工程施工所需使用的仪器仪表的折旧费、维护费、校验费、动力费。</w:t>
      </w:r>
    </w:p>
    <w:p w14:paraId="586E7423">
      <w:pPr>
        <w:pStyle w:val="14"/>
        <w:numPr>
          <w:ilvl w:val="0"/>
          <w:numId w:val="2"/>
        </w:numPr>
        <w:tabs>
          <w:tab w:val="left" w:pos="1852"/>
        </w:tabs>
        <w:spacing w:before="1" w:after="0" w:line="364" w:lineRule="auto"/>
        <w:ind w:left="1132" w:right="1414" w:firstLine="480"/>
        <w:jc w:val="left"/>
        <w:rPr>
          <w:sz w:val="24"/>
        </w:rPr>
      </w:pPr>
      <w:r>
        <w:rPr>
          <w:spacing w:val="-2"/>
          <w:sz w:val="24"/>
        </w:rPr>
        <w:t>管理费：是指建筑安装企业组织施工生产和经营管理所需费用。内容</w:t>
      </w:r>
      <w:r>
        <w:rPr>
          <w:spacing w:val="-4"/>
          <w:sz w:val="24"/>
        </w:rPr>
        <w:t>包括：</w:t>
      </w:r>
    </w:p>
    <w:p w14:paraId="4D019306">
      <w:pPr>
        <w:pStyle w:val="4"/>
        <w:spacing w:before="1" w:line="364" w:lineRule="auto"/>
        <w:ind w:left="1132" w:right="1414" w:firstLine="480"/>
        <w:jc w:val="both"/>
      </w:pPr>
      <w:r>
        <w:rPr>
          <w:spacing w:val="-2"/>
        </w:rPr>
        <w:t>①管理人员工资：是指支付管理人员的工资、奖金、津贴补贴、加班加点工资及特殊情况下支付的工资、社会保险（养老保险费、失业保险费、医疗保险费、生育保险费、工伤保险费）和住房公积金等。</w:t>
      </w:r>
    </w:p>
    <w:p w14:paraId="7280875E">
      <w:pPr>
        <w:pStyle w:val="4"/>
        <w:spacing w:after="0" w:line="364" w:lineRule="auto"/>
        <w:jc w:val="both"/>
        <w:sectPr>
          <w:pgSz w:w="10440" w:h="14740"/>
          <w:pgMar w:top="1100" w:right="0" w:bottom="860" w:left="0" w:header="878" w:footer="676" w:gutter="0"/>
          <w:cols w:space="720" w:num="1"/>
        </w:sectPr>
      </w:pPr>
    </w:p>
    <w:p w14:paraId="3246C8BA">
      <w:pPr>
        <w:pStyle w:val="4"/>
        <w:spacing w:before="94"/>
      </w:pPr>
    </w:p>
    <w:p w14:paraId="6424CB5F">
      <w:pPr>
        <w:pStyle w:val="4"/>
        <w:spacing w:line="364" w:lineRule="auto"/>
        <w:ind w:left="1416" w:right="1131" w:firstLine="480"/>
        <w:jc w:val="both"/>
      </w:pPr>
      <w:r>
        <w:rPr>
          <w:spacing w:val="-2"/>
        </w:rPr>
        <w:t>②办公费：是指企业管理办公用的文具、纸张、账表、印刷、邮电、书报、办公软件、现场监控、会议、水电、烧水和集体取暖降温（包括现场临时宿舍取暖降温）等费用。</w:t>
      </w:r>
    </w:p>
    <w:p w14:paraId="7249F03C">
      <w:pPr>
        <w:pStyle w:val="4"/>
        <w:spacing w:before="2" w:line="364" w:lineRule="auto"/>
        <w:ind w:left="1416" w:right="1094" w:firstLine="480"/>
        <w:jc w:val="both"/>
      </w:pPr>
      <w:r>
        <w:rPr>
          <w:spacing w:val="-2"/>
        </w:rPr>
        <w:t>③差旅交通费：是指职工因公出差、调动工作的差旅费、住勤补助费，市内交通费和误餐补助费，职工探亲路费，劳动力招募费，职工退休、退职一次性路费，工伤人员就医路费，工地转移费以及管理部门使用的交通工具的油料、燃料等费用。</w:t>
      </w:r>
    </w:p>
    <w:p w14:paraId="36BC6C6B">
      <w:pPr>
        <w:pStyle w:val="4"/>
        <w:spacing w:before="2" w:line="364" w:lineRule="auto"/>
        <w:ind w:left="1416" w:right="1131" w:firstLine="480"/>
      </w:pPr>
      <w:r>
        <w:rPr>
          <w:spacing w:val="-2"/>
        </w:rPr>
        <w:t>④固定资产使用费：是指管理和试验部门及附属生产单位使用的属于固定资产的房屋、设备仪器等的折旧、大修、维修或租赁费。</w:t>
      </w:r>
    </w:p>
    <w:p w14:paraId="6D8E8111">
      <w:pPr>
        <w:pStyle w:val="4"/>
        <w:spacing w:before="1" w:line="364" w:lineRule="auto"/>
        <w:ind w:left="1416" w:right="1094" w:firstLine="480"/>
        <w:jc w:val="both"/>
      </w:pPr>
      <w:r>
        <w:rPr>
          <w:spacing w:val="-1"/>
        </w:rPr>
        <w:t xml:space="preserve">⑤工具用具使用费：是指企业施工生产所需的价值低于 </w:t>
      </w:r>
      <w:r>
        <w:t>2000</w:t>
      </w:r>
      <w:r>
        <w:rPr>
          <w:spacing w:val="-4"/>
        </w:rPr>
        <w:t xml:space="preserve"> 元或管理</w:t>
      </w:r>
      <w:r>
        <w:rPr>
          <w:spacing w:val="-2"/>
        </w:rPr>
        <w:t>使用的不属于固定资产的生产工具、器具、家具、交通工具和检验、试验、测绘、消防用具等的购置、维修和摊销费。</w:t>
      </w:r>
    </w:p>
    <w:p w14:paraId="7F97C9A2">
      <w:pPr>
        <w:pStyle w:val="4"/>
        <w:spacing w:before="2" w:line="364" w:lineRule="auto"/>
        <w:ind w:left="1416" w:right="1131" w:firstLine="480"/>
        <w:jc w:val="both"/>
      </w:pPr>
      <w:r>
        <w:rPr>
          <w:spacing w:val="-2"/>
        </w:rPr>
        <w:t>⑥劳动保险费和职工福利费：是指由企业支付的职工退职金、按规定支付给离休干部的经费，集体福利费、夏季防暑降温、冬季取暖补贴、上下班交通补贴等。</w:t>
      </w:r>
    </w:p>
    <w:p w14:paraId="311D74DF">
      <w:pPr>
        <w:pStyle w:val="4"/>
        <w:spacing w:before="2" w:line="364" w:lineRule="auto"/>
        <w:ind w:left="1416" w:right="1011" w:firstLine="480"/>
      </w:pPr>
      <w:r>
        <w:rPr>
          <w:spacing w:val="-14"/>
        </w:rPr>
        <w:t>⑦劳动保护费：是指企业按规定发放的劳动保护用品的支出。如工作服、</w:t>
      </w:r>
      <w:r>
        <w:rPr>
          <w:spacing w:val="-2"/>
        </w:rPr>
        <w:t>手套以及在有碍身体健康的环境中施工的保健费用等。</w:t>
      </w:r>
    </w:p>
    <w:p w14:paraId="56FAD621">
      <w:pPr>
        <w:pStyle w:val="4"/>
        <w:spacing w:line="230" w:lineRule="exact"/>
        <w:ind w:left="1896"/>
      </w:pPr>
      <w:r>
        <w:rPr>
          <w:spacing w:val="-3"/>
        </w:rPr>
        <w:t>⑧检验试验费：是指承包人按照有关标准规定，对建筑以及材料、构件</w:t>
      </w:r>
    </w:p>
    <w:p w14:paraId="3F3D1178">
      <w:pPr>
        <w:pStyle w:val="4"/>
        <w:spacing w:before="160" w:line="364" w:lineRule="auto"/>
        <w:ind w:left="1416" w:right="891"/>
      </w:pPr>
      <w:r>
        <w:rPr>
          <w:spacing w:val="-2"/>
        </w:rPr>
        <w:t>和建筑安装物进行一般鉴定、检查所发生的费用，包括自设试验室进行试验 所耗用的材料等费用。检验试验费不包括新结构、新材料的试验费，对构件做破坏性试验及其他特殊要求检验试验的费用；也不包括发包人按有关规定，委托第三方专业检测机构对材料、构配件及建筑物工程质量进行检测所发生的费用，如桩基检测费、人防设施检测、门窗幕墙四性检测等费用，应由发包人在工程建设其他费用中列支。对承包人提供的具有合格证明的材料进行检测，不合格的，检测费用由承包人承担；合格的，检测费用由发包人承担。</w:t>
      </w:r>
    </w:p>
    <w:p w14:paraId="76F7FF00">
      <w:pPr>
        <w:pStyle w:val="4"/>
        <w:spacing w:after="0" w:line="364" w:lineRule="auto"/>
        <w:sectPr>
          <w:pgSz w:w="10440" w:h="14740"/>
          <w:pgMar w:top="1100" w:right="0" w:bottom="860" w:left="0" w:header="878" w:footer="676" w:gutter="0"/>
          <w:cols w:space="720" w:num="1"/>
        </w:sectPr>
      </w:pPr>
    </w:p>
    <w:p w14:paraId="6A86FAA9">
      <w:pPr>
        <w:pStyle w:val="4"/>
        <w:spacing w:before="94"/>
      </w:pPr>
    </w:p>
    <w:p w14:paraId="55BE57BE">
      <w:pPr>
        <w:pStyle w:val="4"/>
        <w:spacing w:line="364" w:lineRule="auto"/>
        <w:ind w:left="1132" w:right="1414" w:firstLine="480"/>
      </w:pPr>
      <w:r>
        <w:rPr>
          <w:spacing w:val="-2"/>
        </w:rPr>
        <w:t>⑨工会经费：是指企业按《中华人民共和国工会法》规定的全部职工工资总额比例计提的工会经费。</w:t>
      </w:r>
    </w:p>
    <w:p w14:paraId="0AB65CAF">
      <w:pPr>
        <w:pStyle w:val="4"/>
        <w:spacing w:before="1" w:line="364" w:lineRule="auto"/>
        <w:ind w:left="1132" w:right="1376" w:firstLine="480"/>
        <w:jc w:val="both"/>
      </w:pPr>
      <w:r>
        <w:rPr>
          <w:spacing w:val="-2"/>
        </w:rPr>
        <w:t>⑩职工教育经费：是指按职工工资总额的规定比例计提，企业为职工进行专业技术和职业技能培训，专业技术人员继续教育、职工职业技能鉴定、职业资格认定以及根据需要对职工进行各类文化教育所发生的费用。企业发</w:t>
      </w:r>
      <w:r>
        <w:t>生的</w:t>
      </w:r>
      <w:r>
        <w:fldChar w:fldCharType="begin"/>
      </w:r>
      <w:r>
        <w:instrText xml:space="preserve"> HYPERLINK "http://baike.baidu.com/view/1102964.htm" \h </w:instrText>
      </w:r>
      <w:r>
        <w:fldChar w:fldCharType="separate"/>
      </w:r>
      <w:r>
        <w:t>职工教育经费</w:t>
      </w:r>
      <w:r>
        <w:fldChar w:fldCharType="end"/>
      </w:r>
      <w:r>
        <w:rPr>
          <w:spacing w:val="-3"/>
        </w:rPr>
        <w:t xml:space="preserve">支出，按企业职工工资薪金总额 </w:t>
      </w:r>
      <w:r>
        <w:t>1.5%—2.5%计提。</w:t>
      </w:r>
    </w:p>
    <w:p w14:paraId="2B77977D">
      <w:pPr>
        <w:pStyle w:val="4"/>
        <w:spacing w:before="3"/>
        <w:ind w:left="1612"/>
      </w:pPr>
      <w:r>
        <w:rPr>
          <w:rFonts w:ascii="MS PGothic" w:hAnsi="MS PGothic" w:eastAsia="MS PGothic"/>
        </w:rPr>
        <w:t>➃</w:t>
      </w:r>
      <w:r>
        <w:rPr>
          <w:spacing w:val="-1"/>
        </w:rPr>
        <w:t>财产保险费：是指施工管理用财产、车辆等保险费用。</w:t>
      </w:r>
    </w:p>
    <w:p w14:paraId="0654BFCC">
      <w:pPr>
        <w:pStyle w:val="4"/>
        <w:spacing w:before="160" w:line="364" w:lineRule="auto"/>
        <w:ind w:left="1132" w:right="1294" w:firstLine="480"/>
      </w:pPr>
      <w:r>
        <w:rPr>
          <w:rFonts w:ascii="MS PGothic" w:hAnsi="MS PGothic" w:eastAsia="MS PGothic"/>
          <w:spacing w:val="-2"/>
        </w:rPr>
        <w:t>⑫</w:t>
      </w:r>
      <w:r>
        <w:rPr>
          <w:spacing w:val="-14"/>
        </w:rPr>
        <w:t>财务费：是指企业为施工生产筹集资金或提供预付款担保、履约担保、</w:t>
      </w:r>
      <w:r>
        <w:rPr>
          <w:spacing w:val="-2"/>
        </w:rPr>
        <w:t>建设工程质量保证金担保、职工工资支付担保等所发生的费用。</w:t>
      </w:r>
    </w:p>
    <w:p w14:paraId="2B32FF49">
      <w:pPr>
        <w:pStyle w:val="4"/>
        <w:spacing w:before="1" w:line="364" w:lineRule="auto"/>
        <w:ind w:left="1132" w:right="1414" w:firstLine="480"/>
      </w:pPr>
      <w:r>
        <w:rPr>
          <w:rFonts w:ascii="MS PGothic" w:hAnsi="MS PGothic" w:eastAsia="MS PGothic"/>
          <w:spacing w:val="-2"/>
        </w:rPr>
        <w:t>⑬</w:t>
      </w:r>
      <w:r>
        <w:rPr>
          <w:spacing w:val="-2"/>
        </w:rPr>
        <w:t>税费：是指企业按规定缴纳的房产税、车船使用税、土地使用税、印花税、城市维护建设税、教育费附加以及地方教育附加、环境保护税等。</w:t>
      </w:r>
    </w:p>
    <w:p w14:paraId="6B6EAA4B">
      <w:pPr>
        <w:pStyle w:val="4"/>
        <w:spacing w:before="1" w:line="364" w:lineRule="auto"/>
        <w:ind w:left="1132" w:right="1294" w:firstLine="480"/>
      </w:pPr>
      <w:r>
        <w:rPr>
          <w:rFonts w:ascii="MS PGothic" w:hAnsi="MS PGothic" w:eastAsia="MS PGothic"/>
          <w:spacing w:val="-6"/>
        </w:rPr>
        <w:t>⑭</w:t>
      </w:r>
      <w:r>
        <w:rPr>
          <w:spacing w:val="-6"/>
        </w:rPr>
        <w:t>其他：包括技术转让费、技术开发费、投标费、业务招待费、绿化费、</w:t>
      </w:r>
      <w:r>
        <w:rPr>
          <w:spacing w:val="-2"/>
        </w:rPr>
        <w:t>广告费、公证费、法律顾问费、审计费、咨询费、保险费等。</w:t>
      </w:r>
    </w:p>
    <w:p w14:paraId="24625FC2">
      <w:pPr>
        <w:pStyle w:val="14"/>
        <w:numPr>
          <w:ilvl w:val="0"/>
          <w:numId w:val="2"/>
        </w:numPr>
        <w:tabs>
          <w:tab w:val="left" w:pos="1852"/>
        </w:tabs>
        <w:spacing w:before="2" w:after="0" w:line="240" w:lineRule="auto"/>
        <w:ind w:left="1852" w:right="0" w:hanging="240"/>
        <w:jc w:val="left"/>
        <w:rPr>
          <w:sz w:val="24"/>
        </w:rPr>
      </w:pPr>
      <w:r>
        <w:rPr>
          <w:spacing w:val="-1"/>
          <w:sz w:val="24"/>
        </w:rPr>
        <w:t>利润：是指施工企业完成所承包工程获得的盈利。</w:t>
      </w:r>
    </w:p>
    <w:p w14:paraId="0F21FC69">
      <w:pPr>
        <w:pStyle w:val="4"/>
        <w:spacing w:before="8"/>
      </w:pPr>
    </w:p>
    <w:p w14:paraId="6751FF7F">
      <w:pPr>
        <w:pStyle w:val="4"/>
        <w:spacing w:before="1"/>
        <w:ind w:left="1612"/>
      </w:pPr>
      <w:bookmarkStart w:id="14" w:name="_bookmark7"/>
      <w:bookmarkEnd w:id="14"/>
      <w:bookmarkStart w:id="15" w:name="三、措施项目清单"/>
      <w:bookmarkEnd w:id="15"/>
      <w:r>
        <w:rPr>
          <w:spacing w:val="-2"/>
        </w:rPr>
        <w:t>三、措施项目清单</w:t>
      </w:r>
    </w:p>
    <w:p w14:paraId="1E0987E5">
      <w:pPr>
        <w:pStyle w:val="4"/>
        <w:spacing w:before="8"/>
      </w:pPr>
    </w:p>
    <w:p w14:paraId="0E26C2B1">
      <w:pPr>
        <w:pStyle w:val="14"/>
        <w:numPr>
          <w:ilvl w:val="0"/>
          <w:numId w:val="6"/>
        </w:numPr>
        <w:tabs>
          <w:tab w:val="left" w:pos="1852"/>
        </w:tabs>
        <w:spacing w:before="1" w:after="0" w:line="364" w:lineRule="auto"/>
        <w:ind w:left="1132" w:right="1376" w:firstLine="480"/>
        <w:jc w:val="both"/>
        <w:rPr>
          <w:sz w:val="24"/>
        </w:rPr>
      </w:pPr>
      <w:r>
        <w:rPr>
          <w:spacing w:val="-2"/>
          <w:sz w:val="24"/>
        </w:rPr>
        <w:t>我省安全文明施工费由安全生产措施费（含安全生产责任保险费）、文明施工费、环境保护费、临时设施费、扬尘防治费、智慧工地费组成。其</w:t>
      </w:r>
      <w:r>
        <w:rPr>
          <w:spacing w:val="-16"/>
          <w:sz w:val="24"/>
        </w:rPr>
        <w:t>内容及计价规定详见《关于贯彻〈建设工程工程量清单计价标准</w:t>
      </w:r>
      <w:r>
        <w:rPr>
          <w:spacing w:val="-231"/>
          <w:sz w:val="24"/>
        </w:rPr>
        <w:t>〉</w:t>
      </w:r>
      <w:r>
        <w:rPr>
          <w:sz w:val="24"/>
        </w:rPr>
        <w:t>（GB/T</w:t>
      </w:r>
      <w:r>
        <w:rPr>
          <w:spacing w:val="-49"/>
          <w:sz w:val="24"/>
        </w:rPr>
        <w:t xml:space="preserve"> </w:t>
      </w:r>
      <w:r>
        <w:rPr>
          <w:sz w:val="24"/>
        </w:rPr>
        <w:t>50500</w:t>
      </w:r>
    </w:p>
    <w:p w14:paraId="1FED069B">
      <w:pPr>
        <w:pStyle w:val="4"/>
        <w:spacing w:before="1" w:line="364" w:lineRule="auto"/>
        <w:ind w:left="1132" w:right="1414"/>
        <w:jc w:val="both"/>
      </w:pPr>
      <w:r>
        <w:rPr>
          <w:spacing w:val="-4"/>
        </w:rPr>
        <w:t>—2024）安全文明施工费有关事项的通知》（鄂建标定〔2025〕11</w:t>
      </w:r>
      <w:r>
        <w:rPr>
          <w:spacing w:val="-15"/>
        </w:rPr>
        <w:t xml:space="preserve"> 号</w:t>
      </w:r>
      <w:r>
        <w:rPr>
          <w:spacing w:val="-4"/>
        </w:rPr>
        <w:t>）（以下简称“11</w:t>
      </w:r>
      <w:r>
        <w:rPr>
          <w:spacing w:val="-10"/>
        </w:rPr>
        <w:t xml:space="preserve"> 号文”</w:t>
      </w:r>
      <w:r>
        <w:rPr>
          <w:spacing w:val="-4"/>
        </w:rPr>
        <w:t>）。除招标文件规定或合同另有约定外，场地硬化费用及</w:t>
      </w:r>
      <w:r>
        <w:rPr>
          <w:spacing w:val="-2"/>
        </w:rPr>
        <w:t>现场围挡费用应在分部分项工程项目清单中计列。</w:t>
      </w:r>
    </w:p>
    <w:p w14:paraId="71318778">
      <w:pPr>
        <w:pStyle w:val="14"/>
        <w:numPr>
          <w:ilvl w:val="0"/>
          <w:numId w:val="6"/>
        </w:numPr>
        <w:tabs>
          <w:tab w:val="left" w:pos="1852"/>
        </w:tabs>
        <w:spacing w:before="0" w:after="0" w:line="230" w:lineRule="exact"/>
        <w:ind w:left="1852" w:right="0" w:hanging="240"/>
        <w:jc w:val="left"/>
        <w:rPr>
          <w:sz w:val="24"/>
        </w:rPr>
      </w:pPr>
      <w:r>
        <w:rPr>
          <w:spacing w:val="-3"/>
          <w:sz w:val="24"/>
        </w:rPr>
        <w:t>除安全文明施工费外的其他措施项目由发包人根据招标文件、合同文</w:t>
      </w:r>
    </w:p>
    <w:p w14:paraId="5696F243">
      <w:pPr>
        <w:pStyle w:val="4"/>
        <w:spacing w:before="161" w:line="362" w:lineRule="auto"/>
        <w:ind w:left="1132" w:right="1414"/>
      </w:pPr>
      <w:r>
        <w:t>件的要求，依据《建设工程工程量清单计价标准》（GB/T</w:t>
      </w:r>
      <w:r>
        <w:rPr>
          <w:spacing w:val="-39"/>
        </w:rPr>
        <w:t xml:space="preserve"> </w:t>
      </w:r>
      <w:r>
        <w:t>50500—2024）及</w:t>
      </w:r>
      <w:r>
        <w:rPr>
          <w:spacing w:val="-2"/>
        </w:rPr>
        <w:t>配套的工程量计算标准的相关规定列项计价。</w:t>
      </w:r>
    </w:p>
    <w:p w14:paraId="0FBCAEBD">
      <w:pPr>
        <w:pStyle w:val="4"/>
        <w:spacing w:before="5"/>
        <w:ind w:left="1612"/>
      </w:pPr>
      <w:r>
        <w:rPr>
          <w:spacing w:val="-3"/>
        </w:rPr>
        <w:t>各专业工程量计算标准附录中未列出的措施项目，招标人、投标人可结</w:t>
      </w:r>
    </w:p>
    <w:p w14:paraId="091EA392">
      <w:pPr>
        <w:pStyle w:val="4"/>
        <w:spacing w:after="0"/>
        <w:sectPr>
          <w:pgSz w:w="10440" w:h="14740"/>
          <w:pgMar w:top="1100" w:right="0" w:bottom="860" w:left="0" w:header="878" w:footer="676" w:gutter="0"/>
          <w:cols w:space="720" w:num="1"/>
        </w:sectPr>
      </w:pPr>
    </w:p>
    <w:p w14:paraId="3621021D">
      <w:pPr>
        <w:pStyle w:val="4"/>
        <w:spacing w:before="15"/>
      </w:pPr>
    </w:p>
    <w:p w14:paraId="216AAF58">
      <w:pPr>
        <w:pStyle w:val="4"/>
        <w:spacing w:line="364" w:lineRule="auto"/>
        <w:ind w:left="1416" w:right="1131"/>
      </w:pPr>
      <w:r>
        <w:rPr>
          <w:spacing w:val="-2"/>
        </w:rPr>
        <w:t>合项目实际及具体实施内容进行增补，增补原则见本《计价指引》“补充清单”部分。</w:t>
      </w:r>
    </w:p>
    <w:p w14:paraId="7704645C">
      <w:pPr>
        <w:pStyle w:val="4"/>
        <w:spacing w:line="364" w:lineRule="auto"/>
        <w:ind w:left="1416" w:right="1131" w:firstLine="480"/>
        <w:jc w:val="both"/>
      </w:pPr>
      <w:r>
        <w:rPr>
          <w:spacing w:val="-16"/>
        </w:rPr>
        <w:t>除安全文明施工费以外的措施项目，应在“以工程项目整体计算”和“以</w:t>
      </w:r>
      <w:r>
        <w:rPr>
          <w:spacing w:val="-2"/>
        </w:rPr>
        <w:t>单位工程分别计算”两种计算方式中选择一种计算方式进行列项，不同的措施项目清单可以选择不同的计算方式。</w:t>
      </w:r>
    </w:p>
    <w:p w14:paraId="6A6EF843">
      <w:pPr>
        <w:pStyle w:val="4"/>
        <w:spacing w:before="231"/>
        <w:ind w:left="1896"/>
      </w:pPr>
      <w:bookmarkStart w:id="16" w:name="四、其他项目清单"/>
      <w:bookmarkEnd w:id="16"/>
      <w:bookmarkStart w:id="17" w:name="_bookmark8"/>
      <w:bookmarkEnd w:id="17"/>
      <w:r>
        <w:rPr>
          <w:spacing w:val="-2"/>
        </w:rPr>
        <w:t>四、其他项目清单</w:t>
      </w:r>
    </w:p>
    <w:p w14:paraId="1A399A53">
      <w:pPr>
        <w:pStyle w:val="14"/>
        <w:numPr>
          <w:ilvl w:val="0"/>
          <w:numId w:val="7"/>
        </w:numPr>
        <w:tabs>
          <w:tab w:val="left" w:pos="2136"/>
        </w:tabs>
        <w:spacing w:before="237" w:after="0" w:line="364" w:lineRule="auto"/>
        <w:ind w:left="1416" w:right="1131" w:firstLine="480"/>
        <w:jc w:val="left"/>
        <w:rPr>
          <w:sz w:val="24"/>
        </w:rPr>
      </w:pPr>
      <w:r>
        <w:rPr>
          <w:spacing w:val="-2"/>
          <w:sz w:val="24"/>
        </w:rPr>
        <w:t>其他项目清单中包含暂列金额、专业工程暂估价、计日工、总承包服</w:t>
      </w:r>
      <w:r>
        <w:rPr>
          <w:spacing w:val="-4"/>
          <w:sz w:val="24"/>
        </w:rPr>
        <w:t>务费等。</w:t>
      </w:r>
    </w:p>
    <w:p w14:paraId="44EF6BAC">
      <w:pPr>
        <w:pStyle w:val="14"/>
        <w:numPr>
          <w:ilvl w:val="0"/>
          <w:numId w:val="7"/>
        </w:numPr>
        <w:tabs>
          <w:tab w:val="left" w:pos="2136"/>
        </w:tabs>
        <w:spacing w:before="78" w:after="0" w:line="364" w:lineRule="auto"/>
        <w:ind w:left="1416" w:right="1131" w:firstLine="480"/>
        <w:jc w:val="both"/>
        <w:rPr>
          <w:sz w:val="24"/>
        </w:rPr>
      </w:pPr>
      <w:r>
        <w:rPr>
          <w:spacing w:val="-2"/>
          <w:sz w:val="24"/>
        </w:rPr>
        <w:t>暂列金额及专业工程暂估价由发包人在工程量清单中提供，投标人在投标时应按招标清单中的金额填报。其中专业工程暂估价应为包含增值税的</w:t>
      </w:r>
      <w:r>
        <w:rPr>
          <w:spacing w:val="-4"/>
          <w:sz w:val="24"/>
        </w:rPr>
        <w:t>费用。</w:t>
      </w:r>
    </w:p>
    <w:p w14:paraId="1920247C">
      <w:pPr>
        <w:pStyle w:val="14"/>
        <w:numPr>
          <w:ilvl w:val="0"/>
          <w:numId w:val="7"/>
        </w:numPr>
        <w:tabs>
          <w:tab w:val="left" w:pos="2136"/>
        </w:tabs>
        <w:spacing w:before="0" w:after="0" w:line="230" w:lineRule="exact"/>
        <w:ind w:left="2136" w:right="0" w:hanging="240"/>
        <w:jc w:val="left"/>
        <w:rPr>
          <w:sz w:val="24"/>
        </w:rPr>
      </w:pPr>
      <w:r>
        <w:rPr>
          <w:spacing w:val="-3"/>
          <w:sz w:val="24"/>
        </w:rPr>
        <w:t>计日工是指承包人完成发包人提出的零星项目或工作，但不宜按合同</w:t>
      </w:r>
    </w:p>
    <w:p w14:paraId="59D8802B">
      <w:pPr>
        <w:pStyle w:val="4"/>
        <w:spacing w:before="161" w:line="362" w:lineRule="auto"/>
        <w:ind w:left="1416" w:right="1131"/>
      </w:pPr>
      <w:r>
        <w:rPr>
          <w:spacing w:val="-2"/>
        </w:rPr>
        <w:t>约定的计量与计价规则进行计价，而应依据经发包人确认的实际消耗人工工日、材料数量、施工机具台班等，按合同约定的单价计价的一种方式。</w:t>
      </w:r>
    </w:p>
    <w:p w14:paraId="3D835237">
      <w:pPr>
        <w:pStyle w:val="4"/>
        <w:spacing w:before="5" w:line="364" w:lineRule="auto"/>
        <w:ind w:left="1416" w:right="1094" w:firstLine="480"/>
        <w:jc w:val="both"/>
      </w:pPr>
      <w:r>
        <w:rPr>
          <w:spacing w:val="-2"/>
        </w:rPr>
        <w:t>计日工的名称、暂定数量应由招标人提供，编制最高投标限价时，单价由招标人按有关计价规定确定；编制投标报价时，单价由投标人自主报价，并按暂定数量计算合价计入投标总价中。</w:t>
      </w:r>
    </w:p>
    <w:p w14:paraId="32B8A07E">
      <w:pPr>
        <w:pStyle w:val="14"/>
        <w:numPr>
          <w:ilvl w:val="0"/>
          <w:numId w:val="7"/>
        </w:numPr>
        <w:tabs>
          <w:tab w:val="left" w:pos="2136"/>
        </w:tabs>
        <w:spacing w:before="0" w:after="0" w:line="364" w:lineRule="auto"/>
        <w:ind w:left="1416" w:right="1131" w:firstLine="480"/>
        <w:jc w:val="both"/>
        <w:rPr>
          <w:sz w:val="24"/>
        </w:rPr>
      </w:pPr>
      <w:r>
        <w:rPr>
          <w:spacing w:val="-2"/>
          <w:sz w:val="24"/>
        </w:rPr>
        <w:t>总承包服务费是指按合同约定，承包人对发包人提供材料履行保管及其配套服务所需的费用；和（或）承包人对合同范围的专业分包工程（承包人实施的除外）提供配合、协调、施工现场管理、已有临时设施使用、竣工资料汇总整理等服务所需的费用。编制时应区分“发包人提供材料的总承包服务费”“专业分包工程的总承包服务费”“直接发包的专业工程的总承包服务费”进行填报并描述对应的服务内容。总承包服务的相关管理、协调及配合责任等应在招标文件及合同中详细说明。</w:t>
      </w:r>
    </w:p>
    <w:p w14:paraId="3D0E3D37">
      <w:pPr>
        <w:pStyle w:val="14"/>
        <w:spacing w:after="0" w:line="364" w:lineRule="auto"/>
        <w:jc w:val="both"/>
        <w:rPr>
          <w:sz w:val="24"/>
        </w:rPr>
        <w:sectPr>
          <w:pgSz w:w="10440" w:h="14740"/>
          <w:pgMar w:top="1100" w:right="0" w:bottom="860" w:left="0" w:header="878" w:footer="676" w:gutter="0"/>
          <w:cols w:space="720" w:num="1"/>
        </w:sectPr>
      </w:pPr>
    </w:p>
    <w:p w14:paraId="74B28664">
      <w:pPr>
        <w:pStyle w:val="4"/>
        <w:spacing w:before="94"/>
      </w:pPr>
    </w:p>
    <w:p w14:paraId="04B79F2B">
      <w:pPr>
        <w:pStyle w:val="4"/>
        <w:ind w:left="1612"/>
      </w:pPr>
      <w:bookmarkStart w:id="18" w:name="五、增值税"/>
      <w:bookmarkEnd w:id="18"/>
      <w:bookmarkStart w:id="19" w:name="_bookmark9"/>
      <w:bookmarkEnd w:id="19"/>
      <w:r>
        <w:rPr>
          <w:spacing w:val="-2"/>
        </w:rPr>
        <w:t>五、增值税</w:t>
      </w:r>
    </w:p>
    <w:p w14:paraId="508FC5AA">
      <w:pPr>
        <w:pStyle w:val="4"/>
        <w:spacing w:before="9"/>
      </w:pPr>
    </w:p>
    <w:p w14:paraId="5306701B">
      <w:pPr>
        <w:pStyle w:val="14"/>
        <w:numPr>
          <w:ilvl w:val="0"/>
          <w:numId w:val="8"/>
        </w:numPr>
        <w:tabs>
          <w:tab w:val="left" w:pos="1852"/>
        </w:tabs>
        <w:spacing w:before="0" w:after="0" w:line="240" w:lineRule="auto"/>
        <w:ind w:left="1852" w:right="0" w:hanging="240"/>
        <w:jc w:val="left"/>
        <w:rPr>
          <w:sz w:val="22"/>
        </w:rPr>
      </w:pPr>
      <w:r>
        <w:rPr>
          <w:spacing w:val="-1"/>
          <w:sz w:val="24"/>
        </w:rPr>
        <w:t>增值税是指国家税法规定的应计入建筑安装工程造价内的增值税。</w:t>
      </w:r>
    </w:p>
    <w:p w14:paraId="0FF73EEF">
      <w:pPr>
        <w:pStyle w:val="14"/>
        <w:numPr>
          <w:ilvl w:val="0"/>
          <w:numId w:val="8"/>
        </w:numPr>
        <w:tabs>
          <w:tab w:val="left" w:pos="1852"/>
        </w:tabs>
        <w:spacing w:before="160" w:after="0" w:line="364" w:lineRule="auto"/>
        <w:ind w:left="1132" w:right="1414" w:firstLine="480"/>
        <w:jc w:val="left"/>
        <w:rPr>
          <w:sz w:val="22"/>
        </w:rPr>
      </w:pPr>
      <w:r>
        <w:rPr>
          <w:spacing w:val="-2"/>
          <w:sz w:val="24"/>
        </w:rPr>
        <w:t>采用一般计税法时，各项费用中不包含可抵扣的进项税额；采用简易计税法时，各项费用中包含可抵扣的进项税额。</w:t>
      </w:r>
    </w:p>
    <w:p w14:paraId="5ABB199F">
      <w:pPr>
        <w:pStyle w:val="4"/>
        <w:spacing w:before="158"/>
        <w:ind w:left="1612"/>
      </w:pPr>
      <w:bookmarkStart w:id="20" w:name="六、补充清单"/>
      <w:bookmarkEnd w:id="20"/>
      <w:bookmarkStart w:id="21" w:name="_bookmark10"/>
      <w:bookmarkEnd w:id="21"/>
      <w:r>
        <w:rPr>
          <w:spacing w:val="-2"/>
        </w:rPr>
        <w:t>六、补充清单</w:t>
      </w:r>
    </w:p>
    <w:p w14:paraId="0981CF65">
      <w:pPr>
        <w:pStyle w:val="4"/>
        <w:spacing w:before="8"/>
      </w:pPr>
    </w:p>
    <w:p w14:paraId="661B3C88">
      <w:pPr>
        <w:pStyle w:val="14"/>
        <w:numPr>
          <w:ilvl w:val="0"/>
          <w:numId w:val="9"/>
        </w:numPr>
        <w:tabs>
          <w:tab w:val="left" w:pos="1854"/>
        </w:tabs>
        <w:spacing w:before="1" w:after="0" w:line="364" w:lineRule="auto"/>
        <w:ind w:left="1132" w:right="1414" w:firstLine="480"/>
        <w:jc w:val="both"/>
        <w:rPr>
          <w:sz w:val="24"/>
        </w:rPr>
      </w:pPr>
      <w:r>
        <w:rPr>
          <w:spacing w:val="-2"/>
          <w:sz w:val="24"/>
        </w:rPr>
        <w:t xml:space="preserve">招标人可结合工程实际情况，对 </w:t>
      </w:r>
      <w:r>
        <w:rPr>
          <w:sz w:val="24"/>
        </w:rPr>
        <w:t>2024</w:t>
      </w:r>
      <w:r>
        <w:rPr>
          <w:spacing w:val="-6"/>
          <w:sz w:val="24"/>
        </w:rPr>
        <w:t xml:space="preserve"> 版各专业工程量计算标准附录</w:t>
      </w:r>
      <w:r>
        <w:rPr>
          <w:spacing w:val="-2"/>
          <w:sz w:val="24"/>
        </w:rPr>
        <w:t>中未包含的项目清单进行补充。补充的清单应符合下列规定：</w:t>
      </w:r>
    </w:p>
    <w:p w14:paraId="2907BDDE">
      <w:pPr>
        <w:pStyle w:val="14"/>
        <w:numPr>
          <w:ilvl w:val="0"/>
          <w:numId w:val="10"/>
        </w:numPr>
        <w:tabs>
          <w:tab w:val="left" w:pos="2202"/>
        </w:tabs>
        <w:spacing w:before="1" w:after="0" w:line="364" w:lineRule="auto"/>
        <w:ind w:left="1132" w:right="1414" w:firstLine="480"/>
        <w:jc w:val="both"/>
        <w:rPr>
          <w:sz w:val="24"/>
        </w:rPr>
      </w:pPr>
      <w:r>
        <w:rPr>
          <w:spacing w:val="-4"/>
          <w:sz w:val="24"/>
        </w:rPr>
        <w:t>补充项目的编码由对应专业标准的代码（</w:t>
      </w:r>
      <w:r>
        <w:rPr>
          <w:spacing w:val="-12"/>
          <w:sz w:val="24"/>
        </w:rPr>
        <w:t xml:space="preserve">房建 </w:t>
      </w:r>
      <w:r>
        <w:rPr>
          <w:spacing w:val="-4"/>
          <w:sz w:val="24"/>
        </w:rPr>
        <w:t>01</w:t>
      </w:r>
      <w:r>
        <w:rPr>
          <w:spacing w:val="-10"/>
          <w:sz w:val="24"/>
        </w:rPr>
        <w:t xml:space="preserve">，仿古 </w:t>
      </w:r>
      <w:r>
        <w:rPr>
          <w:spacing w:val="-4"/>
          <w:sz w:val="24"/>
        </w:rPr>
        <w:t xml:space="preserve">02，安装 </w:t>
      </w:r>
      <w:r>
        <w:rPr>
          <w:spacing w:val="-8"/>
          <w:sz w:val="24"/>
        </w:rPr>
        <w:t>03</w:t>
      </w:r>
      <w:r>
        <w:rPr>
          <w:spacing w:val="-12"/>
          <w:sz w:val="24"/>
        </w:rPr>
        <w:t xml:space="preserve">，市政 </w:t>
      </w:r>
      <w:r>
        <w:rPr>
          <w:spacing w:val="-8"/>
          <w:sz w:val="24"/>
        </w:rPr>
        <w:t>04</w:t>
      </w:r>
      <w:r>
        <w:rPr>
          <w:spacing w:val="-12"/>
          <w:sz w:val="24"/>
        </w:rPr>
        <w:t xml:space="preserve">，园林 </w:t>
      </w:r>
      <w:r>
        <w:rPr>
          <w:spacing w:val="-8"/>
          <w:sz w:val="24"/>
        </w:rPr>
        <w:t>05</w:t>
      </w:r>
      <w:r>
        <w:rPr>
          <w:spacing w:val="-10"/>
          <w:sz w:val="24"/>
        </w:rPr>
        <w:t xml:space="preserve">，等等，详见 </w:t>
      </w:r>
      <w:r>
        <w:rPr>
          <w:spacing w:val="-8"/>
          <w:sz w:val="24"/>
        </w:rPr>
        <w:t>24</w:t>
      </w:r>
      <w:r>
        <w:rPr>
          <w:spacing w:val="-12"/>
          <w:sz w:val="24"/>
        </w:rPr>
        <w:t xml:space="preserve"> 清单标准各专业计算标准</w:t>
      </w:r>
      <w:r>
        <w:rPr>
          <w:spacing w:val="-8"/>
          <w:sz w:val="24"/>
        </w:rPr>
        <w:t>）</w:t>
      </w:r>
      <w:r>
        <w:rPr>
          <w:spacing w:val="-15"/>
          <w:sz w:val="24"/>
        </w:rPr>
        <w:t xml:space="preserve">与 </w:t>
      </w:r>
      <w:r>
        <w:rPr>
          <w:spacing w:val="-8"/>
          <w:sz w:val="24"/>
        </w:rPr>
        <w:t>B</w:t>
      </w:r>
      <w:r>
        <w:rPr>
          <w:spacing w:val="-13"/>
          <w:sz w:val="24"/>
        </w:rPr>
        <w:t xml:space="preserve"> 和三</w:t>
      </w:r>
      <w:r>
        <w:rPr>
          <w:spacing w:val="-3"/>
          <w:sz w:val="24"/>
        </w:rPr>
        <w:t xml:space="preserve">位阿拉伯数字组成，并应从 </w:t>
      </w:r>
      <w:r>
        <w:rPr>
          <w:sz w:val="24"/>
        </w:rPr>
        <w:t>B001</w:t>
      </w:r>
      <w:r>
        <w:rPr>
          <w:spacing w:val="-6"/>
          <w:sz w:val="24"/>
        </w:rPr>
        <w:t xml:space="preserve"> 起顺序编制</w:t>
      </w:r>
      <w:r>
        <w:rPr>
          <w:sz w:val="24"/>
        </w:rPr>
        <w:t>（从分部分项工程项目顺序编</w:t>
      </w:r>
      <w:r>
        <w:rPr>
          <w:spacing w:val="-4"/>
          <w:sz w:val="24"/>
        </w:rPr>
        <w:t>至措施项目）</w:t>
      </w:r>
      <w:r>
        <w:rPr>
          <w:spacing w:val="-6"/>
          <w:sz w:val="24"/>
        </w:rPr>
        <w:t xml:space="preserve">。例如，房建专业的第一项补充清单编码为 </w:t>
      </w:r>
      <w:r>
        <w:rPr>
          <w:spacing w:val="-4"/>
          <w:sz w:val="24"/>
        </w:rPr>
        <w:t xml:space="preserve">01B001，安装专业的第一项补充清单编码为 </w:t>
      </w:r>
      <w:r>
        <w:rPr>
          <w:sz w:val="24"/>
        </w:rPr>
        <w:t>03B001；</w:t>
      </w:r>
    </w:p>
    <w:p w14:paraId="5B738B89">
      <w:pPr>
        <w:pStyle w:val="14"/>
        <w:numPr>
          <w:ilvl w:val="0"/>
          <w:numId w:val="10"/>
        </w:numPr>
        <w:tabs>
          <w:tab w:val="left" w:pos="2220"/>
        </w:tabs>
        <w:spacing w:before="3" w:after="0" w:line="364" w:lineRule="auto"/>
        <w:ind w:left="1132" w:right="1414" w:firstLine="480"/>
        <w:jc w:val="both"/>
        <w:rPr>
          <w:sz w:val="24"/>
        </w:rPr>
      </w:pPr>
      <w:r>
        <w:rPr>
          <w:spacing w:val="-2"/>
          <w:sz w:val="24"/>
        </w:rPr>
        <w:t>补充的工程量清单应附有补充项目的项目名称、项目特征、计量单位、工程量计算规则、工作内容。不能计量的措施项目应附有补充项目的项目名称、工作内容及包含范围。</w:t>
      </w:r>
    </w:p>
    <w:p w14:paraId="46126E2B">
      <w:pPr>
        <w:pStyle w:val="14"/>
        <w:numPr>
          <w:ilvl w:val="0"/>
          <w:numId w:val="9"/>
        </w:numPr>
        <w:tabs>
          <w:tab w:val="left" w:pos="1852"/>
        </w:tabs>
        <w:spacing w:before="0" w:after="0" w:line="230" w:lineRule="exact"/>
        <w:ind w:left="1852" w:right="0" w:hanging="240"/>
        <w:jc w:val="left"/>
        <w:rPr>
          <w:sz w:val="24"/>
        </w:rPr>
      </w:pPr>
      <w:r>
        <w:rPr>
          <w:spacing w:val="-3"/>
          <w:sz w:val="24"/>
        </w:rPr>
        <w:t>投标人对招标工程量清单、最高投标限价的完整性、准确性提出疑问</w:t>
      </w:r>
    </w:p>
    <w:p w14:paraId="6F63DDC4">
      <w:pPr>
        <w:pStyle w:val="4"/>
        <w:spacing w:before="160" w:line="364" w:lineRule="auto"/>
        <w:ind w:left="1132" w:right="1414"/>
        <w:jc w:val="both"/>
      </w:pPr>
      <w:r>
        <w:rPr>
          <w:spacing w:val="-2"/>
        </w:rPr>
        <w:t>或异议，经招标人澄清后，投标人可根据自身情况，对措施项目清单（按项计量）进行补充完善及报价，采用总价合同形式的，还可对分部分项工程项目清单进行补充完善并报价。投标人对补充完善的已标价工程量清单的完整性及准确性负责。投标人自行补充的清单项目应置于各分部分项工程项目清</w:t>
      </w:r>
      <w:r>
        <w:rPr>
          <w:spacing w:val="-5"/>
        </w:rPr>
        <w:t xml:space="preserve">单计价表及措施项目清单计价表的末尾，以 </w:t>
      </w:r>
      <w:r>
        <w:rPr>
          <w:spacing w:val="-4"/>
        </w:rPr>
        <w:t>TB001</w:t>
      </w:r>
      <w:r>
        <w:rPr>
          <w:spacing w:val="-9"/>
        </w:rPr>
        <w:t xml:space="preserve"> 为初始编号</w:t>
      </w:r>
      <w:r>
        <w:rPr>
          <w:spacing w:val="-4"/>
        </w:rPr>
        <w:t>（从分部分项</w:t>
      </w:r>
      <w:r>
        <w:rPr>
          <w:spacing w:val="-2"/>
        </w:rPr>
        <w:t>工程项目顺序编至措施项目），依次排列。</w:t>
      </w:r>
    </w:p>
    <w:p w14:paraId="470E7E70">
      <w:pPr>
        <w:pStyle w:val="4"/>
        <w:spacing w:after="0" w:line="364" w:lineRule="auto"/>
        <w:jc w:val="both"/>
        <w:sectPr>
          <w:pgSz w:w="10440" w:h="14740"/>
          <w:pgMar w:top="1100" w:right="0" w:bottom="860" w:left="0" w:header="878" w:footer="676" w:gutter="0"/>
          <w:cols w:space="720" w:num="1"/>
        </w:sectPr>
      </w:pPr>
    </w:p>
    <w:p w14:paraId="244029A6">
      <w:pPr>
        <w:pStyle w:val="4"/>
        <w:spacing w:before="19"/>
        <w:rPr>
          <w:sz w:val="32"/>
        </w:rPr>
      </w:pPr>
    </w:p>
    <w:p w14:paraId="1223108D">
      <w:pPr>
        <w:pStyle w:val="2"/>
      </w:pPr>
      <w:bookmarkStart w:id="22" w:name="_bookmark11"/>
      <w:bookmarkEnd w:id="22"/>
      <w:bookmarkStart w:id="23" w:name="第三部分  建筑安装工程费用计价程序"/>
      <w:bookmarkEnd w:id="23"/>
      <w:r>
        <w:t>第三部分</w:t>
      </w:r>
      <w:r>
        <w:rPr>
          <w:spacing w:val="41"/>
          <w:w w:val="150"/>
        </w:rPr>
        <w:t xml:space="preserve"> </w:t>
      </w:r>
      <w:r>
        <w:rPr>
          <w:spacing w:val="-1"/>
        </w:rPr>
        <w:t>建筑安装工程费用计价程序</w:t>
      </w:r>
    </w:p>
    <w:p w14:paraId="7CD14E32">
      <w:pPr>
        <w:pStyle w:val="4"/>
        <w:spacing w:before="88"/>
        <w:rPr>
          <w:sz w:val="32"/>
        </w:rPr>
      </w:pPr>
    </w:p>
    <w:p w14:paraId="786372F4">
      <w:pPr>
        <w:pStyle w:val="4"/>
        <w:ind w:left="1896"/>
      </w:pPr>
      <w:bookmarkStart w:id="24" w:name="_bookmark12"/>
      <w:bookmarkEnd w:id="24"/>
      <w:bookmarkStart w:id="25" w:name="一、招投标阶段"/>
      <w:bookmarkEnd w:id="25"/>
      <w:r>
        <w:rPr>
          <w:spacing w:val="-2"/>
        </w:rPr>
        <w:t>一、招投标阶段</w:t>
      </w:r>
    </w:p>
    <w:p w14:paraId="73D477C2">
      <w:pPr>
        <w:pStyle w:val="4"/>
        <w:spacing w:before="288"/>
        <w:ind w:left="1896"/>
      </w:pPr>
      <w:r>
        <w:rPr>
          <w:spacing w:val="-4"/>
        </w:rPr>
        <w:t xml:space="preserve">招投标阶段建筑安装工程费计价程序见表 </w:t>
      </w:r>
      <w:r>
        <w:t>3.1</w:t>
      </w:r>
      <w:r>
        <w:rPr>
          <w:spacing w:val="-10"/>
        </w:rPr>
        <w:t>。</w:t>
      </w:r>
    </w:p>
    <w:p w14:paraId="5CB0C4E7">
      <w:pPr>
        <w:spacing w:before="277"/>
        <w:ind w:left="280" w:right="0" w:firstLine="0"/>
        <w:jc w:val="center"/>
        <w:rPr>
          <w:sz w:val="21"/>
        </w:rPr>
      </w:pPr>
      <w:r>
        <w:rPr>
          <w:spacing w:val="-26"/>
          <w:sz w:val="21"/>
        </w:rPr>
        <w:t xml:space="preserve">表 </w:t>
      </w:r>
      <w:r>
        <w:rPr>
          <w:spacing w:val="-2"/>
          <w:sz w:val="21"/>
        </w:rPr>
        <w:t>3.1</w:t>
      </w:r>
      <w:r>
        <w:rPr>
          <w:spacing w:val="-3"/>
          <w:sz w:val="21"/>
        </w:rPr>
        <w:t xml:space="preserve"> 招投标阶段建筑安装工程费计价程序</w:t>
      </w:r>
    </w:p>
    <w:p w14:paraId="40AB95C9">
      <w:pPr>
        <w:pStyle w:val="4"/>
        <w:spacing w:before="7"/>
        <w:rPr>
          <w:sz w:val="5"/>
        </w:rPr>
      </w:pPr>
    </w:p>
    <w:tbl>
      <w:tblPr>
        <w:tblStyle w:val="11"/>
        <w:tblW w:w="0" w:type="auto"/>
        <w:tblInd w:w="1357"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69"/>
        <w:gridCol w:w="1619"/>
        <w:gridCol w:w="2800"/>
        <w:gridCol w:w="2931"/>
      </w:tblGrid>
      <w:tr w14:paraId="5E838E1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bottom w:val="single" w:color="000000" w:sz="4" w:space="0"/>
              <w:right w:val="single" w:color="000000" w:sz="4" w:space="0"/>
            </w:tcBorders>
          </w:tcPr>
          <w:p w14:paraId="299EDD5D">
            <w:pPr>
              <w:pStyle w:val="15"/>
              <w:spacing w:line="252" w:lineRule="exact"/>
              <w:ind w:left="14" w:right="6"/>
              <w:jc w:val="center"/>
              <w:rPr>
                <w:sz w:val="21"/>
              </w:rPr>
            </w:pPr>
            <w:r>
              <w:rPr>
                <w:spacing w:val="-6"/>
                <w:sz w:val="21"/>
              </w:rPr>
              <w:t>序号</w:t>
            </w:r>
          </w:p>
        </w:tc>
        <w:tc>
          <w:tcPr>
            <w:tcW w:w="1619" w:type="dxa"/>
            <w:tcBorders>
              <w:left w:val="single" w:color="000000" w:sz="4" w:space="0"/>
              <w:bottom w:val="single" w:color="000000" w:sz="4" w:space="0"/>
              <w:right w:val="single" w:color="000000" w:sz="4" w:space="0"/>
            </w:tcBorders>
          </w:tcPr>
          <w:p w14:paraId="11F1B3B3">
            <w:pPr>
              <w:pStyle w:val="15"/>
              <w:spacing w:line="252" w:lineRule="exact"/>
              <w:ind w:left="393"/>
              <w:rPr>
                <w:sz w:val="21"/>
              </w:rPr>
            </w:pPr>
            <w:r>
              <w:rPr>
                <w:spacing w:val="-4"/>
                <w:sz w:val="21"/>
              </w:rPr>
              <w:t>项目内容</w:t>
            </w:r>
          </w:p>
        </w:tc>
        <w:tc>
          <w:tcPr>
            <w:tcW w:w="2800" w:type="dxa"/>
            <w:tcBorders>
              <w:left w:val="single" w:color="000000" w:sz="4" w:space="0"/>
              <w:bottom w:val="single" w:color="000000" w:sz="4" w:space="0"/>
              <w:right w:val="single" w:color="000000" w:sz="4" w:space="0"/>
            </w:tcBorders>
          </w:tcPr>
          <w:p w14:paraId="47E58EDF">
            <w:pPr>
              <w:pStyle w:val="15"/>
              <w:spacing w:line="252" w:lineRule="exact"/>
              <w:ind w:left="560"/>
              <w:rPr>
                <w:sz w:val="21"/>
              </w:rPr>
            </w:pPr>
            <w:r>
              <w:rPr>
                <w:spacing w:val="-2"/>
                <w:sz w:val="21"/>
              </w:rPr>
              <w:t>计算方法（公式</w:t>
            </w:r>
            <w:r>
              <w:rPr>
                <w:spacing w:val="-10"/>
                <w:sz w:val="21"/>
              </w:rPr>
              <w:t>）</w:t>
            </w:r>
          </w:p>
        </w:tc>
        <w:tc>
          <w:tcPr>
            <w:tcW w:w="2931" w:type="dxa"/>
            <w:tcBorders>
              <w:left w:val="single" w:color="000000" w:sz="4" w:space="0"/>
              <w:bottom w:val="single" w:color="000000" w:sz="4" w:space="0"/>
            </w:tcBorders>
          </w:tcPr>
          <w:p w14:paraId="44574844">
            <w:pPr>
              <w:pStyle w:val="15"/>
              <w:spacing w:line="252" w:lineRule="exact"/>
              <w:ind w:left="22"/>
              <w:jc w:val="center"/>
              <w:rPr>
                <w:sz w:val="21"/>
              </w:rPr>
            </w:pPr>
            <w:r>
              <w:rPr>
                <w:spacing w:val="-6"/>
                <w:sz w:val="21"/>
              </w:rPr>
              <w:t>备注</w:t>
            </w:r>
          </w:p>
        </w:tc>
      </w:tr>
      <w:tr w14:paraId="46C66FE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1466D896">
            <w:pPr>
              <w:pStyle w:val="15"/>
              <w:spacing w:before="135"/>
              <w:ind w:left="14"/>
              <w:jc w:val="center"/>
              <w:rPr>
                <w:sz w:val="21"/>
              </w:rPr>
            </w:pPr>
            <w:r>
              <w:rPr>
                <w:spacing w:val="-10"/>
                <w:sz w:val="21"/>
              </w:rPr>
              <w:t>1</w:t>
            </w:r>
          </w:p>
        </w:tc>
        <w:tc>
          <w:tcPr>
            <w:tcW w:w="1619" w:type="dxa"/>
            <w:tcBorders>
              <w:top w:val="single" w:color="000000" w:sz="4" w:space="0"/>
              <w:left w:val="single" w:color="000000" w:sz="4" w:space="0"/>
              <w:bottom w:val="single" w:color="000000" w:sz="4" w:space="0"/>
              <w:right w:val="single" w:color="000000" w:sz="4" w:space="0"/>
            </w:tcBorders>
          </w:tcPr>
          <w:p w14:paraId="0B400894">
            <w:pPr>
              <w:pStyle w:val="15"/>
              <w:spacing w:before="1"/>
              <w:ind w:left="62"/>
              <w:rPr>
                <w:sz w:val="21"/>
              </w:rPr>
            </w:pPr>
            <w:r>
              <w:rPr>
                <w:spacing w:val="-4"/>
                <w:sz w:val="21"/>
              </w:rPr>
              <w:t>分部分项工程项</w:t>
            </w:r>
          </w:p>
          <w:p w14:paraId="1E5F762A">
            <w:pPr>
              <w:pStyle w:val="15"/>
              <w:spacing w:before="2" w:line="253" w:lineRule="exact"/>
              <w:ind w:left="62"/>
              <w:rPr>
                <w:sz w:val="21"/>
              </w:rPr>
            </w:pPr>
            <w:r>
              <w:rPr>
                <w:spacing w:val="-10"/>
                <w:sz w:val="21"/>
              </w:rPr>
              <w:t>目</w:t>
            </w:r>
          </w:p>
        </w:tc>
        <w:tc>
          <w:tcPr>
            <w:tcW w:w="2800" w:type="dxa"/>
            <w:tcBorders>
              <w:top w:val="single" w:color="000000" w:sz="4" w:space="0"/>
              <w:left w:val="single" w:color="000000" w:sz="4" w:space="0"/>
              <w:bottom w:val="single" w:color="000000" w:sz="4" w:space="0"/>
              <w:right w:val="single" w:color="000000" w:sz="4" w:space="0"/>
            </w:tcBorders>
          </w:tcPr>
          <w:p w14:paraId="6B345B75">
            <w:pPr>
              <w:pStyle w:val="15"/>
              <w:spacing w:before="135"/>
              <w:ind w:left="60"/>
              <w:rPr>
                <w:sz w:val="21"/>
              </w:rPr>
            </w:pPr>
            <w:r>
              <w:rPr>
                <w:spacing w:val="-2"/>
                <w:sz w:val="21"/>
              </w:rPr>
              <w:t>Σ（1.6×工程量</w:t>
            </w:r>
            <w:r>
              <w:rPr>
                <w:spacing w:val="-10"/>
                <w:sz w:val="21"/>
              </w:rPr>
              <w:t>）</w:t>
            </w:r>
          </w:p>
        </w:tc>
        <w:tc>
          <w:tcPr>
            <w:tcW w:w="2931" w:type="dxa"/>
            <w:tcBorders>
              <w:top w:val="single" w:color="000000" w:sz="4" w:space="0"/>
              <w:left w:val="single" w:color="000000" w:sz="4" w:space="0"/>
              <w:bottom w:val="single" w:color="000000" w:sz="4" w:space="0"/>
            </w:tcBorders>
          </w:tcPr>
          <w:p w14:paraId="5A35C312">
            <w:pPr>
              <w:pStyle w:val="15"/>
              <w:spacing w:before="135"/>
              <w:ind w:left="61"/>
              <w:rPr>
                <w:sz w:val="21"/>
              </w:rPr>
            </w:pPr>
            <w:r>
              <w:rPr>
                <w:spacing w:val="-4"/>
                <w:sz w:val="21"/>
              </w:rPr>
              <w:t>不含增值税</w:t>
            </w:r>
          </w:p>
        </w:tc>
      </w:tr>
      <w:tr w14:paraId="3F3AC0D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2BFFC984">
            <w:pPr>
              <w:pStyle w:val="15"/>
              <w:spacing w:line="251" w:lineRule="exact"/>
              <w:ind w:left="14"/>
              <w:jc w:val="center"/>
              <w:rPr>
                <w:sz w:val="21"/>
              </w:rPr>
            </w:pPr>
            <w:r>
              <w:rPr>
                <w:spacing w:val="-5"/>
                <w:sz w:val="21"/>
              </w:rPr>
              <w:t>1.1</w:t>
            </w:r>
          </w:p>
        </w:tc>
        <w:tc>
          <w:tcPr>
            <w:tcW w:w="1619" w:type="dxa"/>
            <w:tcBorders>
              <w:top w:val="single" w:color="000000" w:sz="4" w:space="0"/>
              <w:left w:val="single" w:color="000000" w:sz="4" w:space="0"/>
              <w:bottom w:val="single" w:color="000000" w:sz="4" w:space="0"/>
              <w:right w:val="single" w:color="000000" w:sz="4" w:space="0"/>
            </w:tcBorders>
          </w:tcPr>
          <w:p w14:paraId="51A93EC1">
            <w:pPr>
              <w:pStyle w:val="15"/>
              <w:spacing w:line="251" w:lineRule="exact"/>
              <w:ind w:left="62"/>
              <w:rPr>
                <w:sz w:val="21"/>
              </w:rPr>
            </w:pPr>
            <w:r>
              <w:rPr>
                <w:spacing w:val="-5"/>
                <w:sz w:val="21"/>
              </w:rPr>
              <w:t>人工费</w:t>
            </w:r>
          </w:p>
        </w:tc>
        <w:tc>
          <w:tcPr>
            <w:tcW w:w="2800" w:type="dxa"/>
            <w:tcBorders>
              <w:top w:val="single" w:color="000000" w:sz="4" w:space="0"/>
              <w:left w:val="single" w:color="000000" w:sz="4" w:space="0"/>
              <w:bottom w:val="single" w:color="000000" w:sz="4" w:space="0"/>
              <w:right w:val="single" w:color="000000" w:sz="4" w:space="0"/>
            </w:tcBorders>
          </w:tcPr>
          <w:p w14:paraId="065DE6AF">
            <w:pPr>
              <w:pStyle w:val="15"/>
              <w:spacing w:line="251" w:lineRule="exact"/>
              <w:ind w:left="60"/>
              <w:rPr>
                <w:sz w:val="21"/>
              </w:rPr>
            </w:pPr>
            <w:r>
              <w:rPr>
                <w:spacing w:val="-2"/>
                <w:sz w:val="21"/>
              </w:rPr>
              <w:t>Σ（人工费</w:t>
            </w:r>
            <w:r>
              <w:rPr>
                <w:spacing w:val="-10"/>
                <w:sz w:val="21"/>
              </w:rPr>
              <w:t>）</w:t>
            </w:r>
          </w:p>
        </w:tc>
        <w:tc>
          <w:tcPr>
            <w:tcW w:w="2931" w:type="dxa"/>
            <w:tcBorders>
              <w:top w:val="single" w:color="000000" w:sz="4" w:space="0"/>
              <w:left w:val="single" w:color="000000" w:sz="4" w:space="0"/>
              <w:bottom w:val="single" w:color="000000" w:sz="4" w:space="0"/>
            </w:tcBorders>
          </w:tcPr>
          <w:p w14:paraId="4D7EA5DF">
            <w:pPr>
              <w:pStyle w:val="15"/>
              <w:rPr>
                <w:rFonts w:ascii="Times New Roman"/>
                <w:sz w:val="20"/>
              </w:rPr>
            </w:pPr>
          </w:p>
        </w:tc>
      </w:tr>
      <w:tr w14:paraId="2ADB528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1665A3DE">
            <w:pPr>
              <w:pStyle w:val="15"/>
              <w:spacing w:before="1" w:line="251" w:lineRule="exact"/>
              <w:ind w:left="14"/>
              <w:jc w:val="center"/>
              <w:rPr>
                <w:sz w:val="21"/>
              </w:rPr>
            </w:pPr>
            <w:r>
              <w:rPr>
                <w:spacing w:val="-5"/>
                <w:sz w:val="21"/>
              </w:rPr>
              <w:t>1.2</w:t>
            </w:r>
          </w:p>
        </w:tc>
        <w:tc>
          <w:tcPr>
            <w:tcW w:w="1619" w:type="dxa"/>
            <w:tcBorders>
              <w:top w:val="single" w:color="000000" w:sz="4" w:space="0"/>
              <w:left w:val="single" w:color="000000" w:sz="4" w:space="0"/>
              <w:bottom w:val="single" w:color="000000" w:sz="4" w:space="0"/>
              <w:right w:val="single" w:color="000000" w:sz="4" w:space="0"/>
            </w:tcBorders>
          </w:tcPr>
          <w:p w14:paraId="21ACD4DF">
            <w:pPr>
              <w:pStyle w:val="15"/>
              <w:spacing w:before="1" w:line="251" w:lineRule="exact"/>
              <w:ind w:left="62"/>
              <w:rPr>
                <w:sz w:val="21"/>
              </w:rPr>
            </w:pPr>
            <w:r>
              <w:rPr>
                <w:spacing w:val="-5"/>
                <w:sz w:val="21"/>
              </w:rPr>
              <w:t>材料费</w:t>
            </w:r>
          </w:p>
        </w:tc>
        <w:tc>
          <w:tcPr>
            <w:tcW w:w="2800" w:type="dxa"/>
            <w:tcBorders>
              <w:top w:val="single" w:color="000000" w:sz="4" w:space="0"/>
              <w:left w:val="single" w:color="000000" w:sz="4" w:space="0"/>
              <w:bottom w:val="single" w:color="000000" w:sz="4" w:space="0"/>
              <w:right w:val="single" w:color="000000" w:sz="4" w:space="0"/>
            </w:tcBorders>
          </w:tcPr>
          <w:p w14:paraId="76849CA2">
            <w:pPr>
              <w:pStyle w:val="15"/>
              <w:spacing w:before="1" w:line="251" w:lineRule="exact"/>
              <w:ind w:left="60"/>
              <w:rPr>
                <w:sz w:val="21"/>
              </w:rPr>
            </w:pPr>
            <w:r>
              <w:rPr>
                <w:spacing w:val="-2"/>
                <w:sz w:val="21"/>
              </w:rPr>
              <w:t>Σ（材料费</w:t>
            </w:r>
            <w:r>
              <w:rPr>
                <w:spacing w:val="-10"/>
                <w:sz w:val="21"/>
              </w:rPr>
              <w:t>）</w:t>
            </w:r>
          </w:p>
        </w:tc>
        <w:tc>
          <w:tcPr>
            <w:tcW w:w="2931" w:type="dxa"/>
            <w:tcBorders>
              <w:top w:val="single" w:color="000000" w:sz="4" w:space="0"/>
              <w:left w:val="single" w:color="000000" w:sz="4" w:space="0"/>
              <w:bottom w:val="single" w:color="000000" w:sz="4" w:space="0"/>
            </w:tcBorders>
          </w:tcPr>
          <w:p w14:paraId="14B07E24">
            <w:pPr>
              <w:pStyle w:val="15"/>
              <w:spacing w:before="1" w:line="251" w:lineRule="exact"/>
              <w:ind w:left="61"/>
              <w:rPr>
                <w:sz w:val="21"/>
              </w:rPr>
            </w:pPr>
            <w:r>
              <w:rPr>
                <w:spacing w:val="-3"/>
                <w:sz w:val="21"/>
              </w:rPr>
              <w:t>不含发包人提供材料</w:t>
            </w:r>
          </w:p>
        </w:tc>
      </w:tr>
      <w:tr w14:paraId="59E2D77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510E0FCD">
            <w:pPr>
              <w:pStyle w:val="15"/>
              <w:spacing w:line="252" w:lineRule="exact"/>
              <w:ind w:left="14"/>
              <w:jc w:val="center"/>
              <w:rPr>
                <w:sz w:val="21"/>
              </w:rPr>
            </w:pPr>
            <w:r>
              <w:rPr>
                <w:spacing w:val="-5"/>
                <w:sz w:val="21"/>
              </w:rPr>
              <w:t>1.3</w:t>
            </w:r>
          </w:p>
        </w:tc>
        <w:tc>
          <w:tcPr>
            <w:tcW w:w="1619" w:type="dxa"/>
            <w:tcBorders>
              <w:top w:val="single" w:color="000000" w:sz="4" w:space="0"/>
              <w:left w:val="single" w:color="000000" w:sz="4" w:space="0"/>
              <w:bottom w:val="single" w:color="000000" w:sz="4" w:space="0"/>
              <w:right w:val="single" w:color="000000" w:sz="4" w:space="0"/>
            </w:tcBorders>
          </w:tcPr>
          <w:p w14:paraId="04630FE3">
            <w:pPr>
              <w:pStyle w:val="15"/>
              <w:spacing w:line="252" w:lineRule="exact"/>
              <w:ind w:left="62"/>
              <w:rPr>
                <w:sz w:val="21"/>
              </w:rPr>
            </w:pPr>
            <w:r>
              <w:rPr>
                <w:spacing w:val="-4"/>
                <w:sz w:val="21"/>
              </w:rPr>
              <w:t>施工机具使用费</w:t>
            </w:r>
          </w:p>
        </w:tc>
        <w:tc>
          <w:tcPr>
            <w:tcW w:w="2800" w:type="dxa"/>
            <w:tcBorders>
              <w:top w:val="single" w:color="000000" w:sz="4" w:space="0"/>
              <w:left w:val="single" w:color="000000" w:sz="4" w:space="0"/>
              <w:bottom w:val="single" w:color="000000" w:sz="4" w:space="0"/>
              <w:right w:val="single" w:color="000000" w:sz="4" w:space="0"/>
            </w:tcBorders>
          </w:tcPr>
          <w:p w14:paraId="47A34E61">
            <w:pPr>
              <w:pStyle w:val="15"/>
              <w:spacing w:line="252" w:lineRule="exact"/>
              <w:ind w:left="60"/>
              <w:rPr>
                <w:sz w:val="21"/>
              </w:rPr>
            </w:pPr>
            <w:r>
              <w:rPr>
                <w:spacing w:val="-2"/>
                <w:sz w:val="21"/>
              </w:rPr>
              <w:t>Σ（施工机具使用费</w:t>
            </w:r>
            <w:r>
              <w:rPr>
                <w:spacing w:val="-10"/>
                <w:sz w:val="21"/>
              </w:rPr>
              <w:t>）</w:t>
            </w:r>
          </w:p>
        </w:tc>
        <w:tc>
          <w:tcPr>
            <w:tcW w:w="2931" w:type="dxa"/>
            <w:tcBorders>
              <w:top w:val="single" w:color="000000" w:sz="4" w:space="0"/>
              <w:left w:val="single" w:color="000000" w:sz="4" w:space="0"/>
              <w:bottom w:val="single" w:color="000000" w:sz="4" w:space="0"/>
            </w:tcBorders>
          </w:tcPr>
          <w:p w14:paraId="27EE6EB5">
            <w:pPr>
              <w:pStyle w:val="15"/>
              <w:rPr>
                <w:rFonts w:ascii="Times New Roman"/>
                <w:sz w:val="20"/>
              </w:rPr>
            </w:pPr>
          </w:p>
        </w:tc>
      </w:tr>
      <w:tr w14:paraId="239D48A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3F9C40A7">
            <w:pPr>
              <w:pStyle w:val="15"/>
              <w:spacing w:before="135"/>
              <w:ind w:left="14"/>
              <w:jc w:val="center"/>
              <w:rPr>
                <w:sz w:val="21"/>
              </w:rPr>
            </w:pPr>
            <w:r>
              <w:rPr>
                <w:spacing w:val="-5"/>
                <w:sz w:val="21"/>
              </w:rPr>
              <w:t>1.4</w:t>
            </w:r>
          </w:p>
        </w:tc>
        <w:tc>
          <w:tcPr>
            <w:tcW w:w="1619" w:type="dxa"/>
            <w:tcBorders>
              <w:top w:val="single" w:color="000000" w:sz="4" w:space="0"/>
              <w:left w:val="single" w:color="000000" w:sz="4" w:space="0"/>
              <w:bottom w:val="single" w:color="000000" w:sz="4" w:space="0"/>
              <w:right w:val="single" w:color="000000" w:sz="4" w:space="0"/>
            </w:tcBorders>
          </w:tcPr>
          <w:p w14:paraId="2E774EF4">
            <w:pPr>
              <w:pStyle w:val="15"/>
              <w:spacing w:before="135"/>
              <w:ind w:left="62"/>
              <w:rPr>
                <w:sz w:val="21"/>
              </w:rPr>
            </w:pPr>
            <w:r>
              <w:rPr>
                <w:spacing w:val="-5"/>
                <w:sz w:val="21"/>
              </w:rPr>
              <w:t>管理费</w:t>
            </w:r>
          </w:p>
        </w:tc>
        <w:tc>
          <w:tcPr>
            <w:tcW w:w="2800" w:type="dxa"/>
            <w:tcBorders>
              <w:top w:val="single" w:color="000000" w:sz="4" w:space="0"/>
              <w:left w:val="single" w:color="000000" w:sz="4" w:space="0"/>
              <w:bottom w:val="single" w:color="000000" w:sz="4" w:space="0"/>
              <w:right w:val="single" w:color="000000" w:sz="4" w:space="0"/>
            </w:tcBorders>
          </w:tcPr>
          <w:p w14:paraId="430A6952">
            <w:pPr>
              <w:pStyle w:val="15"/>
              <w:spacing w:before="135"/>
              <w:ind w:left="60"/>
              <w:rPr>
                <w:sz w:val="21"/>
              </w:rPr>
            </w:pPr>
            <w:r>
              <w:rPr>
                <w:spacing w:val="-7"/>
                <w:sz w:val="21"/>
              </w:rPr>
              <w:t>计算基础×费率，或一笔金额</w:t>
            </w:r>
          </w:p>
        </w:tc>
        <w:tc>
          <w:tcPr>
            <w:tcW w:w="2931" w:type="dxa"/>
            <w:tcBorders>
              <w:top w:val="single" w:color="000000" w:sz="4" w:space="0"/>
              <w:left w:val="single" w:color="000000" w:sz="4" w:space="0"/>
              <w:bottom w:val="single" w:color="000000" w:sz="4" w:space="0"/>
            </w:tcBorders>
          </w:tcPr>
          <w:p w14:paraId="11DD1F30">
            <w:pPr>
              <w:pStyle w:val="15"/>
              <w:ind w:left="61"/>
              <w:rPr>
                <w:sz w:val="21"/>
              </w:rPr>
            </w:pPr>
            <w:r>
              <w:rPr>
                <w:spacing w:val="-3"/>
                <w:sz w:val="21"/>
              </w:rPr>
              <w:t>计算基础及费率由编制人结合</w:t>
            </w:r>
          </w:p>
          <w:p w14:paraId="13770B65">
            <w:pPr>
              <w:pStyle w:val="15"/>
              <w:spacing w:before="3" w:line="253" w:lineRule="exact"/>
              <w:ind w:left="61"/>
              <w:rPr>
                <w:sz w:val="21"/>
              </w:rPr>
            </w:pPr>
            <w:r>
              <w:rPr>
                <w:spacing w:val="-3"/>
                <w:sz w:val="21"/>
              </w:rPr>
              <w:t>项目特性及市场行情自行确定</w:t>
            </w:r>
          </w:p>
        </w:tc>
      </w:tr>
      <w:tr w14:paraId="44C0ED4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3" w:hRule="atLeast"/>
        </w:trPr>
        <w:tc>
          <w:tcPr>
            <w:tcW w:w="669" w:type="dxa"/>
            <w:tcBorders>
              <w:top w:val="single" w:color="000000" w:sz="4" w:space="0"/>
              <w:bottom w:val="single" w:color="000000" w:sz="4" w:space="0"/>
              <w:right w:val="single" w:color="000000" w:sz="4" w:space="0"/>
            </w:tcBorders>
          </w:tcPr>
          <w:p w14:paraId="52A4013D">
            <w:pPr>
              <w:pStyle w:val="15"/>
              <w:spacing w:before="134"/>
              <w:ind w:left="14"/>
              <w:jc w:val="center"/>
              <w:rPr>
                <w:sz w:val="21"/>
              </w:rPr>
            </w:pPr>
            <w:r>
              <w:rPr>
                <w:spacing w:val="-5"/>
                <w:sz w:val="21"/>
              </w:rPr>
              <w:t>1.5</w:t>
            </w:r>
          </w:p>
        </w:tc>
        <w:tc>
          <w:tcPr>
            <w:tcW w:w="1619" w:type="dxa"/>
            <w:tcBorders>
              <w:top w:val="single" w:color="000000" w:sz="4" w:space="0"/>
              <w:left w:val="single" w:color="000000" w:sz="4" w:space="0"/>
              <w:bottom w:val="single" w:color="000000" w:sz="4" w:space="0"/>
              <w:right w:val="single" w:color="000000" w:sz="4" w:space="0"/>
            </w:tcBorders>
          </w:tcPr>
          <w:p w14:paraId="4DFAEACA">
            <w:pPr>
              <w:pStyle w:val="15"/>
              <w:spacing w:before="134"/>
              <w:ind w:left="62"/>
              <w:rPr>
                <w:sz w:val="21"/>
              </w:rPr>
            </w:pPr>
            <w:r>
              <w:rPr>
                <w:spacing w:val="-8"/>
                <w:sz w:val="21"/>
              </w:rPr>
              <w:t>利润</w:t>
            </w:r>
          </w:p>
        </w:tc>
        <w:tc>
          <w:tcPr>
            <w:tcW w:w="2800" w:type="dxa"/>
            <w:tcBorders>
              <w:top w:val="single" w:color="000000" w:sz="4" w:space="0"/>
              <w:left w:val="single" w:color="000000" w:sz="4" w:space="0"/>
              <w:bottom w:val="single" w:color="000000" w:sz="4" w:space="0"/>
              <w:right w:val="single" w:color="000000" w:sz="4" w:space="0"/>
            </w:tcBorders>
          </w:tcPr>
          <w:p w14:paraId="0CB584C7">
            <w:pPr>
              <w:pStyle w:val="15"/>
              <w:spacing w:before="134"/>
              <w:ind w:left="60"/>
              <w:rPr>
                <w:sz w:val="21"/>
              </w:rPr>
            </w:pPr>
            <w:r>
              <w:rPr>
                <w:spacing w:val="-7"/>
                <w:sz w:val="21"/>
              </w:rPr>
              <w:t>计算基础×费率，或一笔金额</w:t>
            </w:r>
          </w:p>
        </w:tc>
        <w:tc>
          <w:tcPr>
            <w:tcW w:w="2931" w:type="dxa"/>
            <w:tcBorders>
              <w:top w:val="single" w:color="000000" w:sz="4" w:space="0"/>
              <w:left w:val="single" w:color="000000" w:sz="4" w:space="0"/>
              <w:bottom w:val="single" w:color="000000" w:sz="4" w:space="0"/>
            </w:tcBorders>
          </w:tcPr>
          <w:p w14:paraId="26E74CD3">
            <w:pPr>
              <w:pStyle w:val="15"/>
              <w:spacing w:line="242" w:lineRule="auto"/>
              <w:ind w:left="61" w:right="123"/>
              <w:rPr>
                <w:sz w:val="21"/>
              </w:rPr>
            </w:pPr>
            <w:r>
              <w:rPr>
                <w:spacing w:val="-2"/>
                <w:sz w:val="21"/>
              </w:rPr>
              <w:t>计算基础及费率由编制人结合</w:t>
            </w:r>
            <w:r>
              <w:rPr>
                <w:spacing w:val="-3"/>
                <w:sz w:val="21"/>
              </w:rPr>
              <w:t>项目特性及市场行情自行确定</w:t>
            </w:r>
          </w:p>
        </w:tc>
      </w:tr>
      <w:tr w14:paraId="17AFD4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7BA55066">
            <w:pPr>
              <w:pStyle w:val="15"/>
              <w:spacing w:before="136"/>
              <w:ind w:left="14" w:right="2"/>
              <w:jc w:val="center"/>
              <w:rPr>
                <w:sz w:val="21"/>
              </w:rPr>
            </w:pPr>
            <w:r>
              <w:rPr>
                <w:spacing w:val="-5"/>
                <w:sz w:val="21"/>
              </w:rPr>
              <w:t>1.6</w:t>
            </w:r>
          </w:p>
        </w:tc>
        <w:tc>
          <w:tcPr>
            <w:tcW w:w="1619" w:type="dxa"/>
            <w:tcBorders>
              <w:top w:val="single" w:color="000000" w:sz="4" w:space="0"/>
              <w:left w:val="single" w:color="000000" w:sz="4" w:space="0"/>
              <w:bottom w:val="single" w:color="000000" w:sz="4" w:space="0"/>
              <w:right w:val="single" w:color="000000" w:sz="4" w:space="0"/>
            </w:tcBorders>
          </w:tcPr>
          <w:p w14:paraId="58899195">
            <w:pPr>
              <w:pStyle w:val="15"/>
              <w:spacing w:before="136"/>
              <w:ind w:left="62"/>
              <w:rPr>
                <w:sz w:val="21"/>
              </w:rPr>
            </w:pPr>
            <w:r>
              <w:rPr>
                <w:spacing w:val="-7"/>
                <w:sz w:val="21"/>
              </w:rPr>
              <w:t>综合单价</w:t>
            </w:r>
          </w:p>
        </w:tc>
        <w:tc>
          <w:tcPr>
            <w:tcW w:w="2800" w:type="dxa"/>
            <w:tcBorders>
              <w:top w:val="single" w:color="000000" w:sz="4" w:space="0"/>
              <w:left w:val="single" w:color="000000" w:sz="4" w:space="0"/>
              <w:bottom w:val="single" w:color="000000" w:sz="4" w:space="0"/>
              <w:right w:val="single" w:color="000000" w:sz="4" w:space="0"/>
            </w:tcBorders>
          </w:tcPr>
          <w:p w14:paraId="14A0ED1A">
            <w:pPr>
              <w:pStyle w:val="15"/>
              <w:spacing w:before="136"/>
              <w:ind w:left="60"/>
              <w:rPr>
                <w:sz w:val="21"/>
              </w:rPr>
            </w:pPr>
            <w:r>
              <w:rPr>
                <w:spacing w:val="-2"/>
                <w:sz w:val="21"/>
              </w:rPr>
              <w:t>1.1～1.5</w:t>
            </w:r>
            <w:r>
              <w:rPr>
                <w:spacing w:val="-20"/>
                <w:sz w:val="21"/>
              </w:rPr>
              <w:t xml:space="preserve"> 之和</w:t>
            </w:r>
          </w:p>
        </w:tc>
        <w:tc>
          <w:tcPr>
            <w:tcW w:w="2931" w:type="dxa"/>
            <w:tcBorders>
              <w:top w:val="single" w:color="000000" w:sz="4" w:space="0"/>
              <w:left w:val="single" w:color="000000" w:sz="4" w:space="0"/>
              <w:bottom w:val="single" w:color="000000" w:sz="4" w:space="0"/>
            </w:tcBorders>
          </w:tcPr>
          <w:p w14:paraId="4FA8BB89">
            <w:pPr>
              <w:pStyle w:val="15"/>
              <w:spacing w:line="270" w:lineRule="atLeast"/>
              <w:ind w:left="61" w:right="37"/>
              <w:rPr>
                <w:sz w:val="21"/>
              </w:rPr>
            </w:pPr>
            <w:r>
              <w:rPr>
                <w:spacing w:val="-13"/>
                <w:sz w:val="21"/>
              </w:rPr>
              <w:t xml:space="preserve">风险因素在 </w:t>
            </w:r>
            <w:r>
              <w:rPr>
                <w:spacing w:val="-2"/>
                <w:sz w:val="21"/>
              </w:rPr>
              <w:t>1.1～1.5</w:t>
            </w:r>
            <w:r>
              <w:rPr>
                <w:spacing w:val="-14"/>
                <w:sz w:val="21"/>
              </w:rPr>
              <w:t xml:space="preserve"> 中综合考</w:t>
            </w:r>
            <w:r>
              <w:rPr>
                <w:spacing w:val="-10"/>
                <w:sz w:val="21"/>
              </w:rPr>
              <w:t>虑</w:t>
            </w:r>
          </w:p>
        </w:tc>
      </w:tr>
      <w:tr w14:paraId="5D12E0F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2E9084B2">
            <w:pPr>
              <w:pStyle w:val="15"/>
              <w:spacing w:before="1" w:line="250" w:lineRule="exact"/>
              <w:ind w:left="14"/>
              <w:jc w:val="center"/>
              <w:rPr>
                <w:sz w:val="21"/>
              </w:rPr>
            </w:pPr>
            <w:r>
              <w:rPr>
                <w:spacing w:val="-10"/>
                <w:sz w:val="21"/>
              </w:rPr>
              <w:t>2</w:t>
            </w:r>
          </w:p>
        </w:tc>
        <w:tc>
          <w:tcPr>
            <w:tcW w:w="1619" w:type="dxa"/>
            <w:tcBorders>
              <w:top w:val="single" w:color="000000" w:sz="4" w:space="0"/>
              <w:left w:val="single" w:color="000000" w:sz="4" w:space="0"/>
              <w:bottom w:val="single" w:color="000000" w:sz="4" w:space="0"/>
              <w:right w:val="single" w:color="000000" w:sz="4" w:space="0"/>
            </w:tcBorders>
          </w:tcPr>
          <w:p w14:paraId="3399F29E">
            <w:pPr>
              <w:pStyle w:val="15"/>
              <w:spacing w:before="1" w:line="250" w:lineRule="exact"/>
              <w:ind w:left="62"/>
              <w:rPr>
                <w:sz w:val="21"/>
              </w:rPr>
            </w:pPr>
            <w:r>
              <w:rPr>
                <w:spacing w:val="-7"/>
                <w:sz w:val="21"/>
              </w:rPr>
              <w:t>措施项目</w:t>
            </w:r>
          </w:p>
        </w:tc>
        <w:tc>
          <w:tcPr>
            <w:tcW w:w="2800" w:type="dxa"/>
            <w:tcBorders>
              <w:top w:val="single" w:color="000000" w:sz="4" w:space="0"/>
              <w:left w:val="single" w:color="000000" w:sz="4" w:space="0"/>
              <w:bottom w:val="single" w:color="000000" w:sz="4" w:space="0"/>
              <w:right w:val="single" w:color="000000" w:sz="4" w:space="0"/>
            </w:tcBorders>
          </w:tcPr>
          <w:p w14:paraId="404939D1">
            <w:pPr>
              <w:pStyle w:val="15"/>
              <w:spacing w:before="1" w:line="250" w:lineRule="exact"/>
              <w:ind w:left="60"/>
              <w:rPr>
                <w:sz w:val="21"/>
              </w:rPr>
            </w:pPr>
            <w:r>
              <w:rPr>
                <w:spacing w:val="-2"/>
                <w:sz w:val="21"/>
              </w:rPr>
              <w:t>2.1+2.2</w:t>
            </w:r>
          </w:p>
        </w:tc>
        <w:tc>
          <w:tcPr>
            <w:tcW w:w="2931" w:type="dxa"/>
            <w:tcBorders>
              <w:top w:val="single" w:color="000000" w:sz="4" w:space="0"/>
              <w:left w:val="single" w:color="000000" w:sz="4" w:space="0"/>
              <w:bottom w:val="single" w:color="000000" w:sz="4" w:space="0"/>
            </w:tcBorders>
          </w:tcPr>
          <w:p w14:paraId="02C5B297">
            <w:pPr>
              <w:pStyle w:val="15"/>
              <w:spacing w:before="1" w:line="250" w:lineRule="exact"/>
              <w:ind w:left="61"/>
              <w:rPr>
                <w:sz w:val="21"/>
              </w:rPr>
            </w:pPr>
            <w:r>
              <w:rPr>
                <w:spacing w:val="-4"/>
                <w:sz w:val="21"/>
              </w:rPr>
              <w:t>不含增值税</w:t>
            </w:r>
          </w:p>
        </w:tc>
      </w:tr>
      <w:tr w14:paraId="5622D8D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43F59508">
            <w:pPr>
              <w:pStyle w:val="15"/>
              <w:spacing w:before="137"/>
              <w:ind w:left="14" w:right="2"/>
              <w:jc w:val="center"/>
              <w:rPr>
                <w:sz w:val="21"/>
              </w:rPr>
            </w:pPr>
            <w:r>
              <w:rPr>
                <w:spacing w:val="-5"/>
                <w:sz w:val="21"/>
              </w:rPr>
              <w:t>2.1</w:t>
            </w:r>
          </w:p>
        </w:tc>
        <w:tc>
          <w:tcPr>
            <w:tcW w:w="1619" w:type="dxa"/>
            <w:tcBorders>
              <w:top w:val="single" w:color="000000" w:sz="4" w:space="0"/>
              <w:left w:val="single" w:color="000000" w:sz="4" w:space="0"/>
              <w:bottom w:val="single" w:color="000000" w:sz="4" w:space="0"/>
              <w:right w:val="single" w:color="000000" w:sz="4" w:space="0"/>
            </w:tcBorders>
          </w:tcPr>
          <w:p w14:paraId="69D3DB60">
            <w:pPr>
              <w:pStyle w:val="15"/>
              <w:spacing w:before="137"/>
              <w:ind w:left="62"/>
              <w:rPr>
                <w:sz w:val="21"/>
              </w:rPr>
            </w:pPr>
            <w:r>
              <w:rPr>
                <w:spacing w:val="-4"/>
                <w:sz w:val="21"/>
              </w:rPr>
              <w:t>安全生产措施费</w:t>
            </w:r>
          </w:p>
        </w:tc>
        <w:tc>
          <w:tcPr>
            <w:tcW w:w="2800" w:type="dxa"/>
            <w:tcBorders>
              <w:top w:val="single" w:color="000000" w:sz="4" w:space="0"/>
              <w:left w:val="single" w:color="000000" w:sz="4" w:space="0"/>
              <w:bottom w:val="single" w:color="000000" w:sz="4" w:space="0"/>
              <w:right w:val="single" w:color="000000" w:sz="4" w:space="0"/>
            </w:tcBorders>
          </w:tcPr>
          <w:p w14:paraId="677B6E5A">
            <w:pPr>
              <w:pStyle w:val="15"/>
              <w:spacing w:before="137"/>
              <w:ind w:left="60"/>
              <w:rPr>
                <w:sz w:val="21"/>
              </w:rPr>
            </w:pPr>
            <w:r>
              <w:rPr>
                <w:spacing w:val="-4"/>
                <w:sz w:val="21"/>
              </w:rPr>
              <w:t>计算基础×费率</w:t>
            </w:r>
          </w:p>
        </w:tc>
        <w:tc>
          <w:tcPr>
            <w:tcW w:w="2931" w:type="dxa"/>
            <w:tcBorders>
              <w:top w:val="single" w:color="000000" w:sz="4" w:space="0"/>
              <w:left w:val="single" w:color="000000" w:sz="4" w:space="0"/>
              <w:bottom w:val="single" w:color="000000" w:sz="4" w:space="0"/>
            </w:tcBorders>
          </w:tcPr>
          <w:p w14:paraId="7E6602DE">
            <w:pPr>
              <w:pStyle w:val="15"/>
              <w:ind w:left="61" w:right="-72"/>
              <w:rPr>
                <w:sz w:val="21"/>
              </w:rPr>
            </w:pPr>
            <w:r>
              <w:rPr>
                <w:spacing w:val="-10"/>
                <w:sz w:val="21"/>
              </w:rPr>
              <w:t>计算基础及费率执行“</w:t>
            </w:r>
            <w:r>
              <w:rPr>
                <w:spacing w:val="-2"/>
                <w:sz w:val="21"/>
              </w:rPr>
              <w:t>11</w:t>
            </w:r>
            <w:r>
              <w:rPr>
                <w:spacing w:val="-17"/>
                <w:sz w:val="21"/>
              </w:rPr>
              <w:t xml:space="preserve"> 号文”</w:t>
            </w:r>
          </w:p>
          <w:p w14:paraId="4D434D1B">
            <w:pPr>
              <w:pStyle w:val="15"/>
              <w:spacing w:before="5" w:line="251" w:lineRule="exact"/>
              <w:ind w:left="61"/>
              <w:rPr>
                <w:sz w:val="21"/>
              </w:rPr>
            </w:pPr>
            <w:r>
              <w:rPr>
                <w:spacing w:val="-8"/>
                <w:sz w:val="21"/>
              </w:rPr>
              <w:t>规定</w:t>
            </w:r>
          </w:p>
        </w:tc>
      </w:tr>
      <w:tr w14:paraId="234A31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0DD06238">
            <w:pPr>
              <w:pStyle w:val="15"/>
              <w:spacing w:before="2" w:line="251" w:lineRule="exact"/>
              <w:ind w:left="14"/>
              <w:jc w:val="center"/>
              <w:rPr>
                <w:sz w:val="21"/>
              </w:rPr>
            </w:pPr>
            <w:r>
              <w:rPr>
                <w:spacing w:val="-5"/>
                <w:sz w:val="21"/>
              </w:rPr>
              <w:t>2.2</w:t>
            </w:r>
          </w:p>
        </w:tc>
        <w:tc>
          <w:tcPr>
            <w:tcW w:w="1619" w:type="dxa"/>
            <w:tcBorders>
              <w:top w:val="single" w:color="000000" w:sz="4" w:space="0"/>
              <w:left w:val="single" w:color="000000" w:sz="4" w:space="0"/>
              <w:bottom w:val="single" w:color="000000" w:sz="4" w:space="0"/>
              <w:right w:val="single" w:color="000000" w:sz="4" w:space="0"/>
            </w:tcBorders>
          </w:tcPr>
          <w:p w14:paraId="15BE2820">
            <w:pPr>
              <w:pStyle w:val="15"/>
              <w:spacing w:before="2" w:line="251" w:lineRule="exact"/>
              <w:ind w:left="62"/>
              <w:rPr>
                <w:sz w:val="21"/>
              </w:rPr>
            </w:pPr>
            <w:r>
              <w:rPr>
                <w:spacing w:val="-4"/>
                <w:sz w:val="21"/>
              </w:rPr>
              <w:t>其他措施项目</w:t>
            </w:r>
          </w:p>
        </w:tc>
        <w:tc>
          <w:tcPr>
            <w:tcW w:w="2800" w:type="dxa"/>
            <w:tcBorders>
              <w:top w:val="single" w:color="000000" w:sz="4" w:space="0"/>
              <w:left w:val="single" w:color="000000" w:sz="4" w:space="0"/>
              <w:bottom w:val="single" w:color="000000" w:sz="4" w:space="0"/>
              <w:right w:val="single" w:color="000000" w:sz="4" w:space="0"/>
            </w:tcBorders>
          </w:tcPr>
          <w:p w14:paraId="708F634E">
            <w:pPr>
              <w:pStyle w:val="15"/>
              <w:spacing w:before="2" w:line="251" w:lineRule="exact"/>
              <w:ind w:left="60"/>
              <w:rPr>
                <w:sz w:val="21"/>
              </w:rPr>
            </w:pPr>
            <w:r>
              <w:rPr>
                <w:spacing w:val="-4"/>
                <w:sz w:val="21"/>
              </w:rPr>
              <w:t>按“项”计</w:t>
            </w:r>
          </w:p>
        </w:tc>
        <w:tc>
          <w:tcPr>
            <w:tcW w:w="2931" w:type="dxa"/>
            <w:tcBorders>
              <w:top w:val="single" w:color="000000" w:sz="4" w:space="0"/>
              <w:left w:val="single" w:color="000000" w:sz="4" w:space="0"/>
              <w:bottom w:val="single" w:color="000000" w:sz="4" w:space="0"/>
            </w:tcBorders>
          </w:tcPr>
          <w:p w14:paraId="37D2F4ED">
            <w:pPr>
              <w:pStyle w:val="15"/>
              <w:spacing w:before="2" w:line="251" w:lineRule="exact"/>
              <w:ind w:left="61"/>
              <w:rPr>
                <w:sz w:val="21"/>
              </w:rPr>
            </w:pPr>
            <w:r>
              <w:rPr>
                <w:spacing w:val="-4"/>
                <w:sz w:val="21"/>
              </w:rPr>
              <w:t>自主测算确定</w:t>
            </w:r>
          </w:p>
        </w:tc>
      </w:tr>
      <w:tr w14:paraId="2BCE2F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603CE4AF">
            <w:pPr>
              <w:pStyle w:val="15"/>
              <w:spacing w:line="252" w:lineRule="exact"/>
              <w:ind w:left="14"/>
              <w:jc w:val="center"/>
              <w:rPr>
                <w:sz w:val="21"/>
              </w:rPr>
            </w:pPr>
            <w:r>
              <w:rPr>
                <w:spacing w:val="-10"/>
                <w:sz w:val="21"/>
              </w:rPr>
              <w:t>3</w:t>
            </w:r>
          </w:p>
        </w:tc>
        <w:tc>
          <w:tcPr>
            <w:tcW w:w="1619" w:type="dxa"/>
            <w:tcBorders>
              <w:top w:val="single" w:color="000000" w:sz="4" w:space="0"/>
              <w:left w:val="single" w:color="000000" w:sz="4" w:space="0"/>
              <w:bottom w:val="single" w:color="000000" w:sz="4" w:space="0"/>
              <w:right w:val="single" w:color="000000" w:sz="4" w:space="0"/>
            </w:tcBorders>
          </w:tcPr>
          <w:p w14:paraId="1319EF16">
            <w:pPr>
              <w:pStyle w:val="15"/>
              <w:spacing w:line="252" w:lineRule="exact"/>
              <w:ind w:left="62"/>
              <w:rPr>
                <w:sz w:val="21"/>
              </w:rPr>
            </w:pPr>
            <w:r>
              <w:rPr>
                <w:spacing w:val="-7"/>
                <w:sz w:val="21"/>
              </w:rPr>
              <w:t>其他项目</w:t>
            </w:r>
          </w:p>
        </w:tc>
        <w:tc>
          <w:tcPr>
            <w:tcW w:w="2800" w:type="dxa"/>
            <w:tcBorders>
              <w:top w:val="single" w:color="000000" w:sz="4" w:space="0"/>
              <w:left w:val="single" w:color="000000" w:sz="4" w:space="0"/>
              <w:bottom w:val="single" w:color="000000" w:sz="4" w:space="0"/>
              <w:right w:val="single" w:color="000000" w:sz="4" w:space="0"/>
            </w:tcBorders>
          </w:tcPr>
          <w:p w14:paraId="0C84D80B">
            <w:pPr>
              <w:pStyle w:val="15"/>
              <w:spacing w:line="252" w:lineRule="exact"/>
              <w:ind w:left="60"/>
              <w:rPr>
                <w:sz w:val="21"/>
              </w:rPr>
            </w:pPr>
            <w:r>
              <w:rPr>
                <w:spacing w:val="-2"/>
                <w:sz w:val="21"/>
              </w:rPr>
              <w:t>3.1+3.2+3.3+3.4+3.5</w:t>
            </w:r>
          </w:p>
        </w:tc>
        <w:tc>
          <w:tcPr>
            <w:tcW w:w="2931" w:type="dxa"/>
            <w:tcBorders>
              <w:top w:val="single" w:color="000000" w:sz="4" w:space="0"/>
              <w:left w:val="single" w:color="000000" w:sz="4" w:space="0"/>
              <w:bottom w:val="single" w:color="000000" w:sz="4" w:space="0"/>
            </w:tcBorders>
          </w:tcPr>
          <w:p w14:paraId="1F8392D8">
            <w:pPr>
              <w:pStyle w:val="15"/>
              <w:rPr>
                <w:rFonts w:ascii="Times New Roman"/>
                <w:sz w:val="20"/>
              </w:rPr>
            </w:pPr>
          </w:p>
        </w:tc>
      </w:tr>
      <w:tr w14:paraId="32E4FC0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9" w:type="dxa"/>
            <w:tcBorders>
              <w:top w:val="single" w:color="000000" w:sz="4" w:space="0"/>
              <w:bottom w:val="single" w:color="000000" w:sz="4" w:space="0"/>
              <w:right w:val="single" w:color="000000" w:sz="4" w:space="0"/>
            </w:tcBorders>
          </w:tcPr>
          <w:p w14:paraId="75B84499">
            <w:pPr>
              <w:pStyle w:val="15"/>
              <w:spacing w:before="1" w:line="251" w:lineRule="exact"/>
              <w:ind w:left="14" w:right="2"/>
              <w:jc w:val="center"/>
              <w:rPr>
                <w:sz w:val="21"/>
              </w:rPr>
            </w:pPr>
            <w:r>
              <w:rPr>
                <w:spacing w:val="-5"/>
                <w:sz w:val="21"/>
              </w:rPr>
              <w:t>3.1</w:t>
            </w:r>
          </w:p>
        </w:tc>
        <w:tc>
          <w:tcPr>
            <w:tcW w:w="1619" w:type="dxa"/>
            <w:tcBorders>
              <w:top w:val="single" w:color="000000" w:sz="4" w:space="0"/>
              <w:left w:val="single" w:color="000000" w:sz="4" w:space="0"/>
              <w:bottom w:val="single" w:color="000000" w:sz="4" w:space="0"/>
              <w:right w:val="single" w:color="000000" w:sz="4" w:space="0"/>
            </w:tcBorders>
          </w:tcPr>
          <w:p w14:paraId="0A358E20">
            <w:pPr>
              <w:pStyle w:val="15"/>
              <w:spacing w:before="1" w:line="251" w:lineRule="exact"/>
              <w:ind w:left="62"/>
              <w:rPr>
                <w:sz w:val="21"/>
              </w:rPr>
            </w:pPr>
            <w:r>
              <w:rPr>
                <w:spacing w:val="-7"/>
                <w:sz w:val="21"/>
              </w:rPr>
              <w:t>暂列金额</w:t>
            </w:r>
          </w:p>
        </w:tc>
        <w:tc>
          <w:tcPr>
            <w:tcW w:w="2800" w:type="dxa"/>
            <w:tcBorders>
              <w:top w:val="single" w:color="000000" w:sz="4" w:space="0"/>
              <w:left w:val="single" w:color="000000" w:sz="4" w:space="0"/>
              <w:bottom w:val="single" w:color="000000" w:sz="4" w:space="0"/>
              <w:right w:val="single" w:color="000000" w:sz="4" w:space="0"/>
            </w:tcBorders>
          </w:tcPr>
          <w:p w14:paraId="72485222">
            <w:pPr>
              <w:pStyle w:val="15"/>
              <w:spacing w:before="1" w:line="251" w:lineRule="exact"/>
              <w:ind w:left="60"/>
              <w:rPr>
                <w:sz w:val="21"/>
              </w:rPr>
            </w:pPr>
            <w:r>
              <w:rPr>
                <w:spacing w:val="-4"/>
                <w:sz w:val="21"/>
              </w:rPr>
              <w:t>按招标文件</w:t>
            </w:r>
          </w:p>
        </w:tc>
        <w:tc>
          <w:tcPr>
            <w:tcW w:w="2931" w:type="dxa"/>
            <w:tcBorders>
              <w:top w:val="single" w:color="000000" w:sz="4" w:space="0"/>
              <w:left w:val="single" w:color="000000" w:sz="4" w:space="0"/>
              <w:bottom w:val="single" w:color="000000" w:sz="4" w:space="0"/>
            </w:tcBorders>
          </w:tcPr>
          <w:p w14:paraId="48C9964E">
            <w:pPr>
              <w:pStyle w:val="15"/>
              <w:spacing w:before="1" w:line="251" w:lineRule="exact"/>
              <w:ind w:left="61"/>
              <w:rPr>
                <w:sz w:val="21"/>
              </w:rPr>
            </w:pPr>
            <w:r>
              <w:rPr>
                <w:spacing w:val="-4"/>
                <w:sz w:val="21"/>
              </w:rPr>
              <w:t>不含增值税</w:t>
            </w:r>
          </w:p>
        </w:tc>
      </w:tr>
      <w:tr w14:paraId="6E0356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3" w:hRule="atLeast"/>
        </w:trPr>
        <w:tc>
          <w:tcPr>
            <w:tcW w:w="669" w:type="dxa"/>
            <w:tcBorders>
              <w:top w:val="single" w:color="000000" w:sz="4" w:space="0"/>
              <w:bottom w:val="single" w:color="000000" w:sz="4" w:space="0"/>
              <w:right w:val="single" w:color="000000" w:sz="4" w:space="0"/>
            </w:tcBorders>
          </w:tcPr>
          <w:p w14:paraId="6DAC12FB">
            <w:pPr>
              <w:pStyle w:val="15"/>
              <w:spacing w:line="253" w:lineRule="exact"/>
              <w:ind w:left="14" w:right="2"/>
              <w:jc w:val="center"/>
              <w:rPr>
                <w:sz w:val="21"/>
              </w:rPr>
            </w:pPr>
            <w:r>
              <w:rPr>
                <w:spacing w:val="-5"/>
                <w:sz w:val="21"/>
              </w:rPr>
              <w:t>3.2</w:t>
            </w:r>
          </w:p>
        </w:tc>
        <w:tc>
          <w:tcPr>
            <w:tcW w:w="1619" w:type="dxa"/>
            <w:tcBorders>
              <w:top w:val="single" w:color="000000" w:sz="4" w:space="0"/>
              <w:left w:val="single" w:color="000000" w:sz="4" w:space="0"/>
              <w:bottom w:val="single" w:color="000000" w:sz="4" w:space="0"/>
              <w:right w:val="single" w:color="000000" w:sz="4" w:space="0"/>
            </w:tcBorders>
          </w:tcPr>
          <w:p w14:paraId="0D05171B">
            <w:pPr>
              <w:pStyle w:val="15"/>
              <w:spacing w:line="253" w:lineRule="exact"/>
              <w:ind w:left="62"/>
              <w:rPr>
                <w:sz w:val="21"/>
              </w:rPr>
            </w:pPr>
            <w:r>
              <w:rPr>
                <w:spacing w:val="-4"/>
                <w:sz w:val="21"/>
              </w:rPr>
              <w:t>专业工程暂估价</w:t>
            </w:r>
          </w:p>
        </w:tc>
        <w:tc>
          <w:tcPr>
            <w:tcW w:w="2800" w:type="dxa"/>
            <w:tcBorders>
              <w:top w:val="single" w:color="000000" w:sz="4" w:space="0"/>
              <w:left w:val="single" w:color="000000" w:sz="4" w:space="0"/>
              <w:bottom w:val="single" w:color="000000" w:sz="4" w:space="0"/>
              <w:right w:val="single" w:color="000000" w:sz="4" w:space="0"/>
            </w:tcBorders>
          </w:tcPr>
          <w:p w14:paraId="25160119">
            <w:pPr>
              <w:pStyle w:val="15"/>
              <w:spacing w:line="253" w:lineRule="exact"/>
              <w:ind w:left="60"/>
              <w:rPr>
                <w:sz w:val="21"/>
              </w:rPr>
            </w:pPr>
            <w:r>
              <w:rPr>
                <w:spacing w:val="-4"/>
                <w:sz w:val="21"/>
              </w:rPr>
              <w:t>按招标文件</w:t>
            </w:r>
          </w:p>
        </w:tc>
        <w:tc>
          <w:tcPr>
            <w:tcW w:w="2931" w:type="dxa"/>
            <w:tcBorders>
              <w:top w:val="single" w:color="000000" w:sz="4" w:space="0"/>
              <w:left w:val="single" w:color="000000" w:sz="4" w:space="0"/>
              <w:bottom w:val="single" w:color="000000" w:sz="4" w:space="0"/>
            </w:tcBorders>
          </w:tcPr>
          <w:p w14:paraId="7D8628A6">
            <w:pPr>
              <w:pStyle w:val="15"/>
              <w:spacing w:line="253" w:lineRule="exact"/>
              <w:ind w:left="61"/>
              <w:rPr>
                <w:sz w:val="21"/>
              </w:rPr>
            </w:pPr>
            <w:r>
              <w:rPr>
                <w:spacing w:val="-7"/>
                <w:sz w:val="21"/>
              </w:rPr>
              <w:t>含增值税</w:t>
            </w:r>
          </w:p>
        </w:tc>
      </w:tr>
      <w:tr w14:paraId="3004EC4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9" w:type="dxa"/>
            <w:tcBorders>
              <w:top w:val="single" w:color="000000" w:sz="4" w:space="0"/>
              <w:bottom w:val="single" w:color="000000" w:sz="4" w:space="0"/>
              <w:right w:val="single" w:color="000000" w:sz="4" w:space="0"/>
            </w:tcBorders>
          </w:tcPr>
          <w:p w14:paraId="25FCED95">
            <w:pPr>
              <w:pStyle w:val="15"/>
              <w:spacing w:line="252" w:lineRule="exact"/>
              <w:ind w:left="14" w:right="2"/>
              <w:jc w:val="center"/>
              <w:rPr>
                <w:sz w:val="21"/>
              </w:rPr>
            </w:pPr>
            <w:r>
              <w:rPr>
                <w:spacing w:val="-5"/>
                <w:sz w:val="21"/>
              </w:rPr>
              <w:t>3.3</w:t>
            </w:r>
          </w:p>
        </w:tc>
        <w:tc>
          <w:tcPr>
            <w:tcW w:w="1619" w:type="dxa"/>
            <w:tcBorders>
              <w:top w:val="single" w:color="000000" w:sz="4" w:space="0"/>
              <w:left w:val="single" w:color="000000" w:sz="4" w:space="0"/>
              <w:bottom w:val="single" w:color="000000" w:sz="4" w:space="0"/>
              <w:right w:val="single" w:color="000000" w:sz="4" w:space="0"/>
            </w:tcBorders>
          </w:tcPr>
          <w:p w14:paraId="321F24DA">
            <w:pPr>
              <w:pStyle w:val="15"/>
              <w:spacing w:line="252" w:lineRule="exact"/>
              <w:ind w:left="62"/>
              <w:rPr>
                <w:sz w:val="21"/>
              </w:rPr>
            </w:pPr>
            <w:r>
              <w:rPr>
                <w:spacing w:val="-5"/>
                <w:sz w:val="21"/>
              </w:rPr>
              <w:t>计日工</w:t>
            </w:r>
          </w:p>
        </w:tc>
        <w:tc>
          <w:tcPr>
            <w:tcW w:w="2800" w:type="dxa"/>
            <w:tcBorders>
              <w:top w:val="single" w:color="000000" w:sz="4" w:space="0"/>
              <w:left w:val="single" w:color="000000" w:sz="4" w:space="0"/>
              <w:bottom w:val="single" w:color="000000" w:sz="4" w:space="0"/>
              <w:right w:val="single" w:color="000000" w:sz="4" w:space="0"/>
            </w:tcBorders>
          </w:tcPr>
          <w:p w14:paraId="6DFEC93E">
            <w:pPr>
              <w:pStyle w:val="15"/>
              <w:spacing w:line="252" w:lineRule="exact"/>
              <w:ind w:left="60"/>
              <w:rPr>
                <w:sz w:val="21"/>
              </w:rPr>
            </w:pPr>
            <w:r>
              <w:rPr>
                <w:spacing w:val="-2"/>
                <w:sz w:val="21"/>
              </w:rPr>
              <w:t>3.3.1+3.3.2+3.3.3</w:t>
            </w:r>
          </w:p>
        </w:tc>
        <w:tc>
          <w:tcPr>
            <w:tcW w:w="2931" w:type="dxa"/>
            <w:tcBorders>
              <w:top w:val="single" w:color="000000" w:sz="4" w:space="0"/>
              <w:left w:val="single" w:color="000000" w:sz="4" w:space="0"/>
              <w:bottom w:val="single" w:color="000000" w:sz="4" w:space="0"/>
            </w:tcBorders>
          </w:tcPr>
          <w:p w14:paraId="7245B939">
            <w:pPr>
              <w:pStyle w:val="15"/>
              <w:spacing w:line="252" w:lineRule="exact"/>
              <w:ind w:left="61"/>
              <w:rPr>
                <w:sz w:val="21"/>
              </w:rPr>
            </w:pPr>
            <w:r>
              <w:rPr>
                <w:spacing w:val="-4"/>
                <w:sz w:val="21"/>
              </w:rPr>
              <w:t>不含增值税</w:t>
            </w:r>
          </w:p>
        </w:tc>
      </w:tr>
      <w:tr w14:paraId="205F755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1FC5A1AA">
            <w:pPr>
              <w:pStyle w:val="15"/>
              <w:spacing w:line="252" w:lineRule="exact"/>
              <w:ind w:left="14" w:right="2"/>
              <w:jc w:val="center"/>
              <w:rPr>
                <w:sz w:val="21"/>
              </w:rPr>
            </w:pPr>
            <w:r>
              <w:rPr>
                <w:spacing w:val="-2"/>
                <w:sz w:val="21"/>
              </w:rPr>
              <w:t>3.3.1</w:t>
            </w:r>
          </w:p>
        </w:tc>
        <w:tc>
          <w:tcPr>
            <w:tcW w:w="1619" w:type="dxa"/>
            <w:tcBorders>
              <w:top w:val="single" w:color="000000" w:sz="4" w:space="0"/>
              <w:left w:val="single" w:color="000000" w:sz="4" w:space="0"/>
              <w:bottom w:val="single" w:color="000000" w:sz="4" w:space="0"/>
              <w:right w:val="single" w:color="000000" w:sz="4" w:space="0"/>
            </w:tcBorders>
          </w:tcPr>
          <w:p w14:paraId="64BE4A6D">
            <w:pPr>
              <w:pStyle w:val="15"/>
              <w:spacing w:line="252" w:lineRule="exact"/>
              <w:ind w:left="62"/>
              <w:rPr>
                <w:sz w:val="21"/>
              </w:rPr>
            </w:pPr>
            <w:r>
              <w:rPr>
                <w:spacing w:val="-5"/>
                <w:sz w:val="21"/>
              </w:rPr>
              <w:t>人工费</w:t>
            </w:r>
          </w:p>
        </w:tc>
        <w:tc>
          <w:tcPr>
            <w:tcW w:w="2800" w:type="dxa"/>
            <w:tcBorders>
              <w:top w:val="single" w:color="000000" w:sz="4" w:space="0"/>
              <w:left w:val="single" w:color="000000" w:sz="4" w:space="0"/>
              <w:bottom w:val="single" w:color="000000" w:sz="4" w:space="0"/>
              <w:right w:val="single" w:color="000000" w:sz="4" w:space="0"/>
            </w:tcBorders>
          </w:tcPr>
          <w:p w14:paraId="29D6C1A4">
            <w:pPr>
              <w:pStyle w:val="15"/>
              <w:spacing w:line="252" w:lineRule="exact"/>
              <w:ind w:left="60"/>
              <w:rPr>
                <w:sz w:val="21"/>
              </w:rPr>
            </w:pPr>
            <w:r>
              <w:rPr>
                <w:spacing w:val="-2"/>
                <w:sz w:val="21"/>
              </w:rPr>
              <w:t>Σ（数量×综合单价</w:t>
            </w:r>
            <w:r>
              <w:rPr>
                <w:spacing w:val="-10"/>
                <w:sz w:val="21"/>
              </w:rPr>
              <w:t>）</w:t>
            </w:r>
          </w:p>
        </w:tc>
        <w:tc>
          <w:tcPr>
            <w:tcW w:w="2931" w:type="dxa"/>
            <w:vMerge w:val="restart"/>
            <w:tcBorders>
              <w:top w:val="single" w:color="000000" w:sz="4" w:space="0"/>
              <w:left w:val="single" w:color="000000" w:sz="4" w:space="0"/>
              <w:bottom w:val="single" w:color="000000" w:sz="4" w:space="0"/>
            </w:tcBorders>
          </w:tcPr>
          <w:p w14:paraId="3CC4D5FB">
            <w:pPr>
              <w:pStyle w:val="15"/>
              <w:spacing w:before="145" w:line="244" w:lineRule="auto"/>
              <w:ind w:left="61" w:right="123"/>
              <w:rPr>
                <w:sz w:val="21"/>
              </w:rPr>
            </w:pPr>
            <w:r>
              <w:rPr>
                <w:spacing w:val="-2"/>
                <w:sz w:val="21"/>
              </w:rPr>
              <w:t>其综合单价应综合考虑相应的管理费及利润</w:t>
            </w:r>
          </w:p>
        </w:tc>
      </w:tr>
      <w:tr w14:paraId="699DC3F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5569AEDA">
            <w:pPr>
              <w:pStyle w:val="15"/>
              <w:spacing w:line="253" w:lineRule="exact"/>
              <w:ind w:left="14" w:right="2"/>
              <w:jc w:val="center"/>
              <w:rPr>
                <w:sz w:val="21"/>
              </w:rPr>
            </w:pPr>
            <w:r>
              <w:rPr>
                <w:spacing w:val="-2"/>
                <w:sz w:val="21"/>
              </w:rPr>
              <w:t>3.3.2</w:t>
            </w:r>
          </w:p>
        </w:tc>
        <w:tc>
          <w:tcPr>
            <w:tcW w:w="1619" w:type="dxa"/>
            <w:tcBorders>
              <w:top w:val="single" w:color="000000" w:sz="4" w:space="0"/>
              <w:left w:val="single" w:color="000000" w:sz="4" w:space="0"/>
              <w:bottom w:val="single" w:color="000000" w:sz="4" w:space="0"/>
              <w:right w:val="single" w:color="000000" w:sz="4" w:space="0"/>
            </w:tcBorders>
          </w:tcPr>
          <w:p w14:paraId="45DAEBD3">
            <w:pPr>
              <w:pStyle w:val="15"/>
              <w:spacing w:line="253" w:lineRule="exact"/>
              <w:ind w:left="62"/>
              <w:rPr>
                <w:sz w:val="21"/>
              </w:rPr>
            </w:pPr>
            <w:r>
              <w:rPr>
                <w:spacing w:val="-5"/>
                <w:sz w:val="21"/>
              </w:rPr>
              <w:t>材料费</w:t>
            </w:r>
          </w:p>
        </w:tc>
        <w:tc>
          <w:tcPr>
            <w:tcW w:w="2800" w:type="dxa"/>
            <w:tcBorders>
              <w:top w:val="single" w:color="000000" w:sz="4" w:space="0"/>
              <w:left w:val="single" w:color="000000" w:sz="4" w:space="0"/>
              <w:bottom w:val="single" w:color="000000" w:sz="4" w:space="0"/>
              <w:right w:val="single" w:color="000000" w:sz="4" w:space="0"/>
            </w:tcBorders>
          </w:tcPr>
          <w:p w14:paraId="46793CAD">
            <w:pPr>
              <w:pStyle w:val="15"/>
              <w:spacing w:line="253" w:lineRule="exact"/>
              <w:ind w:left="60"/>
              <w:rPr>
                <w:sz w:val="21"/>
              </w:rPr>
            </w:pPr>
            <w:r>
              <w:rPr>
                <w:spacing w:val="-2"/>
                <w:sz w:val="21"/>
              </w:rPr>
              <w:t>Σ（数量×综合单价</w:t>
            </w:r>
            <w:r>
              <w:rPr>
                <w:spacing w:val="-10"/>
                <w:sz w:val="21"/>
              </w:rPr>
              <w:t>）</w:t>
            </w:r>
          </w:p>
        </w:tc>
        <w:tc>
          <w:tcPr>
            <w:tcW w:w="2931" w:type="dxa"/>
            <w:vMerge w:val="continue"/>
            <w:tcBorders>
              <w:top w:val="nil"/>
              <w:left w:val="single" w:color="000000" w:sz="4" w:space="0"/>
              <w:bottom w:val="single" w:color="000000" w:sz="4" w:space="0"/>
            </w:tcBorders>
          </w:tcPr>
          <w:p w14:paraId="08E9549C">
            <w:pPr>
              <w:rPr>
                <w:sz w:val="2"/>
                <w:szCs w:val="2"/>
              </w:rPr>
            </w:pPr>
          </w:p>
        </w:tc>
      </w:tr>
      <w:tr w14:paraId="7805EC0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59A67289">
            <w:pPr>
              <w:pStyle w:val="15"/>
              <w:spacing w:line="252" w:lineRule="exact"/>
              <w:ind w:left="14" w:right="2"/>
              <w:jc w:val="center"/>
              <w:rPr>
                <w:sz w:val="21"/>
              </w:rPr>
            </w:pPr>
            <w:r>
              <w:rPr>
                <w:spacing w:val="-2"/>
                <w:sz w:val="21"/>
              </w:rPr>
              <w:t>3.3.3</w:t>
            </w:r>
          </w:p>
        </w:tc>
        <w:tc>
          <w:tcPr>
            <w:tcW w:w="1619" w:type="dxa"/>
            <w:tcBorders>
              <w:top w:val="single" w:color="000000" w:sz="4" w:space="0"/>
              <w:left w:val="single" w:color="000000" w:sz="4" w:space="0"/>
              <w:bottom w:val="single" w:color="000000" w:sz="4" w:space="0"/>
              <w:right w:val="single" w:color="000000" w:sz="4" w:space="0"/>
            </w:tcBorders>
          </w:tcPr>
          <w:p w14:paraId="6861AC5B">
            <w:pPr>
              <w:pStyle w:val="15"/>
              <w:spacing w:line="252" w:lineRule="exact"/>
              <w:ind w:left="62"/>
              <w:rPr>
                <w:sz w:val="21"/>
              </w:rPr>
            </w:pPr>
            <w:r>
              <w:rPr>
                <w:spacing w:val="-4"/>
                <w:sz w:val="21"/>
              </w:rPr>
              <w:t>施工机具费</w:t>
            </w:r>
          </w:p>
        </w:tc>
        <w:tc>
          <w:tcPr>
            <w:tcW w:w="2800" w:type="dxa"/>
            <w:tcBorders>
              <w:top w:val="single" w:color="000000" w:sz="4" w:space="0"/>
              <w:left w:val="single" w:color="000000" w:sz="4" w:space="0"/>
              <w:bottom w:val="single" w:color="000000" w:sz="4" w:space="0"/>
              <w:right w:val="single" w:color="000000" w:sz="4" w:space="0"/>
            </w:tcBorders>
          </w:tcPr>
          <w:p w14:paraId="4055C657">
            <w:pPr>
              <w:pStyle w:val="15"/>
              <w:spacing w:line="252" w:lineRule="exact"/>
              <w:ind w:left="60"/>
              <w:rPr>
                <w:sz w:val="21"/>
              </w:rPr>
            </w:pPr>
            <w:r>
              <w:rPr>
                <w:spacing w:val="-2"/>
                <w:sz w:val="21"/>
              </w:rPr>
              <w:t>Σ（数量×综合单价</w:t>
            </w:r>
            <w:r>
              <w:rPr>
                <w:spacing w:val="-10"/>
                <w:sz w:val="21"/>
              </w:rPr>
              <w:t>）</w:t>
            </w:r>
          </w:p>
        </w:tc>
        <w:tc>
          <w:tcPr>
            <w:tcW w:w="2931" w:type="dxa"/>
            <w:vMerge w:val="continue"/>
            <w:tcBorders>
              <w:top w:val="nil"/>
              <w:left w:val="single" w:color="000000" w:sz="4" w:space="0"/>
              <w:bottom w:val="single" w:color="000000" w:sz="4" w:space="0"/>
            </w:tcBorders>
          </w:tcPr>
          <w:p w14:paraId="7DCCA7D9">
            <w:pPr>
              <w:rPr>
                <w:sz w:val="2"/>
                <w:szCs w:val="2"/>
              </w:rPr>
            </w:pPr>
          </w:p>
        </w:tc>
      </w:tr>
      <w:tr w14:paraId="7DB3066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211D5866">
            <w:pPr>
              <w:pStyle w:val="15"/>
              <w:spacing w:line="252" w:lineRule="exact"/>
              <w:ind w:left="14" w:right="2"/>
              <w:jc w:val="center"/>
              <w:rPr>
                <w:sz w:val="21"/>
              </w:rPr>
            </w:pPr>
            <w:r>
              <w:rPr>
                <w:spacing w:val="-5"/>
                <w:sz w:val="21"/>
              </w:rPr>
              <w:t>3.4</w:t>
            </w:r>
          </w:p>
        </w:tc>
        <w:tc>
          <w:tcPr>
            <w:tcW w:w="1619" w:type="dxa"/>
            <w:tcBorders>
              <w:top w:val="single" w:color="000000" w:sz="4" w:space="0"/>
              <w:left w:val="single" w:color="000000" w:sz="4" w:space="0"/>
              <w:bottom w:val="single" w:color="000000" w:sz="4" w:space="0"/>
              <w:right w:val="single" w:color="000000" w:sz="4" w:space="0"/>
            </w:tcBorders>
          </w:tcPr>
          <w:p w14:paraId="50CCB504">
            <w:pPr>
              <w:pStyle w:val="15"/>
              <w:spacing w:line="252" w:lineRule="exact"/>
              <w:ind w:left="62"/>
              <w:rPr>
                <w:sz w:val="21"/>
              </w:rPr>
            </w:pPr>
            <w:r>
              <w:rPr>
                <w:spacing w:val="-4"/>
                <w:sz w:val="21"/>
              </w:rPr>
              <w:t>总承包服务费</w:t>
            </w:r>
          </w:p>
        </w:tc>
        <w:tc>
          <w:tcPr>
            <w:tcW w:w="2800" w:type="dxa"/>
            <w:tcBorders>
              <w:top w:val="single" w:color="000000" w:sz="4" w:space="0"/>
              <w:left w:val="single" w:color="000000" w:sz="4" w:space="0"/>
              <w:bottom w:val="single" w:color="000000" w:sz="4" w:space="0"/>
              <w:right w:val="single" w:color="000000" w:sz="4" w:space="0"/>
            </w:tcBorders>
          </w:tcPr>
          <w:p w14:paraId="175547FC">
            <w:pPr>
              <w:pStyle w:val="15"/>
              <w:spacing w:line="252" w:lineRule="exact"/>
              <w:ind w:left="60"/>
              <w:rPr>
                <w:sz w:val="21"/>
              </w:rPr>
            </w:pPr>
            <w:r>
              <w:rPr>
                <w:spacing w:val="-2"/>
                <w:sz w:val="21"/>
              </w:rPr>
              <w:t>3.4.1+3.4.2+3.4.3</w:t>
            </w:r>
          </w:p>
        </w:tc>
        <w:tc>
          <w:tcPr>
            <w:tcW w:w="2931" w:type="dxa"/>
            <w:tcBorders>
              <w:top w:val="single" w:color="000000" w:sz="4" w:space="0"/>
              <w:left w:val="single" w:color="000000" w:sz="4" w:space="0"/>
              <w:bottom w:val="single" w:color="000000" w:sz="4" w:space="0"/>
            </w:tcBorders>
          </w:tcPr>
          <w:p w14:paraId="5D15B5C7">
            <w:pPr>
              <w:pStyle w:val="15"/>
              <w:spacing w:line="252" w:lineRule="exact"/>
              <w:ind w:left="61"/>
              <w:rPr>
                <w:sz w:val="21"/>
              </w:rPr>
            </w:pPr>
            <w:r>
              <w:rPr>
                <w:spacing w:val="-4"/>
                <w:sz w:val="21"/>
              </w:rPr>
              <w:t>不含增值税</w:t>
            </w:r>
          </w:p>
        </w:tc>
      </w:tr>
      <w:tr w14:paraId="2DFFEF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9" w:type="dxa"/>
            <w:tcBorders>
              <w:top w:val="single" w:color="000000" w:sz="4" w:space="0"/>
              <w:bottom w:val="single" w:color="000000" w:sz="4" w:space="0"/>
              <w:right w:val="single" w:color="000000" w:sz="4" w:space="0"/>
            </w:tcBorders>
          </w:tcPr>
          <w:p w14:paraId="457D08FB">
            <w:pPr>
              <w:pStyle w:val="15"/>
              <w:spacing w:line="253" w:lineRule="exact"/>
              <w:ind w:left="14" w:right="2"/>
              <w:jc w:val="center"/>
              <w:rPr>
                <w:sz w:val="21"/>
              </w:rPr>
            </w:pPr>
            <w:r>
              <w:rPr>
                <w:spacing w:val="-2"/>
                <w:sz w:val="21"/>
              </w:rPr>
              <w:t>3.4.1</w:t>
            </w:r>
          </w:p>
        </w:tc>
        <w:tc>
          <w:tcPr>
            <w:tcW w:w="1619" w:type="dxa"/>
            <w:tcBorders>
              <w:top w:val="single" w:color="000000" w:sz="4" w:space="0"/>
              <w:left w:val="single" w:color="000000" w:sz="4" w:space="0"/>
              <w:bottom w:val="single" w:color="000000" w:sz="4" w:space="0"/>
              <w:right w:val="single" w:color="000000" w:sz="4" w:space="0"/>
            </w:tcBorders>
          </w:tcPr>
          <w:p w14:paraId="0857C48D">
            <w:pPr>
              <w:pStyle w:val="15"/>
              <w:spacing w:line="253" w:lineRule="exact"/>
              <w:ind w:left="62"/>
              <w:rPr>
                <w:sz w:val="21"/>
              </w:rPr>
            </w:pPr>
            <w:r>
              <w:rPr>
                <w:spacing w:val="-4"/>
                <w:sz w:val="21"/>
              </w:rPr>
              <w:t>专业分包工程</w:t>
            </w:r>
          </w:p>
        </w:tc>
        <w:tc>
          <w:tcPr>
            <w:tcW w:w="2800" w:type="dxa"/>
            <w:tcBorders>
              <w:top w:val="single" w:color="000000" w:sz="4" w:space="0"/>
              <w:left w:val="single" w:color="000000" w:sz="4" w:space="0"/>
              <w:bottom w:val="single" w:color="000000" w:sz="4" w:space="0"/>
              <w:right w:val="single" w:color="000000" w:sz="4" w:space="0"/>
            </w:tcBorders>
          </w:tcPr>
          <w:p w14:paraId="20D6C6B3">
            <w:pPr>
              <w:pStyle w:val="15"/>
              <w:spacing w:line="253" w:lineRule="exact"/>
              <w:ind w:left="60"/>
              <w:rPr>
                <w:sz w:val="21"/>
              </w:rPr>
            </w:pPr>
            <w:r>
              <w:rPr>
                <w:spacing w:val="-7"/>
                <w:sz w:val="21"/>
              </w:rPr>
              <w:t>计算基础×费率，或一笔金额</w:t>
            </w:r>
          </w:p>
        </w:tc>
        <w:tc>
          <w:tcPr>
            <w:tcW w:w="2931" w:type="dxa"/>
            <w:tcBorders>
              <w:top w:val="single" w:color="000000" w:sz="4" w:space="0"/>
              <w:left w:val="single" w:color="000000" w:sz="4" w:space="0"/>
              <w:bottom w:val="single" w:color="000000" w:sz="4" w:space="0"/>
            </w:tcBorders>
          </w:tcPr>
          <w:p w14:paraId="5B5FC3D4">
            <w:pPr>
              <w:pStyle w:val="15"/>
              <w:spacing w:line="253" w:lineRule="exact"/>
              <w:ind w:left="61"/>
              <w:rPr>
                <w:sz w:val="21"/>
              </w:rPr>
            </w:pPr>
            <w:r>
              <w:rPr>
                <w:spacing w:val="-3"/>
                <w:sz w:val="21"/>
              </w:rPr>
              <w:t>计算基础为专业工程暂估价</w:t>
            </w:r>
          </w:p>
        </w:tc>
      </w:tr>
      <w:tr w14:paraId="357A02F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4" w:hRule="atLeast"/>
        </w:trPr>
        <w:tc>
          <w:tcPr>
            <w:tcW w:w="669" w:type="dxa"/>
            <w:tcBorders>
              <w:top w:val="single" w:color="000000" w:sz="4" w:space="0"/>
              <w:bottom w:val="single" w:color="000000" w:sz="4" w:space="0"/>
              <w:right w:val="single" w:color="000000" w:sz="4" w:space="0"/>
            </w:tcBorders>
          </w:tcPr>
          <w:p w14:paraId="43C9EF99">
            <w:pPr>
              <w:pStyle w:val="15"/>
              <w:spacing w:before="135"/>
              <w:ind w:left="14" w:right="2"/>
              <w:jc w:val="center"/>
              <w:rPr>
                <w:sz w:val="21"/>
              </w:rPr>
            </w:pPr>
            <w:r>
              <w:rPr>
                <w:spacing w:val="-2"/>
                <w:sz w:val="21"/>
              </w:rPr>
              <w:t>3.4.2</w:t>
            </w:r>
          </w:p>
        </w:tc>
        <w:tc>
          <w:tcPr>
            <w:tcW w:w="1619" w:type="dxa"/>
            <w:tcBorders>
              <w:top w:val="single" w:color="000000" w:sz="4" w:space="0"/>
              <w:left w:val="single" w:color="000000" w:sz="4" w:space="0"/>
              <w:bottom w:val="single" w:color="000000" w:sz="4" w:space="0"/>
              <w:right w:val="single" w:color="000000" w:sz="4" w:space="0"/>
            </w:tcBorders>
          </w:tcPr>
          <w:p w14:paraId="27BBF538">
            <w:pPr>
              <w:pStyle w:val="15"/>
              <w:spacing w:before="135"/>
              <w:ind w:left="62"/>
              <w:rPr>
                <w:sz w:val="21"/>
              </w:rPr>
            </w:pPr>
            <w:r>
              <w:rPr>
                <w:spacing w:val="-4"/>
                <w:sz w:val="21"/>
              </w:rPr>
              <w:t>发包人提供材料</w:t>
            </w:r>
          </w:p>
        </w:tc>
        <w:tc>
          <w:tcPr>
            <w:tcW w:w="2800" w:type="dxa"/>
            <w:tcBorders>
              <w:top w:val="single" w:color="000000" w:sz="4" w:space="0"/>
              <w:left w:val="single" w:color="000000" w:sz="4" w:space="0"/>
              <w:bottom w:val="single" w:color="000000" w:sz="4" w:space="0"/>
              <w:right w:val="single" w:color="000000" w:sz="4" w:space="0"/>
            </w:tcBorders>
          </w:tcPr>
          <w:p w14:paraId="144996B2">
            <w:pPr>
              <w:pStyle w:val="15"/>
              <w:spacing w:before="135"/>
              <w:ind w:left="60"/>
              <w:rPr>
                <w:sz w:val="21"/>
              </w:rPr>
            </w:pPr>
            <w:r>
              <w:rPr>
                <w:spacing w:val="-7"/>
                <w:sz w:val="21"/>
              </w:rPr>
              <w:t>计算基础×费率，或一笔金额</w:t>
            </w:r>
          </w:p>
        </w:tc>
        <w:tc>
          <w:tcPr>
            <w:tcW w:w="2931" w:type="dxa"/>
            <w:tcBorders>
              <w:top w:val="single" w:color="000000" w:sz="4" w:space="0"/>
              <w:left w:val="single" w:color="000000" w:sz="4" w:space="0"/>
              <w:bottom w:val="single" w:color="000000" w:sz="4" w:space="0"/>
            </w:tcBorders>
          </w:tcPr>
          <w:p w14:paraId="418F6B0C">
            <w:pPr>
              <w:pStyle w:val="15"/>
              <w:ind w:left="61"/>
              <w:rPr>
                <w:sz w:val="21"/>
              </w:rPr>
            </w:pPr>
            <w:r>
              <w:rPr>
                <w:spacing w:val="-3"/>
                <w:sz w:val="21"/>
              </w:rPr>
              <w:t>计算基础为发包人提供材料总</w:t>
            </w:r>
          </w:p>
          <w:p w14:paraId="57ED479D">
            <w:pPr>
              <w:pStyle w:val="15"/>
              <w:spacing w:before="2" w:line="252" w:lineRule="exact"/>
              <w:ind w:left="61"/>
              <w:rPr>
                <w:sz w:val="21"/>
              </w:rPr>
            </w:pPr>
            <w:r>
              <w:rPr>
                <w:spacing w:val="-8"/>
                <w:sz w:val="21"/>
              </w:rPr>
              <w:t>金额</w:t>
            </w:r>
          </w:p>
        </w:tc>
      </w:tr>
      <w:tr w14:paraId="5B773DB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711771B3">
            <w:pPr>
              <w:pStyle w:val="15"/>
              <w:spacing w:before="135"/>
              <w:ind w:left="14" w:right="2"/>
              <w:jc w:val="center"/>
              <w:rPr>
                <w:sz w:val="21"/>
              </w:rPr>
            </w:pPr>
            <w:r>
              <w:rPr>
                <w:spacing w:val="-2"/>
                <w:sz w:val="21"/>
              </w:rPr>
              <w:t>3.4.3</w:t>
            </w:r>
          </w:p>
        </w:tc>
        <w:tc>
          <w:tcPr>
            <w:tcW w:w="1619" w:type="dxa"/>
            <w:tcBorders>
              <w:top w:val="single" w:color="000000" w:sz="4" w:space="0"/>
              <w:left w:val="single" w:color="000000" w:sz="4" w:space="0"/>
              <w:bottom w:val="single" w:color="000000" w:sz="4" w:space="0"/>
              <w:right w:val="single" w:color="000000" w:sz="4" w:space="0"/>
            </w:tcBorders>
          </w:tcPr>
          <w:p w14:paraId="6499A7BB">
            <w:pPr>
              <w:pStyle w:val="15"/>
              <w:spacing w:before="1"/>
              <w:ind w:left="62"/>
              <w:rPr>
                <w:sz w:val="21"/>
              </w:rPr>
            </w:pPr>
            <w:r>
              <w:rPr>
                <w:spacing w:val="-4"/>
                <w:sz w:val="21"/>
              </w:rPr>
              <w:t>直接发包的专业</w:t>
            </w:r>
          </w:p>
          <w:p w14:paraId="607D5C26">
            <w:pPr>
              <w:pStyle w:val="15"/>
              <w:spacing w:before="2" w:line="253" w:lineRule="exact"/>
              <w:ind w:left="62"/>
              <w:rPr>
                <w:sz w:val="21"/>
              </w:rPr>
            </w:pPr>
            <w:r>
              <w:rPr>
                <w:spacing w:val="-8"/>
                <w:sz w:val="21"/>
              </w:rPr>
              <w:t>工程</w:t>
            </w:r>
          </w:p>
        </w:tc>
        <w:tc>
          <w:tcPr>
            <w:tcW w:w="2800" w:type="dxa"/>
            <w:tcBorders>
              <w:top w:val="single" w:color="000000" w:sz="4" w:space="0"/>
              <w:left w:val="single" w:color="000000" w:sz="4" w:space="0"/>
              <w:bottom w:val="single" w:color="000000" w:sz="4" w:space="0"/>
              <w:right w:val="single" w:color="000000" w:sz="4" w:space="0"/>
            </w:tcBorders>
          </w:tcPr>
          <w:p w14:paraId="22F58D28">
            <w:pPr>
              <w:pStyle w:val="15"/>
              <w:spacing w:before="135"/>
              <w:ind w:left="60"/>
              <w:rPr>
                <w:sz w:val="21"/>
              </w:rPr>
            </w:pPr>
            <w:r>
              <w:rPr>
                <w:spacing w:val="-7"/>
                <w:sz w:val="21"/>
              </w:rPr>
              <w:t>计算基础×费率，或一笔金额</w:t>
            </w:r>
          </w:p>
        </w:tc>
        <w:tc>
          <w:tcPr>
            <w:tcW w:w="2931" w:type="dxa"/>
            <w:tcBorders>
              <w:top w:val="single" w:color="000000" w:sz="4" w:space="0"/>
              <w:left w:val="single" w:color="000000" w:sz="4" w:space="0"/>
              <w:bottom w:val="single" w:color="000000" w:sz="4" w:space="0"/>
            </w:tcBorders>
          </w:tcPr>
          <w:p w14:paraId="1C459205">
            <w:pPr>
              <w:pStyle w:val="15"/>
              <w:spacing w:before="1"/>
              <w:ind w:left="61"/>
              <w:rPr>
                <w:sz w:val="21"/>
              </w:rPr>
            </w:pPr>
            <w:r>
              <w:rPr>
                <w:spacing w:val="-3"/>
                <w:sz w:val="21"/>
              </w:rPr>
              <w:t>计算基础为直接发包的专业工</w:t>
            </w:r>
          </w:p>
          <w:p w14:paraId="485147C1">
            <w:pPr>
              <w:pStyle w:val="15"/>
              <w:spacing w:before="2" w:line="253" w:lineRule="exact"/>
              <w:ind w:left="61"/>
              <w:rPr>
                <w:sz w:val="21"/>
              </w:rPr>
            </w:pPr>
            <w:r>
              <w:rPr>
                <w:spacing w:val="-7"/>
                <w:sz w:val="21"/>
              </w:rPr>
              <w:t>程总金额</w:t>
            </w:r>
          </w:p>
        </w:tc>
      </w:tr>
      <w:tr w14:paraId="5821608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9" w:type="dxa"/>
            <w:tcBorders>
              <w:top w:val="single" w:color="000000" w:sz="4" w:space="0"/>
              <w:bottom w:val="single" w:color="000000" w:sz="4" w:space="0"/>
              <w:right w:val="single" w:color="000000" w:sz="4" w:space="0"/>
            </w:tcBorders>
          </w:tcPr>
          <w:p w14:paraId="47BC972A">
            <w:pPr>
              <w:pStyle w:val="15"/>
              <w:spacing w:before="135"/>
              <w:ind w:left="14" w:right="2"/>
              <w:jc w:val="center"/>
              <w:rPr>
                <w:sz w:val="21"/>
              </w:rPr>
            </w:pPr>
            <w:r>
              <w:rPr>
                <w:spacing w:val="-5"/>
                <w:sz w:val="21"/>
              </w:rPr>
              <w:t>3.5</w:t>
            </w:r>
          </w:p>
        </w:tc>
        <w:tc>
          <w:tcPr>
            <w:tcW w:w="1619" w:type="dxa"/>
            <w:tcBorders>
              <w:top w:val="single" w:color="000000" w:sz="4" w:space="0"/>
              <w:left w:val="single" w:color="000000" w:sz="4" w:space="0"/>
              <w:bottom w:val="single" w:color="000000" w:sz="4" w:space="0"/>
              <w:right w:val="single" w:color="000000" w:sz="4" w:space="0"/>
            </w:tcBorders>
          </w:tcPr>
          <w:p w14:paraId="43E63842">
            <w:pPr>
              <w:pStyle w:val="15"/>
              <w:ind w:left="62"/>
              <w:rPr>
                <w:sz w:val="21"/>
              </w:rPr>
            </w:pPr>
            <w:r>
              <w:rPr>
                <w:spacing w:val="-4"/>
                <w:sz w:val="21"/>
              </w:rPr>
              <w:t>合同中约定的其</w:t>
            </w:r>
          </w:p>
          <w:p w14:paraId="310DD000">
            <w:pPr>
              <w:pStyle w:val="15"/>
              <w:spacing w:before="2" w:line="253" w:lineRule="exact"/>
              <w:ind w:left="62"/>
              <w:rPr>
                <w:sz w:val="21"/>
              </w:rPr>
            </w:pPr>
            <w:r>
              <w:rPr>
                <w:spacing w:val="-5"/>
                <w:sz w:val="21"/>
              </w:rPr>
              <w:t>他项目</w:t>
            </w:r>
          </w:p>
        </w:tc>
        <w:tc>
          <w:tcPr>
            <w:tcW w:w="2800" w:type="dxa"/>
            <w:tcBorders>
              <w:top w:val="single" w:color="000000" w:sz="4" w:space="0"/>
              <w:left w:val="single" w:color="000000" w:sz="4" w:space="0"/>
              <w:bottom w:val="single" w:color="000000" w:sz="4" w:space="0"/>
              <w:right w:val="single" w:color="000000" w:sz="4" w:space="0"/>
            </w:tcBorders>
          </w:tcPr>
          <w:p w14:paraId="4C2AEE72">
            <w:pPr>
              <w:pStyle w:val="15"/>
              <w:spacing w:before="135"/>
              <w:ind w:left="60"/>
              <w:rPr>
                <w:sz w:val="21"/>
              </w:rPr>
            </w:pPr>
            <w:r>
              <w:rPr>
                <w:spacing w:val="-4"/>
                <w:sz w:val="21"/>
              </w:rPr>
              <w:t>按招标文件</w:t>
            </w:r>
          </w:p>
        </w:tc>
        <w:tc>
          <w:tcPr>
            <w:tcW w:w="2931" w:type="dxa"/>
            <w:tcBorders>
              <w:top w:val="single" w:color="000000" w:sz="4" w:space="0"/>
              <w:left w:val="single" w:color="000000" w:sz="4" w:space="0"/>
              <w:bottom w:val="single" w:color="000000" w:sz="4" w:space="0"/>
            </w:tcBorders>
          </w:tcPr>
          <w:p w14:paraId="6D440DFB">
            <w:pPr>
              <w:pStyle w:val="15"/>
              <w:rPr>
                <w:rFonts w:ascii="Times New Roman"/>
                <w:sz w:val="20"/>
              </w:rPr>
            </w:pPr>
          </w:p>
        </w:tc>
      </w:tr>
      <w:tr w14:paraId="24FE5B2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9" w:type="dxa"/>
            <w:tcBorders>
              <w:top w:val="single" w:color="000000" w:sz="4" w:space="0"/>
              <w:bottom w:val="single" w:color="000000" w:sz="4" w:space="0"/>
              <w:right w:val="single" w:color="000000" w:sz="4" w:space="0"/>
            </w:tcBorders>
          </w:tcPr>
          <w:p w14:paraId="74BFFE79">
            <w:pPr>
              <w:pStyle w:val="15"/>
              <w:spacing w:line="252" w:lineRule="exact"/>
              <w:ind w:left="14"/>
              <w:jc w:val="center"/>
              <w:rPr>
                <w:sz w:val="21"/>
              </w:rPr>
            </w:pPr>
            <w:r>
              <w:rPr>
                <w:spacing w:val="-10"/>
                <w:sz w:val="21"/>
              </w:rPr>
              <w:t>4</w:t>
            </w:r>
          </w:p>
        </w:tc>
        <w:tc>
          <w:tcPr>
            <w:tcW w:w="1619" w:type="dxa"/>
            <w:tcBorders>
              <w:top w:val="single" w:color="000000" w:sz="4" w:space="0"/>
              <w:left w:val="single" w:color="000000" w:sz="4" w:space="0"/>
              <w:bottom w:val="single" w:color="000000" w:sz="4" w:space="0"/>
              <w:right w:val="single" w:color="000000" w:sz="4" w:space="0"/>
            </w:tcBorders>
          </w:tcPr>
          <w:p w14:paraId="17FD50C8">
            <w:pPr>
              <w:pStyle w:val="15"/>
              <w:spacing w:line="252" w:lineRule="exact"/>
              <w:ind w:left="62"/>
              <w:rPr>
                <w:sz w:val="21"/>
              </w:rPr>
            </w:pPr>
            <w:r>
              <w:rPr>
                <w:spacing w:val="-5"/>
                <w:sz w:val="21"/>
              </w:rPr>
              <w:t>增值税</w:t>
            </w:r>
          </w:p>
        </w:tc>
        <w:tc>
          <w:tcPr>
            <w:tcW w:w="2800" w:type="dxa"/>
            <w:tcBorders>
              <w:top w:val="single" w:color="000000" w:sz="4" w:space="0"/>
              <w:left w:val="single" w:color="000000" w:sz="4" w:space="0"/>
              <w:bottom w:val="single" w:color="000000" w:sz="4" w:space="0"/>
              <w:right w:val="single" w:color="000000" w:sz="4" w:space="0"/>
            </w:tcBorders>
          </w:tcPr>
          <w:p w14:paraId="658C083C">
            <w:pPr>
              <w:pStyle w:val="15"/>
              <w:spacing w:line="252" w:lineRule="exact"/>
              <w:ind w:left="60"/>
              <w:rPr>
                <w:sz w:val="21"/>
              </w:rPr>
            </w:pPr>
            <w:r>
              <w:rPr>
                <w:spacing w:val="-2"/>
                <w:sz w:val="21"/>
              </w:rPr>
              <w:t>（1+2+3-3.2）</w:t>
            </w:r>
            <w:r>
              <w:rPr>
                <w:spacing w:val="-4"/>
                <w:sz w:val="21"/>
              </w:rPr>
              <w:t>×增值税率</w:t>
            </w:r>
          </w:p>
        </w:tc>
        <w:tc>
          <w:tcPr>
            <w:tcW w:w="2931" w:type="dxa"/>
            <w:tcBorders>
              <w:top w:val="single" w:color="000000" w:sz="4" w:space="0"/>
              <w:left w:val="single" w:color="000000" w:sz="4" w:space="0"/>
              <w:bottom w:val="single" w:color="000000" w:sz="4" w:space="0"/>
            </w:tcBorders>
          </w:tcPr>
          <w:p w14:paraId="29E2D7E3">
            <w:pPr>
              <w:pStyle w:val="15"/>
              <w:rPr>
                <w:rFonts w:ascii="Times New Roman"/>
                <w:sz w:val="20"/>
              </w:rPr>
            </w:pPr>
          </w:p>
        </w:tc>
      </w:tr>
      <w:tr w14:paraId="3359C6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9" w:type="dxa"/>
            <w:tcBorders>
              <w:top w:val="single" w:color="000000" w:sz="4" w:space="0"/>
              <w:right w:val="single" w:color="000000" w:sz="4" w:space="0"/>
            </w:tcBorders>
          </w:tcPr>
          <w:p w14:paraId="1FAC68E0">
            <w:pPr>
              <w:pStyle w:val="15"/>
              <w:spacing w:before="1" w:line="251" w:lineRule="exact"/>
              <w:ind w:left="14"/>
              <w:jc w:val="center"/>
              <w:rPr>
                <w:sz w:val="21"/>
              </w:rPr>
            </w:pPr>
            <w:r>
              <w:rPr>
                <w:spacing w:val="-10"/>
                <w:sz w:val="21"/>
              </w:rPr>
              <w:t>5</w:t>
            </w:r>
          </w:p>
        </w:tc>
        <w:tc>
          <w:tcPr>
            <w:tcW w:w="1619" w:type="dxa"/>
            <w:tcBorders>
              <w:top w:val="single" w:color="000000" w:sz="4" w:space="0"/>
              <w:left w:val="single" w:color="000000" w:sz="4" w:space="0"/>
              <w:right w:val="single" w:color="000000" w:sz="4" w:space="0"/>
            </w:tcBorders>
          </w:tcPr>
          <w:p w14:paraId="5EBD8088">
            <w:pPr>
              <w:pStyle w:val="15"/>
              <w:spacing w:before="1" w:line="251" w:lineRule="exact"/>
              <w:ind w:left="62"/>
              <w:rPr>
                <w:sz w:val="21"/>
              </w:rPr>
            </w:pPr>
            <w:r>
              <w:rPr>
                <w:spacing w:val="-8"/>
                <w:sz w:val="21"/>
              </w:rPr>
              <w:t>合计</w:t>
            </w:r>
          </w:p>
        </w:tc>
        <w:tc>
          <w:tcPr>
            <w:tcW w:w="2800" w:type="dxa"/>
            <w:tcBorders>
              <w:top w:val="single" w:color="000000" w:sz="4" w:space="0"/>
              <w:left w:val="single" w:color="000000" w:sz="4" w:space="0"/>
              <w:right w:val="single" w:color="000000" w:sz="4" w:space="0"/>
            </w:tcBorders>
          </w:tcPr>
          <w:p w14:paraId="4AB2328A">
            <w:pPr>
              <w:pStyle w:val="15"/>
              <w:spacing w:before="1" w:line="251" w:lineRule="exact"/>
              <w:ind w:left="60"/>
              <w:rPr>
                <w:sz w:val="21"/>
              </w:rPr>
            </w:pPr>
            <w:r>
              <w:rPr>
                <w:spacing w:val="-2"/>
                <w:sz w:val="21"/>
              </w:rPr>
              <w:t>1+2+3+4</w:t>
            </w:r>
          </w:p>
        </w:tc>
        <w:tc>
          <w:tcPr>
            <w:tcW w:w="2931" w:type="dxa"/>
            <w:tcBorders>
              <w:top w:val="single" w:color="000000" w:sz="4" w:space="0"/>
              <w:left w:val="single" w:color="000000" w:sz="4" w:space="0"/>
            </w:tcBorders>
          </w:tcPr>
          <w:p w14:paraId="3EAB50CC">
            <w:pPr>
              <w:pStyle w:val="15"/>
              <w:spacing w:before="1" w:line="251" w:lineRule="exact"/>
              <w:ind w:left="61"/>
              <w:rPr>
                <w:sz w:val="21"/>
              </w:rPr>
            </w:pPr>
            <w:r>
              <w:rPr>
                <w:spacing w:val="-3"/>
                <w:sz w:val="21"/>
              </w:rPr>
              <w:t>不含发包人提供材料</w:t>
            </w:r>
          </w:p>
        </w:tc>
      </w:tr>
    </w:tbl>
    <w:p w14:paraId="21935CA6">
      <w:pPr>
        <w:pStyle w:val="15"/>
        <w:spacing w:after="0" w:line="251" w:lineRule="exact"/>
        <w:rPr>
          <w:sz w:val="21"/>
        </w:rPr>
        <w:sectPr>
          <w:pgSz w:w="10440" w:h="14740"/>
          <w:pgMar w:top="1100" w:right="0" w:bottom="860" w:left="0" w:header="878" w:footer="676" w:gutter="0"/>
          <w:cols w:space="720" w:num="1"/>
        </w:sectPr>
      </w:pPr>
    </w:p>
    <w:p w14:paraId="2078F63E">
      <w:pPr>
        <w:pStyle w:val="4"/>
        <w:spacing w:before="132"/>
        <w:rPr>
          <w:sz w:val="18"/>
        </w:rPr>
      </w:pPr>
    </w:p>
    <w:p w14:paraId="0C93EF11">
      <w:pPr>
        <w:spacing w:before="0" w:line="324" w:lineRule="auto"/>
        <w:ind w:left="1502" w:right="2096" w:hanging="370"/>
        <w:jc w:val="left"/>
        <w:rPr>
          <w:sz w:val="18"/>
        </w:rPr>
      </w:pPr>
      <w:r>
        <w:rPr>
          <w:spacing w:val="-2"/>
          <w:sz w:val="18"/>
        </w:rPr>
        <w:t xml:space="preserve">注：1.专业工程暂估价为已含税价格，在计算增值税计算基础时不应包含专业工程暂估价； </w:t>
      </w:r>
      <w:r>
        <w:rPr>
          <w:color w:val="221815"/>
          <w:spacing w:val="-2"/>
          <w:sz w:val="18"/>
        </w:rPr>
        <w:t>2.本表“合计”金额不含发包人提供材料（甲供材）金额及其增值税。</w:t>
      </w:r>
    </w:p>
    <w:p w14:paraId="0016B8B9">
      <w:pPr>
        <w:pStyle w:val="4"/>
        <w:spacing w:before="196"/>
        <w:ind w:left="1612"/>
      </w:pPr>
      <w:bookmarkStart w:id="26" w:name="_bookmark13"/>
      <w:bookmarkEnd w:id="26"/>
      <w:bookmarkStart w:id="27" w:name="二、工程结算阶段"/>
      <w:bookmarkEnd w:id="27"/>
      <w:r>
        <w:rPr>
          <w:spacing w:val="-2"/>
        </w:rPr>
        <w:t>二、工程结算阶段</w:t>
      </w:r>
    </w:p>
    <w:p w14:paraId="7D04238B">
      <w:pPr>
        <w:pStyle w:val="4"/>
        <w:spacing w:before="288"/>
        <w:ind w:left="1612"/>
      </w:pPr>
      <w:r>
        <w:rPr>
          <w:spacing w:val="-4"/>
        </w:rPr>
        <w:t xml:space="preserve">工程结算段建筑安装工程费计价程序见表 </w:t>
      </w:r>
      <w:r>
        <w:t>3.2</w:t>
      </w:r>
      <w:r>
        <w:rPr>
          <w:spacing w:val="-10"/>
        </w:rPr>
        <w:t>。</w:t>
      </w:r>
    </w:p>
    <w:p w14:paraId="680B6D68">
      <w:pPr>
        <w:spacing w:before="277"/>
        <w:ind w:left="0" w:right="284" w:firstLine="0"/>
        <w:jc w:val="center"/>
        <w:rPr>
          <w:sz w:val="21"/>
        </w:rPr>
      </w:pPr>
      <w:r>
        <w:rPr>
          <w:spacing w:val="-26"/>
          <w:sz w:val="21"/>
        </w:rPr>
        <w:t xml:space="preserve">表 </w:t>
      </w:r>
      <w:r>
        <w:rPr>
          <w:spacing w:val="-2"/>
          <w:sz w:val="21"/>
        </w:rPr>
        <w:t>3.2</w:t>
      </w:r>
      <w:r>
        <w:rPr>
          <w:spacing w:val="-3"/>
          <w:sz w:val="21"/>
        </w:rPr>
        <w:t xml:space="preserve"> 工程结算阶段建筑安装工程费计价程序</w:t>
      </w:r>
    </w:p>
    <w:p w14:paraId="7FD1C010">
      <w:pPr>
        <w:pStyle w:val="4"/>
        <w:spacing w:before="7"/>
        <w:rPr>
          <w:sz w:val="5"/>
        </w:rPr>
      </w:pPr>
    </w:p>
    <w:tbl>
      <w:tblPr>
        <w:tblStyle w:val="11"/>
        <w:tblW w:w="0" w:type="auto"/>
        <w:tblInd w:w="11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661"/>
        <w:gridCol w:w="1613"/>
        <w:gridCol w:w="2400"/>
        <w:gridCol w:w="3273"/>
      </w:tblGrid>
      <w:tr w14:paraId="5C39214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bottom w:val="single" w:color="000000" w:sz="4" w:space="0"/>
              <w:right w:val="single" w:color="000000" w:sz="4" w:space="0"/>
            </w:tcBorders>
          </w:tcPr>
          <w:p w14:paraId="6C046CD8">
            <w:pPr>
              <w:pStyle w:val="15"/>
              <w:spacing w:line="252" w:lineRule="exact"/>
              <w:ind w:left="12" w:right="3"/>
              <w:jc w:val="center"/>
              <w:rPr>
                <w:sz w:val="21"/>
              </w:rPr>
            </w:pPr>
            <w:r>
              <w:rPr>
                <w:spacing w:val="-8"/>
                <w:sz w:val="21"/>
              </w:rPr>
              <w:t>序号</w:t>
            </w:r>
          </w:p>
        </w:tc>
        <w:tc>
          <w:tcPr>
            <w:tcW w:w="1613" w:type="dxa"/>
            <w:tcBorders>
              <w:left w:val="single" w:color="000000" w:sz="4" w:space="0"/>
              <w:bottom w:val="single" w:color="000000" w:sz="4" w:space="0"/>
              <w:right w:val="single" w:color="000000" w:sz="4" w:space="0"/>
            </w:tcBorders>
          </w:tcPr>
          <w:p w14:paraId="76F7CC57">
            <w:pPr>
              <w:pStyle w:val="15"/>
              <w:spacing w:line="252" w:lineRule="exact"/>
              <w:ind w:left="391"/>
              <w:rPr>
                <w:sz w:val="21"/>
              </w:rPr>
            </w:pPr>
            <w:r>
              <w:rPr>
                <w:spacing w:val="-7"/>
                <w:sz w:val="21"/>
              </w:rPr>
              <w:t>项目内容</w:t>
            </w:r>
          </w:p>
        </w:tc>
        <w:tc>
          <w:tcPr>
            <w:tcW w:w="2400" w:type="dxa"/>
            <w:tcBorders>
              <w:left w:val="single" w:color="000000" w:sz="4" w:space="0"/>
              <w:bottom w:val="single" w:color="000000" w:sz="4" w:space="0"/>
              <w:right w:val="single" w:color="000000" w:sz="4" w:space="0"/>
            </w:tcBorders>
          </w:tcPr>
          <w:p w14:paraId="5B350C77">
            <w:pPr>
              <w:pStyle w:val="15"/>
              <w:spacing w:line="252" w:lineRule="exact"/>
              <w:ind w:left="365"/>
              <w:rPr>
                <w:sz w:val="21"/>
              </w:rPr>
            </w:pPr>
            <w:r>
              <w:rPr>
                <w:spacing w:val="-2"/>
                <w:sz w:val="21"/>
              </w:rPr>
              <w:t>计算方法（公式</w:t>
            </w:r>
            <w:r>
              <w:rPr>
                <w:spacing w:val="-10"/>
                <w:sz w:val="21"/>
              </w:rPr>
              <w:t>）</w:t>
            </w:r>
          </w:p>
        </w:tc>
        <w:tc>
          <w:tcPr>
            <w:tcW w:w="3273" w:type="dxa"/>
            <w:tcBorders>
              <w:left w:val="single" w:color="000000" w:sz="4" w:space="0"/>
              <w:bottom w:val="single" w:color="000000" w:sz="4" w:space="0"/>
            </w:tcBorders>
          </w:tcPr>
          <w:p w14:paraId="4EB5823F">
            <w:pPr>
              <w:pStyle w:val="15"/>
              <w:spacing w:line="252" w:lineRule="exact"/>
              <w:ind w:left="20"/>
              <w:jc w:val="center"/>
              <w:rPr>
                <w:sz w:val="21"/>
              </w:rPr>
            </w:pPr>
            <w:r>
              <w:rPr>
                <w:spacing w:val="-8"/>
                <w:sz w:val="21"/>
              </w:rPr>
              <w:t>备注</w:t>
            </w:r>
          </w:p>
        </w:tc>
      </w:tr>
      <w:tr w14:paraId="3786D69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1" w:type="dxa"/>
            <w:tcBorders>
              <w:top w:val="single" w:color="000000" w:sz="4" w:space="0"/>
              <w:bottom w:val="single" w:color="000000" w:sz="4" w:space="0"/>
              <w:right w:val="single" w:color="000000" w:sz="4" w:space="0"/>
            </w:tcBorders>
          </w:tcPr>
          <w:p w14:paraId="40C00EB3">
            <w:pPr>
              <w:pStyle w:val="15"/>
              <w:spacing w:before="135"/>
              <w:ind w:left="12"/>
              <w:jc w:val="center"/>
              <w:rPr>
                <w:sz w:val="21"/>
              </w:rPr>
            </w:pPr>
            <w:r>
              <w:rPr>
                <w:spacing w:val="-10"/>
                <w:sz w:val="21"/>
              </w:rPr>
              <w:t>1</w:t>
            </w:r>
          </w:p>
        </w:tc>
        <w:tc>
          <w:tcPr>
            <w:tcW w:w="1613" w:type="dxa"/>
            <w:tcBorders>
              <w:top w:val="single" w:color="000000" w:sz="4" w:space="0"/>
              <w:left w:val="single" w:color="000000" w:sz="4" w:space="0"/>
              <w:bottom w:val="single" w:color="000000" w:sz="4" w:space="0"/>
              <w:right w:val="single" w:color="000000" w:sz="4" w:space="0"/>
            </w:tcBorders>
          </w:tcPr>
          <w:p w14:paraId="193AFFD0">
            <w:pPr>
              <w:pStyle w:val="15"/>
              <w:spacing w:before="1"/>
              <w:ind w:left="60"/>
              <w:rPr>
                <w:sz w:val="21"/>
              </w:rPr>
            </w:pPr>
            <w:r>
              <w:rPr>
                <w:spacing w:val="-4"/>
                <w:sz w:val="21"/>
              </w:rPr>
              <w:t>分部分项工程项</w:t>
            </w:r>
          </w:p>
          <w:p w14:paraId="1230ABB3">
            <w:pPr>
              <w:pStyle w:val="15"/>
              <w:spacing w:before="2" w:line="253" w:lineRule="exact"/>
              <w:ind w:left="60"/>
              <w:rPr>
                <w:sz w:val="21"/>
              </w:rPr>
            </w:pPr>
            <w:r>
              <w:rPr>
                <w:spacing w:val="-10"/>
                <w:sz w:val="21"/>
              </w:rPr>
              <w:t>目</w:t>
            </w:r>
          </w:p>
        </w:tc>
        <w:tc>
          <w:tcPr>
            <w:tcW w:w="2400" w:type="dxa"/>
            <w:tcBorders>
              <w:top w:val="single" w:color="000000" w:sz="4" w:space="0"/>
              <w:left w:val="single" w:color="000000" w:sz="4" w:space="0"/>
              <w:bottom w:val="single" w:color="000000" w:sz="4" w:space="0"/>
              <w:right w:val="single" w:color="000000" w:sz="4" w:space="0"/>
            </w:tcBorders>
          </w:tcPr>
          <w:p w14:paraId="5831BF1C">
            <w:pPr>
              <w:pStyle w:val="15"/>
              <w:spacing w:before="135"/>
              <w:ind w:left="62"/>
              <w:rPr>
                <w:sz w:val="21"/>
              </w:rPr>
            </w:pPr>
            <w:r>
              <w:rPr>
                <w:spacing w:val="-2"/>
                <w:sz w:val="21"/>
              </w:rPr>
              <w:t>Σ（综合单价×工程量</w:t>
            </w:r>
            <w:r>
              <w:rPr>
                <w:spacing w:val="-10"/>
                <w:sz w:val="21"/>
              </w:rPr>
              <w:t>）</w:t>
            </w:r>
          </w:p>
        </w:tc>
        <w:tc>
          <w:tcPr>
            <w:tcW w:w="3273" w:type="dxa"/>
            <w:tcBorders>
              <w:top w:val="single" w:color="000000" w:sz="4" w:space="0"/>
              <w:left w:val="single" w:color="000000" w:sz="4" w:space="0"/>
              <w:bottom w:val="single" w:color="000000" w:sz="4" w:space="0"/>
            </w:tcBorders>
          </w:tcPr>
          <w:p w14:paraId="119A521C">
            <w:pPr>
              <w:pStyle w:val="15"/>
              <w:spacing w:before="135"/>
              <w:ind w:left="62"/>
              <w:rPr>
                <w:sz w:val="21"/>
              </w:rPr>
            </w:pPr>
            <w:r>
              <w:rPr>
                <w:spacing w:val="-4"/>
                <w:sz w:val="21"/>
              </w:rPr>
              <w:t>不含增值税</w:t>
            </w:r>
          </w:p>
        </w:tc>
      </w:tr>
      <w:tr w14:paraId="662A1F2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1" w:type="dxa"/>
            <w:tcBorders>
              <w:top w:val="single" w:color="000000" w:sz="4" w:space="0"/>
              <w:bottom w:val="single" w:color="000000" w:sz="4" w:space="0"/>
              <w:right w:val="single" w:color="000000" w:sz="4" w:space="0"/>
            </w:tcBorders>
          </w:tcPr>
          <w:p w14:paraId="21BEA8A5">
            <w:pPr>
              <w:pStyle w:val="15"/>
              <w:spacing w:line="251" w:lineRule="exact"/>
              <w:ind w:left="12"/>
              <w:jc w:val="center"/>
              <w:rPr>
                <w:sz w:val="21"/>
              </w:rPr>
            </w:pPr>
            <w:r>
              <w:rPr>
                <w:spacing w:val="-10"/>
                <w:sz w:val="21"/>
              </w:rPr>
              <w:t>2</w:t>
            </w:r>
          </w:p>
        </w:tc>
        <w:tc>
          <w:tcPr>
            <w:tcW w:w="1613" w:type="dxa"/>
            <w:tcBorders>
              <w:top w:val="single" w:color="000000" w:sz="4" w:space="0"/>
              <w:left w:val="single" w:color="000000" w:sz="4" w:space="0"/>
              <w:bottom w:val="single" w:color="000000" w:sz="4" w:space="0"/>
              <w:right w:val="single" w:color="000000" w:sz="4" w:space="0"/>
            </w:tcBorders>
          </w:tcPr>
          <w:p w14:paraId="46175CB8">
            <w:pPr>
              <w:pStyle w:val="15"/>
              <w:spacing w:line="251" w:lineRule="exact"/>
              <w:ind w:left="60"/>
              <w:rPr>
                <w:sz w:val="21"/>
              </w:rPr>
            </w:pPr>
            <w:r>
              <w:rPr>
                <w:spacing w:val="-7"/>
                <w:sz w:val="21"/>
              </w:rPr>
              <w:t>措施项目</w:t>
            </w:r>
          </w:p>
        </w:tc>
        <w:tc>
          <w:tcPr>
            <w:tcW w:w="2400" w:type="dxa"/>
            <w:tcBorders>
              <w:top w:val="single" w:color="000000" w:sz="4" w:space="0"/>
              <w:left w:val="single" w:color="000000" w:sz="4" w:space="0"/>
              <w:bottom w:val="single" w:color="000000" w:sz="4" w:space="0"/>
              <w:right w:val="single" w:color="000000" w:sz="4" w:space="0"/>
            </w:tcBorders>
          </w:tcPr>
          <w:p w14:paraId="0DBE6F44">
            <w:pPr>
              <w:pStyle w:val="15"/>
              <w:spacing w:line="251" w:lineRule="exact"/>
              <w:ind w:left="62"/>
              <w:rPr>
                <w:sz w:val="21"/>
              </w:rPr>
            </w:pPr>
            <w:r>
              <w:rPr>
                <w:spacing w:val="-2"/>
                <w:sz w:val="21"/>
              </w:rPr>
              <w:t>2.1+2.2</w:t>
            </w:r>
          </w:p>
        </w:tc>
        <w:tc>
          <w:tcPr>
            <w:tcW w:w="3273" w:type="dxa"/>
            <w:tcBorders>
              <w:top w:val="single" w:color="000000" w:sz="4" w:space="0"/>
              <w:left w:val="single" w:color="000000" w:sz="4" w:space="0"/>
              <w:bottom w:val="single" w:color="000000" w:sz="4" w:space="0"/>
            </w:tcBorders>
          </w:tcPr>
          <w:p w14:paraId="191B2265">
            <w:pPr>
              <w:pStyle w:val="15"/>
              <w:spacing w:line="251" w:lineRule="exact"/>
              <w:ind w:left="62"/>
              <w:rPr>
                <w:sz w:val="21"/>
              </w:rPr>
            </w:pPr>
            <w:r>
              <w:rPr>
                <w:spacing w:val="-4"/>
                <w:sz w:val="21"/>
              </w:rPr>
              <w:t>不含增值税</w:t>
            </w:r>
          </w:p>
        </w:tc>
      </w:tr>
      <w:tr w14:paraId="13030C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362" w:hRule="atLeast"/>
        </w:trPr>
        <w:tc>
          <w:tcPr>
            <w:tcW w:w="661" w:type="dxa"/>
            <w:tcBorders>
              <w:top w:val="single" w:color="000000" w:sz="4" w:space="0"/>
              <w:bottom w:val="single" w:color="000000" w:sz="4" w:space="0"/>
              <w:right w:val="single" w:color="000000" w:sz="4" w:space="0"/>
            </w:tcBorders>
          </w:tcPr>
          <w:p w14:paraId="340B2560">
            <w:pPr>
              <w:pStyle w:val="15"/>
              <w:rPr>
                <w:sz w:val="21"/>
              </w:rPr>
            </w:pPr>
          </w:p>
          <w:p w14:paraId="353BAC7D">
            <w:pPr>
              <w:pStyle w:val="15"/>
              <w:spacing w:before="6"/>
              <w:rPr>
                <w:sz w:val="21"/>
              </w:rPr>
            </w:pPr>
          </w:p>
          <w:p w14:paraId="13F634DE">
            <w:pPr>
              <w:pStyle w:val="15"/>
              <w:ind w:left="12"/>
              <w:jc w:val="center"/>
              <w:rPr>
                <w:sz w:val="21"/>
              </w:rPr>
            </w:pPr>
            <w:r>
              <w:rPr>
                <w:spacing w:val="-5"/>
                <w:sz w:val="21"/>
              </w:rPr>
              <w:t>2.1</w:t>
            </w:r>
          </w:p>
        </w:tc>
        <w:tc>
          <w:tcPr>
            <w:tcW w:w="1613" w:type="dxa"/>
            <w:tcBorders>
              <w:top w:val="single" w:color="000000" w:sz="4" w:space="0"/>
              <w:left w:val="single" w:color="000000" w:sz="4" w:space="0"/>
              <w:bottom w:val="single" w:color="000000" w:sz="4" w:space="0"/>
              <w:right w:val="single" w:color="000000" w:sz="4" w:space="0"/>
            </w:tcBorders>
          </w:tcPr>
          <w:p w14:paraId="7FA6F654">
            <w:pPr>
              <w:pStyle w:val="15"/>
              <w:rPr>
                <w:sz w:val="21"/>
              </w:rPr>
            </w:pPr>
          </w:p>
          <w:p w14:paraId="105C7B8C">
            <w:pPr>
              <w:pStyle w:val="15"/>
              <w:spacing w:before="6"/>
              <w:rPr>
                <w:sz w:val="21"/>
              </w:rPr>
            </w:pPr>
          </w:p>
          <w:p w14:paraId="69B772D5">
            <w:pPr>
              <w:pStyle w:val="15"/>
              <w:ind w:left="60"/>
              <w:rPr>
                <w:sz w:val="21"/>
              </w:rPr>
            </w:pPr>
            <w:r>
              <w:rPr>
                <w:spacing w:val="-4"/>
                <w:sz w:val="21"/>
              </w:rPr>
              <w:t>安全生产措施费</w:t>
            </w:r>
          </w:p>
        </w:tc>
        <w:tc>
          <w:tcPr>
            <w:tcW w:w="2400" w:type="dxa"/>
            <w:tcBorders>
              <w:top w:val="single" w:color="000000" w:sz="4" w:space="0"/>
              <w:left w:val="single" w:color="000000" w:sz="4" w:space="0"/>
              <w:bottom w:val="single" w:color="000000" w:sz="4" w:space="0"/>
              <w:right w:val="single" w:color="000000" w:sz="4" w:space="0"/>
            </w:tcBorders>
          </w:tcPr>
          <w:p w14:paraId="7C2E0CBB">
            <w:pPr>
              <w:pStyle w:val="15"/>
              <w:spacing w:before="140"/>
              <w:rPr>
                <w:sz w:val="21"/>
              </w:rPr>
            </w:pPr>
          </w:p>
          <w:p w14:paraId="4D2C174E">
            <w:pPr>
              <w:pStyle w:val="15"/>
              <w:spacing w:line="242" w:lineRule="auto"/>
              <w:ind w:left="62" w:right="124"/>
              <w:rPr>
                <w:sz w:val="21"/>
              </w:rPr>
            </w:pPr>
            <w:r>
              <w:rPr>
                <w:spacing w:val="-2"/>
                <w:sz w:val="21"/>
              </w:rPr>
              <w:t>合同金额+合同价格调整</w:t>
            </w:r>
            <w:r>
              <w:rPr>
                <w:spacing w:val="-6"/>
                <w:sz w:val="21"/>
              </w:rPr>
              <w:t>金额</w:t>
            </w:r>
          </w:p>
        </w:tc>
        <w:tc>
          <w:tcPr>
            <w:tcW w:w="3273" w:type="dxa"/>
            <w:tcBorders>
              <w:top w:val="single" w:color="000000" w:sz="4" w:space="0"/>
              <w:left w:val="single" w:color="000000" w:sz="4" w:space="0"/>
              <w:bottom w:val="single" w:color="000000" w:sz="4" w:space="0"/>
            </w:tcBorders>
          </w:tcPr>
          <w:p w14:paraId="40B59061">
            <w:pPr>
              <w:pStyle w:val="15"/>
              <w:spacing w:before="1" w:line="242" w:lineRule="auto"/>
              <w:ind w:left="62" w:right="44"/>
              <w:rPr>
                <w:sz w:val="21"/>
              </w:rPr>
            </w:pPr>
            <w:r>
              <w:rPr>
                <w:color w:val="221815"/>
                <w:spacing w:val="-2"/>
                <w:sz w:val="21"/>
              </w:rPr>
              <w:t>安全生产措施费的合同价格调整金</w:t>
            </w:r>
            <w:r>
              <w:rPr>
                <w:color w:val="221815"/>
                <w:spacing w:val="-5"/>
                <w:sz w:val="21"/>
              </w:rPr>
              <w:t>额= 清单缺陷安全生产措施费调整</w:t>
            </w:r>
            <w:r>
              <w:rPr>
                <w:color w:val="221815"/>
                <w:spacing w:val="-2"/>
                <w:sz w:val="21"/>
              </w:rPr>
              <w:t>金额-清单缺陷安全生产责任保险费调整金额+安全生产责任保险费</w:t>
            </w:r>
          </w:p>
          <w:p w14:paraId="1DB54F1E">
            <w:pPr>
              <w:pStyle w:val="15"/>
              <w:spacing w:before="1" w:line="253" w:lineRule="exact"/>
              <w:ind w:left="62"/>
              <w:rPr>
                <w:sz w:val="21"/>
              </w:rPr>
            </w:pPr>
            <w:r>
              <w:rPr>
                <w:color w:val="221815"/>
                <w:spacing w:val="-4"/>
                <w:sz w:val="21"/>
              </w:rPr>
              <w:t>据实结算调整金额</w:t>
            </w:r>
          </w:p>
        </w:tc>
      </w:tr>
      <w:tr w14:paraId="171C01F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1" w:type="dxa"/>
            <w:tcBorders>
              <w:top w:val="single" w:color="000000" w:sz="4" w:space="0"/>
              <w:bottom w:val="single" w:color="000000" w:sz="4" w:space="0"/>
              <w:right w:val="single" w:color="000000" w:sz="4" w:space="0"/>
            </w:tcBorders>
          </w:tcPr>
          <w:p w14:paraId="7353EDE6">
            <w:pPr>
              <w:pStyle w:val="15"/>
              <w:spacing w:before="137"/>
              <w:ind w:left="12"/>
              <w:jc w:val="center"/>
              <w:rPr>
                <w:sz w:val="21"/>
              </w:rPr>
            </w:pPr>
            <w:r>
              <w:rPr>
                <w:spacing w:val="-5"/>
                <w:sz w:val="21"/>
              </w:rPr>
              <w:t>2.2</w:t>
            </w:r>
          </w:p>
        </w:tc>
        <w:tc>
          <w:tcPr>
            <w:tcW w:w="1613" w:type="dxa"/>
            <w:tcBorders>
              <w:top w:val="single" w:color="000000" w:sz="4" w:space="0"/>
              <w:left w:val="single" w:color="000000" w:sz="4" w:space="0"/>
              <w:bottom w:val="single" w:color="000000" w:sz="4" w:space="0"/>
              <w:right w:val="single" w:color="000000" w:sz="4" w:space="0"/>
            </w:tcBorders>
          </w:tcPr>
          <w:p w14:paraId="460C8934">
            <w:pPr>
              <w:pStyle w:val="15"/>
              <w:spacing w:before="137"/>
              <w:ind w:left="60"/>
              <w:rPr>
                <w:sz w:val="21"/>
              </w:rPr>
            </w:pPr>
            <w:r>
              <w:rPr>
                <w:spacing w:val="-4"/>
                <w:sz w:val="21"/>
              </w:rPr>
              <w:t>其他措施项目</w:t>
            </w:r>
          </w:p>
        </w:tc>
        <w:tc>
          <w:tcPr>
            <w:tcW w:w="2400" w:type="dxa"/>
            <w:tcBorders>
              <w:top w:val="single" w:color="000000" w:sz="4" w:space="0"/>
              <w:left w:val="single" w:color="000000" w:sz="4" w:space="0"/>
              <w:bottom w:val="single" w:color="000000" w:sz="4" w:space="0"/>
              <w:right w:val="single" w:color="000000" w:sz="4" w:space="0"/>
            </w:tcBorders>
          </w:tcPr>
          <w:p w14:paraId="541673FD">
            <w:pPr>
              <w:pStyle w:val="15"/>
              <w:spacing w:before="137"/>
              <w:ind w:left="62"/>
              <w:rPr>
                <w:sz w:val="21"/>
              </w:rPr>
            </w:pPr>
            <w:r>
              <w:rPr>
                <w:spacing w:val="-7"/>
                <w:sz w:val="21"/>
              </w:rPr>
              <w:t>合同金额</w:t>
            </w:r>
          </w:p>
        </w:tc>
        <w:tc>
          <w:tcPr>
            <w:tcW w:w="3273" w:type="dxa"/>
            <w:tcBorders>
              <w:top w:val="single" w:color="000000" w:sz="4" w:space="0"/>
              <w:left w:val="single" w:color="000000" w:sz="4" w:space="0"/>
              <w:bottom w:val="single" w:color="000000" w:sz="4" w:space="0"/>
            </w:tcBorders>
          </w:tcPr>
          <w:p w14:paraId="6532C13D">
            <w:pPr>
              <w:pStyle w:val="15"/>
              <w:ind w:left="62"/>
              <w:rPr>
                <w:sz w:val="21"/>
              </w:rPr>
            </w:pPr>
            <w:r>
              <w:rPr>
                <w:spacing w:val="-3"/>
                <w:sz w:val="21"/>
              </w:rPr>
              <w:t>除合同有特别约定外，合同清单内</w:t>
            </w:r>
          </w:p>
          <w:p w14:paraId="7098C6DA">
            <w:pPr>
              <w:pStyle w:val="15"/>
              <w:spacing w:before="4" w:line="251" w:lineRule="exact"/>
              <w:ind w:left="62"/>
              <w:rPr>
                <w:sz w:val="21"/>
              </w:rPr>
            </w:pPr>
            <w:r>
              <w:rPr>
                <w:spacing w:val="-3"/>
                <w:sz w:val="21"/>
              </w:rPr>
              <w:t>的其他措施项目固定包干结算</w:t>
            </w:r>
          </w:p>
        </w:tc>
      </w:tr>
      <w:tr w14:paraId="1EF2FA6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1" w:type="dxa"/>
            <w:tcBorders>
              <w:top w:val="single" w:color="000000" w:sz="4" w:space="0"/>
              <w:bottom w:val="single" w:color="000000" w:sz="4" w:space="0"/>
              <w:right w:val="single" w:color="000000" w:sz="4" w:space="0"/>
            </w:tcBorders>
          </w:tcPr>
          <w:p w14:paraId="5CF97FDC">
            <w:pPr>
              <w:pStyle w:val="15"/>
              <w:spacing w:line="252" w:lineRule="exact"/>
              <w:ind w:left="12"/>
              <w:jc w:val="center"/>
              <w:rPr>
                <w:sz w:val="21"/>
              </w:rPr>
            </w:pPr>
            <w:r>
              <w:rPr>
                <w:spacing w:val="-10"/>
                <w:sz w:val="21"/>
              </w:rPr>
              <w:t>3</w:t>
            </w:r>
          </w:p>
        </w:tc>
        <w:tc>
          <w:tcPr>
            <w:tcW w:w="1613" w:type="dxa"/>
            <w:tcBorders>
              <w:top w:val="single" w:color="000000" w:sz="4" w:space="0"/>
              <w:left w:val="single" w:color="000000" w:sz="4" w:space="0"/>
              <w:bottom w:val="single" w:color="000000" w:sz="4" w:space="0"/>
              <w:right w:val="single" w:color="000000" w:sz="4" w:space="0"/>
            </w:tcBorders>
          </w:tcPr>
          <w:p w14:paraId="7BDB21D4">
            <w:pPr>
              <w:pStyle w:val="15"/>
              <w:spacing w:line="252" w:lineRule="exact"/>
              <w:ind w:left="60"/>
              <w:rPr>
                <w:sz w:val="21"/>
              </w:rPr>
            </w:pPr>
            <w:r>
              <w:rPr>
                <w:spacing w:val="-7"/>
                <w:sz w:val="21"/>
              </w:rPr>
              <w:t>其他项目</w:t>
            </w:r>
          </w:p>
        </w:tc>
        <w:tc>
          <w:tcPr>
            <w:tcW w:w="2400" w:type="dxa"/>
            <w:tcBorders>
              <w:top w:val="single" w:color="000000" w:sz="4" w:space="0"/>
              <w:left w:val="single" w:color="000000" w:sz="4" w:space="0"/>
              <w:bottom w:val="single" w:color="000000" w:sz="4" w:space="0"/>
              <w:right w:val="single" w:color="000000" w:sz="4" w:space="0"/>
            </w:tcBorders>
          </w:tcPr>
          <w:p w14:paraId="01C7703D">
            <w:pPr>
              <w:pStyle w:val="15"/>
              <w:spacing w:line="252" w:lineRule="exact"/>
              <w:ind w:left="62"/>
              <w:rPr>
                <w:sz w:val="21"/>
              </w:rPr>
            </w:pPr>
            <w:r>
              <w:rPr>
                <w:spacing w:val="-2"/>
                <w:sz w:val="21"/>
              </w:rPr>
              <w:t>3.1+3.2+3.3+3.4+3.5</w:t>
            </w:r>
          </w:p>
        </w:tc>
        <w:tc>
          <w:tcPr>
            <w:tcW w:w="3273" w:type="dxa"/>
            <w:tcBorders>
              <w:top w:val="single" w:color="000000" w:sz="4" w:space="0"/>
              <w:left w:val="single" w:color="000000" w:sz="4" w:space="0"/>
              <w:bottom w:val="single" w:color="000000" w:sz="4" w:space="0"/>
            </w:tcBorders>
          </w:tcPr>
          <w:p w14:paraId="6BB179E6">
            <w:pPr>
              <w:pStyle w:val="15"/>
              <w:rPr>
                <w:rFonts w:ascii="Times New Roman"/>
                <w:sz w:val="20"/>
              </w:rPr>
            </w:pPr>
          </w:p>
        </w:tc>
      </w:tr>
      <w:tr w14:paraId="1733DF5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1C1E5256">
            <w:pPr>
              <w:pStyle w:val="15"/>
              <w:spacing w:line="251" w:lineRule="exact"/>
              <w:ind w:left="12"/>
              <w:jc w:val="center"/>
              <w:rPr>
                <w:sz w:val="21"/>
              </w:rPr>
            </w:pPr>
            <w:r>
              <w:rPr>
                <w:spacing w:val="-5"/>
                <w:sz w:val="21"/>
              </w:rPr>
              <w:t>3.1</w:t>
            </w:r>
          </w:p>
        </w:tc>
        <w:tc>
          <w:tcPr>
            <w:tcW w:w="1613" w:type="dxa"/>
            <w:tcBorders>
              <w:top w:val="single" w:color="000000" w:sz="4" w:space="0"/>
              <w:left w:val="single" w:color="000000" w:sz="4" w:space="0"/>
              <w:bottom w:val="single" w:color="000000" w:sz="4" w:space="0"/>
              <w:right w:val="single" w:color="000000" w:sz="4" w:space="0"/>
            </w:tcBorders>
          </w:tcPr>
          <w:p w14:paraId="471FC94F">
            <w:pPr>
              <w:pStyle w:val="15"/>
              <w:spacing w:line="251" w:lineRule="exact"/>
              <w:ind w:left="60"/>
              <w:rPr>
                <w:sz w:val="21"/>
              </w:rPr>
            </w:pPr>
            <w:r>
              <w:rPr>
                <w:spacing w:val="-7"/>
                <w:sz w:val="21"/>
              </w:rPr>
              <w:t>暂列金额</w:t>
            </w:r>
          </w:p>
        </w:tc>
        <w:tc>
          <w:tcPr>
            <w:tcW w:w="2400" w:type="dxa"/>
            <w:tcBorders>
              <w:top w:val="single" w:color="000000" w:sz="4" w:space="0"/>
              <w:left w:val="single" w:color="000000" w:sz="4" w:space="0"/>
              <w:bottom w:val="single" w:color="000000" w:sz="4" w:space="0"/>
              <w:right w:val="single" w:color="000000" w:sz="4" w:space="0"/>
            </w:tcBorders>
          </w:tcPr>
          <w:p w14:paraId="4809FDFA">
            <w:pPr>
              <w:pStyle w:val="15"/>
              <w:spacing w:line="251" w:lineRule="exact"/>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03B3947A">
            <w:pPr>
              <w:pStyle w:val="15"/>
              <w:spacing w:line="251" w:lineRule="exact"/>
              <w:ind w:left="62"/>
              <w:rPr>
                <w:sz w:val="21"/>
              </w:rPr>
            </w:pPr>
            <w:r>
              <w:rPr>
                <w:spacing w:val="-4"/>
                <w:sz w:val="21"/>
              </w:rPr>
              <w:t>不含增值税</w:t>
            </w:r>
          </w:p>
        </w:tc>
      </w:tr>
      <w:tr w14:paraId="3B2F72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2BDDE71E">
            <w:pPr>
              <w:pStyle w:val="15"/>
              <w:spacing w:before="2" w:line="251" w:lineRule="exact"/>
              <w:ind w:left="12"/>
              <w:jc w:val="center"/>
              <w:rPr>
                <w:sz w:val="21"/>
              </w:rPr>
            </w:pPr>
            <w:r>
              <w:rPr>
                <w:spacing w:val="-5"/>
                <w:sz w:val="21"/>
              </w:rPr>
              <w:t>3.2</w:t>
            </w:r>
          </w:p>
        </w:tc>
        <w:tc>
          <w:tcPr>
            <w:tcW w:w="1613" w:type="dxa"/>
            <w:tcBorders>
              <w:top w:val="single" w:color="000000" w:sz="4" w:space="0"/>
              <w:left w:val="single" w:color="000000" w:sz="4" w:space="0"/>
              <w:bottom w:val="single" w:color="000000" w:sz="4" w:space="0"/>
              <w:right w:val="single" w:color="000000" w:sz="4" w:space="0"/>
            </w:tcBorders>
          </w:tcPr>
          <w:p w14:paraId="3C3869B6">
            <w:pPr>
              <w:pStyle w:val="15"/>
              <w:spacing w:before="2" w:line="251" w:lineRule="exact"/>
              <w:ind w:left="60"/>
              <w:rPr>
                <w:sz w:val="21"/>
              </w:rPr>
            </w:pPr>
            <w:r>
              <w:rPr>
                <w:spacing w:val="-4"/>
                <w:sz w:val="21"/>
              </w:rPr>
              <w:t>专业工程暂估价</w:t>
            </w:r>
          </w:p>
        </w:tc>
        <w:tc>
          <w:tcPr>
            <w:tcW w:w="2400" w:type="dxa"/>
            <w:tcBorders>
              <w:top w:val="single" w:color="000000" w:sz="4" w:space="0"/>
              <w:left w:val="single" w:color="000000" w:sz="4" w:space="0"/>
              <w:bottom w:val="single" w:color="000000" w:sz="4" w:space="0"/>
              <w:right w:val="single" w:color="000000" w:sz="4" w:space="0"/>
            </w:tcBorders>
          </w:tcPr>
          <w:p w14:paraId="304EFFDD">
            <w:pPr>
              <w:pStyle w:val="15"/>
              <w:spacing w:before="2" w:line="251" w:lineRule="exact"/>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02DD8147">
            <w:pPr>
              <w:pStyle w:val="15"/>
              <w:spacing w:before="2" w:line="251" w:lineRule="exact"/>
              <w:ind w:left="62"/>
              <w:rPr>
                <w:sz w:val="21"/>
              </w:rPr>
            </w:pPr>
            <w:r>
              <w:rPr>
                <w:spacing w:val="-7"/>
                <w:sz w:val="21"/>
              </w:rPr>
              <w:t>含增值税</w:t>
            </w:r>
          </w:p>
        </w:tc>
      </w:tr>
      <w:tr w14:paraId="5D8859F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735FFE4C">
            <w:pPr>
              <w:pStyle w:val="15"/>
              <w:spacing w:line="252" w:lineRule="exact"/>
              <w:ind w:left="12"/>
              <w:jc w:val="center"/>
              <w:rPr>
                <w:sz w:val="21"/>
              </w:rPr>
            </w:pPr>
            <w:r>
              <w:rPr>
                <w:spacing w:val="-5"/>
                <w:sz w:val="21"/>
              </w:rPr>
              <w:t>3.3</w:t>
            </w:r>
          </w:p>
        </w:tc>
        <w:tc>
          <w:tcPr>
            <w:tcW w:w="1613" w:type="dxa"/>
            <w:tcBorders>
              <w:top w:val="single" w:color="000000" w:sz="4" w:space="0"/>
              <w:left w:val="single" w:color="000000" w:sz="4" w:space="0"/>
              <w:bottom w:val="single" w:color="000000" w:sz="4" w:space="0"/>
              <w:right w:val="single" w:color="000000" w:sz="4" w:space="0"/>
            </w:tcBorders>
          </w:tcPr>
          <w:p w14:paraId="15A9DCD6">
            <w:pPr>
              <w:pStyle w:val="15"/>
              <w:spacing w:line="252" w:lineRule="exact"/>
              <w:ind w:left="60"/>
              <w:rPr>
                <w:sz w:val="21"/>
              </w:rPr>
            </w:pPr>
            <w:r>
              <w:rPr>
                <w:spacing w:val="-5"/>
                <w:sz w:val="21"/>
              </w:rPr>
              <w:t>计日工</w:t>
            </w:r>
          </w:p>
        </w:tc>
        <w:tc>
          <w:tcPr>
            <w:tcW w:w="2400" w:type="dxa"/>
            <w:tcBorders>
              <w:top w:val="single" w:color="000000" w:sz="4" w:space="0"/>
              <w:left w:val="single" w:color="000000" w:sz="4" w:space="0"/>
              <w:bottom w:val="single" w:color="000000" w:sz="4" w:space="0"/>
              <w:right w:val="single" w:color="000000" w:sz="4" w:space="0"/>
            </w:tcBorders>
          </w:tcPr>
          <w:p w14:paraId="3EFB31A0">
            <w:pPr>
              <w:pStyle w:val="15"/>
              <w:spacing w:line="252" w:lineRule="exact"/>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23A34134">
            <w:pPr>
              <w:pStyle w:val="15"/>
              <w:spacing w:line="252" w:lineRule="exact"/>
              <w:ind w:left="62"/>
              <w:rPr>
                <w:sz w:val="21"/>
              </w:rPr>
            </w:pPr>
            <w:r>
              <w:rPr>
                <w:spacing w:val="-4"/>
                <w:sz w:val="21"/>
              </w:rPr>
              <w:t>不含增值税</w:t>
            </w:r>
          </w:p>
        </w:tc>
      </w:tr>
      <w:tr w14:paraId="406B6B0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21E7AF80">
            <w:pPr>
              <w:pStyle w:val="15"/>
              <w:spacing w:before="1" w:line="252" w:lineRule="exact"/>
              <w:ind w:left="12"/>
              <w:jc w:val="center"/>
              <w:rPr>
                <w:sz w:val="21"/>
              </w:rPr>
            </w:pPr>
            <w:r>
              <w:rPr>
                <w:spacing w:val="-5"/>
                <w:sz w:val="21"/>
              </w:rPr>
              <w:t>3.4</w:t>
            </w:r>
          </w:p>
        </w:tc>
        <w:tc>
          <w:tcPr>
            <w:tcW w:w="1613" w:type="dxa"/>
            <w:tcBorders>
              <w:top w:val="single" w:color="000000" w:sz="4" w:space="0"/>
              <w:left w:val="single" w:color="000000" w:sz="4" w:space="0"/>
              <w:bottom w:val="single" w:color="000000" w:sz="4" w:space="0"/>
              <w:right w:val="single" w:color="000000" w:sz="4" w:space="0"/>
            </w:tcBorders>
          </w:tcPr>
          <w:p w14:paraId="40EAF115">
            <w:pPr>
              <w:pStyle w:val="15"/>
              <w:spacing w:before="1" w:line="252" w:lineRule="exact"/>
              <w:ind w:left="60"/>
              <w:rPr>
                <w:sz w:val="21"/>
              </w:rPr>
            </w:pPr>
            <w:r>
              <w:rPr>
                <w:spacing w:val="-4"/>
                <w:sz w:val="21"/>
              </w:rPr>
              <w:t>总承包服务费</w:t>
            </w:r>
          </w:p>
        </w:tc>
        <w:tc>
          <w:tcPr>
            <w:tcW w:w="2400" w:type="dxa"/>
            <w:tcBorders>
              <w:top w:val="single" w:color="000000" w:sz="4" w:space="0"/>
              <w:left w:val="single" w:color="000000" w:sz="4" w:space="0"/>
              <w:bottom w:val="single" w:color="000000" w:sz="4" w:space="0"/>
              <w:right w:val="single" w:color="000000" w:sz="4" w:space="0"/>
            </w:tcBorders>
          </w:tcPr>
          <w:p w14:paraId="04A586BF">
            <w:pPr>
              <w:pStyle w:val="15"/>
              <w:spacing w:before="1" w:line="252" w:lineRule="exact"/>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4CB74A78">
            <w:pPr>
              <w:pStyle w:val="15"/>
              <w:spacing w:before="1" w:line="252" w:lineRule="exact"/>
              <w:ind w:left="62"/>
              <w:rPr>
                <w:sz w:val="21"/>
              </w:rPr>
            </w:pPr>
            <w:r>
              <w:rPr>
                <w:spacing w:val="-4"/>
                <w:sz w:val="21"/>
              </w:rPr>
              <w:t>不含增值税</w:t>
            </w:r>
          </w:p>
        </w:tc>
      </w:tr>
      <w:tr w14:paraId="3976DF7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1" w:hRule="atLeast"/>
        </w:trPr>
        <w:tc>
          <w:tcPr>
            <w:tcW w:w="661" w:type="dxa"/>
            <w:tcBorders>
              <w:top w:val="single" w:color="000000" w:sz="4" w:space="0"/>
              <w:bottom w:val="single" w:color="000000" w:sz="4" w:space="0"/>
              <w:right w:val="single" w:color="000000" w:sz="4" w:space="0"/>
            </w:tcBorders>
          </w:tcPr>
          <w:p w14:paraId="3D909744">
            <w:pPr>
              <w:pStyle w:val="15"/>
              <w:spacing w:before="164"/>
              <w:ind w:left="12"/>
              <w:jc w:val="center"/>
              <w:rPr>
                <w:sz w:val="21"/>
              </w:rPr>
            </w:pPr>
            <w:r>
              <w:rPr>
                <w:spacing w:val="-5"/>
                <w:sz w:val="21"/>
              </w:rPr>
              <w:t>3.5</w:t>
            </w:r>
          </w:p>
        </w:tc>
        <w:tc>
          <w:tcPr>
            <w:tcW w:w="1613" w:type="dxa"/>
            <w:tcBorders>
              <w:top w:val="single" w:color="000000" w:sz="4" w:space="0"/>
              <w:left w:val="single" w:color="000000" w:sz="4" w:space="0"/>
              <w:bottom w:val="single" w:color="000000" w:sz="4" w:space="0"/>
              <w:right w:val="single" w:color="000000" w:sz="4" w:space="0"/>
            </w:tcBorders>
          </w:tcPr>
          <w:p w14:paraId="3410D09F">
            <w:pPr>
              <w:pStyle w:val="15"/>
              <w:spacing w:before="27" w:line="244" w:lineRule="auto"/>
              <w:ind w:left="60" w:right="71"/>
              <w:rPr>
                <w:sz w:val="21"/>
              </w:rPr>
            </w:pPr>
            <w:r>
              <w:rPr>
                <w:spacing w:val="-2"/>
                <w:sz w:val="21"/>
              </w:rPr>
              <w:t>合同中约定的其</w:t>
            </w:r>
            <w:r>
              <w:rPr>
                <w:spacing w:val="-4"/>
                <w:sz w:val="21"/>
              </w:rPr>
              <w:t>他项目</w:t>
            </w:r>
          </w:p>
        </w:tc>
        <w:tc>
          <w:tcPr>
            <w:tcW w:w="2400" w:type="dxa"/>
            <w:tcBorders>
              <w:top w:val="single" w:color="000000" w:sz="4" w:space="0"/>
              <w:left w:val="single" w:color="000000" w:sz="4" w:space="0"/>
              <w:bottom w:val="single" w:color="000000" w:sz="4" w:space="0"/>
              <w:right w:val="single" w:color="000000" w:sz="4" w:space="0"/>
            </w:tcBorders>
          </w:tcPr>
          <w:p w14:paraId="4145FA9B">
            <w:pPr>
              <w:pStyle w:val="15"/>
              <w:spacing w:before="164"/>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1DF90E30">
            <w:pPr>
              <w:pStyle w:val="15"/>
              <w:spacing w:before="27" w:line="244" w:lineRule="auto"/>
              <w:ind w:left="62" w:right="46"/>
              <w:rPr>
                <w:sz w:val="21"/>
              </w:rPr>
            </w:pPr>
            <w:r>
              <w:rPr>
                <w:spacing w:val="-2"/>
                <w:sz w:val="21"/>
              </w:rPr>
              <w:t>合同未特别约定时为不含增值税金</w:t>
            </w:r>
            <w:r>
              <w:rPr>
                <w:spacing w:val="-10"/>
                <w:sz w:val="21"/>
              </w:rPr>
              <w:t>额</w:t>
            </w:r>
          </w:p>
        </w:tc>
      </w:tr>
      <w:tr w14:paraId="7069F1A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5" w:hRule="atLeast"/>
        </w:trPr>
        <w:tc>
          <w:tcPr>
            <w:tcW w:w="661" w:type="dxa"/>
            <w:tcBorders>
              <w:top w:val="single" w:color="000000" w:sz="4" w:space="0"/>
              <w:bottom w:val="single" w:color="000000" w:sz="4" w:space="0"/>
              <w:right w:val="single" w:color="000000" w:sz="4" w:space="0"/>
            </w:tcBorders>
          </w:tcPr>
          <w:p w14:paraId="4A07D264">
            <w:pPr>
              <w:pStyle w:val="15"/>
              <w:spacing w:before="50"/>
              <w:ind w:left="12"/>
              <w:jc w:val="center"/>
              <w:rPr>
                <w:sz w:val="21"/>
              </w:rPr>
            </w:pPr>
            <w:r>
              <w:rPr>
                <w:spacing w:val="-10"/>
                <w:sz w:val="21"/>
              </w:rPr>
              <w:t>4</w:t>
            </w:r>
          </w:p>
        </w:tc>
        <w:tc>
          <w:tcPr>
            <w:tcW w:w="1613" w:type="dxa"/>
            <w:tcBorders>
              <w:top w:val="single" w:color="000000" w:sz="4" w:space="0"/>
              <w:left w:val="single" w:color="000000" w:sz="4" w:space="0"/>
              <w:bottom w:val="single" w:color="000000" w:sz="4" w:space="0"/>
              <w:right w:val="single" w:color="000000" w:sz="4" w:space="0"/>
            </w:tcBorders>
          </w:tcPr>
          <w:p w14:paraId="40523E99">
            <w:pPr>
              <w:pStyle w:val="15"/>
              <w:spacing w:before="50"/>
              <w:ind w:left="60"/>
              <w:rPr>
                <w:sz w:val="21"/>
              </w:rPr>
            </w:pPr>
            <w:r>
              <w:rPr>
                <w:spacing w:val="-4"/>
                <w:sz w:val="21"/>
              </w:rPr>
              <w:t>材料暂估价调整</w:t>
            </w:r>
          </w:p>
        </w:tc>
        <w:tc>
          <w:tcPr>
            <w:tcW w:w="2400" w:type="dxa"/>
            <w:tcBorders>
              <w:top w:val="single" w:color="000000" w:sz="4" w:space="0"/>
              <w:left w:val="single" w:color="000000" w:sz="4" w:space="0"/>
              <w:bottom w:val="single" w:color="000000" w:sz="4" w:space="0"/>
              <w:right w:val="single" w:color="000000" w:sz="4" w:space="0"/>
            </w:tcBorders>
          </w:tcPr>
          <w:p w14:paraId="0057C903">
            <w:pPr>
              <w:pStyle w:val="15"/>
              <w:spacing w:before="50"/>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6A29A42C">
            <w:pPr>
              <w:pStyle w:val="15"/>
              <w:spacing w:before="50"/>
              <w:ind w:left="62"/>
              <w:rPr>
                <w:sz w:val="21"/>
              </w:rPr>
            </w:pPr>
            <w:r>
              <w:rPr>
                <w:spacing w:val="-4"/>
                <w:sz w:val="21"/>
              </w:rPr>
              <w:t>不含增值税</w:t>
            </w:r>
          </w:p>
        </w:tc>
      </w:tr>
      <w:tr w14:paraId="3272B4B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15473949">
            <w:pPr>
              <w:pStyle w:val="15"/>
              <w:spacing w:before="1" w:line="251" w:lineRule="exact"/>
              <w:ind w:left="12"/>
              <w:jc w:val="center"/>
              <w:rPr>
                <w:sz w:val="21"/>
              </w:rPr>
            </w:pPr>
            <w:r>
              <w:rPr>
                <w:spacing w:val="-10"/>
                <w:sz w:val="21"/>
              </w:rPr>
              <w:t>5</w:t>
            </w:r>
          </w:p>
        </w:tc>
        <w:tc>
          <w:tcPr>
            <w:tcW w:w="1613" w:type="dxa"/>
            <w:tcBorders>
              <w:top w:val="single" w:color="000000" w:sz="4" w:space="0"/>
              <w:left w:val="single" w:color="000000" w:sz="4" w:space="0"/>
              <w:bottom w:val="single" w:color="000000" w:sz="4" w:space="0"/>
              <w:right w:val="single" w:color="000000" w:sz="4" w:space="0"/>
            </w:tcBorders>
          </w:tcPr>
          <w:p w14:paraId="69ECA00C">
            <w:pPr>
              <w:pStyle w:val="15"/>
              <w:spacing w:before="1" w:line="251" w:lineRule="exact"/>
              <w:ind w:left="60"/>
              <w:rPr>
                <w:sz w:val="21"/>
              </w:rPr>
            </w:pPr>
            <w:r>
              <w:rPr>
                <w:spacing w:val="-4"/>
                <w:sz w:val="21"/>
              </w:rPr>
              <w:t>物价变化调差</w:t>
            </w:r>
          </w:p>
        </w:tc>
        <w:tc>
          <w:tcPr>
            <w:tcW w:w="2400" w:type="dxa"/>
            <w:tcBorders>
              <w:top w:val="single" w:color="000000" w:sz="4" w:space="0"/>
              <w:left w:val="single" w:color="000000" w:sz="4" w:space="0"/>
              <w:bottom w:val="single" w:color="000000" w:sz="4" w:space="0"/>
              <w:right w:val="single" w:color="000000" w:sz="4" w:space="0"/>
            </w:tcBorders>
          </w:tcPr>
          <w:p w14:paraId="1CB666AD">
            <w:pPr>
              <w:pStyle w:val="15"/>
              <w:spacing w:before="1" w:line="251" w:lineRule="exact"/>
              <w:ind w:left="62"/>
              <w:rPr>
                <w:sz w:val="21"/>
              </w:rPr>
            </w:pPr>
            <w:r>
              <w:rPr>
                <w:spacing w:val="-6"/>
                <w:sz w:val="21"/>
              </w:rPr>
              <w:t>按合同约定结算</w:t>
            </w:r>
          </w:p>
        </w:tc>
        <w:tc>
          <w:tcPr>
            <w:tcW w:w="3273" w:type="dxa"/>
            <w:tcBorders>
              <w:top w:val="single" w:color="000000" w:sz="4" w:space="0"/>
              <w:left w:val="single" w:color="000000" w:sz="4" w:space="0"/>
              <w:bottom w:val="single" w:color="000000" w:sz="4" w:space="0"/>
            </w:tcBorders>
          </w:tcPr>
          <w:p w14:paraId="67C5C268">
            <w:pPr>
              <w:pStyle w:val="15"/>
              <w:spacing w:before="1" w:line="251" w:lineRule="exact"/>
              <w:ind w:left="62"/>
              <w:rPr>
                <w:sz w:val="21"/>
              </w:rPr>
            </w:pPr>
            <w:r>
              <w:rPr>
                <w:spacing w:val="-3"/>
                <w:sz w:val="21"/>
              </w:rPr>
              <w:t>调差金额不含增值税</w:t>
            </w:r>
          </w:p>
        </w:tc>
      </w:tr>
      <w:tr w14:paraId="5F4C721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5" w:hRule="atLeast"/>
        </w:trPr>
        <w:tc>
          <w:tcPr>
            <w:tcW w:w="661" w:type="dxa"/>
            <w:tcBorders>
              <w:top w:val="single" w:color="000000" w:sz="4" w:space="0"/>
              <w:bottom w:val="single" w:color="000000" w:sz="4" w:space="0"/>
              <w:right w:val="single" w:color="000000" w:sz="4" w:space="0"/>
            </w:tcBorders>
          </w:tcPr>
          <w:p w14:paraId="3AAE7D89">
            <w:pPr>
              <w:pStyle w:val="15"/>
              <w:spacing w:before="134"/>
              <w:ind w:left="12"/>
              <w:jc w:val="center"/>
              <w:rPr>
                <w:sz w:val="21"/>
              </w:rPr>
            </w:pPr>
            <w:r>
              <w:rPr>
                <w:spacing w:val="-10"/>
                <w:sz w:val="21"/>
              </w:rPr>
              <w:t>6</w:t>
            </w:r>
          </w:p>
        </w:tc>
        <w:tc>
          <w:tcPr>
            <w:tcW w:w="1613" w:type="dxa"/>
            <w:tcBorders>
              <w:top w:val="single" w:color="000000" w:sz="4" w:space="0"/>
              <w:left w:val="single" w:color="000000" w:sz="4" w:space="0"/>
              <w:bottom w:val="single" w:color="000000" w:sz="4" w:space="0"/>
              <w:right w:val="single" w:color="000000" w:sz="4" w:space="0"/>
            </w:tcBorders>
          </w:tcPr>
          <w:p w14:paraId="1603FF15">
            <w:pPr>
              <w:pStyle w:val="15"/>
              <w:ind w:left="60"/>
              <w:rPr>
                <w:sz w:val="21"/>
              </w:rPr>
            </w:pPr>
            <w:r>
              <w:rPr>
                <w:spacing w:val="-4"/>
                <w:sz w:val="21"/>
              </w:rPr>
              <w:t>法律法规及政策</w:t>
            </w:r>
          </w:p>
          <w:p w14:paraId="2636A437">
            <w:pPr>
              <w:pStyle w:val="15"/>
              <w:spacing w:before="2" w:line="254" w:lineRule="exact"/>
              <w:ind w:left="60"/>
              <w:rPr>
                <w:sz w:val="21"/>
              </w:rPr>
            </w:pPr>
            <w:r>
              <w:rPr>
                <w:spacing w:val="-5"/>
                <w:sz w:val="21"/>
              </w:rPr>
              <w:t>性变化</w:t>
            </w:r>
          </w:p>
        </w:tc>
        <w:tc>
          <w:tcPr>
            <w:tcW w:w="2400" w:type="dxa"/>
            <w:tcBorders>
              <w:top w:val="single" w:color="000000" w:sz="4" w:space="0"/>
              <w:left w:val="single" w:color="000000" w:sz="4" w:space="0"/>
              <w:bottom w:val="single" w:color="000000" w:sz="4" w:space="0"/>
              <w:right w:val="single" w:color="000000" w:sz="4" w:space="0"/>
            </w:tcBorders>
          </w:tcPr>
          <w:p w14:paraId="34FD498D">
            <w:pPr>
              <w:pStyle w:val="15"/>
              <w:spacing w:before="134"/>
              <w:ind w:left="62"/>
              <w:rPr>
                <w:sz w:val="21"/>
              </w:rPr>
            </w:pPr>
            <w:r>
              <w:rPr>
                <w:spacing w:val="-6"/>
                <w:sz w:val="21"/>
              </w:rPr>
              <w:t>按合同约定结算</w:t>
            </w:r>
          </w:p>
        </w:tc>
        <w:tc>
          <w:tcPr>
            <w:tcW w:w="3273" w:type="dxa"/>
            <w:vMerge w:val="restart"/>
            <w:tcBorders>
              <w:top w:val="single" w:color="000000" w:sz="4" w:space="0"/>
              <w:left w:val="single" w:color="000000" w:sz="4" w:space="0"/>
              <w:bottom w:val="single" w:color="000000" w:sz="4" w:space="0"/>
            </w:tcBorders>
          </w:tcPr>
          <w:p w14:paraId="3DD6DB24">
            <w:pPr>
              <w:pStyle w:val="15"/>
              <w:rPr>
                <w:sz w:val="21"/>
              </w:rPr>
            </w:pPr>
          </w:p>
          <w:p w14:paraId="286B6818">
            <w:pPr>
              <w:pStyle w:val="15"/>
              <w:spacing w:before="25"/>
              <w:rPr>
                <w:sz w:val="21"/>
              </w:rPr>
            </w:pPr>
          </w:p>
          <w:p w14:paraId="60AF8726">
            <w:pPr>
              <w:pStyle w:val="15"/>
              <w:spacing w:before="1" w:line="242" w:lineRule="auto"/>
              <w:ind w:left="62" w:right="44"/>
              <w:jc w:val="both"/>
              <w:rPr>
                <w:sz w:val="21"/>
              </w:rPr>
            </w:pPr>
            <w:r>
              <w:rPr>
                <w:spacing w:val="-2"/>
                <w:sz w:val="21"/>
              </w:rPr>
              <w:t>按照合同约定选择包含或者不含增值税，如已包含增值税，汇总造价时不重复计算增值税</w:t>
            </w:r>
          </w:p>
        </w:tc>
      </w:tr>
      <w:tr w14:paraId="6381A24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1" w:type="dxa"/>
            <w:tcBorders>
              <w:top w:val="single" w:color="000000" w:sz="4" w:space="0"/>
              <w:bottom w:val="single" w:color="000000" w:sz="4" w:space="0"/>
              <w:right w:val="single" w:color="000000" w:sz="4" w:space="0"/>
            </w:tcBorders>
          </w:tcPr>
          <w:p w14:paraId="62A62F8A">
            <w:pPr>
              <w:pStyle w:val="15"/>
              <w:spacing w:line="252" w:lineRule="exact"/>
              <w:ind w:left="12"/>
              <w:jc w:val="center"/>
              <w:rPr>
                <w:sz w:val="21"/>
              </w:rPr>
            </w:pPr>
            <w:r>
              <w:rPr>
                <w:spacing w:val="-10"/>
                <w:sz w:val="21"/>
              </w:rPr>
              <w:t>7</w:t>
            </w:r>
          </w:p>
        </w:tc>
        <w:tc>
          <w:tcPr>
            <w:tcW w:w="1613" w:type="dxa"/>
            <w:tcBorders>
              <w:top w:val="single" w:color="000000" w:sz="4" w:space="0"/>
              <w:left w:val="single" w:color="000000" w:sz="4" w:space="0"/>
              <w:bottom w:val="single" w:color="000000" w:sz="4" w:space="0"/>
              <w:right w:val="single" w:color="000000" w:sz="4" w:space="0"/>
            </w:tcBorders>
          </w:tcPr>
          <w:p w14:paraId="5B0C4F81">
            <w:pPr>
              <w:pStyle w:val="15"/>
              <w:spacing w:line="252" w:lineRule="exact"/>
              <w:ind w:left="60"/>
              <w:rPr>
                <w:sz w:val="21"/>
              </w:rPr>
            </w:pPr>
            <w:r>
              <w:rPr>
                <w:spacing w:val="-7"/>
                <w:sz w:val="21"/>
              </w:rPr>
              <w:t>工程变更</w:t>
            </w:r>
          </w:p>
        </w:tc>
        <w:tc>
          <w:tcPr>
            <w:tcW w:w="2400" w:type="dxa"/>
            <w:tcBorders>
              <w:top w:val="single" w:color="000000" w:sz="4" w:space="0"/>
              <w:left w:val="single" w:color="000000" w:sz="4" w:space="0"/>
              <w:bottom w:val="single" w:color="000000" w:sz="4" w:space="0"/>
              <w:right w:val="single" w:color="000000" w:sz="4" w:space="0"/>
            </w:tcBorders>
          </w:tcPr>
          <w:p w14:paraId="572F3D79">
            <w:pPr>
              <w:pStyle w:val="15"/>
              <w:spacing w:line="252" w:lineRule="exact"/>
              <w:ind w:left="62"/>
              <w:rPr>
                <w:sz w:val="21"/>
              </w:rPr>
            </w:pPr>
            <w:r>
              <w:rPr>
                <w:spacing w:val="-6"/>
                <w:sz w:val="21"/>
              </w:rPr>
              <w:t>按合同约定结算</w:t>
            </w:r>
          </w:p>
        </w:tc>
        <w:tc>
          <w:tcPr>
            <w:tcW w:w="3273" w:type="dxa"/>
            <w:vMerge w:val="continue"/>
            <w:tcBorders>
              <w:top w:val="nil"/>
              <w:left w:val="single" w:color="000000" w:sz="4" w:space="0"/>
              <w:bottom w:val="single" w:color="000000" w:sz="4" w:space="0"/>
            </w:tcBorders>
          </w:tcPr>
          <w:p w14:paraId="703F2535">
            <w:pPr>
              <w:rPr>
                <w:sz w:val="2"/>
                <w:szCs w:val="2"/>
              </w:rPr>
            </w:pPr>
          </w:p>
        </w:tc>
      </w:tr>
      <w:tr w14:paraId="2B17963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43267EC2">
            <w:pPr>
              <w:pStyle w:val="15"/>
              <w:spacing w:line="251" w:lineRule="exact"/>
              <w:ind w:left="12"/>
              <w:jc w:val="center"/>
              <w:rPr>
                <w:sz w:val="21"/>
              </w:rPr>
            </w:pPr>
            <w:r>
              <w:rPr>
                <w:spacing w:val="-10"/>
                <w:sz w:val="21"/>
              </w:rPr>
              <w:t>8</w:t>
            </w:r>
          </w:p>
        </w:tc>
        <w:tc>
          <w:tcPr>
            <w:tcW w:w="1613" w:type="dxa"/>
            <w:tcBorders>
              <w:top w:val="single" w:color="000000" w:sz="4" w:space="0"/>
              <w:left w:val="single" w:color="000000" w:sz="4" w:space="0"/>
              <w:bottom w:val="single" w:color="000000" w:sz="4" w:space="0"/>
              <w:right w:val="single" w:color="000000" w:sz="4" w:space="0"/>
            </w:tcBorders>
          </w:tcPr>
          <w:p w14:paraId="53078BB8">
            <w:pPr>
              <w:pStyle w:val="15"/>
              <w:spacing w:line="251" w:lineRule="exact"/>
              <w:ind w:left="60"/>
              <w:rPr>
                <w:sz w:val="21"/>
              </w:rPr>
            </w:pPr>
            <w:r>
              <w:rPr>
                <w:spacing w:val="-7"/>
                <w:sz w:val="21"/>
              </w:rPr>
              <w:t>新增工程</w:t>
            </w:r>
          </w:p>
        </w:tc>
        <w:tc>
          <w:tcPr>
            <w:tcW w:w="2400" w:type="dxa"/>
            <w:tcBorders>
              <w:top w:val="single" w:color="000000" w:sz="4" w:space="0"/>
              <w:left w:val="single" w:color="000000" w:sz="4" w:space="0"/>
              <w:bottom w:val="single" w:color="000000" w:sz="4" w:space="0"/>
              <w:right w:val="single" w:color="000000" w:sz="4" w:space="0"/>
            </w:tcBorders>
          </w:tcPr>
          <w:p w14:paraId="35BA261E">
            <w:pPr>
              <w:pStyle w:val="15"/>
              <w:spacing w:line="251" w:lineRule="exact"/>
              <w:ind w:left="62"/>
              <w:rPr>
                <w:sz w:val="21"/>
              </w:rPr>
            </w:pPr>
            <w:r>
              <w:rPr>
                <w:spacing w:val="-6"/>
                <w:sz w:val="21"/>
              </w:rPr>
              <w:t>按合同约定结算</w:t>
            </w:r>
          </w:p>
        </w:tc>
        <w:tc>
          <w:tcPr>
            <w:tcW w:w="3273" w:type="dxa"/>
            <w:vMerge w:val="continue"/>
            <w:tcBorders>
              <w:top w:val="nil"/>
              <w:left w:val="single" w:color="000000" w:sz="4" w:space="0"/>
              <w:bottom w:val="single" w:color="000000" w:sz="4" w:space="0"/>
            </w:tcBorders>
          </w:tcPr>
          <w:p w14:paraId="036B1870">
            <w:pPr>
              <w:rPr>
                <w:sz w:val="2"/>
                <w:szCs w:val="2"/>
              </w:rPr>
            </w:pPr>
          </w:p>
        </w:tc>
      </w:tr>
      <w:tr w14:paraId="442F3C5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2" w:hRule="atLeast"/>
        </w:trPr>
        <w:tc>
          <w:tcPr>
            <w:tcW w:w="661" w:type="dxa"/>
            <w:tcBorders>
              <w:top w:val="single" w:color="000000" w:sz="4" w:space="0"/>
              <w:bottom w:val="single" w:color="000000" w:sz="4" w:space="0"/>
              <w:right w:val="single" w:color="000000" w:sz="4" w:space="0"/>
            </w:tcBorders>
          </w:tcPr>
          <w:p w14:paraId="40655B19">
            <w:pPr>
              <w:pStyle w:val="15"/>
              <w:spacing w:before="2" w:line="251" w:lineRule="exact"/>
              <w:ind w:left="12"/>
              <w:jc w:val="center"/>
              <w:rPr>
                <w:sz w:val="21"/>
              </w:rPr>
            </w:pPr>
            <w:r>
              <w:rPr>
                <w:spacing w:val="-10"/>
                <w:sz w:val="21"/>
              </w:rPr>
              <w:t>9</w:t>
            </w:r>
          </w:p>
        </w:tc>
        <w:tc>
          <w:tcPr>
            <w:tcW w:w="1613" w:type="dxa"/>
            <w:tcBorders>
              <w:top w:val="single" w:color="000000" w:sz="4" w:space="0"/>
              <w:left w:val="single" w:color="000000" w:sz="4" w:space="0"/>
              <w:bottom w:val="single" w:color="000000" w:sz="4" w:space="0"/>
              <w:right w:val="single" w:color="000000" w:sz="4" w:space="0"/>
            </w:tcBorders>
          </w:tcPr>
          <w:p w14:paraId="138B8751">
            <w:pPr>
              <w:pStyle w:val="15"/>
              <w:spacing w:before="2" w:line="251" w:lineRule="exact"/>
              <w:ind w:left="60"/>
              <w:rPr>
                <w:sz w:val="21"/>
              </w:rPr>
            </w:pPr>
            <w:r>
              <w:rPr>
                <w:spacing w:val="-7"/>
                <w:sz w:val="21"/>
              </w:rPr>
              <w:t>工程索赔</w:t>
            </w:r>
          </w:p>
        </w:tc>
        <w:tc>
          <w:tcPr>
            <w:tcW w:w="2400" w:type="dxa"/>
            <w:tcBorders>
              <w:top w:val="single" w:color="000000" w:sz="4" w:space="0"/>
              <w:left w:val="single" w:color="000000" w:sz="4" w:space="0"/>
              <w:bottom w:val="single" w:color="000000" w:sz="4" w:space="0"/>
              <w:right w:val="single" w:color="000000" w:sz="4" w:space="0"/>
            </w:tcBorders>
          </w:tcPr>
          <w:p w14:paraId="0A92F014">
            <w:pPr>
              <w:pStyle w:val="15"/>
              <w:spacing w:before="2" w:line="251" w:lineRule="exact"/>
              <w:ind w:left="62"/>
              <w:rPr>
                <w:sz w:val="21"/>
              </w:rPr>
            </w:pPr>
            <w:r>
              <w:rPr>
                <w:spacing w:val="-6"/>
                <w:sz w:val="21"/>
              </w:rPr>
              <w:t>按合同约定结算</w:t>
            </w:r>
          </w:p>
        </w:tc>
        <w:tc>
          <w:tcPr>
            <w:tcW w:w="3273" w:type="dxa"/>
            <w:vMerge w:val="continue"/>
            <w:tcBorders>
              <w:top w:val="nil"/>
              <w:left w:val="single" w:color="000000" w:sz="4" w:space="0"/>
              <w:bottom w:val="single" w:color="000000" w:sz="4" w:space="0"/>
            </w:tcBorders>
          </w:tcPr>
          <w:p w14:paraId="30A36135">
            <w:pPr>
              <w:rPr>
                <w:sz w:val="2"/>
                <w:szCs w:val="2"/>
              </w:rPr>
            </w:pPr>
          </w:p>
        </w:tc>
      </w:tr>
      <w:tr w14:paraId="3B5221E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44" w:hRule="atLeast"/>
        </w:trPr>
        <w:tc>
          <w:tcPr>
            <w:tcW w:w="661" w:type="dxa"/>
            <w:tcBorders>
              <w:top w:val="single" w:color="000000" w:sz="4" w:space="0"/>
              <w:bottom w:val="single" w:color="000000" w:sz="4" w:space="0"/>
              <w:right w:val="single" w:color="000000" w:sz="4" w:space="0"/>
            </w:tcBorders>
          </w:tcPr>
          <w:p w14:paraId="51246F4C">
            <w:pPr>
              <w:pStyle w:val="15"/>
              <w:spacing w:before="134"/>
              <w:ind w:left="12"/>
              <w:jc w:val="center"/>
              <w:rPr>
                <w:sz w:val="21"/>
              </w:rPr>
            </w:pPr>
            <w:r>
              <w:rPr>
                <w:spacing w:val="-5"/>
                <w:sz w:val="21"/>
              </w:rPr>
              <w:t>10</w:t>
            </w:r>
          </w:p>
        </w:tc>
        <w:tc>
          <w:tcPr>
            <w:tcW w:w="1613" w:type="dxa"/>
            <w:tcBorders>
              <w:top w:val="single" w:color="000000" w:sz="4" w:space="0"/>
              <w:left w:val="single" w:color="000000" w:sz="4" w:space="0"/>
              <w:bottom w:val="single" w:color="000000" w:sz="4" w:space="0"/>
              <w:right w:val="single" w:color="000000" w:sz="4" w:space="0"/>
            </w:tcBorders>
          </w:tcPr>
          <w:p w14:paraId="38F03333">
            <w:pPr>
              <w:pStyle w:val="15"/>
              <w:spacing w:line="269" w:lineRule="exact"/>
              <w:ind w:left="60"/>
              <w:rPr>
                <w:sz w:val="21"/>
              </w:rPr>
            </w:pPr>
            <w:r>
              <w:rPr>
                <w:spacing w:val="-4"/>
                <w:sz w:val="21"/>
              </w:rPr>
              <w:t>发承包双方约定</w:t>
            </w:r>
          </w:p>
          <w:p w14:paraId="2438EAD1">
            <w:pPr>
              <w:pStyle w:val="15"/>
              <w:spacing w:before="4" w:line="251" w:lineRule="exact"/>
              <w:ind w:left="60"/>
              <w:rPr>
                <w:sz w:val="21"/>
              </w:rPr>
            </w:pPr>
            <w:r>
              <w:rPr>
                <w:spacing w:val="-4"/>
                <w:sz w:val="21"/>
              </w:rPr>
              <w:t>的其他项目调整</w:t>
            </w:r>
          </w:p>
        </w:tc>
        <w:tc>
          <w:tcPr>
            <w:tcW w:w="2400" w:type="dxa"/>
            <w:tcBorders>
              <w:top w:val="single" w:color="000000" w:sz="4" w:space="0"/>
              <w:left w:val="single" w:color="000000" w:sz="4" w:space="0"/>
              <w:bottom w:val="single" w:color="000000" w:sz="4" w:space="0"/>
              <w:right w:val="single" w:color="000000" w:sz="4" w:space="0"/>
            </w:tcBorders>
          </w:tcPr>
          <w:p w14:paraId="30275537">
            <w:pPr>
              <w:pStyle w:val="15"/>
              <w:spacing w:before="134"/>
              <w:ind w:left="62"/>
              <w:rPr>
                <w:sz w:val="21"/>
              </w:rPr>
            </w:pPr>
            <w:r>
              <w:rPr>
                <w:spacing w:val="-6"/>
                <w:sz w:val="21"/>
              </w:rPr>
              <w:t>按合同约定结算</w:t>
            </w:r>
          </w:p>
        </w:tc>
        <w:tc>
          <w:tcPr>
            <w:tcW w:w="3273" w:type="dxa"/>
            <w:vMerge w:val="continue"/>
            <w:tcBorders>
              <w:top w:val="nil"/>
              <w:left w:val="single" w:color="000000" w:sz="4" w:space="0"/>
              <w:bottom w:val="single" w:color="000000" w:sz="4" w:space="0"/>
            </w:tcBorders>
          </w:tcPr>
          <w:p w14:paraId="49D692D0">
            <w:pPr>
              <w:rPr>
                <w:sz w:val="2"/>
                <w:szCs w:val="2"/>
              </w:rPr>
            </w:pPr>
          </w:p>
        </w:tc>
      </w:tr>
      <w:tr w14:paraId="1A8A9E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90" w:hRule="atLeast"/>
        </w:trPr>
        <w:tc>
          <w:tcPr>
            <w:tcW w:w="661" w:type="dxa"/>
            <w:tcBorders>
              <w:top w:val="single" w:color="000000" w:sz="4" w:space="0"/>
              <w:bottom w:val="single" w:color="000000" w:sz="4" w:space="0"/>
              <w:right w:val="single" w:color="000000" w:sz="4" w:space="0"/>
            </w:tcBorders>
          </w:tcPr>
          <w:p w14:paraId="7BFBF713">
            <w:pPr>
              <w:pStyle w:val="15"/>
              <w:spacing w:before="138"/>
              <w:rPr>
                <w:sz w:val="21"/>
              </w:rPr>
            </w:pPr>
          </w:p>
          <w:p w14:paraId="425DF932">
            <w:pPr>
              <w:pStyle w:val="15"/>
              <w:spacing w:before="1"/>
              <w:ind w:left="12"/>
              <w:jc w:val="center"/>
              <w:rPr>
                <w:sz w:val="21"/>
              </w:rPr>
            </w:pPr>
            <w:r>
              <w:rPr>
                <w:spacing w:val="-5"/>
                <w:sz w:val="21"/>
              </w:rPr>
              <w:t>11</w:t>
            </w:r>
          </w:p>
        </w:tc>
        <w:tc>
          <w:tcPr>
            <w:tcW w:w="1613" w:type="dxa"/>
            <w:tcBorders>
              <w:top w:val="single" w:color="000000" w:sz="4" w:space="0"/>
              <w:left w:val="single" w:color="000000" w:sz="4" w:space="0"/>
              <w:bottom w:val="single" w:color="000000" w:sz="4" w:space="0"/>
              <w:right w:val="single" w:color="000000" w:sz="4" w:space="0"/>
            </w:tcBorders>
          </w:tcPr>
          <w:p w14:paraId="40F5E04B">
            <w:pPr>
              <w:pStyle w:val="15"/>
              <w:spacing w:before="138"/>
              <w:rPr>
                <w:sz w:val="21"/>
              </w:rPr>
            </w:pPr>
          </w:p>
          <w:p w14:paraId="42CF1486">
            <w:pPr>
              <w:pStyle w:val="15"/>
              <w:spacing w:before="1"/>
              <w:ind w:left="60"/>
              <w:rPr>
                <w:sz w:val="21"/>
              </w:rPr>
            </w:pPr>
            <w:r>
              <w:rPr>
                <w:spacing w:val="-5"/>
                <w:sz w:val="21"/>
              </w:rPr>
              <w:t>增值税</w:t>
            </w:r>
          </w:p>
        </w:tc>
        <w:tc>
          <w:tcPr>
            <w:tcW w:w="2400" w:type="dxa"/>
            <w:tcBorders>
              <w:top w:val="single" w:color="000000" w:sz="4" w:space="0"/>
              <w:left w:val="single" w:color="000000" w:sz="4" w:space="0"/>
              <w:bottom w:val="single" w:color="000000" w:sz="4" w:space="0"/>
              <w:right w:val="single" w:color="000000" w:sz="4" w:space="0"/>
            </w:tcBorders>
          </w:tcPr>
          <w:p w14:paraId="458432DE">
            <w:pPr>
              <w:pStyle w:val="15"/>
              <w:spacing w:before="4"/>
              <w:rPr>
                <w:sz w:val="21"/>
              </w:rPr>
            </w:pPr>
          </w:p>
          <w:p w14:paraId="5D3335B2">
            <w:pPr>
              <w:pStyle w:val="15"/>
              <w:spacing w:line="242" w:lineRule="auto"/>
              <w:ind w:left="62" w:right="42"/>
              <w:rPr>
                <w:sz w:val="21"/>
              </w:rPr>
            </w:pPr>
            <w:r>
              <w:rPr>
                <w:sz w:val="21"/>
              </w:rPr>
              <w:t>（1～10</w:t>
            </w:r>
            <w:r>
              <w:rPr>
                <w:spacing w:val="-8"/>
                <w:sz w:val="21"/>
              </w:rPr>
              <w:t xml:space="preserve"> 中不含增值税项</w:t>
            </w:r>
            <w:r>
              <w:rPr>
                <w:spacing w:val="-6"/>
                <w:sz w:val="21"/>
              </w:rPr>
              <w:t>目金额之和）</w:t>
            </w:r>
            <w:r>
              <w:rPr>
                <w:spacing w:val="-7"/>
                <w:sz w:val="21"/>
              </w:rPr>
              <w:t>×增值税率</w:t>
            </w:r>
          </w:p>
        </w:tc>
        <w:tc>
          <w:tcPr>
            <w:tcW w:w="3273" w:type="dxa"/>
            <w:tcBorders>
              <w:top w:val="single" w:color="000000" w:sz="4" w:space="0"/>
              <w:left w:val="single" w:color="000000" w:sz="4" w:space="0"/>
              <w:bottom w:val="single" w:color="000000" w:sz="4" w:space="0"/>
            </w:tcBorders>
          </w:tcPr>
          <w:p w14:paraId="1B1BC0BC">
            <w:pPr>
              <w:pStyle w:val="15"/>
              <w:spacing w:line="242" w:lineRule="auto"/>
              <w:ind w:left="62" w:right="46"/>
              <w:rPr>
                <w:sz w:val="21"/>
              </w:rPr>
            </w:pPr>
            <w:r>
              <w:rPr>
                <w:sz w:val="21"/>
              </w:rPr>
              <w:t>1～5</w:t>
            </w:r>
            <w:r>
              <w:rPr>
                <w:spacing w:val="-7"/>
                <w:sz w:val="21"/>
              </w:rPr>
              <w:t xml:space="preserve"> 项中仅专业工程暂估价包含</w:t>
            </w:r>
            <w:r>
              <w:rPr>
                <w:sz w:val="21"/>
              </w:rPr>
              <w:t>增值税；6～10</w:t>
            </w:r>
            <w:r>
              <w:rPr>
                <w:spacing w:val="-7"/>
                <w:sz w:val="21"/>
              </w:rPr>
              <w:t xml:space="preserve"> 项按合同约定，如</w:t>
            </w:r>
            <w:r>
              <w:rPr>
                <w:spacing w:val="-2"/>
                <w:sz w:val="21"/>
              </w:rPr>
              <w:t>已包含增值税，则不重复作为此处</w:t>
            </w:r>
          </w:p>
          <w:p w14:paraId="56088A97">
            <w:pPr>
              <w:pStyle w:val="15"/>
              <w:spacing w:before="3" w:line="252" w:lineRule="exact"/>
              <w:ind w:left="62"/>
              <w:rPr>
                <w:sz w:val="21"/>
              </w:rPr>
            </w:pPr>
            <w:r>
              <w:rPr>
                <w:spacing w:val="-6"/>
                <w:sz w:val="21"/>
              </w:rPr>
              <w:t>增值税计算基础</w:t>
            </w:r>
          </w:p>
        </w:tc>
      </w:tr>
      <w:tr w14:paraId="21F3183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71" w:hRule="atLeast"/>
        </w:trPr>
        <w:tc>
          <w:tcPr>
            <w:tcW w:w="661" w:type="dxa"/>
            <w:tcBorders>
              <w:top w:val="single" w:color="000000" w:sz="4" w:space="0"/>
              <w:right w:val="single" w:color="000000" w:sz="4" w:space="0"/>
            </w:tcBorders>
          </w:tcPr>
          <w:p w14:paraId="29D1BA17">
            <w:pPr>
              <w:pStyle w:val="15"/>
              <w:spacing w:line="252" w:lineRule="exact"/>
              <w:ind w:left="12"/>
              <w:jc w:val="center"/>
              <w:rPr>
                <w:sz w:val="21"/>
              </w:rPr>
            </w:pPr>
            <w:r>
              <w:rPr>
                <w:spacing w:val="-5"/>
                <w:sz w:val="21"/>
              </w:rPr>
              <w:t>12</w:t>
            </w:r>
          </w:p>
        </w:tc>
        <w:tc>
          <w:tcPr>
            <w:tcW w:w="1613" w:type="dxa"/>
            <w:tcBorders>
              <w:top w:val="single" w:color="000000" w:sz="4" w:space="0"/>
              <w:left w:val="single" w:color="000000" w:sz="4" w:space="0"/>
              <w:right w:val="single" w:color="000000" w:sz="4" w:space="0"/>
            </w:tcBorders>
          </w:tcPr>
          <w:p w14:paraId="20E24446">
            <w:pPr>
              <w:pStyle w:val="15"/>
              <w:spacing w:line="252" w:lineRule="exact"/>
              <w:ind w:left="60"/>
              <w:rPr>
                <w:sz w:val="21"/>
              </w:rPr>
            </w:pPr>
            <w:r>
              <w:rPr>
                <w:spacing w:val="-8"/>
                <w:sz w:val="21"/>
              </w:rPr>
              <w:t>合计</w:t>
            </w:r>
          </w:p>
        </w:tc>
        <w:tc>
          <w:tcPr>
            <w:tcW w:w="2400" w:type="dxa"/>
            <w:tcBorders>
              <w:top w:val="single" w:color="000000" w:sz="4" w:space="0"/>
              <w:left w:val="single" w:color="000000" w:sz="4" w:space="0"/>
              <w:right w:val="single" w:color="000000" w:sz="4" w:space="0"/>
            </w:tcBorders>
          </w:tcPr>
          <w:p w14:paraId="0C1DAA55">
            <w:pPr>
              <w:pStyle w:val="15"/>
              <w:spacing w:line="252" w:lineRule="exact"/>
              <w:ind w:left="62"/>
              <w:rPr>
                <w:sz w:val="21"/>
              </w:rPr>
            </w:pPr>
            <w:r>
              <w:rPr>
                <w:spacing w:val="-2"/>
                <w:sz w:val="21"/>
              </w:rPr>
              <w:t>1～11</w:t>
            </w:r>
            <w:r>
              <w:rPr>
                <w:spacing w:val="-22"/>
                <w:sz w:val="21"/>
              </w:rPr>
              <w:t xml:space="preserve"> 之和</w:t>
            </w:r>
          </w:p>
        </w:tc>
        <w:tc>
          <w:tcPr>
            <w:tcW w:w="3273" w:type="dxa"/>
            <w:tcBorders>
              <w:top w:val="single" w:color="000000" w:sz="4" w:space="0"/>
              <w:left w:val="single" w:color="000000" w:sz="4" w:space="0"/>
            </w:tcBorders>
          </w:tcPr>
          <w:p w14:paraId="650FF829">
            <w:pPr>
              <w:pStyle w:val="15"/>
              <w:spacing w:line="252" w:lineRule="exact"/>
              <w:ind w:left="62"/>
              <w:rPr>
                <w:sz w:val="21"/>
              </w:rPr>
            </w:pPr>
            <w:r>
              <w:rPr>
                <w:spacing w:val="-3"/>
                <w:sz w:val="21"/>
              </w:rPr>
              <w:t>不含发包人提供材料</w:t>
            </w:r>
          </w:p>
        </w:tc>
      </w:tr>
    </w:tbl>
    <w:p w14:paraId="4C19C82A">
      <w:pPr>
        <w:spacing w:before="46"/>
        <w:ind w:left="1132" w:right="0" w:firstLine="0"/>
        <w:jc w:val="left"/>
        <w:rPr>
          <w:sz w:val="18"/>
        </w:rPr>
      </w:pPr>
      <w:r>
        <w:rPr>
          <w:sz w:val="18"/>
        </w:rPr>
        <w:t>注：</w:t>
      </w:r>
      <w:r>
        <w:rPr>
          <w:color w:val="221815"/>
          <w:sz w:val="18"/>
        </w:rPr>
        <w:t>本表“合计”金额不含发包人提供材料（甲供材）</w:t>
      </w:r>
      <w:r>
        <w:rPr>
          <w:color w:val="221815"/>
          <w:spacing w:val="-2"/>
          <w:sz w:val="18"/>
        </w:rPr>
        <w:t>金额及其增值税。</w:t>
      </w:r>
    </w:p>
    <w:p w14:paraId="4C8D83A0">
      <w:pPr>
        <w:spacing w:after="0"/>
        <w:jc w:val="left"/>
        <w:rPr>
          <w:sz w:val="18"/>
        </w:rPr>
        <w:sectPr>
          <w:pgSz w:w="10440" w:h="14740"/>
          <w:pgMar w:top="1100" w:right="0" w:bottom="860" w:left="0" w:header="878" w:footer="676" w:gutter="0"/>
          <w:cols w:space="720" w:num="1"/>
        </w:sectPr>
      </w:pPr>
    </w:p>
    <w:p w14:paraId="130273B3">
      <w:pPr>
        <w:pStyle w:val="4"/>
        <w:spacing w:before="94"/>
      </w:pPr>
    </w:p>
    <w:p w14:paraId="19038684">
      <w:pPr>
        <w:pStyle w:val="4"/>
        <w:ind w:left="1896"/>
      </w:pPr>
      <w:bookmarkStart w:id="28" w:name="三、说明"/>
      <w:bookmarkEnd w:id="28"/>
      <w:bookmarkStart w:id="29" w:name="_bookmark14"/>
      <w:bookmarkEnd w:id="29"/>
      <w:r>
        <w:rPr>
          <w:spacing w:val="-3"/>
        </w:rPr>
        <w:t>三、说明</w:t>
      </w:r>
    </w:p>
    <w:p w14:paraId="43C29D4A">
      <w:pPr>
        <w:pStyle w:val="4"/>
        <w:spacing w:before="9"/>
      </w:pPr>
    </w:p>
    <w:p w14:paraId="74252318">
      <w:pPr>
        <w:pStyle w:val="14"/>
        <w:numPr>
          <w:ilvl w:val="0"/>
          <w:numId w:val="11"/>
        </w:numPr>
        <w:tabs>
          <w:tab w:val="left" w:pos="2136"/>
        </w:tabs>
        <w:spacing w:before="0" w:after="0" w:line="364" w:lineRule="auto"/>
        <w:ind w:left="1416" w:right="1131" w:firstLine="480"/>
        <w:jc w:val="left"/>
        <w:rPr>
          <w:sz w:val="24"/>
        </w:rPr>
      </w:pPr>
      <w:r>
        <w:rPr>
          <w:spacing w:val="-2"/>
          <w:sz w:val="24"/>
        </w:rPr>
        <w:t>招投标阶段建筑安装工程费计价程序中，管理费及利润可以采用“计算基础×费率”的方式确定，也可采用直接填写一笔金额方式确定。</w:t>
      </w:r>
    </w:p>
    <w:p w14:paraId="66151625">
      <w:pPr>
        <w:pStyle w:val="14"/>
        <w:numPr>
          <w:ilvl w:val="0"/>
          <w:numId w:val="12"/>
        </w:numPr>
        <w:tabs>
          <w:tab w:val="left" w:pos="2486"/>
        </w:tabs>
        <w:spacing w:before="1" w:after="0" w:line="364" w:lineRule="auto"/>
        <w:ind w:left="1416" w:right="1011" w:firstLine="480"/>
        <w:jc w:val="left"/>
        <w:rPr>
          <w:sz w:val="24"/>
        </w:rPr>
      </w:pPr>
      <w:r>
        <w:rPr>
          <w:spacing w:val="-2"/>
          <w:sz w:val="24"/>
        </w:rPr>
        <w:t>如采用“计算基础×费率”的方式确定，计算基础可采用人工费、材料费、施工机具使用费三者中的一个或多个任意组合之和，费率可结合招标文件要求、项目特性、类似工程费率及市场行情自行确定。同一个工程项目中不同清单综合单价的管理费的计算公式宜保持一致。同一个工程项目中不同清单综合单价的利润的计算公式宜保持一致；</w:t>
      </w:r>
    </w:p>
    <w:p w14:paraId="277B95BB">
      <w:pPr>
        <w:pStyle w:val="14"/>
        <w:numPr>
          <w:ilvl w:val="0"/>
          <w:numId w:val="12"/>
        </w:numPr>
        <w:tabs>
          <w:tab w:val="left" w:pos="2502"/>
        </w:tabs>
        <w:spacing w:before="3" w:after="0" w:line="364" w:lineRule="auto"/>
        <w:ind w:left="1416" w:right="1131" w:firstLine="480"/>
        <w:jc w:val="left"/>
        <w:rPr>
          <w:sz w:val="24"/>
        </w:rPr>
      </w:pPr>
      <w:r>
        <w:rPr>
          <w:spacing w:val="-2"/>
          <w:sz w:val="24"/>
        </w:rPr>
        <w:t>如采用直接填写一笔金额方式确定，应结合招标文件要求、项目特性、类似工程费率及市场行情自行测算金额。</w:t>
      </w:r>
    </w:p>
    <w:p w14:paraId="2DD0F55A">
      <w:pPr>
        <w:pStyle w:val="14"/>
        <w:numPr>
          <w:ilvl w:val="0"/>
          <w:numId w:val="11"/>
        </w:numPr>
        <w:tabs>
          <w:tab w:val="left" w:pos="2136"/>
        </w:tabs>
        <w:spacing w:before="1" w:after="0" w:line="364" w:lineRule="auto"/>
        <w:ind w:left="1416" w:right="1011" w:firstLine="480"/>
        <w:jc w:val="left"/>
        <w:rPr>
          <w:sz w:val="24"/>
        </w:rPr>
      </w:pPr>
      <w:r>
        <w:rPr>
          <w:spacing w:val="-22"/>
          <w:sz w:val="24"/>
        </w:rPr>
        <w:t xml:space="preserve">依据 </w:t>
      </w:r>
      <w:r>
        <w:rPr>
          <w:spacing w:val="-2"/>
          <w:sz w:val="24"/>
        </w:rPr>
        <w:t>24</w:t>
      </w:r>
      <w:r>
        <w:rPr>
          <w:spacing w:val="-10"/>
          <w:sz w:val="24"/>
        </w:rPr>
        <w:t xml:space="preserve"> 清单标准进行建设工程工程量清单计价活动时，工程量清单、</w:t>
      </w:r>
      <w:r>
        <w:rPr>
          <w:spacing w:val="-2"/>
          <w:sz w:val="24"/>
        </w:rPr>
        <w:t>最高投标限价、投标报价、工程结算等编制所采用的计价表格样式，可参照</w:t>
      </w:r>
      <w:r>
        <w:rPr>
          <w:sz w:val="24"/>
        </w:rPr>
        <w:t xml:space="preserve">湖北省住房和城乡建设厅发布的《建设工程工程量清单计价（GB/T 50500— </w:t>
      </w:r>
      <w:r>
        <w:rPr>
          <w:spacing w:val="-2"/>
          <w:sz w:val="24"/>
        </w:rPr>
        <w:t>2024）及计算标准应用与实务》。</w:t>
      </w:r>
    </w:p>
    <w:p w14:paraId="02EC111F">
      <w:pPr>
        <w:pStyle w:val="14"/>
        <w:spacing w:after="0" w:line="364" w:lineRule="auto"/>
        <w:jc w:val="left"/>
        <w:rPr>
          <w:sz w:val="24"/>
        </w:rPr>
        <w:sectPr>
          <w:pgSz w:w="10440" w:h="14740"/>
          <w:pgMar w:top="1100" w:right="0" w:bottom="860" w:left="0" w:header="878" w:footer="676" w:gutter="0"/>
          <w:cols w:space="720" w:num="1"/>
        </w:sectPr>
      </w:pPr>
    </w:p>
    <w:p w14:paraId="760E72FF">
      <w:pPr>
        <w:pStyle w:val="4"/>
        <w:rPr>
          <w:sz w:val="32"/>
        </w:rPr>
      </w:pPr>
    </w:p>
    <w:p w14:paraId="1FA5FB01">
      <w:pPr>
        <w:pStyle w:val="4"/>
        <w:spacing w:before="77"/>
        <w:rPr>
          <w:sz w:val="32"/>
        </w:rPr>
      </w:pPr>
    </w:p>
    <w:p w14:paraId="268EDB55">
      <w:pPr>
        <w:pStyle w:val="2"/>
        <w:ind w:left="0" w:right="282"/>
      </w:pPr>
      <w:bookmarkStart w:id="30" w:name="第四部分  建筑安装工程费用计算方法"/>
      <w:bookmarkEnd w:id="30"/>
      <w:bookmarkStart w:id="31" w:name="_bookmark15"/>
      <w:bookmarkEnd w:id="31"/>
      <w:r>
        <w:t>第四部分</w:t>
      </w:r>
      <w:r>
        <w:rPr>
          <w:spacing w:val="41"/>
          <w:w w:val="150"/>
        </w:rPr>
        <w:t xml:space="preserve"> </w:t>
      </w:r>
      <w:r>
        <w:rPr>
          <w:spacing w:val="-1"/>
        </w:rPr>
        <w:t>建筑安装工程费用计算方法</w:t>
      </w:r>
    </w:p>
    <w:p w14:paraId="0DD735AE">
      <w:pPr>
        <w:pStyle w:val="4"/>
        <w:spacing w:before="88"/>
        <w:rPr>
          <w:sz w:val="32"/>
        </w:rPr>
      </w:pPr>
    </w:p>
    <w:p w14:paraId="726432E2">
      <w:pPr>
        <w:pStyle w:val="4"/>
        <w:ind w:left="1612"/>
      </w:pPr>
      <w:r>
        <w:rPr>
          <w:spacing w:val="-1"/>
        </w:rPr>
        <w:t>各阶段计价活动的建筑安装工程费用计算方法如下：</w:t>
      </w:r>
    </w:p>
    <w:p w14:paraId="1359F3BA">
      <w:pPr>
        <w:pStyle w:val="4"/>
        <w:spacing w:before="9"/>
      </w:pPr>
    </w:p>
    <w:p w14:paraId="6A70BA9A">
      <w:pPr>
        <w:pStyle w:val="4"/>
        <w:ind w:left="1612"/>
      </w:pPr>
      <w:bookmarkStart w:id="32" w:name="_bookmark16"/>
      <w:bookmarkEnd w:id="32"/>
      <w:bookmarkStart w:id="33" w:name="一、最高投标限价"/>
      <w:bookmarkEnd w:id="33"/>
      <w:r>
        <w:rPr>
          <w:spacing w:val="-2"/>
        </w:rPr>
        <w:t>一、最高投标限价</w:t>
      </w:r>
    </w:p>
    <w:p w14:paraId="6CE802CA">
      <w:pPr>
        <w:pStyle w:val="4"/>
        <w:spacing w:before="9"/>
      </w:pPr>
    </w:p>
    <w:p w14:paraId="08670917">
      <w:pPr>
        <w:pStyle w:val="14"/>
        <w:numPr>
          <w:ilvl w:val="0"/>
          <w:numId w:val="13"/>
        </w:numPr>
        <w:tabs>
          <w:tab w:val="left" w:pos="1852"/>
        </w:tabs>
        <w:spacing w:before="0" w:after="0" w:line="240" w:lineRule="auto"/>
        <w:ind w:left="1852" w:right="0" w:hanging="240"/>
        <w:jc w:val="left"/>
        <w:rPr>
          <w:sz w:val="24"/>
        </w:rPr>
      </w:pPr>
      <w:r>
        <w:rPr>
          <w:spacing w:val="-1"/>
          <w:sz w:val="24"/>
        </w:rPr>
        <w:t>分部分项工程项目清单</w:t>
      </w:r>
    </w:p>
    <w:p w14:paraId="0BD1F043">
      <w:pPr>
        <w:pStyle w:val="14"/>
        <w:numPr>
          <w:ilvl w:val="0"/>
          <w:numId w:val="14"/>
        </w:numPr>
        <w:tabs>
          <w:tab w:val="left" w:pos="2220"/>
        </w:tabs>
        <w:spacing w:before="161" w:after="0" w:line="364" w:lineRule="auto"/>
        <w:ind w:left="1132" w:right="1414" w:firstLine="480"/>
        <w:jc w:val="both"/>
        <w:rPr>
          <w:sz w:val="24"/>
        </w:rPr>
      </w:pPr>
      <w:r>
        <w:rPr>
          <w:spacing w:val="-2"/>
          <w:sz w:val="24"/>
        </w:rPr>
        <w:t>人工费、材料费、施工机具使用费：根据工程实际情况，参考当地建设行政主管部门发布的价格指数、价格信息等计价依据，或参考类似工程同类清单的人材机价格，或自行通过市场询价确定。</w:t>
      </w:r>
    </w:p>
    <w:p w14:paraId="7702B09E">
      <w:pPr>
        <w:pStyle w:val="14"/>
        <w:numPr>
          <w:ilvl w:val="0"/>
          <w:numId w:val="14"/>
        </w:numPr>
        <w:tabs>
          <w:tab w:val="left" w:pos="2200"/>
        </w:tabs>
        <w:spacing w:before="2" w:after="0" w:line="364" w:lineRule="auto"/>
        <w:ind w:left="1132" w:right="1294" w:firstLine="480"/>
        <w:jc w:val="left"/>
        <w:rPr>
          <w:sz w:val="24"/>
        </w:rPr>
      </w:pPr>
      <w:r>
        <w:rPr>
          <w:spacing w:val="-2"/>
          <w:sz w:val="24"/>
        </w:rPr>
        <w:t>管理费和利润：根据工程的实际情况，自行测算计算基础及费率。同一个工程项目中不同清单综合单价的管理费的计算公式宜保持一致。同一个工程项目中不同清单综合单价的利润的计算公式宜保持一致。</w:t>
      </w:r>
    </w:p>
    <w:p w14:paraId="29349DEE">
      <w:pPr>
        <w:pStyle w:val="14"/>
        <w:numPr>
          <w:ilvl w:val="0"/>
          <w:numId w:val="14"/>
        </w:numPr>
        <w:tabs>
          <w:tab w:val="left" w:pos="2202"/>
        </w:tabs>
        <w:spacing w:before="2" w:after="0" w:line="364" w:lineRule="auto"/>
        <w:ind w:left="1132" w:right="1294" w:firstLine="480"/>
        <w:jc w:val="left"/>
        <w:rPr>
          <w:sz w:val="24"/>
        </w:rPr>
      </w:pPr>
      <w:r>
        <w:rPr>
          <w:spacing w:val="-2"/>
          <w:sz w:val="24"/>
        </w:rPr>
        <w:t>风险因素：根据工程的实际情况，在综合单价的人工费、材料费、施工机具使用费、管理费、利润中综合考虑，不单列。</w:t>
      </w:r>
    </w:p>
    <w:p w14:paraId="0B4FD517">
      <w:pPr>
        <w:pStyle w:val="14"/>
        <w:numPr>
          <w:ilvl w:val="0"/>
          <w:numId w:val="14"/>
        </w:numPr>
        <w:tabs>
          <w:tab w:val="left" w:pos="2220"/>
        </w:tabs>
        <w:spacing w:before="1" w:after="0" w:line="364" w:lineRule="auto"/>
        <w:ind w:left="1132" w:right="1414" w:firstLine="480"/>
        <w:jc w:val="both"/>
        <w:rPr>
          <w:sz w:val="24"/>
        </w:rPr>
      </w:pPr>
      <w:r>
        <w:rPr>
          <w:spacing w:val="-2"/>
          <w:sz w:val="24"/>
        </w:rPr>
        <w:t>材料暂估价：根据工程实际情况，参考当地建设行政主管部门发布的价格指数、价格信息，或参考类似工程同类清单的材料费，或自行通过市场询价确定。存在材料暂估价的清单项目，应在项目特征中明确材料暂估价的金额。</w:t>
      </w:r>
    </w:p>
    <w:p w14:paraId="78EE6AE5">
      <w:pPr>
        <w:pStyle w:val="14"/>
        <w:numPr>
          <w:ilvl w:val="0"/>
          <w:numId w:val="14"/>
        </w:numPr>
        <w:tabs>
          <w:tab w:val="left" w:pos="2220"/>
        </w:tabs>
        <w:spacing w:before="2" w:after="0" w:line="364" w:lineRule="auto"/>
        <w:ind w:left="1132" w:right="1414" w:firstLine="480"/>
        <w:jc w:val="both"/>
        <w:rPr>
          <w:sz w:val="24"/>
        </w:rPr>
      </w:pPr>
      <w:r>
        <w:rPr>
          <w:spacing w:val="-2"/>
          <w:sz w:val="24"/>
        </w:rPr>
        <w:t>发包人提供材料的清单项目：综合单价应包括承包人自身应承担</w:t>
      </w:r>
      <w:r>
        <w:rPr>
          <w:spacing w:val="-10"/>
          <w:sz w:val="24"/>
        </w:rPr>
        <w:t xml:space="preserve">的安装损耗，但不包括发包人提供材料的价格，以及按 </w:t>
      </w:r>
      <w:r>
        <w:rPr>
          <w:spacing w:val="-6"/>
          <w:sz w:val="24"/>
        </w:rPr>
        <w:t>24</w:t>
      </w:r>
      <w:r>
        <w:rPr>
          <w:spacing w:val="-11"/>
          <w:sz w:val="24"/>
        </w:rPr>
        <w:t xml:space="preserve"> 清单标准附录 </w:t>
      </w:r>
      <w:r>
        <w:rPr>
          <w:spacing w:val="-6"/>
          <w:sz w:val="24"/>
        </w:rPr>
        <w:t>G.1</w:t>
      </w:r>
      <w:r>
        <w:rPr>
          <w:spacing w:val="-11"/>
          <w:sz w:val="24"/>
        </w:rPr>
        <w:t xml:space="preserve">中表 </w:t>
      </w:r>
      <w:r>
        <w:rPr>
          <w:spacing w:val="-4"/>
          <w:sz w:val="24"/>
        </w:rPr>
        <w:t>G.1.1</w:t>
      </w:r>
      <w:r>
        <w:rPr>
          <w:spacing w:val="-9"/>
          <w:sz w:val="24"/>
        </w:rPr>
        <w:t xml:space="preserve"> 发包人提供材料一览表的约定由发包人承担的损耗费用</w:t>
      </w:r>
      <w:r>
        <w:rPr>
          <w:spacing w:val="-4"/>
          <w:sz w:val="24"/>
        </w:rPr>
        <w:t>（有效损</w:t>
      </w:r>
      <w:r>
        <w:rPr>
          <w:spacing w:val="-2"/>
          <w:sz w:val="24"/>
        </w:rPr>
        <w:t>耗率对应的损耗费用）和相应的总承包服务费用。存在发包人提供材料的清单项目，应在项目特征中对发包人提供材料予以描述。发包人提供材料应在材料费明细中进行列项，但其价格（包含发包人提供材料的供货人将相关的</w:t>
      </w:r>
    </w:p>
    <w:p w14:paraId="74BDAD78">
      <w:pPr>
        <w:pStyle w:val="14"/>
        <w:spacing w:after="0" w:line="364" w:lineRule="auto"/>
        <w:jc w:val="both"/>
        <w:rPr>
          <w:sz w:val="24"/>
        </w:rPr>
        <w:sectPr>
          <w:pgSz w:w="10440" w:h="14740"/>
          <w:pgMar w:top="1100" w:right="0" w:bottom="860" w:left="0" w:header="878" w:footer="676" w:gutter="0"/>
          <w:cols w:space="720" w:num="1"/>
        </w:sectPr>
      </w:pPr>
    </w:p>
    <w:p w14:paraId="671FFE61">
      <w:pPr>
        <w:pStyle w:val="4"/>
        <w:spacing w:before="94"/>
      </w:pPr>
    </w:p>
    <w:p w14:paraId="24E323BA">
      <w:pPr>
        <w:pStyle w:val="4"/>
        <w:spacing w:line="364" w:lineRule="auto"/>
        <w:ind w:left="1416" w:right="1131"/>
      </w:pPr>
      <w:r>
        <w:rPr>
          <w:spacing w:val="-2"/>
        </w:rPr>
        <w:t>材料运抵交货地点、完成卸货的费用）不计入综合单价，也不计入最高投标</w:t>
      </w:r>
      <w:r>
        <w:rPr>
          <w:spacing w:val="-4"/>
        </w:rPr>
        <w:t>限价。</w:t>
      </w:r>
    </w:p>
    <w:p w14:paraId="564C4E33">
      <w:pPr>
        <w:pStyle w:val="14"/>
        <w:numPr>
          <w:ilvl w:val="0"/>
          <w:numId w:val="13"/>
        </w:numPr>
        <w:tabs>
          <w:tab w:val="left" w:pos="2136"/>
        </w:tabs>
        <w:spacing w:before="1" w:after="0" w:line="240" w:lineRule="auto"/>
        <w:ind w:left="2136" w:right="0" w:hanging="240"/>
        <w:jc w:val="left"/>
        <w:rPr>
          <w:sz w:val="24"/>
        </w:rPr>
      </w:pPr>
      <w:r>
        <w:rPr>
          <w:spacing w:val="-2"/>
          <w:sz w:val="24"/>
        </w:rPr>
        <w:t>措施项目清单</w:t>
      </w:r>
    </w:p>
    <w:p w14:paraId="33C80378">
      <w:pPr>
        <w:pStyle w:val="14"/>
        <w:numPr>
          <w:ilvl w:val="0"/>
          <w:numId w:val="15"/>
        </w:numPr>
        <w:tabs>
          <w:tab w:val="left" w:pos="2504"/>
        </w:tabs>
        <w:spacing w:before="161" w:after="0" w:line="364" w:lineRule="auto"/>
        <w:ind w:left="1416" w:right="1011" w:firstLine="480"/>
        <w:jc w:val="left"/>
        <w:rPr>
          <w:sz w:val="24"/>
        </w:rPr>
      </w:pPr>
      <w:r>
        <w:rPr>
          <w:spacing w:val="2"/>
          <w:sz w:val="24"/>
        </w:rPr>
        <w:t>安全文明施工费（</w:t>
      </w:r>
      <w:r>
        <w:rPr>
          <w:spacing w:val="1"/>
          <w:sz w:val="24"/>
        </w:rPr>
        <w:t>包括：安全生产措施费、文明施工费、环境保</w:t>
      </w:r>
      <w:r>
        <w:rPr>
          <w:spacing w:val="-11"/>
          <w:sz w:val="24"/>
        </w:rPr>
        <w:t>护费、临时设施费、扬尘防治费、智慧工地费六项</w:t>
      </w:r>
      <w:r>
        <w:rPr>
          <w:spacing w:val="-32"/>
          <w:sz w:val="24"/>
        </w:rPr>
        <w:t>）</w:t>
      </w:r>
      <w:r>
        <w:rPr>
          <w:spacing w:val="-5"/>
          <w:sz w:val="24"/>
        </w:rPr>
        <w:t>应结合项目特点，按省、</w:t>
      </w:r>
      <w:r>
        <w:rPr>
          <w:spacing w:val="-12"/>
          <w:sz w:val="24"/>
        </w:rPr>
        <w:t>市</w:t>
      </w:r>
      <w:r>
        <w:rPr>
          <w:sz w:val="24"/>
        </w:rPr>
        <w:t>（州</w:t>
      </w:r>
      <w:r>
        <w:rPr>
          <w:spacing w:val="-15"/>
          <w:sz w:val="24"/>
        </w:rPr>
        <w:t>）</w:t>
      </w:r>
      <w:r>
        <w:rPr>
          <w:spacing w:val="-1"/>
          <w:sz w:val="24"/>
        </w:rPr>
        <w:t>建设行政主管部门有关安全文明施工的规定，根据市场价格自主测</w:t>
      </w:r>
      <w:r>
        <w:rPr>
          <w:spacing w:val="-6"/>
          <w:sz w:val="24"/>
        </w:rPr>
        <w:t>算确定。其中安全生产措施费费率不得低于</w:t>
      </w:r>
      <w:r>
        <w:rPr>
          <w:sz w:val="24"/>
        </w:rPr>
        <w:t>“11</w:t>
      </w:r>
      <w:r>
        <w:rPr>
          <w:spacing w:val="-22"/>
          <w:sz w:val="24"/>
        </w:rPr>
        <w:t xml:space="preserve"> 号文”附表 </w:t>
      </w:r>
      <w:r>
        <w:rPr>
          <w:sz w:val="24"/>
        </w:rPr>
        <w:t>2</w:t>
      </w:r>
      <w:r>
        <w:rPr>
          <w:spacing w:val="-12"/>
          <w:sz w:val="24"/>
        </w:rPr>
        <w:t xml:space="preserve"> 中的费率，其</w:t>
      </w:r>
      <w:r>
        <w:rPr>
          <w:spacing w:val="-13"/>
          <w:sz w:val="24"/>
        </w:rPr>
        <w:t>他安全文明施工费费率可参考</w:t>
      </w:r>
      <w:r>
        <w:rPr>
          <w:sz w:val="24"/>
        </w:rPr>
        <w:t>“11</w:t>
      </w:r>
      <w:r>
        <w:rPr>
          <w:spacing w:val="-12"/>
          <w:sz w:val="24"/>
        </w:rPr>
        <w:t xml:space="preserve"> 号文”附表费率。招投标时，安全生产措</w:t>
      </w:r>
      <w:r>
        <w:rPr>
          <w:spacing w:val="-15"/>
          <w:sz w:val="24"/>
        </w:rPr>
        <w:t xml:space="preserve">施费中的安全生产责任保险费率按 </w:t>
      </w:r>
      <w:r>
        <w:rPr>
          <w:sz w:val="24"/>
        </w:rPr>
        <w:t>0.5%</w:t>
      </w:r>
      <w:r>
        <w:rPr>
          <w:spacing w:val="-11"/>
          <w:sz w:val="24"/>
        </w:rPr>
        <w:t>计；结算时，安全生产责任保险费据实调整。安全文明施工费以工程项目整体计算。</w:t>
      </w:r>
    </w:p>
    <w:p w14:paraId="313E1570">
      <w:pPr>
        <w:pStyle w:val="14"/>
        <w:numPr>
          <w:ilvl w:val="0"/>
          <w:numId w:val="15"/>
        </w:numPr>
        <w:tabs>
          <w:tab w:val="left" w:pos="2504"/>
        </w:tabs>
        <w:spacing w:before="4" w:after="0" w:line="364" w:lineRule="auto"/>
        <w:ind w:left="1416" w:right="1094" w:firstLine="480"/>
        <w:jc w:val="both"/>
        <w:rPr>
          <w:sz w:val="24"/>
        </w:rPr>
      </w:pPr>
      <w:r>
        <w:rPr>
          <w:spacing w:val="-2"/>
          <w:sz w:val="24"/>
        </w:rPr>
        <w:t>除安全文明施工费以外的措施项目费：根据招标文件要求、工程的实际情况，结合类似工程合理的施工方案及合理的工期数据，依据招标工程量清单及同类工程的价格信息和造价资讯等，对完成招标工程所需的费用进行编制。除安全文明施工费以外的措施项目，在“以工程项目整体计算”和“以单位工程分别计算”两种计算方式中选择一种计算方式进行列项，不同的措施项目可以选择不同的计算方式。</w:t>
      </w:r>
    </w:p>
    <w:p w14:paraId="47A32323">
      <w:pPr>
        <w:pStyle w:val="14"/>
        <w:numPr>
          <w:ilvl w:val="0"/>
          <w:numId w:val="13"/>
        </w:numPr>
        <w:tabs>
          <w:tab w:val="left" w:pos="2136"/>
        </w:tabs>
        <w:spacing w:before="3" w:after="0" w:line="240" w:lineRule="auto"/>
        <w:ind w:left="2136" w:right="0" w:hanging="240"/>
        <w:jc w:val="left"/>
        <w:rPr>
          <w:sz w:val="24"/>
        </w:rPr>
      </w:pPr>
      <w:r>
        <w:rPr>
          <w:spacing w:val="-2"/>
          <w:sz w:val="24"/>
        </w:rPr>
        <w:t>其他项目清单</w:t>
      </w:r>
    </w:p>
    <w:p w14:paraId="50F30F63">
      <w:pPr>
        <w:pStyle w:val="14"/>
        <w:numPr>
          <w:ilvl w:val="0"/>
          <w:numId w:val="16"/>
        </w:numPr>
        <w:tabs>
          <w:tab w:val="left" w:pos="2502"/>
        </w:tabs>
        <w:spacing w:before="161" w:after="0" w:line="364" w:lineRule="auto"/>
        <w:ind w:left="1416" w:right="1131" w:firstLine="480"/>
        <w:jc w:val="both"/>
        <w:rPr>
          <w:sz w:val="24"/>
        </w:rPr>
      </w:pPr>
      <w:r>
        <w:rPr>
          <w:spacing w:val="1"/>
          <w:sz w:val="24"/>
        </w:rPr>
        <w:t>暂列金额：应根据工程特点按招标文件的要求列项，可按用于暂</w:t>
      </w:r>
      <w:r>
        <w:rPr>
          <w:spacing w:val="-1"/>
          <w:sz w:val="24"/>
        </w:rPr>
        <w:t>未明确或不能详细说明工程、服务的暂列金额</w:t>
      </w:r>
      <w:r>
        <w:rPr>
          <w:sz w:val="24"/>
        </w:rPr>
        <w:t>（如有</w:t>
      </w:r>
      <w:r>
        <w:rPr>
          <w:spacing w:val="-15"/>
          <w:sz w:val="24"/>
        </w:rPr>
        <w:t>）</w:t>
      </w:r>
      <w:r>
        <w:rPr>
          <w:spacing w:val="-2"/>
          <w:sz w:val="24"/>
        </w:rPr>
        <w:t>和用于合同价款调整</w:t>
      </w:r>
      <w:r>
        <w:rPr>
          <w:spacing w:val="-4"/>
          <w:sz w:val="24"/>
        </w:rPr>
        <w:t>的暂列金额分别列项。用于暂未明确或不能详细说明工程、服务的暂列金额应提供项目及服务名称，并根据同类工程的合理价格估算暂列金额；用于合</w:t>
      </w:r>
      <w:r>
        <w:rPr>
          <w:spacing w:val="3"/>
          <w:sz w:val="24"/>
        </w:rPr>
        <w:t>同价款调整的暂列金额可按招标图纸设计深度及招标工程实施工期等因素</w:t>
      </w:r>
      <w:r>
        <w:rPr>
          <w:spacing w:val="-2"/>
          <w:sz w:val="24"/>
        </w:rPr>
        <w:t>对合同价款调整的影响程度，结合同类工程情况合理估算。暂列金额不含增</w:t>
      </w:r>
      <w:r>
        <w:rPr>
          <w:sz w:val="24"/>
        </w:rPr>
        <w:t>值税。</w:t>
      </w:r>
    </w:p>
    <w:p w14:paraId="1BDF24E5">
      <w:pPr>
        <w:pStyle w:val="14"/>
        <w:numPr>
          <w:ilvl w:val="0"/>
          <w:numId w:val="16"/>
        </w:numPr>
        <w:tabs>
          <w:tab w:val="left" w:pos="2484"/>
        </w:tabs>
        <w:spacing w:before="4" w:after="0" w:line="240" w:lineRule="auto"/>
        <w:ind w:left="2484" w:right="0" w:hanging="588"/>
        <w:jc w:val="left"/>
        <w:rPr>
          <w:sz w:val="24"/>
        </w:rPr>
      </w:pPr>
      <w:r>
        <w:rPr>
          <w:spacing w:val="-2"/>
          <w:sz w:val="24"/>
        </w:rPr>
        <w:t>专业工程暂估价：应根据招标文件说明的专业工程分类别和（或</w:t>
      </w:r>
      <w:r>
        <w:rPr>
          <w:spacing w:val="-10"/>
          <w:sz w:val="24"/>
        </w:rPr>
        <w:t>）</w:t>
      </w:r>
    </w:p>
    <w:p w14:paraId="30E56C26">
      <w:pPr>
        <w:pStyle w:val="14"/>
        <w:spacing w:after="0" w:line="240" w:lineRule="auto"/>
        <w:jc w:val="left"/>
        <w:rPr>
          <w:sz w:val="24"/>
        </w:rPr>
        <w:sectPr>
          <w:pgSz w:w="10440" w:h="14740"/>
          <w:pgMar w:top="1100" w:right="0" w:bottom="860" w:left="0" w:header="878" w:footer="676" w:gutter="0"/>
          <w:cols w:space="720" w:num="1"/>
        </w:sectPr>
      </w:pPr>
    </w:p>
    <w:p w14:paraId="7DB6DC83">
      <w:pPr>
        <w:pStyle w:val="4"/>
        <w:spacing w:before="94"/>
      </w:pPr>
    </w:p>
    <w:p w14:paraId="700109AC">
      <w:pPr>
        <w:pStyle w:val="4"/>
        <w:spacing w:line="364" w:lineRule="auto"/>
        <w:ind w:left="1132" w:right="1414"/>
      </w:pPr>
      <w:r>
        <w:rPr>
          <w:spacing w:val="-2"/>
        </w:rPr>
        <w:t>分专业列项，并列出明细表，其暂估价可根据项目情况，结合同类工程的合理价格或概算金额估算。专业工程暂估价包含增值税。</w:t>
      </w:r>
    </w:p>
    <w:p w14:paraId="17F65833">
      <w:pPr>
        <w:pStyle w:val="14"/>
        <w:numPr>
          <w:ilvl w:val="0"/>
          <w:numId w:val="16"/>
        </w:numPr>
        <w:tabs>
          <w:tab w:val="left" w:pos="2220"/>
        </w:tabs>
        <w:spacing w:before="1" w:after="0" w:line="364" w:lineRule="auto"/>
        <w:ind w:left="1132" w:right="1414" w:firstLine="480"/>
        <w:jc w:val="both"/>
        <w:rPr>
          <w:sz w:val="24"/>
        </w:rPr>
      </w:pPr>
      <w:r>
        <w:rPr>
          <w:spacing w:val="-2"/>
          <w:sz w:val="24"/>
        </w:rPr>
        <w:t>计日工：包括人工、材料和施工机具，根据工程情况确定相应数量。计日工的人工单价、材料单价和施工机具单价确定方式同分部分项工程项目清单中的人工费、材料费和施工机具使用费的确定方式。计日工不含增</w:t>
      </w:r>
      <w:r>
        <w:rPr>
          <w:spacing w:val="-4"/>
          <w:sz w:val="24"/>
        </w:rPr>
        <w:t>值税。</w:t>
      </w:r>
    </w:p>
    <w:p w14:paraId="331CD575">
      <w:pPr>
        <w:pStyle w:val="14"/>
        <w:numPr>
          <w:ilvl w:val="0"/>
          <w:numId w:val="16"/>
        </w:numPr>
        <w:tabs>
          <w:tab w:val="left" w:pos="2220"/>
        </w:tabs>
        <w:spacing w:before="3" w:after="0" w:line="364" w:lineRule="auto"/>
        <w:ind w:left="1132" w:right="1414" w:firstLine="480"/>
        <w:jc w:val="both"/>
        <w:rPr>
          <w:sz w:val="24"/>
        </w:rPr>
      </w:pPr>
      <w:r>
        <w:rPr>
          <w:spacing w:val="-2"/>
          <w:sz w:val="24"/>
        </w:rPr>
        <w:t>总承包服务费：按照“发包人提供材料的总承包服务费”“专业分包工程的总承包服务费”“直接发包的专业工程的总承包服务费”分别列项。总承包服务费不含增值税。总承包服务费应依据招标人在招标文件中列出的分包专业工程内容和供应材料、设备情况，按照招标人提出协调、配合和服务要求和施工现场管理需要自主确定，也可参照下列标准计算。</w:t>
      </w:r>
    </w:p>
    <w:p w14:paraId="0D30CA97">
      <w:pPr>
        <w:pStyle w:val="4"/>
        <w:spacing w:before="3" w:line="364" w:lineRule="auto"/>
        <w:ind w:left="1132" w:right="1414" w:firstLine="480"/>
        <w:jc w:val="both"/>
      </w:pPr>
      <w:r>
        <w:rPr>
          <w:spacing w:val="-2"/>
        </w:rPr>
        <w:t>①招标人仅要求对分包的专业工程进行总承包管理和协调时，可按分包</w:t>
      </w:r>
      <w:r>
        <w:rPr>
          <w:spacing w:val="-5"/>
        </w:rPr>
        <w:t xml:space="preserve">的专业工程造价的 </w:t>
      </w:r>
      <w:r>
        <w:t>1.5%计算，或参照类似工程自行测算确定费率。</w:t>
      </w:r>
    </w:p>
    <w:p w14:paraId="46229CD5">
      <w:pPr>
        <w:pStyle w:val="4"/>
        <w:spacing w:before="1" w:line="364" w:lineRule="auto"/>
        <w:ind w:left="1132" w:right="1414" w:firstLine="480"/>
        <w:jc w:val="both"/>
      </w:pPr>
      <w:r>
        <w:rPr>
          <w:spacing w:val="-2"/>
        </w:rPr>
        <w:t>②招标人要求对分包的专业工程进行总承包管理和协调，并同时要求提供配合服务时，根据招标文件中列出的配合服务内容和提出的要求，按分包</w:t>
      </w:r>
      <w:r>
        <w:rPr>
          <w:spacing w:val="-4"/>
        </w:rPr>
        <w:t>的专业工程造价的 3%～5%</w:t>
      </w:r>
      <w:r>
        <w:rPr>
          <w:spacing w:val="-7"/>
        </w:rPr>
        <w:t>计算，或参照类似工程自行测算确定费率。配合服</w:t>
      </w:r>
      <w:r>
        <w:rPr>
          <w:spacing w:val="-2"/>
        </w:rPr>
        <w:t>务的内容包括：对分包单位的管理、协调和施工配合等费用；施工现场水电设施、管线敷设的摊销费用；共用脚手架搭拆的摊销费用；共用垂直运输设备，加压设备的使用、折旧、维修费用等。</w:t>
      </w:r>
    </w:p>
    <w:p w14:paraId="06A383BA">
      <w:pPr>
        <w:pStyle w:val="4"/>
        <w:spacing w:before="3" w:line="364" w:lineRule="auto"/>
        <w:ind w:left="1132" w:right="1418" w:firstLine="480"/>
        <w:jc w:val="both"/>
      </w:pPr>
      <w:r>
        <w:rPr>
          <w:spacing w:val="-2"/>
        </w:rPr>
        <w:t>③招标人自行供应材料、工程设备的，按招标人供应材料、工程设备价</w:t>
      </w:r>
      <w:r>
        <w:rPr>
          <w:spacing w:val="-14"/>
        </w:rPr>
        <w:t xml:space="preserve">值的 </w:t>
      </w:r>
      <w:r>
        <w:t>1%计算，或参照类似工程自行测算确定费率。</w:t>
      </w:r>
    </w:p>
    <w:p w14:paraId="2AD6F97E">
      <w:pPr>
        <w:pStyle w:val="14"/>
        <w:numPr>
          <w:ilvl w:val="0"/>
          <w:numId w:val="13"/>
        </w:numPr>
        <w:tabs>
          <w:tab w:val="left" w:pos="1852"/>
        </w:tabs>
        <w:spacing w:before="2" w:after="0" w:line="240" w:lineRule="auto"/>
        <w:ind w:left="1852" w:right="0" w:hanging="240"/>
        <w:jc w:val="left"/>
        <w:rPr>
          <w:sz w:val="24"/>
        </w:rPr>
      </w:pPr>
      <w:r>
        <w:rPr>
          <w:spacing w:val="-4"/>
          <w:sz w:val="24"/>
        </w:rPr>
        <w:t>增值税</w:t>
      </w:r>
    </w:p>
    <w:p w14:paraId="773CF384">
      <w:pPr>
        <w:pStyle w:val="4"/>
        <w:spacing w:before="160" w:line="364" w:lineRule="auto"/>
        <w:ind w:left="1132" w:right="1414" w:firstLine="480"/>
        <w:jc w:val="both"/>
      </w:pPr>
      <w:r>
        <w:rPr>
          <w:spacing w:val="-2"/>
        </w:rPr>
        <w:t>以分部分项工程项目清单、措施项目清单、其他项目清单（专业工程暂估价除外）的合计金额作为计算基础，乘以政府主管部门规定的增值税税率计算税金。</w:t>
      </w:r>
    </w:p>
    <w:p w14:paraId="2B8FE6BE">
      <w:pPr>
        <w:pStyle w:val="4"/>
        <w:spacing w:after="0" w:line="364" w:lineRule="auto"/>
        <w:jc w:val="both"/>
        <w:sectPr>
          <w:pgSz w:w="10440" w:h="14740"/>
          <w:pgMar w:top="1100" w:right="0" w:bottom="860" w:left="0" w:header="878" w:footer="676" w:gutter="0"/>
          <w:cols w:space="720" w:num="1"/>
        </w:sectPr>
      </w:pPr>
    </w:p>
    <w:p w14:paraId="77104D99">
      <w:pPr>
        <w:pStyle w:val="4"/>
        <w:spacing w:before="94"/>
      </w:pPr>
    </w:p>
    <w:p w14:paraId="51BBB8F4">
      <w:pPr>
        <w:pStyle w:val="4"/>
        <w:ind w:left="1896"/>
      </w:pPr>
      <w:bookmarkStart w:id="34" w:name="二、投标报价"/>
      <w:bookmarkEnd w:id="34"/>
      <w:bookmarkStart w:id="35" w:name="_bookmark17"/>
      <w:bookmarkEnd w:id="35"/>
      <w:r>
        <w:rPr>
          <w:spacing w:val="-2"/>
        </w:rPr>
        <w:t>二、投标报价</w:t>
      </w:r>
    </w:p>
    <w:p w14:paraId="15E3E5DC">
      <w:pPr>
        <w:pStyle w:val="4"/>
        <w:spacing w:before="9"/>
      </w:pPr>
    </w:p>
    <w:p w14:paraId="329E499E">
      <w:pPr>
        <w:pStyle w:val="14"/>
        <w:numPr>
          <w:ilvl w:val="1"/>
          <w:numId w:val="13"/>
        </w:numPr>
        <w:tabs>
          <w:tab w:val="left" w:pos="2136"/>
        </w:tabs>
        <w:spacing w:before="0" w:after="0" w:line="240" w:lineRule="auto"/>
        <w:ind w:left="2136" w:right="0" w:hanging="240"/>
        <w:jc w:val="left"/>
        <w:rPr>
          <w:sz w:val="24"/>
        </w:rPr>
      </w:pPr>
      <w:r>
        <w:rPr>
          <w:spacing w:val="-1"/>
          <w:sz w:val="24"/>
        </w:rPr>
        <w:t>分部分项工程项目清单</w:t>
      </w:r>
    </w:p>
    <w:p w14:paraId="0976B184">
      <w:pPr>
        <w:pStyle w:val="14"/>
        <w:numPr>
          <w:ilvl w:val="0"/>
          <w:numId w:val="17"/>
        </w:numPr>
        <w:tabs>
          <w:tab w:val="left" w:pos="2504"/>
        </w:tabs>
        <w:spacing w:before="160" w:after="0" w:line="364" w:lineRule="auto"/>
        <w:ind w:left="1416" w:right="1131" w:firstLine="480"/>
        <w:jc w:val="both"/>
        <w:rPr>
          <w:sz w:val="24"/>
        </w:rPr>
      </w:pPr>
      <w:r>
        <w:rPr>
          <w:spacing w:val="-2"/>
          <w:sz w:val="24"/>
        </w:rPr>
        <w:t>人工费、材料费、施工机具使用费：根据工程实际情况，参考企业定额、当地建设行政主管部门发布的价格指数、价格信息等计价依据，或参考类似工程同类清单的人材机价格，或自行通过市场询价确定。</w:t>
      </w:r>
    </w:p>
    <w:p w14:paraId="690C13A8">
      <w:pPr>
        <w:pStyle w:val="14"/>
        <w:numPr>
          <w:ilvl w:val="0"/>
          <w:numId w:val="17"/>
        </w:numPr>
        <w:tabs>
          <w:tab w:val="left" w:pos="2484"/>
        </w:tabs>
        <w:spacing w:before="2" w:after="0" w:line="364" w:lineRule="auto"/>
        <w:ind w:left="1416" w:right="1011" w:firstLine="480"/>
        <w:jc w:val="left"/>
        <w:rPr>
          <w:sz w:val="24"/>
        </w:rPr>
      </w:pPr>
      <w:r>
        <w:rPr>
          <w:spacing w:val="-2"/>
          <w:sz w:val="24"/>
        </w:rPr>
        <w:t>管理费和利润：根据工程的实际情况，自行测算计算基础及费率。同一个工程项目中不同清单综合单价的管理费的计算公式宜保持一致。同一个工程项目中不同清单综合单价的利润的计算公式宜保持一致。</w:t>
      </w:r>
    </w:p>
    <w:p w14:paraId="181DDCAB">
      <w:pPr>
        <w:pStyle w:val="14"/>
        <w:numPr>
          <w:ilvl w:val="0"/>
          <w:numId w:val="17"/>
        </w:numPr>
        <w:tabs>
          <w:tab w:val="left" w:pos="2486"/>
        </w:tabs>
        <w:spacing w:before="2" w:after="0" w:line="364" w:lineRule="auto"/>
        <w:ind w:left="1416" w:right="1011" w:firstLine="480"/>
        <w:jc w:val="left"/>
        <w:rPr>
          <w:sz w:val="24"/>
        </w:rPr>
      </w:pPr>
      <w:r>
        <w:rPr>
          <w:spacing w:val="-2"/>
          <w:sz w:val="24"/>
        </w:rPr>
        <w:t>风险因素：根据工程的实际情况，在综合单价的人工费、材料费、施工机具使用费、管理费、利润的报价中综合考虑，不单列。</w:t>
      </w:r>
    </w:p>
    <w:p w14:paraId="07BFE0D9">
      <w:pPr>
        <w:pStyle w:val="14"/>
        <w:numPr>
          <w:ilvl w:val="0"/>
          <w:numId w:val="17"/>
        </w:numPr>
        <w:tabs>
          <w:tab w:val="left" w:pos="2496"/>
        </w:tabs>
        <w:spacing w:before="1" w:after="0" w:line="240" w:lineRule="auto"/>
        <w:ind w:left="2496" w:right="0" w:hanging="600"/>
        <w:jc w:val="left"/>
        <w:rPr>
          <w:sz w:val="24"/>
        </w:rPr>
      </w:pPr>
      <w:r>
        <w:rPr>
          <w:spacing w:val="-1"/>
          <w:sz w:val="24"/>
        </w:rPr>
        <w:t>材料暂估价：按招标人提供的金额计入投标报价。</w:t>
      </w:r>
    </w:p>
    <w:p w14:paraId="406B74E7">
      <w:pPr>
        <w:pStyle w:val="14"/>
        <w:numPr>
          <w:ilvl w:val="0"/>
          <w:numId w:val="17"/>
        </w:numPr>
        <w:tabs>
          <w:tab w:val="left" w:pos="2502"/>
        </w:tabs>
        <w:spacing w:before="161" w:after="0" w:line="364" w:lineRule="auto"/>
        <w:ind w:left="1416" w:right="1131" w:firstLine="480"/>
        <w:jc w:val="both"/>
        <w:rPr>
          <w:sz w:val="24"/>
        </w:rPr>
      </w:pPr>
      <w:r>
        <w:rPr>
          <w:spacing w:val="-2"/>
          <w:sz w:val="24"/>
        </w:rPr>
        <w:t>发包人提供材料的清单项目：综合单价应包括承包人自身应承担</w:t>
      </w:r>
      <w:r>
        <w:rPr>
          <w:spacing w:val="-10"/>
          <w:sz w:val="24"/>
        </w:rPr>
        <w:t xml:space="preserve">的安装损耗，但不包括发包人提供材料的价格，以及按 </w:t>
      </w:r>
      <w:r>
        <w:rPr>
          <w:spacing w:val="-6"/>
          <w:sz w:val="24"/>
        </w:rPr>
        <w:t>24</w:t>
      </w:r>
      <w:r>
        <w:rPr>
          <w:spacing w:val="-11"/>
          <w:sz w:val="24"/>
        </w:rPr>
        <w:t xml:space="preserve"> 清单标准附录 </w:t>
      </w:r>
      <w:r>
        <w:rPr>
          <w:spacing w:val="-6"/>
          <w:sz w:val="24"/>
        </w:rPr>
        <w:t>G.1</w:t>
      </w:r>
      <w:r>
        <w:rPr>
          <w:spacing w:val="-11"/>
          <w:sz w:val="24"/>
        </w:rPr>
        <w:t xml:space="preserve">中表 </w:t>
      </w:r>
      <w:r>
        <w:rPr>
          <w:spacing w:val="-4"/>
          <w:sz w:val="24"/>
        </w:rPr>
        <w:t>G.1.1</w:t>
      </w:r>
      <w:r>
        <w:rPr>
          <w:spacing w:val="-9"/>
          <w:sz w:val="24"/>
        </w:rPr>
        <w:t xml:space="preserve"> 发包人提供材料一览表的约定由发包人承担的损耗费用</w:t>
      </w:r>
      <w:r>
        <w:rPr>
          <w:spacing w:val="-4"/>
          <w:sz w:val="24"/>
        </w:rPr>
        <w:t>（有效损</w:t>
      </w:r>
      <w:r>
        <w:rPr>
          <w:spacing w:val="-2"/>
          <w:sz w:val="24"/>
        </w:rPr>
        <w:t>耗率对应的损耗费用）和相应的总承包服务费用。发包人提供材料应在材料费明细中进行列项，但其价格（包含发包人提供材料的供货人将相关的材料运抵交货地点、完成卸货的费用）不计入综合单价，也不计入投标总价。</w:t>
      </w:r>
    </w:p>
    <w:p w14:paraId="7D94A98D">
      <w:pPr>
        <w:pStyle w:val="14"/>
        <w:numPr>
          <w:ilvl w:val="1"/>
          <w:numId w:val="13"/>
        </w:numPr>
        <w:tabs>
          <w:tab w:val="left" w:pos="2136"/>
        </w:tabs>
        <w:spacing w:before="3" w:after="0" w:line="240" w:lineRule="auto"/>
        <w:ind w:left="2136" w:right="0" w:hanging="240"/>
        <w:jc w:val="left"/>
        <w:rPr>
          <w:sz w:val="24"/>
        </w:rPr>
      </w:pPr>
      <w:r>
        <w:rPr>
          <w:spacing w:val="-2"/>
          <w:sz w:val="24"/>
        </w:rPr>
        <w:t>措施项目清单</w:t>
      </w:r>
    </w:p>
    <w:p w14:paraId="70A81F50">
      <w:pPr>
        <w:pStyle w:val="14"/>
        <w:numPr>
          <w:ilvl w:val="0"/>
          <w:numId w:val="18"/>
        </w:numPr>
        <w:tabs>
          <w:tab w:val="left" w:pos="2504"/>
        </w:tabs>
        <w:spacing w:before="161" w:after="0" w:line="364" w:lineRule="auto"/>
        <w:ind w:left="1416" w:right="1011" w:firstLine="480"/>
        <w:jc w:val="left"/>
        <w:rPr>
          <w:sz w:val="24"/>
        </w:rPr>
      </w:pPr>
      <w:r>
        <w:rPr>
          <w:spacing w:val="2"/>
          <w:sz w:val="24"/>
        </w:rPr>
        <w:t>安全文明施工费（</w:t>
      </w:r>
      <w:r>
        <w:rPr>
          <w:spacing w:val="1"/>
          <w:sz w:val="24"/>
        </w:rPr>
        <w:t>包括：安全生产措施费、文明施工费、环境保</w:t>
      </w:r>
      <w:r>
        <w:rPr>
          <w:spacing w:val="-11"/>
          <w:sz w:val="24"/>
        </w:rPr>
        <w:t>护费、临时设施费、扬尘防治费、智慧工地费六项</w:t>
      </w:r>
      <w:r>
        <w:rPr>
          <w:spacing w:val="-32"/>
          <w:sz w:val="24"/>
        </w:rPr>
        <w:t>）</w:t>
      </w:r>
      <w:r>
        <w:rPr>
          <w:spacing w:val="-5"/>
          <w:sz w:val="24"/>
        </w:rPr>
        <w:t>应结合项目特点，按省、</w:t>
      </w:r>
      <w:r>
        <w:rPr>
          <w:spacing w:val="-12"/>
          <w:sz w:val="24"/>
        </w:rPr>
        <w:t>市</w:t>
      </w:r>
      <w:r>
        <w:rPr>
          <w:sz w:val="24"/>
        </w:rPr>
        <w:t>（州</w:t>
      </w:r>
      <w:r>
        <w:rPr>
          <w:spacing w:val="-15"/>
          <w:sz w:val="24"/>
        </w:rPr>
        <w:t>）</w:t>
      </w:r>
      <w:r>
        <w:rPr>
          <w:spacing w:val="-1"/>
          <w:sz w:val="24"/>
        </w:rPr>
        <w:t>建设行政主管部门有关安全文明施工的规定，根据市场价格自主测</w:t>
      </w:r>
      <w:r>
        <w:rPr>
          <w:spacing w:val="-6"/>
          <w:sz w:val="24"/>
        </w:rPr>
        <w:t>算确定。其中安全生产措施费费率不得低于</w:t>
      </w:r>
      <w:r>
        <w:rPr>
          <w:sz w:val="24"/>
        </w:rPr>
        <w:t>“11</w:t>
      </w:r>
      <w:r>
        <w:rPr>
          <w:spacing w:val="-22"/>
          <w:sz w:val="24"/>
        </w:rPr>
        <w:t xml:space="preserve"> 号文”附表 </w:t>
      </w:r>
      <w:r>
        <w:rPr>
          <w:sz w:val="24"/>
        </w:rPr>
        <w:t>2</w:t>
      </w:r>
      <w:r>
        <w:rPr>
          <w:spacing w:val="-12"/>
          <w:sz w:val="24"/>
        </w:rPr>
        <w:t xml:space="preserve"> 中的费率，其</w:t>
      </w:r>
      <w:r>
        <w:rPr>
          <w:spacing w:val="-13"/>
          <w:sz w:val="24"/>
        </w:rPr>
        <w:t>他安全文明施工费费率可参考</w:t>
      </w:r>
      <w:r>
        <w:rPr>
          <w:sz w:val="24"/>
        </w:rPr>
        <w:t>“11</w:t>
      </w:r>
      <w:r>
        <w:rPr>
          <w:spacing w:val="-12"/>
          <w:sz w:val="24"/>
        </w:rPr>
        <w:t xml:space="preserve"> 号文”附表费率。招投标时，安全生产措</w:t>
      </w:r>
      <w:r>
        <w:rPr>
          <w:spacing w:val="-15"/>
          <w:sz w:val="24"/>
        </w:rPr>
        <w:t xml:space="preserve">施费中的安全生产责任保险费率按 </w:t>
      </w:r>
      <w:r>
        <w:rPr>
          <w:sz w:val="24"/>
        </w:rPr>
        <w:t>0.5%</w:t>
      </w:r>
      <w:r>
        <w:rPr>
          <w:spacing w:val="-11"/>
          <w:sz w:val="24"/>
        </w:rPr>
        <w:t>计；结算时，安全生产责任保险费据实调整。安全文明施工费以工程项目整体计算。</w:t>
      </w:r>
    </w:p>
    <w:p w14:paraId="06BAA359">
      <w:pPr>
        <w:pStyle w:val="14"/>
        <w:spacing w:after="0" w:line="364" w:lineRule="auto"/>
        <w:jc w:val="left"/>
        <w:rPr>
          <w:sz w:val="24"/>
        </w:rPr>
        <w:sectPr>
          <w:pgSz w:w="10440" w:h="14740"/>
          <w:pgMar w:top="1100" w:right="0" w:bottom="860" w:left="0" w:header="878" w:footer="676" w:gutter="0"/>
          <w:cols w:space="720" w:num="1"/>
        </w:sectPr>
      </w:pPr>
    </w:p>
    <w:p w14:paraId="4907106D">
      <w:pPr>
        <w:pStyle w:val="4"/>
        <w:spacing w:before="94"/>
      </w:pPr>
    </w:p>
    <w:p w14:paraId="327388E2">
      <w:pPr>
        <w:pStyle w:val="14"/>
        <w:numPr>
          <w:ilvl w:val="0"/>
          <w:numId w:val="18"/>
        </w:numPr>
        <w:tabs>
          <w:tab w:val="left" w:pos="2220"/>
        </w:tabs>
        <w:spacing w:before="0" w:after="0" w:line="364" w:lineRule="auto"/>
        <w:ind w:left="1132" w:right="1174" w:firstLine="480"/>
        <w:jc w:val="left"/>
        <w:rPr>
          <w:sz w:val="24"/>
        </w:rPr>
      </w:pPr>
      <w:r>
        <w:rPr>
          <w:spacing w:val="-2"/>
          <w:sz w:val="24"/>
        </w:rPr>
        <w:t>除安全文明施工费以外的措施项目费：根据招标文件要求、工程</w:t>
      </w:r>
      <w:r>
        <w:rPr>
          <w:spacing w:val="80"/>
          <w:sz w:val="24"/>
        </w:rPr>
        <w:t xml:space="preserve"> </w:t>
      </w:r>
      <w:r>
        <w:rPr>
          <w:spacing w:val="-2"/>
          <w:sz w:val="24"/>
        </w:rPr>
        <w:t>的实际情况，结合投标项目施工方案及工期要求，依据招标工程量清单及同类工程的价格信息和造价资讯等，对完成招标工程所需的措施费用进行报价。除安全文明施工费以外的措施项目，在“以工程项目整体计算”和“以单位工程分别计算”两种计算方式中选择一种计算方式进行列项，不同的措施项目可以选择不同的计算方式。</w:t>
      </w:r>
    </w:p>
    <w:p w14:paraId="645E771E">
      <w:pPr>
        <w:pStyle w:val="14"/>
        <w:numPr>
          <w:ilvl w:val="0"/>
          <w:numId w:val="9"/>
        </w:numPr>
        <w:tabs>
          <w:tab w:val="left" w:pos="1852"/>
        </w:tabs>
        <w:spacing w:before="4" w:after="0" w:line="240" w:lineRule="auto"/>
        <w:ind w:left="1852" w:right="0" w:hanging="240"/>
        <w:jc w:val="left"/>
        <w:rPr>
          <w:sz w:val="24"/>
        </w:rPr>
      </w:pPr>
      <w:r>
        <w:rPr>
          <w:spacing w:val="-2"/>
          <w:sz w:val="24"/>
        </w:rPr>
        <w:t>其他项目清单</w:t>
      </w:r>
    </w:p>
    <w:p w14:paraId="4F493DC4">
      <w:pPr>
        <w:pStyle w:val="14"/>
        <w:numPr>
          <w:ilvl w:val="0"/>
          <w:numId w:val="19"/>
        </w:numPr>
        <w:tabs>
          <w:tab w:val="left" w:pos="2220"/>
        </w:tabs>
        <w:spacing w:before="160" w:after="0" w:line="364" w:lineRule="auto"/>
        <w:ind w:left="1132" w:right="1418" w:firstLine="480"/>
        <w:jc w:val="left"/>
        <w:rPr>
          <w:sz w:val="24"/>
        </w:rPr>
      </w:pPr>
      <w:r>
        <w:rPr>
          <w:spacing w:val="-2"/>
          <w:sz w:val="24"/>
        </w:rPr>
        <w:t>暂列金额：按招标人提供的金额计入投标报价。暂列金额不含增</w:t>
      </w:r>
      <w:r>
        <w:rPr>
          <w:spacing w:val="-4"/>
          <w:sz w:val="24"/>
        </w:rPr>
        <w:t>值税。</w:t>
      </w:r>
    </w:p>
    <w:p w14:paraId="3A8EC1EF">
      <w:pPr>
        <w:pStyle w:val="14"/>
        <w:numPr>
          <w:ilvl w:val="0"/>
          <w:numId w:val="19"/>
        </w:numPr>
        <w:tabs>
          <w:tab w:val="left" w:pos="2220"/>
        </w:tabs>
        <w:spacing w:before="1" w:after="0" w:line="364" w:lineRule="auto"/>
        <w:ind w:left="1132" w:right="1414" w:firstLine="480"/>
        <w:jc w:val="left"/>
        <w:rPr>
          <w:sz w:val="24"/>
        </w:rPr>
      </w:pPr>
      <w:r>
        <w:rPr>
          <w:spacing w:val="-2"/>
          <w:sz w:val="24"/>
        </w:rPr>
        <w:t>专业工程暂估价：按招标人提供的金额计入投标报价。专业工程暂估价包含增值税。</w:t>
      </w:r>
    </w:p>
    <w:p w14:paraId="3106ECE6">
      <w:pPr>
        <w:pStyle w:val="14"/>
        <w:numPr>
          <w:ilvl w:val="0"/>
          <w:numId w:val="19"/>
        </w:numPr>
        <w:tabs>
          <w:tab w:val="left" w:pos="2220"/>
        </w:tabs>
        <w:spacing w:before="1" w:after="0" w:line="364" w:lineRule="auto"/>
        <w:ind w:left="1132" w:right="1414" w:firstLine="480"/>
        <w:jc w:val="both"/>
        <w:rPr>
          <w:sz w:val="24"/>
        </w:rPr>
      </w:pPr>
      <w:r>
        <w:rPr>
          <w:spacing w:val="-2"/>
          <w:sz w:val="24"/>
        </w:rPr>
        <w:t>计日工：根据工程的实际情况，按照招标人提供的项目和暂定数量，自行确定相应项目的综合单价，计入投标报价。计日工的人工单价、材料单价和施工机具单价确定方式同分部分项工程项目清单中的人工费、材料费和施工机具使用费的确定方式。计日工不含增值税。</w:t>
      </w:r>
    </w:p>
    <w:p w14:paraId="0D895B99">
      <w:pPr>
        <w:pStyle w:val="14"/>
        <w:numPr>
          <w:ilvl w:val="0"/>
          <w:numId w:val="19"/>
        </w:numPr>
        <w:tabs>
          <w:tab w:val="left" w:pos="2220"/>
        </w:tabs>
        <w:spacing w:before="3" w:after="0" w:line="364" w:lineRule="auto"/>
        <w:ind w:left="1132" w:right="1414" w:firstLine="480"/>
        <w:jc w:val="left"/>
        <w:rPr>
          <w:sz w:val="24"/>
        </w:rPr>
      </w:pPr>
      <w:r>
        <w:rPr>
          <w:spacing w:val="-2"/>
          <w:sz w:val="24"/>
        </w:rPr>
        <w:t>总承包服务费：根据招标文件要求提供管理、协调及配合的责任范围，自行测算费用，计入投标报价。总承包服务费不含增值税。</w:t>
      </w:r>
    </w:p>
    <w:p w14:paraId="5D0C8603">
      <w:pPr>
        <w:pStyle w:val="14"/>
        <w:numPr>
          <w:ilvl w:val="0"/>
          <w:numId w:val="9"/>
        </w:numPr>
        <w:tabs>
          <w:tab w:val="left" w:pos="1852"/>
        </w:tabs>
        <w:spacing w:before="1" w:after="0" w:line="240" w:lineRule="auto"/>
        <w:ind w:left="1852" w:right="0" w:hanging="240"/>
        <w:jc w:val="left"/>
        <w:rPr>
          <w:sz w:val="24"/>
        </w:rPr>
      </w:pPr>
      <w:r>
        <w:rPr>
          <w:spacing w:val="-4"/>
          <w:sz w:val="24"/>
        </w:rPr>
        <w:t>增值税</w:t>
      </w:r>
    </w:p>
    <w:p w14:paraId="60AC009B">
      <w:pPr>
        <w:pStyle w:val="4"/>
        <w:spacing w:before="161" w:line="364" w:lineRule="auto"/>
        <w:ind w:left="1132" w:right="1414" w:firstLine="480"/>
        <w:jc w:val="both"/>
      </w:pPr>
      <w:r>
        <w:rPr>
          <w:spacing w:val="-2"/>
        </w:rPr>
        <w:t>以分部分项工程项目清单、措施项目清单、其他项目清单（专业工程暂估价除外）的合计金额作为计算基础，乘以政府主管部门规定的增值税税率计算税金。</w:t>
      </w:r>
    </w:p>
    <w:p w14:paraId="41497753">
      <w:pPr>
        <w:pStyle w:val="4"/>
        <w:spacing w:before="157"/>
        <w:ind w:left="1612"/>
      </w:pPr>
      <w:bookmarkStart w:id="36" w:name="_bookmark18"/>
      <w:bookmarkEnd w:id="36"/>
      <w:bookmarkStart w:id="37" w:name="三、工程结算"/>
      <w:bookmarkEnd w:id="37"/>
      <w:r>
        <w:rPr>
          <w:spacing w:val="-2"/>
        </w:rPr>
        <w:t>三、工程结算</w:t>
      </w:r>
    </w:p>
    <w:p w14:paraId="0559ACCC">
      <w:pPr>
        <w:pStyle w:val="4"/>
        <w:spacing w:before="9"/>
      </w:pPr>
    </w:p>
    <w:p w14:paraId="08951BFE">
      <w:pPr>
        <w:pStyle w:val="4"/>
        <w:spacing w:line="364" w:lineRule="auto"/>
        <w:ind w:left="1132" w:right="1414" w:firstLine="480"/>
        <w:jc w:val="both"/>
      </w:pPr>
      <w:r>
        <w:rPr>
          <w:spacing w:val="-2"/>
        </w:rPr>
        <w:t>按照合同约定的方式进行工程结算计价。合同未约定或约定不明的，可</w:t>
      </w:r>
      <w:r>
        <w:rPr>
          <w:spacing w:val="-8"/>
        </w:rPr>
        <w:t xml:space="preserve">参考 </w:t>
      </w:r>
      <w:r>
        <w:t>24</w:t>
      </w:r>
      <w:r>
        <w:rPr>
          <w:spacing w:val="-5"/>
        </w:rPr>
        <w:t xml:space="preserve"> 清单标准有关规定进行补充约定。</w:t>
      </w:r>
    </w:p>
    <w:p w14:paraId="0CAB62C1">
      <w:pPr>
        <w:pStyle w:val="4"/>
        <w:spacing w:after="0" w:line="364" w:lineRule="auto"/>
        <w:jc w:val="both"/>
        <w:sectPr>
          <w:pgSz w:w="10440" w:h="14740"/>
          <w:pgMar w:top="1100" w:right="0" w:bottom="860" w:left="0" w:header="878" w:footer="676" w:gutter="0"/>
          <w:cols w:space="720" w:num="1"/>
        </w:sectPr>
      </w:pPr>
    </w:p>
    <w:p w14:paraId="0FF439CE">
      <w:pPr>
        <w:pStyle w:val="4"/>
        <w:spacing w:before="19"/>
        <w:rPr>
          <w:sz w:val="32"/>
        </w:rPr>
      </w:pPr>
    </w:p>
    <w:p w14:paraId="50D93068">
      <w:pPr>
        <w:pStyle w:val="2"/>
      </w:pPr>
      <w:bookmarkStart w:id="38" w:name="第五部分  有关问题说明"/>
      <w:bookmarkEnd w:id="38"/>
      <w:bookmarkStart w:id="39" w:name="_bookmark19"/>
      <w:bookmarkEnd w:id="39"/>
      <w:r>
        <w:t>第五部分</w:t>
      </w:r>
      <w:r>
        <w:rPr>
          <w:spacing w:val="56"/>
          <w:w w:val="150"/>
        </w:rPr>
        <w:t xml:space="preserve"> </w:t>
      </w:r>
      <w:r>
        <w:rPr>
          <w:spacing w:val="-2"/>
        </w:rPr>
        <w:t>有关问题说明</w:t>
      </w:r>
    </w:p>
    <w:p w14:paraId="6796066F">
      <w:pPr>
        <w:pStyle w:val="4"/>
        <w:spacing w:before="88"/>
        <w:rPr>
          <w:sz w:val="32"/>
        </w:rPr>
      </w:pPr>
    </w:p>
    <w:p w14:paraId="40D6E1FF">
      <w:pPr>
        <w:pStyle w:val="4"/>
        <w:ind w:left="1896"/>
      </w:pPr>
      <w:bookmarkStart w:id="40" w:name="一、人工费调整及人工成本综合指数应用说明"/>
      <w:bookmarkEnd w:id="40"/>
      <w:bookmarkStart w:id="41" w:name="_bookmark20"/>
      <w:bookmarkEnd w:id="41"/>
      <w:r>
        <w:rPr>
          <w:spacing w:val="-1"/>
        </w:rPr>
        <w:t>一、人工费调整及人工成本综合指数应用说明</w:t>
      </w:r>
    </w:p>
    <w:p w14:paraId="73A3E7B3">
      <w:pPr>
        <w:pStyle w:val="4"/>
        <w:spacing w:before="9"/>
      </w:pPr>
    </w:p>
    <w:p w14:paraId="14520EF5">
      <w:pPr>
        <w:pStyle w:val="4"/>
        <w:spacing w:line="364" w:lineRule="auto"/>
        <w:ind w:left="1416" w:right="1131" w:firstLine="480"/>
        <w:jc w:val="both"/>
      </w:pPr>
      <w:r>
        <w:rPr>
          <w:color w:val="0D0D0D"/>
          <w:spacing w:val="-2"/>
        </w:rPr>
        <w:t xml:space="preserve">建设工程人工费是工程造价的重要组成之一，也是重要的市场价格要素之一。为深化工程造价市场化改革，落实 </w:t>
      </w:r>
      <w:r>
        <w:rPr>
          <w:color w:val="0D0D0D"/>
        </w:rPr>
        <w:t>24</w:t>
      </w:r>
      <w:r>
        <w:rPr>
          <w:color w:val="0D0D0D"/>
          <w:spacing w:val="-7"/>
        </w:rPr>
        <w:t xml:space="preserve"> 清单标准，引导建设工程市场</w:t>
      </w:r>
    </w:p>
    <w:p w14:paraId="0C29A91E">
      <w:pPr>
        <w:pStyle w:val="4"/>
        <w:spacing w:before="2" w:line="364" w:lineRule="auto"/>
        <w:ind w:left="1416" w:right="1131"/>
        <w:jc w:val="both"/>
      </w:pPr>
      <w:r>
        <w:rPr>
          <w:color w:val="0D0D0D"/>
          <w:spacing w:val="-8"/>
        </w:rPr>
        <w:t>主体合理确定和有效控制建设工程人工费，2025</w:t>
      </w:r>
      <w:r>
        <w:rPr>
          <w:color w:val="0D0D0D"/>
          <w:spacing w:val="-16"/>
        </w:rPr>
        <w:t xml:space="preserve"> 年 </w:t>
      </w:r>
      <w:r>
        <w:rPr>
          <w:color w:val="0D0D0D"/>
          <w:spacing w:val="-8"/>
        </w:rPr>
        <w:t>10</w:t>
      </w:r>
      <w:r>
        <w:rPr>
          <w:color w:val="0D0D0D"/>
          <w:spacing w:val="-16"/>
        </w:rPr>
        <w:t xml:space="preserve"> 月 </w:t>
      </w:r>
      <w:r>
        <w:rPr>
          <w:color w:val="0D0D0D"/>
          <w:spacing w:val="-8"/>
        </w:rPr>
        <w:t>31</w:t>
      </w:r>
      <w:r>
        <w:rPr>
          <w:color w:val="0D0D0D"/>
          <w:spacing w:val="-16"/>
        </w:rPr>
        <w:t xml:space="preserve"> 日，湖北省建设</w:t>
      </w:r>
      <w:r>
        <w:rPr>
          <w:color w:val="0D0D0D"/>
          <w:spacing w:val="-2"/>
        </w:rPr>
        <w:t>工程标准定额管理总站发布了《关于发布建设工程人工成本综合指数及机械价格综合指数的通知》。针对建设工程项目在使用人工成本综合指数时可能会遇到的实际问题，在此做补充说明。</w:t>
      </w:r>
    </w:p>
    <w:p w14:paraId="2259DB34">
      <w:pPr>
        <w:pStyle w:val="14"/>
        <w:numPr>
          <w:ilvl w:val="0"/>
          <w:numId w:val="20"/>
        </w:numPr>
        <w:tabs>
          <w:tab w:val="left" w:pos="2136"/>
        </w:tabs>
        <w:spacing w:before="2" w:after="0" w:line="240" w:lineRule="auto"/>
        <w:ind w:left="2136" w:right="0" w:hanging="240"/>
        <w:jc w:val="left"/>
        <w:rPr>
          <w:sz w:val="24"/>
        </w:rPr>
      </w:pPr>
      <w:r>
        <w:rPr>
          <w:color w:val="0D0D0D"/>
          <w:spacing w:val="-1"/>
          <w:sz w:val="24"/>
        </w:rPr>
        <w:t>造价管理机构发布的人工成本综合指数的性质</w:t>
      </w:r>
    </w:p>
    <w:p w14:paraId="227B46E2">
      <w:pPr>
        <w:pStyle w:val="14"/>
        <w:numPr>
          <w:ilvl w:val="0"/>
          <w:numId w:val="21"/>
        </w:numPr>
        <w:tabs>
          <w:tab w:val="left" w:pos="2504"/>
        </w:tabs>
        <w:spacing w:before="161" w:after="0" w:line="364" w:lineRule="auto"/>
        <w:ind w:left="1416" w:right="1131" w:firstLine="480"/>
        <w:jc w:val="both"/>
        <w:rPr>
          <w:sz w:val="24"/>
        </w:rPr>
      </w:pPr>
      <w:r>
        <w:rPr>
          <w:color w:val="0D0D0D"/>
          <w:sz w:val="24"/>
        </w:rPr>
        <w:t>根据《建设工程工程量清单计价标准》（GB/T 50500—2024），</w:t>
      </w:r>
      <w:r>
        <w:rPr>
          <w:color w:val="0D0D0D"/>
          <w:spacing w:val="-2"/>
          <w:sz w:val="24"/>
        </w:rPr>
        <w:t>造价管理机构发布的人工成本综合指数为参考指数，作为合理确定和调整建设工程人工费的参考。</w:t>
      </w:r>
    </w:p>
    <w:p w14:paraId="1DC08D01">
      <w:pPr>
        <w:pStyle w:val="14"/>
        <w:numPr>
          <w:ilvl w:val="0"/>
          <w:numId w:val="21"/>
        </w:numPr>
        <w:tabs>
          <w:tab w:val="left" w:pos="2502"/>
        </w:tabs>
        <w:spacing w:before="1" w:after="0" w:line="364" w:lineRule="auto"/>
        <w:ind w:left="1416" w:right="1094" w:firstLine="480"/>
        <w:jc w:val="both"/>
        <w:rPr>
          <w:sz w:val="24"/>
        </w:rPr>
      </w:pPr>
      <w:r>
        <w:rPr>
          <w:color w:val="0D0D0D"/>
          <w:spacing w:val="1"/>
          <w:sz w:val="24"/>
        </w:rPr>
        <w:t>人工成本综合指数是综合考虑了各专业工程、各工种成本变化趋</w:t>
      </w:r>
      <w:r>
        <w:rPr>
          <w:color w:val="0D0D0D"/>
          <w:sz w:val="24"/>
        </w:rPr>
        <w:t>势的综合指数，不同于单一工种指数，也不同于单一工程、单一项目指数。</w:t>
      </w:r>
      <w:r>
        <w:rPr>
          <w:color w:val="0D0D0D"/>
          <w:spacing w:val="-4"/>
          <w:sz w:val="24"/>
        </w:rPr>
        <w:t>在签订合同时，应明确约定是否使用该指数作为人工费调整的依据。市场主</w:t>
      </w:r>
      <w:r>
        <w:rPr>
          <w:color w:val="0D0D0D"/>
          <w:spacing w:val="3"/>
          <w:sz w:val="24"/>
        </w:rPr>
        <w:t>体应根据项目实际在招标文件及合同中明确人工费是否调整以及调整的范围、周期、方法、依据等内容。市场主体也可自行测算人工费相关指数。</w:t>
      </w:r>
    </w:p>
    <w:p w14:paraId="2E28D9A9">
      <w:pPr>
        <w:pStyle w:val="14"/>
        <w:numPr>
          <w:ilvl w:val="0"/>
          <w:numId w:val="20"/>
        </w:numPr>
        <w:tabs>
          <w:tab w:val="left" w:pos="2136"/>
        </w:tabs>
        <w:spacing w:before="3" w:after="0" w:line="240" w:lineRule="auto"/>
        <w:ind w:left="2136" w:right="0" w:hanging="240"/>
        <w:jc w:val="left"/>
        <w:rPr>
          <w:sz w:val="24"/>
        </w:rPr>
      </w:pPr>
      <w:r>
        <w:rPr>
          <w:color w:val="0D0D0D"/>
          <w:spacing w:val="-1"/>
          <w:sz w:val="24"/>
        </w:rPr>
        <w:t>人工成本综合指数的应用范围</w:t>
      </w:r>
    </w:p>
    <w:p w14:paraId="4570C401">
      <w:pPr>
        <w:pStyle w:val="14"/>
        <w:numPr>
          <w:ilvl w:val="0"/>
          <w:numId w:val="22"/>
        </w:numPr>
        <w:tabs>
          <w:tab w:val="left" w:pos="2502"/>
        </w:tabs>
        <w:spacing w:before="161" w:after="0" w:line="364" w:lineRule="auto"/>
        <w:ind w:left="1416" w:right="1011" w:firstLine="480"/>
        <w:jc w:val="left"/>
        <w:rPr>
          <w:sz w:val="24"/>
        </w:rPr>
      </w:pPr>
      <w:r>
        <w:rPr>
          <w:color w:val="0D0D0D"/>
          <w:spacing w:val="1"/>
          <w:sz w:val="24"/>
        </w:rPr>
        <w:t>人工成本综合指数可作为确定建设工程最高投标限价、投标报价</w:t>
      </w:r>
      <w:r>
        <w:rPr>
          <w:color w:val="0D0D0D"/>
          <w:spacing w:val="-13"/>
          <w:sz w:val="24"/>
        </w:rPr>
        <w:t>的计价参考，也可用于建设工程施工期间人工费的价差调整。如合同有约定，</w:t>
      </w:r>
      <w:r>
        <w:rPr>
          <w:color w:val="0D0D0D"/>
          <w:sz w:val="24"/>
        </w:rPr>
        <w:t>施工机具使用费中的机上人工费可以参照人工成本综合指数调整。</w:t>
      </w:r>
    </w:p>
    <w:p w14:paraId="621E7918">
      <w:pPr>
        <w:pStyle w:val="14"/>
        <w:numPr>
          <w:ilvl w:val="0"/>
          <w:numId w:val="22"/>
        </w:numPr>
        <w:tabs>
          <w:tab w:val="left" w:pos="2502"/>
        </w:tabs>
        <w:spacing w:before="2" w:after="0" w:line="364" w:lineRule="auto"/>
        <w:ind w:left="1416" w:right="1131" w:firstLine="480"/>
        <w:jc w:val="both"/>
        <w:rPr>
          <w:sz w:val="24"/>
        </w:rPr>
      </w:pPr>
      <w:r>
        <w:rPr>
          <w:color w:val="0D0D0D"/>
          <w:spacing w:val="-2"/>
          <w:sz w:val="24"/>
        </w:rPr>
        <w:t>对于施工图预算不能提前确定的项目，合同可约定，在项目实施过程中，对合同双方认可的已计量工程的人工费，使用人工成本综合指数进行调整，结算时再进行核算。</w:t>
      </w:r>
    </w:p>
    <w:p w14:paraId="2B4AFE16">
      <w:pPr>
        <w:pStyle w:val="14"/>
        <w:spacing w:after="0" w:line="364" w:lineRule="auto"/>
        <w:jc w:val="both"/>
        <w:rPr>
          <w:sz w:val="24"/>
        </w:rPr>
        <w:sectPr>
          <w:pgSz w:w="10440" w:h="14740"/>
          <w:pgMar w:top="1100" w:right="0" w:bottom="860" w:left="0" w:header="878" w:footer="676" w:gutter="0"/>
          <w:cols w:space="720" w:num="1"/>
        </w:sectPr>
      </w:pPr>
    </w:p>
    <w:p w14:paraId="5BBDDA1A">
      <w:pPr>
        <w:pStyle w:val="4"/>
        <w:spacing w:before="94"/>
      </w:pPr>
    </w:p>
    <w:p w14:paraId="3B962E70">
      <w:pPr>
        <w:pStyle w:val="14"/>
        <w:numPr>
          <w:ilvl w:val="0"/>
          <w:numId w:val="22"/>
        </w:numPr>
        <w:tabs>
          <w:tab w:val="left" w:pos="2220"/>
        </w:tabs>
        <w:spacing w:before="0" w:after="0" w:line="364" w:lineRule="auto"/>
        <w:ind w:left="1132" w:right="1174" w:firstLine="480"/>
        <w:jc w:val="left"/>
        <w:rPr>
          <w:sz w:val="24"/>
        </w:rPr>
      </w:pPr>
      <w:r>
        <w:rPr>
          <w:color w:val="0D0D0D"/>
          <w:spacing w:val="-2"/>
          <w:sz w:val="24"/>
        </w:rPr>
        <w:t>除合同另有约定外，人工费价差只考虑分部分项工程项目清单中</w:t>
      </w:r>
      <w:r>
        <w:rPr>
          <w:color w:val="0D0D0D"/>
          <w:spacing w:val="80"/>
          <w:sz w:val="24"/>
        </w:rPr>
        <w:t xml:space="preserve"> </w:t>
      </w:r>
      <w:r>
        <w:rPr>
          <w:color w:val="0D0D0D"/>
          <w:spacing w:val="-2"/>
          <w:sz w:val="24"/>
        </w:rPr>
        <w:t>的人工费的价差。对于无法单独分离出分部分项工程人工费的项目，如使用人工成本综合指数调整方法，应在合同中明确约定分部分项工程人工费权重，据此进行人工费的计量和调整。</w:t>
      </w:r>
    </w:p>
    <w:p w14:paraId="2D559DB0">
      <w:pPr>
        <w:pStyle w:val="14"/>
        <w:numPr>
          <w:ilvl w:val="0"/>
          <w:numId w:val="8"/>
        </w:numPr>
        <w:tabs>
          <w:tab w:val="left" w:pos="1852"/>
        </w:tabs>
        <w:spacing w:before="2" w:after="0" w:line="240" w:lineRule="auto"/>
        <w:ind w:left="1852" w:right="0" w:hanging="240"/>
        <w:jc w:val="left"/>
        <w:rPr>
          <w:color w:val="0D0D0D"/>
          <w:sz w:val="22"/>
        </w:rPr>
      </w:pPr>
      <w:r>
        <w:rPr>
          <w:color w:val="0D0D0D"/>
          <w:spacing w:val="-1"/>
          <w:sz w:val="24"/>
        </w:rPr>
        <w:t>合同约定使用人工成本综合指数时的注意事项</w:t>
      </w:r>
    </w:p>
    <w:p w14:paraId="5B29CD30">
      <w:pPr>
        <w:pStyle w:val="14"/>
        <w:numPr>
          <w:ilvl w:val="0"/>
          <w:numId w:val="23"/>
        </w:numPr>
        <w:tabs>
          <w:tab w:val="left" w:pos="2220"/>
        </w:tabs>
        <w:spacing w:before="161" w:after="0" w:line="364" w:lineRule="auto"/>
        <w:ind w:left="1132" w:right="1294" w:firstLine="480"/>
        <w:jc w:val="left"/>
        <w:rPr>
          <w:sz w:val="24"/>
        </w:rPr>
      </w:pPr>
      <w:r>
        <w:rPr>
          <w:color w:val="0D0D0D"/>
          <w:spacing w:val="2"/>
          <w:sz w:val="24"/>
        </w:rPr>
        <w:t>合同应明确所采用的人工成本综合指数发布来源</w:t>
      </w:r>
      <w:r>
        <w:rPr>
          <w:color w:val="0D0D0D"/>
          <w:spacing w:val="4"/>
          <w:sz w:val="24"/>
        </w:rPr>
        <w:t>（</w:t>
      </w:r>
      <w:r>
        <w:rPr>
          <w:color w:val="0D0D0D"/>
          <w:spacing w:val="1"/>
          <w:sz w:val="24"/>
        </w:rPr>
        <w:t>某地造价管理部门发布</w:t>
      </w:r>
      <w:r>
        <w:rPr>
          <w:color w:val="0D0D0D"/>
          <w:spacing w:val="-5"/>
          <w:sz w:val="24"/>
        </w:rPr>
        <w:t>）、基准期、调整方式</w:t>
      </w:r>
      <w:r>
        <w:rPr>
          <w:color w:val="0D0D0D"/>
          <w:spacing w:val="-3"/>
          <w:sz w:val="24"/>
        </w:rPr>
        <w:t>（</w:t>
      </w:r>
      <w:r>
        <w:rPr>
          <w:color w:val="0D0D0D"/>
          <w:spacing w:val="-2"/>
          <w:sz w:val="24"/>
        </w:rPr>
        <w:t>按形象进度调整、按节点调整、结算时统一调整等</w:t>
      </w:r>
      <w:r>
        <w:rPr>
          <w:color w:val="0D0D0D"/>
          <w:spacing w:val="-24"/>
          <w:sz w:val="24"/>
        </w:rPr>
        <w:t>）</w:t>
      </w:r>
      <w:r>
        <w:rPr>
          <w:color w:val="0D0D0D"/>
          <w:spacing w:val="-8"/>
          <w:sz w:val="24"/>
        </w:rPr>
        <w:t>、人工成本综合指数使用方法</w:t>
      </w:r>
      <w:r>
        <w:rPr>
          <w:color w:val="0D0D0D"/>
          <w:sz w:val="24"/>
        </w:rPr>
        <w:t>（</w:t>
      </w:r>
      <w:r>
        <w:rPr>
          <w:color w:val="0D0D0D"/>
          <w:spacing w:val="-5"/>
          <w:sz w:val="24"/>
        </w:rPr>
        <w:t>算术平均、工程量加权平均等</w:t>
      </w:r>
      <w:r>
        <w:rPr>
          <w:color w:val="0D0D0D"/>
          <w:spacing w:val="-58"/>
          <w:sz w:val="24"/>
        </w:rPr>
        <w:t>）</w:t>
      </w:r>
      <w:r>
        <w:rPr>
          <w:color w:val="0D0D0D"/>
          <w:spacing w:val="-15"/>
          <w:sz w:val="24"/>
        </w:rPr>
        <w:t>、</w:t>
      </w:r>
      <w:r>
        <w:rPr>
          <w:color w:val="0D0D0D"/>
          <w:sz w:val="24"/>
        </w:rPr>
        <w:t>风险幅度等内容。</w:t>
      </w:r>
    </w:p>
    <w:p w14:paraId="36E5018C">
      <w:pPr>
        <w:pStyle w:val="14"/>
        <w:numPr>
          <w:ilvl w:val="0"/>
          <w:numId w:val="23"/>
        </w:numPr>
        <w:tabs>
          <w:tab w:val="left" w:pos="2220"/>
        </w:tabs>
        <w:spacing w:before="2" w:after="0" w:line="364" w:lineRule="auto"/>
        <w:ind w:left="1132" w:right="1418" w:firstLine="480"/>
        <w:jc w:val="left"/>
        <w:rPr>
          <w:sz w:val="24"/>
        </w:rPr>
      </w:pPr>
      <w:r>
        <w:rPr>
          <w:color w:val="0D0D0D"/>
          <w:spacing w:val="-2"/>
          <w:sz w:val="24"/>
        </w:rPr>
        <w:t>计日工中的人工费、非承包人原因引起的措施费中人工费变化，调整范围及方法，遵循合同约定。</w:t>
      </w:r>
    </w:p>
    <w:p w14:paraId="2238BC79">
      <w:pPr>
        <w:pStyle w:val="14"/>
        <w:numPr>
          <w:ilvl w:val="0"/>
          <w:numId w:val="8"/>
        </w:numPr>
        <w:tabs>
          <w:tab w:val="left" w:pos="1852"/>
        </w:tabs>
        <w:spacing w:before="1" w:after="0" w:line="240" w:lineRule="auto"/>
        <w:ind w:left="1852" w:right="0" w:hanging="240"/>
        <w:jc w:val="left"/>
        <w:rPr>
          <w:color w:val="0D0D0D"/>
          <w:sz w:val="22"/>
        </w:rPr>
      </w:pPr>
      <w:r>
        <w:rPr>
          <w:color w:val="0D0D0D"/>
          <w:spacing w:val="-1"/>
          <w:sz w:val="24"/>
        </w:rPr>
        <w:t>基准期人工成本综合指数的确定</w:t>
      </w:r>
    </w:p>
    <w:p w14:paraId="0100DE6D">
      <w:pPr>
        <w:pStyle w:val="4"/>
        <w:spacing w:before="161" w:line="364" w:lineRule="auto"/>
        <w:ind w:left="1132" w:right="1414" w:firstLine="480"/>
        <w:jc w:val="both"/>
      </w:pPr>
      <w:r>
        <w:rPr>
          <w:color w:val="0D0D0D"/>
          <w:spacing w:val="-2"/>
        </w:rPr>
        <w:t xml:space="preserve">合同应明确基准期人工成本综合指数。如合同未明确，招标工程的合同基准期价格指数，为投标截止日前 </w:t>
      </w:r>
      <w:r>
        <w:rPr>
          <w:color w:val="0D0D0D"/>
        </w:rPr>
        <w:t>28</w:t>
      </w:r>
      <w:r>
        <w:rPr>
          <w:color w:val="0D0D0D"/>
          <w:spacing w:val="-6"/>
        </w:rPr>
        <w:t xml:space="preserve"> 天的价格指数，招标人应在招标文件</w:t>
      </w:r>
    </w:p>
    <w:p w14:paraId="1AF28E77">
      <w:pPr>
        <w:pStyle w:val="4"/>
        <w:spacing w:before="1" w:line="364" w:lineRule="auto"/>
        <w:ind w:left="1132" w:right="1376"/>
        <w:jc w:val="both"/>
      </w:pPr>
      <w:r>
        <w:rPr>
          <w:color w:val="0D0D0D"/>
          <w:spacing w:val="-1"/>
        </w:rPr>
        <w:t xml:space="preserve">中予以明确。非招标工程的，应为合同签订日前 </w:t>
      </w:r>
      <w:r>
        <w:rPr>
          <w:color w:val="0D0D0D"/>
        </w:rPr>
        <w:t>28</w:t>
      </w:r>
      <w:r>
        <w:rPr>
          <w:color w:val="0D0D0D"/>
          <w:spacing w:val="-4"/>
        </w:rPr>
        <w:t xml:space="preserve"> 天的价格指数。目前我</w:t>
      </w:r>
      <w:r>
        <w:rPr>
          <w:color w:val="0D0D0D"/>
          <w:spacing w:val="-2"/>
        </w:rPr>
        <w:t>省人工成本综合指数由各地造价管理部门结合当地市场人工按照季度发布，每月的人工成本综合指数均可视为等于当季人工成本综合指数。</w:t>
      </w:r>
    </w:p>
    <w:p w14:paraId="0FE3E54A">
      <w:pPr>
        <w:pStyle w:val="14"/>
        <w:numPr>
          <w:ilvl w:val="0"/>
          <w:numId w:val="8"/>
        </w:numPr>
        <w:tabs>
          <w:tab w:val="left" w:pos="1852"/>
        </w:tabs>
        <w:spacing w:before="2" w:after="0" w:line="240" w:lineRule="auto"/>
        <w:ind w:left="1852" w:right="0" w:hanging="240"/>
        <w:jc w:val="left"/>
        <w:rPr>
          <w:color w:val="0D0D0D"/>
          <w:sz w:val="22"/>
        </w:rPr>
      </w:pPr>
      <w:r>
        <w:rPr>
          <w:color w:val="0D0D0D"/>
          <w:spacing w:val="-1"/>
          <w:sz w:val="24"/>
        </w:rPr>
        <w:t>招投标阶段人工成本综合指数的应用</w:t>
      </w:r>
    </w:p>
    <w:p w14:paraId="171E08F2">
      <w:pPr>
        <w:pStyle w:val="4"/>
        <w:spacing w:before="160" w:line="364" w:lineRule="auto"/>
        <w:ind w:left="1132" w:right="1414" w:firstLine="480"/>
        <w:jc w:val="both"/>
      </w:pPr>
      <w:r>
        <w:rPr>
          <w:color w:val="0D0D0D"/>
          <w:spacing w:val="-2"/>
        </w:rPr>
        <w:t>招投标阶段，可使用人工成本综合指数对历史数据进行修正，形成新的最高投标限价/投标报价综合单价中的人工费。其中，人工费修正价差是人工费编制价格的组成部分，当人工费作为管理费、利润、安全文明施工费等费用的计算基础时，人工费修正价差应同样作为相关费用的计算基础。</w:t>
      </w:r>
    </w:p>
    <w:p w14:paraId="77551ADF">
      <w:pPr>
        <w:pStyle w:val="4"/>
        <w:spacing w:before="3" w:line="364" w:lineRule="auto"/>
        <w:ind w:left="1132" w:right="1414" w:firstLine="480"/>
        <w:jc w:val="both"/>
      </w:pPr>
      <w:r>
        <w:rPr>
          <w:color w:val="0D0D0D"/>
          <w:spacing w:val="-8"/>
        </w:rPr>
        <w:t>例如，2025</w:t>
      </w:r>
      <w:r>
        <w:rPr>
          <w:color w:val="0D0D0D"/>
          <w:spacing w:val="-13"/>
        </w:rPr>
        <w:t xml:space="preserve"> 年 </w:t>
      </w:r>
      <w:r>
        <w:rPr>
          <w:color w:val="0D0D0D"/>
          <w:spacing w:val="-8"/>
        </w:rPr>
        <w:t>7</w:t>
      </w:r>
      <w:r>
        <w:rPr>
          <w:color w:val="0D0D0D"/>
          <w:spacing w:val="-11"/>
        </w:rPr>
        <w:t xml:space="preserve"> 月编制武汉某高层住宅最高投标限价时，采用“历史数</w:t>
      </w:r>
      <w:r>
        <w:rPr>
          <w:color w:val="0D0D0D"/>
          <w:spacing w:val="-4"/>
        </w:rPr>
        <w:t>据法+价格指数法”确定砌块墙（B05A2.5</w:t>
      </w:r>
      <w:r>
        <w:rPr>
          <w:color w:val="0D0D0D"/>
          <w:spacing w:val="-9"/>
        </w:rPr>
        <w:t xml:space="preserve"> 蒸压砂加气混凝土砌块、墙体厚度</w:t>
      </w:r>
      <w:r>
        <w:rPr>
          <w:color w:val="0D0D0D"/>
          <w:spacing w:val="-4"/>
        </w:rPr>
        <w:t xml:space="preserve"> </w:t>
      </w:r>
      <w:r>
        <w:rPr>
          <w:color w:val="0D0D0D"/>
        </w:rPr>
        <w:t>150mm</w:t>
      </w:r>
      <w:r>
        <w:rPr>
          <w:color w:val="0D0D0D"/>
          <w:spacing w:val="-53"/>
        </w:rPr>
        <w:t>、</w:t>
      </w:r>
      <w:r>
        <w:rPr>
          <w:color w:val="0D0D0D"/>
        </w:rPr>
        <w:t>DMM5</w:t>
      </w:r>
      <w:r>
        <w:rPr>
          <w:color w:val="0D0D0D"/>
          <w:spacing w:val="-12"/>
        </w:rPr>
        <w:t xml:space="preserve"> 干混砂浆</w:t>
      </w:r>
      <w:r>
        <w:rPr>
          <w:color w:val="0D0D0D"/>
          <w:spacing w:val="-56"/>
        </w:rPr>
        <w:t>）</w:t>
      </w:r>
      <w:r>
        <w:rPr>
          <w:color w:val="0D0D0D"/>
          <w:spacing w:val="-9"/>
        </w:rPr>
        <w:t>的综合单价。经查阅类似项目同种工艺砌块墙，</w:t>
      </w:r>
      <w:r>
        <w:rPr>
          <w:color w:val="0D0D0D"/>
          <w:spacing w:val="-12"/>
        </w:rPr>
        <w:t>2024</w:t>
      </w:r>
    </w:p>
    <w:p w14:paraId="7EC62EB3">
      <w:pPr>
        <w:pStyle w:val="4"/>
        <w:spacing w:after="0" w:line="364" w:lineRule="auto"/>
        <w:jc w:val="both"/>
        <w:sectPr>
          <w:pgSz w:w="10440" w:h="14740"/>
          <w:pgMar w:top="1100" w:right="0" w:bottom="860" w:left="0" w:header="878" w:footer="676" w:gutter="0"/>
          <w:cols w:space="720" w:num="1"/>
        </w:sectPr>
      </w:pPr>
    </w:p>
    <w:p w14:paraId="19B19809">
      <w:pPr>
        <w:pStyle w:val="4"/>
        <w:spacing w:before="94"/>
      </w:pPr>
    </w:p>
    <w:p w14:paraId="7BABAC58">
      <w:pPr>
        <w:pStyle w:val="4"/>
        <w:spacing w:line="364" w:lineRule="auto"/>
        <w:ind w:left="1416" w:right="1011"/>
      </w:pPr>
      <w:r>
        <w:rPr>
          <w:color w:val="0D0D0D"/>
          <w:spacing w:val="-30"/>
        </w:rPr>
        <w:t xml:space="preserve">年 </w:t>
      </w:r>
      <w:r>
        <w:rPr>
          <w:color w:val="0D0D0D"/>
          <w:spacing w:val="-2"/>
        </w:rPr>
        <w:t>9</w:t>
      </w:r>
      <w:r>
        <w:rPr>
          <w:color w:val="0D0D0D"/>
          <w:spacing w:val="-14"/>
        </w:rPr>
        <w:t xml:space="preserve"> 月编制的不含税综合单价为 </w:t>
      </w:r>
      <w:r>
        <w:rPr>
          <w:color w:val="0D0D0D"/>
          <w:spacing w:val="-2"/>
        </w:rPr>
        <w:t>679.26</w:t>
      </w:r>
      <w:r>
        <w:rPr>
          <w:color w:val="0D0D0D"/>
          <w:spacing w:val="-30"/>
        </w:rPr>
        <w:t xml:space="preserve"> 元</w:t>
      </w:r>
      <w:r>
        <w:rPr>
          <w:color w:val="0D0D0D"/>
          <w:spacing w:val="-2"/>
        </w:rPr>
        <w:t>/m</w:t>
      </w:r>
      <w:r>
        <w:rPr>
          <w:color w:val="0D0D0D"/>
          <w:spacing w:val="-2"/>
          <w:position w:val="12"/>
          <w:sz w:val="12"/>
        </w:rPr>
        <w:t>3</w:t>
      </w:r>
      <w:r>
        <w:rPr>
          <w:color w:val="0D0D0D"/>
          <w:spacing w:val="-9"/>
        </w:rPr>
        <w:t xml:space="preserve">，其中人工费为 </w:t>
      </w:r>
      <w:r>
        <w:rPr>
          <w:color w:val="0D0D0D"/>
          <w:spacing w:val="-2"/>
        </w:rPr>
        <w:t>256.40</w:t>
      </w:r>
      <w:r>
        <w:rPr>
          <w:color w:val="0D0D0D"/>
          <w:spacing w:val="-30"/>
        </w:rPr>
        <w:t xml:space="preserve"> 元</w:t>
      </w:r>
      <w:r>
        <w:rPr>
          <w:color w:val="0D0D0D"/>
          <w:spacing w:val="-2"/>
        </w:rPr>
        <w:t>/m</w:t>
      </w:r>
      <w:r>
        <w:rPr>
          <w:color w:val="0D0D0D"/>
          <w:spacing w:val="-2"/>
          <w:position w:val="12"/>
          <w:sz w:val="12"/>
        </w:rPr>
        <w:t>3</w:t>
      </w:r>
      <w:r>
        <w:rPr>
          <w:color w:val="0D0D0D"/>
          <w:spacing w:val="-2"/>
        </w:rPr>
        <w:t>，</w:t>
      </w:r>
      <w:r>
        <w:rPr>
          <w:color w:val="0D0D0D"/>
          <w:spacing w:val="-3"/>
        </w:rPr>
        <w:t xml:space="preserve">管理费为人工费与施工机具使用费之和的 </w:t>
      </w:r>
      <w:r>
        <w:rPr>
          <w:color w:val="0D0D0D"/>
        </w:rPr>
        <w:t>28%，利润为人工费与施工机具使</w:t>
      </w:r>
      <w:r>
        <w:rPr>
          <w:color w:val="0D0D0D"/>
          <w:spacing w:val="-7"/>
        </w:rPr>
        <w:t xml:space="preserve">用费之和的 </w:t>
      </w:r>
      <w:r>
        <w:rPr>
          <w:color w:val="0D0D0D"/>
        </w:rPr>
        <w:t>19</w:t>
      </w:r>
      <w:r>
        <w:rPr>
          <w:color w:val="0D0D0D"/>
          <w:spacing w:val="-8"/>
        </w:rPr>
        <w:t xml:space="preserve">%。假设 </w:t>
      </w:r>
      <w:r>
        <w:rPr>
          <w:color w:val="0D0D0D"/>
        </w:rPr>
        <w:t>2024</w:t>
      </w:r>
      <w:r>
        <w:rPr>
          <w:color w:val="0D0D0D"/>
          <w:spacing w:val="-27"/>
        </w:rPr>
        <w:t xml:space="preserve"> 年 </w:t>
      </w:r>
      <w:r>
        <w:rPr>
          <w:color w:val="0D0D0D"/>
        </w:rPr>
        <w:t>9</w:t>
      </w:r>
      <w:r>
        <w:rPr>
          <w:color w:val="0D0D0D"/>
          <w:spacing w:val="-13"/>
        </w:rPr>
        <w:t xml:space="preserve"> 月—</w:t>
      </w:r>
      <w:r>
        <w:rPr>
          <w:color w:val="0D0D0D"/>
        </w:rPr>
        <w:t>2025</w:t>
      </w:r>
      <w:r>
        <w:rPr>
          <w:color w:val="0D0D0D"/>
          <w:spacing w:val="-27"/>
        </w:rPr>
        <w:t xml:space="preserve"> 年 </w:t>
      </w:r>
      <w:r>
        <w:rPr>
          <w:color w:val="0D0D0D"/>
        </w:rPr>
        <w:t>7</w:t>
      </w:r>
      <w:r>
        <w:rPr>
          <w:color w:val="0D0D0D"/>
          <w:spacing w:val="-7"/>
        </w:rPr>
        <w:t xml:space="preserve"> 月材料价格以及施工用的机</w:t>
      </w:r>
      <w:r>
        <w:rPr>
          <w:color w:val="0D0D0D"/>
          <w:spacing w:val="-2"/>
        </w:rPr>
        <w:t>械价格不变，计算本项目的砌块墙综合单价仅涉及人工费修正。经查询，历</w:t>
      </w:r>
      <w:r>
        <w:rPr>
          <w:color w:val="0D0D0D"/>
          <w:spacing w:val="-3"/>
        </w:rPr>
        <w:t xml:space="preserve">史项目综合单价编制期人工成本综合指数为 </w:t>
      </w:r>
      <w:r>
        <w:rPr>
          <w:color w:val="0D0D0D"/>
        </w:rPr>
        <w:t>94.09%，本项目编制期的人工成</w:t>
      </w:r>
      <w:r>
        <w:rPr>
          <w:color w:val="0D0D0D"/>
          <w:spacing w:val="-5"/>
        </w:rPr>
        <w:t xml:space="preserve">本综合指数为 </w:t>
      </w:r>
      <w:r>
        <w:rPr>
          <w:color w:val="0D0D0D"/>
        </w:rPr>
        <w:t>93.26%</w:t>
      </w:r>
      <w:r>
        <w:rPr>
          <w:color w:val="0D0D0D"/>
          <w:spacing w:val="-5"/>
        </w:rPr>
        <w:t xml:space="preserve">，变化幅度为 </w:t>
      </w:r>
      <w:r>
        <w:rPr>
          <w:color w:val="0D0D0D"/>
        </w:rPr>
        <w:t>93.26%/94.09%-1＝-0.88%，故对历史项</w:t>
      </w:r>
      <w:r>
        <w:rPr>
          <w:color w:val="0D0D0D"/>
          <w:spacing w:val="-3"/>
        </w:rPr>
        <w:t xml:space="preserve">目综合单价中的人工费进行修正 </w:t>
      </w:r>
      <w:r>
        <w:rPr>
          <w:color w:val="0D0D0D"/>
        </w:rPr>
        <w:t>256.40×（-0.88%）=-2.26</w:t>
      </w:r>
      <w:r>
        <w:rPr>
          <w:color w:val="0D0D0D"/>
          <w:spacing w:val="-17"/>
        </w:rPr>
        <w:t xml:space="preserve"> 元</w:t>
      </w:r>
      <w:r>
        <w:rPr>
          <w:color w:val="0D0D0D"/>
        </w:rPr>
        <w:t>/m³，再考虑</w:t>
      </w:r>
      <w:r>
        <w:rPr>
          <w:color w:val="0D0D0D"/>
          <w:spacing w:val="-2"/>
        </w:rPr>
        <w:t>管理费、利润的调整，本项目综合单价为：679.26+（-2.26）+（-2.26）×</w:t>
      </w:r>
    </w:p>
    <w:p w14:paraId="54D8CA78">
      <w:pPr>
        <w:pStyle w:val="4"/>
        <w:spacing w:before="5"/>
        <w:ind w:left="1416"/>
      </w:pPr>
      <w:r>
        <w:rPr>
          <w:color w:val="0D0D0D"/>
        </w:rPr>
        <w:t>（28%+19%）=675.94</w:t>
      </w:r>
      <w:r>
        <w:rPr>
          <w:color w:val="0D0D0D"/>
          <w:spacing w:val="-30"/>
        </w:rPr>
        <w:t xml:space="preserve"> 元</w:t>
      </w:r>
      <w:r>
        <w:rPr>
          <w:color w:val="0D0D0D"/>
        </w:rPr>
        <w:t>/m</w:t>
      </w:r>
      <w:r>
        <w:rPr>
          <w:color w:val="0D0D0D"/>
          <w:position w:val="12"/>
          <w:sz w:val="12"/>
        </w:rPr>
        <w:t>3</w:t>
      </w:r>
      <w:r>
        <w:rPr>
          <w:color w:val="0D0D0D"/>
          <w:spacing w:val="-10"/>
        </w:rPr>
        <w:t>。</w:t>
      </w:r>
    </w:p>
    <w:p w14:paraId="35847C14">
      <w:pPr>
        <w:pStyle w:val="14"/>
        <w:numPr>
          <w:ilvl w:val="0"/>
          <w:numId w:val="8"/>
        </w:numPr>
        <w:tabs>
          <w:tab w:val="left" w:pos="2136"/>
        </w:tabs>
        <w:spacing w:before="160" w:after="0" w:line="240" w:lineRule="auto"/>
        <w:ind w:left="2136" w:right="0" w:hanging="240"/>
        <w:jc w:val="left"/>
        <w:rPr>
          <w:color w:val="0D0D0D"/>
          <w:sz w:val="22"/>
        </w:rPr>
      </w:pPr>
      <w:r>
        <w:rPr>
          <w:color w:val="0D0D0D"/>
          <w:spacing w:val="-1"/>
          <w:sz w:val="24"/>
        </w:rPr>
        <w:t>结算阶段人工成本综合指数的应用</w:t>
      </w:r>
    </w:p>
    <w:p w14:paraId="750A19F9">
      <w:pPr>
        <w:pStyle w:val="4"/>
        <w:spacing w:before="161" w:line="364" w:lineRule="auto"/>
        <w:ind w:left="1416" w:right="891" w:firstLine="480"/>
      </w:pPr>
      <w:r>
        <w:rPr>
          <w:color w:val="0D0D0D"/>
          <w:spacing w:val="-2"/>
        </w:rPr>
        <w:t>施工期或计量周期因市场价格波动导致形成多个人工成本综合指数数</w:t>
      </w:r>
      <w:r>
        <w:rPr>
          <w:color w:val="0D0D0D"/>
          <w:spacing w:val="40"/>
        </w:rPr>
        <w:t xml:space="preserve">  </w:t>
      </w:r>
      <w:r>
        <w:rPr>
          <w:color w:val="0D0D0D"/>
          <w:spacing w:val="-2"/>
        </w:rPr>
        <w:t>值的，合同履行对应的周期人工成本综合指数计算方法应在合同中明确约定，未约定的可按施工期人工成本综合指数算术平均值计算。人工费价差只计取增</w:t>
      </w:r>
      <w:r>
        <w:rPr>
          <w:color w:val="0D0D0D"/>
          <w:spacing w:val="-4"/>
        </w:rPr>
        <w:t>值税。</w:t>
      </w:r>
    </w:p>
    <w:p w14:paraId="1361AA53">
      <w:pPr>
        <w:pStyle w:val="4"/>
        <w:spacing w:before="2" w:line="364" w:lineRule="auto"/>
        <w:ind w:left="1416" w:right="1011" w:firstLine="480"/>
        <w:jc w:val="both"/>
      </w:pPr>
      <w:r>
        <w:rPr>
          <w:color w:val="0D0D0D"/>
          <w:spacing w:val="-2"/>
        </w:rPr>
        <w:t xml:space="preserve">例如，若某建设工程项目施工周期为 </w:t>
      </w:r>
      <w:r>
        <w:rPr>
          <w:color w:val="0D0D0D"/>
        </w:rPr>
        <w:t>n</w:t>
      </w:r>
      <w:r>
        <w:rPr>
          <w:color w:val="0D0D0D"/>
          <w:spacing w:val="-6"/>
        </w:rPr>
        <w:t xml:space="preserve"> 个月，基准期人工成本综合指数</w:t>
      </w:r>
      <w:r>
        <w:rPr>
          <w:color w:val="0D0D0D"/>
          <w:spacing w:val="-2"/>
        </w:rPr>
        <w:t xml:space="preserve">为 </w:t>
      </w:r>
      <w:r>
        <w:rPr>
          <w:color w:val="0D0D0D"/>
        </w:rPr>
        <w:t>P</w:t>
      </w:r>
      <w:r>
        <w:rPr>
          <w:color w:val="0D0D0D"/>
          <w:position w:val="-2"/>
          <w:sz w:val="12"/>
        </w:rPr>
        <w:t>0</w:t>
      </w:r>
      <w:r>
        <w:rPr>
          <w:color w:val="0D0D0D"/>
          <w:spacing w:val="-1"/>
        </w:rPr>
        <w:t xml:space="preserve">，基准期不含增值税的分部分项工程项目清单中人工费为 </w:t>
      </w:r>
      <w:r>
        <w:rPr>
          <w:color w:val="0D0D0D"/>
        </w:rPr>
        <w:t>A。合同约定</w:t>
      </w:r>
      <w:r>
        <w:rPr>
          <w:color w:val="0D0D0D"/>
          <w:spacing w:val="-2"/>
        </w:rPr>
        <w:t>采用人工成本综合指数法进行人工费调差，结算时一并调整。周期人工成本综合指数计算方法在合同中未明确，按算术平均法计算。根据每月指数等于当季指数，得到施工期每月的人工成本综合指数分为 x</w:t>
      </w:r>
      <w:r>
        <w:rPr>
          <w:color w:val="0D0D0D"/>
          <w:spacing w:val="-2"/>
          <w:position w:val="-2"/>
          <w:sz w:val="12"/>
        </w:rPr>
        <w:t>1</w:t>
      </w:r>
      <w:r>
        <w:rPr>
          <w:color w:val="0D0D0D"/>
          <w:spacing w:val="-2"/>
        </w:rPr>
        <w:t>、x</w:t>
      </w:r>
      <w:r>
        <w:rPr>
          <w:color w:val="0D0D0D"/>
          <w:spacing w:val="-2"/>
          <w:position w:val="-2"/>
          <w:sz w:val="12"/>
        </w:rPr>
        <w:t>2</w:t>
      </w:r>
      <w:r>
        <w:rPr>
          <w:color w:val="0D0D0D"/>
          <w:spacing w:val="-2"/>
        </w:rPr>
        <w:t>、x</w:t>
      </w:r>
      <w:r>
        <w:rPr>
          <w:color w:val="0D0D0D"/>
          <w:spacing w:val="-2"/>
          <w:position w:val="-2"/>
          <w:sz w:val="12"/>
        </w:rPr>
        <w:t>3</w:t>
      </w:r>
      <w:r>
        <w:rPr>
          <w:color w:val="0D0D0D"/>
          <w:spacing w:val="-2"/>
        </w:rPr>
        <w:t>……x</w:t>
      </w:r>
      <w:r>
        <w:rPr>
          <w:color w:val="0D0D0D"/>
          <w:spacing w:val="-2"/>
          <w:position w:val="-2"/>
          <w:sz w:val="12"/>
        </w:rPr>
        <w:t>n</w:t>
      </w:r>
      <w:r>
        <w:rPr>
          <w:color w:val="0D0D0D"/>
          <w:spacing w:val="-2"/>
        </w:rPr>
        <w:t>，则该</w:t>
      </w:r>
      <w:r>
        <w:rPr>
          <w:color w:val="0D0D0D"/>
          <w:spacing w:val="38"/>
        </w:rPr>
        <w:t xml:space="preserve">项目周期的人工成本综合指数 </w:t>
      </w:r>
      <w:r>
        <w:rPr>
          <w:color w:val="0D0D0D"/>
        </w:rPr>
        <w:t>P</w:t>
      </w:r>
      <w:r>
        <w:rPr>
          <w:color w:val="0D0D0D"/>
          <w:position w:val="-2"/>
          <w:sz w:val="12"/>
        </w:rPr>
        <w:t>n</w:t>
      </w:r>
      <w:r>
        <w:rPr>
          <w:color w:val="0D0D0D"/>
        </w:rPr>
        <w:t>=(x</w:t>
      </w:r>
      <w:r>
        <w:rPr>
          <w:color w:val="0D0D0D"/>
          <w:position w:val="-2"/>
          <w:sz w:val="12"/>
        </w:rPr>
        <w:t>1</w:t>
      </w:r>
      <w:r>
        <w:rPr>
          <w:color w:val="0D0D0D"/>
        </w:rPr>
        <w:t>+x</w:t>
      </w:r>
      <w:r>
        <w:rPr>
          <w:color w:val="0D0D0D"/>
          <w:position w:val="-2"/>
          <w:sz w:val="12"/>
        </w:rPr>
        <w:t>2</w:t>
      </w:r>
      <w:r>
        <w:rPr>
          <w:color w:val="0D0D0D"/>
        </w:rPr>
        <w:t>+x</w:t>
      </w:r>
      <w:r>
        <w:rPr>
          <w:color w:val="0D0D0D"/>
          <w:position w:val="-2"/>
          <w:sz w:val="12"/>
        </w:rPr>
        <w:t>3</w:t>
      </w:r>
      <w:r>
        <w:rPr>
          <w:color w:val="0D0D0D"/>
          <w:spacing w:val="-15"/>
        </w:rPr>
        <w:t xml:space="preserve">+ … </w:t>
      </w:r>
      <w:r>
        <w:rPr>
          <w:color w:val="0D0D0D"/>
        </w:rPr>
        <w:t>+x</w:t>
      </w:r>
      <w:r>
        <w:rPr>
          <w:color w:val="0D0D0D"/>
          <w:position w:val="-2"/>
          <w:sz w:val="12"/>
        </w:rPr>
        <w:t>n</w:t>
      </w:r>
      <w:r>
        <w:rPr>
          <w:color w:val="0D0D0D"/>
        </w:rPr>
        <w:t>)/n</w:t>
      </w:r>
      <w:r>
        <w:rPr>
          <w:color w:val="0D0D0D"/>
          <w:spacing w:val="15"/>
        </w:rPr>
        <w:t xml:space="preserve"> ， 指数变化率</w:t>
      </w:r>
      <w:r>
        <w:rPr>
          <w:color w:val="0D0D0D"/>
        </w:rPr>
        <w:t xml:space="preserve"> </w:t>
      </w:r>
      <w:r>
        <w:rPr>
          <w:color w:val="0D0D0D"/>
          <w:spacing w:val="-2"/>
        </w:rPr>
        <w:t>W=(P</w:t>
      </w:r>
      <w:r>
        <w:rPr>
          <w:color w:val="0D0D0D"/>
          <w:spacing w:val="-2"/>
          <w:position w:val="-2"/>
          <w:sz w:val="12"/>
        </w:rPr>
        <w:t>n</w:t>
      </w:r>
      <w:r>
        <w:rPr>
          <w:color w:val="0D0D0D"/>
          <w:spacing w:val="-2"/>
        </w:rPr>
        <w:t>-P</w:t>
      </w:r>
      <w:r>
        <w:rPr>
          <w:color w:val="0D0D0D"/>
          <w:spacing w:val="-2"/>
          <w:position w:val="-2"/>
          <w:sz w:val="12"/>
        </w:rPr>
        <w:t>0</w:t>
      </w:r>
      <w:r>
        <w:rPr>
          <w:color w:val="0D0D0D"/>
          <w:spacing w:val="-2"/>
        </w:rPr>
        <w:t>)/P</w:t>
      </w:r>
      <w:r>
        <w:rPr>
          <w:color w:val="0D0D0D"/>
          <w:spacing w:val="-2"/>
          <w:position w:val="-2"/>
          <w:sz w:val="12"/>
        </w:rPr>
        <w:t>0</w:t>
      </w:r>
      <w:r>
        <w:rPr>
          <w:color w:val="0D0D0D"/>
          <w:spacing w:val="-2"/>
        </w:rPr>
        <w:t>，人工费价差调整金额（不含增值税）Q=A×W=A×[(P</w:t>
      </w:r>
      <w:r>
        <w:rPr>
          <w:color w:val="0D0D0D"/>
          <w:spacing w:val="-2"/>
          <w:position w:val="-2"/>
          <w:sz w:val="12"/>
        </w:rPr>
        <w:t>n</w:t>
      </w:r>
      <w:r>
        <w:rPr>
          <w:color w:val="0D0D0D"/>
          <w:spacing w:val="-2"/>
        </w:rPr>
        <w:t>-P</w:t>
      </w:r>
      <w:r>
        <w:rPr>
          <w:color w:val="0D0D0D"/>
          <w:spacing w:val="-2"/>
          <w:position w:val="-2"/>
          <w:sz w:val="12"/>
        </w:rPr>
        <w:t>0</w:t>
      </w:r>
      <w:r>
        <w:rPr>
          <w:color w:val="0D0D0D"/>
          <w:spacing w:val="-2"/>
        </w:rPr>
        <w:t>)/P</w:t>
      </w:r>
      <w:r>
        <w:rPr>
          <w:color w:val="0D0D0D"/>
          <w:spacing w:val="-2"/>
          <w:position w:val="-2"/>
          <w:sz w:val="12"/>
        </w:rPr>
        <w:t>0</w:t>
      </w:r>
      <w:r>
        <w:rPr>
          <w:color w:val="0D0D0D"/>
          <w:spacing w:val="-2"/>
        </w:rPr>
        <w:t>]</w:t>
      </w:r>
      <w:r>
        <w:rPr>
          <w:color w:val="0000FF"/>
          <w:spacing w:val="-10"/>
        </w:rPr>
        <w:t>。</w:t>
      </w:r>
    </w:p>
    <w:p w14:paraId="0553EC87">
      <w:pPr>
        <w:pStyle w:val="14"/>
        <w:numPr>
          <w:ilvl w:val="0"/>
          <w:numId w:val="8"/>
        </w:numPr>
        <w:tabs>
          <w:tab w:val="left" w:pos="2136"/>
        </w:tabs>
        <w:spacing w:before="4" w:after="0" w:line="240" w:lineRule="auto"/>
        <w:ind w:left="2136" w:right="0" w:hanging="240"/>
        <w:jc w:val="left"/>
        <w:rPr>
          <w:color w:val="0D0D0D"/>
          <w:sz w:val="22"/>
        </w:rPr>
      </w:pPr>
      <w:r>
        <w:rPr>
          <w:color w:val="0D0D0D"/>
          <w:spacing w:val="-1"/>
          <w:sz w:val="24"/>
        </w:rPr>
        <w:t>工期延误时人工成本综合指数的应用</w:t>
      </w:r>
    </w:p>
    <w:p w14:paraId="52901B76">
      <w:pPr>
        <w:pStyle w:val="4"/>
        <w:spacing w:before="161" w:line="364" w:lineRule="auto"/>
        <w:ind w:left="1416" w:right="1131" w:firstLine="480"/>
      </w:pPr>
      <w:r>
        <w:rPr>
          <w:color w:val="0D0D0D"/>
          <w:spacing w:val="-2"/>
        </w:rPr>
        <w:t>为公平合理地分担市场风险，在工期延误的情况下，根据延误责任方确定工期延误时人工成本综合指数的调整原则：</w:t>
      </w:r>
    </w:p>
    <w:p w14:paraId="2CF7A4C0">
      <w:pPr>
        <w:pStyle w:val="14"/>
        <w:numPr>
          <w:ilvl w:val="0"/>
          <w:numId w:val="24"/>
        </w:numPr>
        <w:tabs>
          <w:tab w:val="left" w:pos="2504"/>
        </w:tabs>
        <w:spacing w:before="1" w:after="0" w:line="240" w:lineRule="auto"/>
        <w:ind w:left="2504" w:right="0" w:hanging="608"/>
        <w:jc w:val="left"/>
        <w:rPr>
          <w:sz w:val="24"/>
        </w:rPr>
      </w:pPr>
      <w:r>
        <w:rPr>
          <w:color w:val="0D0D0D"/>
          <w:spacing w:val="-1"/>
          <w:sz w:val="24"/>
        </w:rPr>
        <w:t>因非承包人原因导致工期延误的，延误期间发生人工成本综合指</w:t>
      </w:r>
    </w:p>
    <w:p w14:paraId="0795DDA2">
      <w:pPr>
        <w:pStyle w:val="14"/>
        <w:spacing w:after="0" w:line="240" w:lineRule="auto"/>
        <w:jc w:val="left"/>
        <w:rPr>
          <w:sz w:val="24"/>
        </w:rPr>
        <w:sectPr>
          <w:pgSz w:w="10440" w:h="14740"/>
          <w:pgMar w:top="1100" w:right="0" w:bottom="860" w:left="0" w:header="878" w:footer="676" w:gutter="0"/>
          <w:cols w:space="720" w:num="1"/>
        </w:sectPr>
      </w:pPr>
    </w:p>
    <w:p w14:paraId="730D29B0">
      <w:pPr>
        <w:pStyle w:val="4"/>
        <w:spacing w:before="94"/>
      </w:pPr>
    </w:p>
    <w:p w14:paraId="5C9E5E3B">
      <w:pPr>
        <w:pStyle w:val="4"/>
        <w:spacing w:line="364" w:lineRule="auto"/>
        <w:ind w:left="1132" w:right="1376"/>
      </w:pPr>
      <w:r>
        <w:rPr>
          <w:color w:val="0D0D0D"/>
          <w:spacing w:val="-2"/>
        </w:rPr>
        <w:t>数涨跌的，上涨时，按上涨的人工成本综合指数调整合同人工费。下跌时，不调整合同人工费；</w:t>
      </w:r>
    </w:p>
    <w:p w14:paraId="1BDA7716">
      <w:pPr>
        <w:pStyle w:val="14"/>
        <w:numPr>
          <w:ilvl w:val="0"/>
          <w:numId w:val="24"/>
        </w:numPr>
        <w:tabs>
          <w:tab w:val="left" w:pos="2220"/>
        </w:tabs>
        <w:spacing w:before="1" w:after="0" w:line="364" w:lineRule="auto"/>
        <w:ind w:left="1132" w:right="1414" w:firstLine="480"/>
        <w:jc w:val="both"/>
        <w:rPr>
          <w:sz w:val="24"/>
        </w:rPr>
      </w:pPr>
      <w:r>
        <w:rPr>
          <w:color w:val="0D0D0D"/>
          <w:spacing w:val="-2"/>
          <w:sz w:val="24"/>
        </w:rPr>
        <w:t>因承包人原因导致工期延误的，延误期间发生人工成本综合指数涨跌的，上涨时，不调整合同人工费。下跌时，按下跌的人工成本综合指数调整合同人工费。</w:t>
      </w:r>
    </w:p>
    <w:p w14:paraId="46C0B069">
      <w:pPr>
        <w:pStyle w:val="4"/>
        <w:spacing w:before="158"/>
        <w:ind w:left="1612"/>
      </w:pPr>
      <w:bookmarkStart w:id="42" w:name="二、机械费调整及机械价格综合指数应用说明"/>
      <w:bookmarkEnd w:id="42"/>
      <w:bookmarkStart w:id="43" w:name="_bookmark21"/>
      <w:bookmarkEnd w:id="43"/>
      <w:r>
        <w:rPr>
          <w:spacing w:val="-1"/>
        </w:rPr>
        <w:t>二、机械费调整及机械价格综合指数应用说明</w:t>
      </w:r>
    </w:p>
    <w:p w14:paraId="11DB1ADF">
      <w:pPr>
        <w:pStyle w:val="4"/>
        <w:spacing w:before="9"/>
      </w:pPr>
    </w:p>
    <w:p w14:paraId="4BE9E1D2">
      <w:pPr>
        <w:pStyle w:val="4"/>
        <w:spacing w:line="364" w:lineRule="auto"/>
        <w:ind w:left="1132" w:right="1294" w:firstLine="480"/>
      </w:pPr>
      <w:r>
        <w:rPr>
          <w:spacing w:val="-2"/>
        </w:rPr>
        <w:t>随着建筑机械化水平的不断提高，机械费用的动态调整受到越来越多的关注。</w:t>
      </w:r>
      <w:r>
        <w:rPr>
          <w:color w:val="0D0D0D"/>
          <w:spacing w:val="-2"/>
        </w:rPr>
        <w:t>为反映市场机械价格的变化趋势，引导建设工程市场主体合理确定和</w:t>
      </w:r>
      <w:r>
        <w:rPr>
          <w:color w:val="0D0D0D"/>
        </w:rPr>
        <w:t>有效控制机械使用费用，2025</w:t>
      </w:r>
      <w:r>
        <w:rPr>
          <w:color w:val="0D0D0D"/>
          <w:spacing w:val="-40"/>
        </w:rPr>
        <w:t xml:space="preserve"> 年 </w:t>
      </w:r>
      <w:r>
        <w:rPr>
          <w:color w:val="0D0D0D"/>
        </w:rPr>
        <w:t>10</w:t>
      </w:r>
      <w:r>
        <w:rPr>
          <w:color w:val="0D0D0D"/>
          <w:spacing w:val="-40"/>
        </w:rPr>
        <w:t xml:space="preserve"> 月 </w:t>
      </w:r>
      <w:r>
        <w:rPr>
          <w:color w:val="0D0D0D"/>
        </w:rPr>
        <w:t>31</w:t>
      </w:r>
      <w:r>
        <w:rPr>
          <w:color w:val="0D0D0D"/>
          <w:spacing w:val="-8"/>
        </w:rPr>
        <w:t xml:space="preserve"> 日湖北省建设工程标准定额管理总</w:t>
      </w:r>
      <w:r>
        <w:rPr>
          <w:color w:val="0D0D0D"/>
          <w:spacing w:val="-14"/>
        </w:rPr>
        <w:t>站发布《关于发布建设工程人工成本综合指数及机械价格综合指数的通知》。</w:t>
      </w:r>
      <w:r>
        <w:rPr>
          <w:color w:val="0D0D0D"/>
          <w:spacing w:val="-2"/>
        </w:rPr>
        <w:t>针对建设工程项目在使用机械价格综合指数时可能会遇到的实际问题，在此做补充说明。</w:t>
      </w:r>
    </w:p>
    <w:p w14:paraId="333EEAB6">
      <w:pPr>
        <w:pStyle w:val="14"/>
        <w:numPr>
          <w:ilvl w:val="0"/>
          <w:numId w:val="25"/>
        </w:numPr>
        <w:tabs>
          <w:tab w:val="left" w:pos="1852"/>
        </w:tabs>
        <w:spacing w:before="4" w:after="0" w:line="240" w:lineRule="auto"/>
        <w:ind w:left="1852" w:right="0" w:hanging="240"/>
        <w:jc w:val="left"/>
        <w:rPr>
          <w:sz w:val="24"/>
        </w:rPr>
      </w:pPr>
      <w:r>
        <w:rPr>
          <w:color w:val="0D0D0D"/>
          <w:spacing w:val="-1"/>
          <w:sz w:val="24"/>
        </w:rPr>
        <w:t>造价管理机构发布的机械价格综合指数的性质</w:t>
      </w:r>
    </w:p>
    <w:p w14:paraId="6FB3B94B">
      <w:pPr>
        <w:pStyle w:val="14"/>
        <w:numPr>
          <w:ilvl w:val="0"/>
          <w:numId w:val="26"/>
        </w:numPr>
        <w:tabs>
          <w:tab w:val="left" w:pos="2220"/>
        </w:tabs>
        <w:spacing w:before="160" w:after="0" w:line="364" w:lineRule="auto"/>
        <w:ind w:left="1132" w:right="1414" w:firstLine="480"/>
        <w:jc w:val="both"/>
        <w:rPr>
          <w:sz w:val="24"/>
        </w:rPr>
      </w:pPr>
      <w:r>
        <w:rPr>
          <w:color w:val="0D0D0D"/>
          <w:sz w:val="24"/>
        </w:rPr>
        <w:t>根据《建设工程工程量清单计价标准》（GB/T 50500—2024），</w:t>
      </w:r>
      <w:r>
        <w:rPr>
          <w:color w:val="0D0D0D"/>
          <w:spacing w:val="-2"/>
          <w:sz w:val="24"/>
        </w:rPr>
        <w:t>造价管理机构发布的机械价格综合指数为参考指数，作为合理确定和调整建设工程机械费的参考。在签订合同时，应明确约定是否使用该指数作为机械费调整的依据。</w:t>
      </w:r>
    </w:p>
    <w:p w14:paraId="3BC91969">
      <w:pPr>
        <w:pStyle w:val="14"/>
        <w:numPr>
          <w:ilvl w:val="0"/>
          <w:numId w:val="26"/>
        </w:numPr>
        <w:tabs>
          <w:tab w:val="left" w:pos="2220"/>
        </w:tabs>
        <w:spacing w:before="2" w:after="0" w:line="364" w:lineRule="auto"/>
        <w:ind w:left="1132" w:right="1414" w:firstLine="480"/>
        <w:jc w:val="both"/>
        <w:rPr>
          <w:sz w:val="24"/>
        </w:rPr>
      </w:pPr>
      <w:r>
        <w:rPr>
          <w:color w:val="0D0D0D"/>
          <w:spacing w:val="-2"/>
          <w:sz w:val="24"/>
        </w:rPr>
        <w:t>机械价格综合指数考虑了常用机械设备市场价格变化、机上人工价格变化、燃料动力费价格变化等因素。采用机械价格综合指数调整机械费时不应重复调整机上人工费及机械燃料动力费。</w:t>
      </w:r>
    </w:p>
    <w:p w14:paraId="00BA4C53">
      <w:pPr>
        <w:pStyle w:val="14"/>
        <w:numPr>
          <w:ilvl w:val="0"/>
          <w:numId w:val="26"/>
        </w:numPr>
        <w:tabs>
          <w:tab w:val="left" w:pos="2220"/>
        </w:tabs>
        <w:spacing w:before="2" w:after="0" w:line="364" w:lineRule="auto"/>
        <w:ind w:left="1132" w:right="1414" w:firstLine="480"/>
        <w:jc w:val="both"/>
        <w:rPr>
          <w:sz w:val="24"/>
        </w:rPr>
      </w:pPr>
      <w:r>
        <w:rPr>
          <w:color w:val="0D0D0D"/>
          <w:spacing w:val="-2"/>
          <w:sz w:val="24"/>
        </w:rPr>
        <w:t>因项目采用的机械种类及型号、使用周期、付款方式和市场供需关系等不同，实际发生机械使用费用变化可能与本指数有较大差异，市场主体应根据项目实际合理使用本指数，并在招标文件及合同中明确机械费是否调整以及调整的种类、周期、计算方法、依据等内容。市场主体也可自行测</w:t>
      </w:r>
    </w:p>
    <w:p w14:paraId="660D91B8">
      <w:pPr>
        <w:pStyle w:val="14"/>
        <w:spacing w:after="0" w:line="364" w:lineRule="auto"/>
        <w:jc w:val="both"/>
        <w:rPr>
          <w:sz w:val="24"/>
        </w:rPr>
        <w:sectPr>
          <w:pgSz w:w="10440" w:h="14740"/>
          <w:pgMar w:top="1100" w:right="0" w:bottom="860" w:left="0" w:header="878" w:footer="676" w:gutter="0"/>
          <w:cols w:space="720" w:num="1"/>
        </w:sectPr>
      </w:pPr>
    </w:p>
    <w:p w14:paraId="5FF6846C">
      <w:pPr>
        <w:pStyle w:val="4"/>
        <w:spacing w:before="94"/>
      </w:pPr>
    </w:p>
    <w:p w14:paraId="473DFF71">
      <w:pPr>
        <w:pStyle w:val="4"/>
        <w:ind w:left="1416"/>
      </w:pPr>
      <w:r>
        <w:rPr>
          <w:color w:val="0D0D0D"/>
          <w:spacing w:val="-2"/>
        </w:rPr>
        <w:t>算机械费相关指数。</w:t>
      </w:r>
    </w:p>
    <w:p w14:paraId="547D0B86">
      <w:pPr>
        <w:pStyle w:val="14"/>
        <w:numPr>
          <w:ilvl w:val="0"/>
          <w:numId w:val="25"/>
        </w:numPr>
        <w:tabs>
          <w:tab w:val="left" w:pos="2136"/>
        </w:tabs>
        <w:spacing w:before="160" w:after="0" w:line="240" w:lineRule="auto"/>
        <w:ind w:left="2136" w:right="0" w:hanging="240"/>
        <w:jc w:val="left"/>
        <w:rPr>
          <w:sz w:val="24"/>
        </w:rPr>
      </w:pPr>
      <w:r>
        <w:rPr>
          <w:color w:val="0D0D0D"/>
          <w:spacing w:val="-1"/>
          <w:sz w:val="24"/>
        </w:rPr>
        <w:t>机械价格综合指数的应用范围</w:t>
      </w:r>
    </w:p>
    <w:p w14:paraId="055B84AC">
      <w:pPr>
        <w:pStyle w:val="4"/>
        <w:spacing w:before="161" w:line="364" w:lineRule="auto"/>
        <w:ind w:left="1416" w:right="1131" w:firstLine="480"/>
        <w:jc w:val="both"/>
      </w:pPr>
      <w:r>
        <w:rPr>
          <w:color w:val="0D0D0D"/>
          <w:spacing w:val="-2"/>
        </w:rPr>
        <w:t>机械价格综合指数可作为确定建设工程最高投标限价、投标报价的计价参考，也可用于建设工程施工期间机械费的价差调整。对于施工图预算不能提前确定的项目，合同可约定，在项目实施过程中，对合同双方认可的已计量工程的机械费，使用机械价格综合指数进行调整，结算时再进行核算。</w:t>
      </w:r>
    </w:p>
    <w:p w14:paraId="0ABA1790">
      <w:pPr>
        <w:pStyle w:val="14"/>
        <w:numPr>
          <w:ilvl w:val="0"/>
          <w:numId w:val="25"/>
        </w:numPr>
        <w:tabs>
          <w:tab w:val="left" w:pos="2136"/>
        </w:tabs>
        <w:spacing w:before="2" w:after="0" w:line="240" w:lineRule="auto"/>
        <w:ind w:left="2136" w:right="0" w:hanging="240"/>
        <w:jc w:val="left"/>
        <w:rPr>
          <w:sz w:val="24"/>
        </w:rPr>
      </w:pPr>
      <w:r>
        <w:rPr>
          <w:color w:val="0D0D0D"/>
          <w:spacing w:val="-1"/>
          <w:sz w:val="24"/>
        </w:rPr>
        <w:t>合同约定使用机械价格综合指数时的注意事项</w:t>
      </w:r>
    </w:p>
    <w:p w14:paraId="79E283A6">
      <w:pPr>
        <w:pStyle w:val="14"/>
        <w:numPr>
          <w:ilvl w:val="0"/>
          <w:numId w:val="27"/>
        </w:numPr>
        <w:tabs>
          <w:tab w:val="left" w:pos="2502"/>
        </w:tabs>
        <w:spacing w:before="161" w:after="0" w:line="364" w:lineRule="auto"/>
        <w:ind w:left="1416" w:right="1134" w:firstLine="480"/>
        <w:jc w:val="left"/>
        <w:rPr>
          <w:color w:val="0D0D0D"/>
          <w:sz w:val="22"/>
        </w:rPr>
      </w:pPr>
      <w:r>
        <w:rPr>
          <w:color w:val="0D0D0D"/>
          <w:spacing w:val="-2"/>
          <w:sz w:val="24"/>
        </w:rPr>
        <w:t>合同应明确所采用的机械价格综合指数发布来源、基准期、调整方式、使用方法、风险幅度等内容。</w:t>
      </w:r>
    </w:p>
    <w:p w14:paraId="2B4C699B">
      <w:pPr>
        <w:pStyle w:val="14"/>
        <w:numPr>
          <w:ilvl w:val="0"/>
          <w:numId w:val="27"/>
        </w:numPr>
        <w:tabs>
          <w:tab w:val="left" w:pos="2504"/>
        </w:tabs>
        <w:spacing w:before="1" w:after="0" w:line="364" w:lineRule="auto"/>
        <w:ind w:left="1416" w:right="1131" w:firstLine="480"/>
        <w:jc w:val="both"/>
        <w:rPr>
          <w:sz w:val="22"/>
        </w:rPr>
      </w:pPr>
      <w:r>
        <w:rPr>
          <w:color w:val="0D0D0D"/>
          <w:spacing w:val="-2"/>
          <w:sz w:val="24"/>
        </w:rPr>
        <w:t>除合同另有约定外，机械费价差只考虑分部分项工程项目清单中的机械费价差。</w:t>
      </w:r>
      <w:r>
        <w:rPr>
          <w:spacing w:val="-2"/>
          <w:sz w:val="24"/>
        </w:rPr>
        <w:t>对于无法单独分离出分部分项工程机械费的项目，如使用机械价格综合指数，应在合同中明确约定分部分项工程机械费权重，据此进行机械费的计量和调整。</w:t>
      </w:r>
    </w:p>
    <w:p w14:paraId="40DCF7F9">
      <w:pPr>
        <w:pStyle w:val="14"/>
        <w:numPr>
          <w:ilvl w:val="0"/>
          <w:numId w:val="27"/>
        </w:numPr>
        <w:tabs>
          <w:tab w:val="left" w:pos="2502"/>
        </w:tabs>
        <w:spacing w:before="2" w:after="0" w:line="364" w:lineRule="auto"/>
        <w:ind w:left="1416" w:right="1133" w:firstLine="480"/>
        <w:jc w:val="left"/>
        <w:rPr>
          <w:color w:val="0D0D0D"/>
          <w:sz w:val="22"/>
        </w:rPr>
      </w:pPr>
      <w:r>
        <w:rPr>
          <w:color w:val="0D0D0D"/>
          <w:spacing w:val="-2"/>
          <w:sz w:val="24"/>
        </w:rPr>
        <w:t>计日工中的机械费、非承包人原因引起的措施费中机械费变化，调整范围及方法，遵循合同约定。</w:t>
      </w:r>
    </w:p>
    <w:p w14:paraId="092F4871">
      <w:pPr>
        <w:pStyle w:val="14"/>
        <w:numPr>
          <w:ilvl w:val="0"/>
          <w:numId w:val="25"/>
        </w:numPr>
        <w:tabs>
          <w:tab w:val="left" w:pos="2136"/>
        </w:tabs>
        <w:spacing w:before="2" w:after="0" w:line="240" w:lineRule="auto"/>
        <w:ind w:left="2136" w:right="0" w:hanging="240"/>
        <w:jc w:val="left"/>
        <w:rPr>
          <w:sz w:val="24"/>
        </w:rPr>
      </w:pPr>
      <w:r>
        <w:rPr>
          <w:color w:val="0D0D0D"/>
          <w:spacing w:val="-1"/>
          <w:sz w:val="24"/>
        </w:rPr>
        <w:t>基准期机械价格综合指数的确定</w:t>
      </w:r>
    </w:p>
    <w:p w14:paraId="6F9CE059">
      <w:pPr>
        <w:pStyle w:val="4"/>
        <w:spacing w:before="160" w:line="364" w:lineRule="auto"/>
        <w:ind w:left="1416" w:right="1131" w:firstLine="480"/>
        <w:jc w:val="both"/>
      </w:pPr>
      <w:r>
        <w:rPr>
          <w:color w:val="0D0D0D"/>
          <w:spacing w:val="-2"/>
        </w:rPr>
        <w:t>合同应明确基准期机械价格综合指数。如合同未明确，参照基准期人工成本综合指数的确定原则执行。目前我省机械价格综合指数由湖北省建设工程标准定额管理总站按季度测算发布，作为全省统一指数。每月的机械价格综合指数均可视为等于当季机械价格综合指数。</w:t>
      </w:r>
    </w:p>
    <w:p w14:paraId="403068FA">
      <w:pPr>
        <w:pStyle w:val="14"/>
        <w:numPr>
          <w:ilvl w:val="0"/>
          <w:numId w:val="25"/>
        </w:numPr>
        <w:tabs>
          <w:tab w:val="left" w:pos="2136"/>
        </w:tabs>
        <w:spacing w:before="3" w:after="0" w:line="240" w:lineRule="auto"/>
        <w:ind w:left="2136" w:right="0" w:hanging="240"/>
        <w:jc w:val="left"/>
        <w:rPr>
          <w:sz w:val="24"/>
        </w:rPr>
      </w:pPr>
      <w:r>
        <w:rPr>
          <w:color w:val="0D0D0D"/>
          <w:spacing w:val="-1"/>
          <w:sz w:val="24"/>
        </w:rPr>
        <w:t>招投标阶段，机械价格综合指数的应用</w:t>
      </w:r>
    </w:p>
    <w:p w14:paraId="5915DF35">
      <w:pPr>
        <w:pStyle w:val="4"/>
        <w:spacing w:before="160" w:line="364" w:lineRule="auto"/>
        <w:ind w:left="1416" w:right="891" w:firstLine="480"/>
      </w:pPr>
      <w:r>
        <w:rPr>
          <w:color w:val="0D0D0D"/>
          <w:spacing w:val="-2"/>
        </w:rPr>
        <w:t>招投标阶段，可使用机械价格综合指数对历史数据进行修正，形成新的 最高投标限价/投标报价综合单价中的施工机具使用费。其中，机械费修正</w:t>
      </w:r>
      <w:r>
        <w:rPr>
          <w:color w:val="0D0D0D"/>
          <w:spacing w:val="80"/>
          <w:w w:val="150"/>
        </w:rPr>
        <w:t xml:space="preserve"> </w:t>
      </w:r>
      <w:r>
        <w:rPr>
          <w:color w:val="0D0D0D"/>
          <w:spacing w:val="-2"/>
        </w:rPr>
        <w:t>价差是施工机具使用费编制价格的组成部分，当施工机具使用费作为管理费、利润、安全文明施工费等费用的计算基础时，机械费修正价差应同样作为相</w:t>
      </w:r>
    </w:p>
    <w:p w14:paraId="4B9D965C">
      <w:pPr>
        <w:pStyle w:val="4"/>
        <w:spacing w:after="0" w:line="364" w:lineRule="auto"/>
        <w:sectPr>
          <w:pgSz w:w="10440" w:h="14740"/>
          <w:pgMar w:top="1100" w:right="0" w:bottom="860" w:left="0" w:header="878" w:footer="676" w:gutter="0"/>
          <w:cols w:space="720" w:num="1"/>
        </w:sectPr>
      </w:pPr>
    </w:p>
    <w:p w14:paraId="22573892">
      <w:pPr>
        <w:pStyle w:val="4"/>
        <w:spacing w:before="94"/>
      </w:pPr>
    </w:p>
    <w:p w14:paraId="34C134A4">
      <w:pPr>
        <w:pStyle w:val="4"/>
        <w:ind w:left="1132"/>
      </w:pPr>
      <w:r>
        <w:rPr>
          <w:color w:val="0D0D0D"/>
          <w:spacing w:val="-2"/>
        </w:rPr>
        <w:t>关费用的计算基础。</w:t>
      </w:r>
    </w:p>
    <w:p w14:paraId="2C88F04D">
      <w:pPr>
        <w:pStyle w:val="4"/>
        <w:spacing w:before="160" w:line="364" w:lineRule="auto"/>
        <w:ind w:left="1132" w:right="1376" w:firstLine="480"/>
        <w:jc w:val="both"/>
      </w:pPr>
      <w:r>
        <w:rPr>
          <w:color w:val="0D0D0D"/>
          <w:spacing w:val="-2"/>
        </w:rPr>
        <w:t>例如，编制某道路排水工程最高投标限价时，采用“历史数据法+价格指数法”确定挖沟槽土方（三类土）的综合单价。经查阅类似项目编制的挖</w:t>
      </w:r>
      <w:r>
        <w:rPr>
          <w:color w:val="0D0D0D"/>
          <w:spacing w:val="-4"/>
        </w:rPr>
        <w:t>沟槽土方（三类土）</w:t>
      </w:r>
      <w:r>
        <w:rPr>
          <w:color w:val="0D0D0D"/>
          <w:spacing w:val="-7"/>
        </w:rPr>
        <w:t xml:space="preserve">综合单价为 </w:t>
      </w:r>
      <w:r>
        <w:rPr>
          <w:color w:val="0D0D0D"/>
          <w:spacing w:val="-4"/>
        </w:rPr>
        <w:t>38.42</w:t>
      </w:r>
      <w:r>
        <w:rPr>
          <w:color w:val="0D0D0D"/>
          <w:spacing w:val="-11"/>
        </w:rPr>
        <w:t xml:space="preserve"> 元</w:t>
      </w:r>
      <w:r>
        <w:rPr>
          <w:color w:val="0D0D0D"/>
          <w:spacing w:val="-4"/>
        </w:rPr>
        <w:t>/m</w:t>
      </w:r>
      <w:r>
        <w:rPr>
          <w:color w:val="0D0D0D"/>
          <w:spacing w:val="-4"/>
          <w:position w:val="12"/>
          <w:sz w:val="12"/>
        </w:rPr>
        <w:t>3</w:t>
      </w:r>
      <w:r>
        <w:rPr>
          <w:color w:val="0D0D0D"/>
          <w:spacing w:val="-6"/>
        </w:rPr>
        <w:t xml:space="preserve">。其中施工机具使用费为 </w:t>
      </w:r>
      <w:r>
        <w:rPr>
          <w:color w:val="0D0D0D"/>
          <w:spacing w:val="-4"/>
        </w:rPr>
        <w:t>15.21</w:t>
      </w:r>
      <w:r>
        <w:rPr>
          <w:color w:val="0D0D0D"/>
          <w:spacing w:val="-2"/>
        </w:rPr>
        <w:t>元/m</w:t>
      </w:r>
      <w:r>
        <w:rPr>
          <w:color w:val="0D0D0D"/>
          <w:spacing w:val="-2"/>
          <w:position w:val="12"/>
          <w:sz w:val="12"/>
        </w:rPr>
        <w:t>3</w:t>
      </w:r>
      <w:r>
        <w:rPr>
          <w:color w:val="0D0D0D"/>
          <w:spacing w:val="-3"/>
        </w:rPr>
        <w:t xml:space="preserve">，管理费、利润为人工费与施工机具使用费之和的 </w:t>
      </w:r>
      <w:r>
        <w:rPr>
          <w:color w:val="0D0D0D"/>
          <w:spacing w:val="-2"/>
        </w:rPr>
        <w:t xml:space="preserve">50%。假设人工费、材料费不变，编制综合单价只涉及施工机具使用费修正。本项目编制期机械价格综合指数为 </w:t>
      </w:r>
      <w:r>
        <w:rPr>
          <w:color w:val="0D0D0D"/>
        </w:rPr>
        <w:t>a，</w:t>
      </w:r>
      <w:r>
        <w:rPr>
          <w:color w:val="0D0D0D"/>
          <w:spacing w:val="-2"/>
        </w:rPr>
        <w:t xml:space="preserve">历史项目编制期机械价格综合指数为 </w:t>
      </w:r>
      <w:r>
        <w:rPr>
          <w:color w:val="0D0D0D"/>
        </w:rPr>
        <w:t>b，施工机具使用费变化率为（a-b）/b，</w:t>
      </w:r>
      <w:r>
        <w:rPr>
          <w:color w:val="0D0D0D"/>
          <w:spacing w:val="-3"/>
        </w:rPr>
        <w:t xml:space="preserve">施工机具使用费修正额为 </w:t>
      </w:r>
      <w:r>
        <w:rPr>
          <w:color w:val="0D0D0D"/>
        </w:rPr>
        <w:t>15.21×（a-b）/b，再考</w:t>
      </w:r>
      <w:r>
        <w:rPr>
          <w:color w:val="0D0D0D"/>
          <w:spacing w:val="12"/>
        </w:rPr>
        <w:t>虑管理费、利润的调整，本项目挖沟槽土方（三类土）</w:t>
      </w:r>
      <w:r>
        <w:rPr>
          <w:color w:val="0D0D0D"/>
          <w:spacing w:val="10"/>
        </w:rPr>
        <w:t>的综合单价为：</w:t>
      </w:r>
      <w:r>
        <w:rPr>
          <w:color w:val="0D0D0D"/>
        </w:rPr>
        <w:t xml:space="preserve"> </w:t>
      </w:r>
      <w:r>
        <w:rPr>
          <w:color w:val="0D0D0D"/>
          <w:spacing w:val="-2"/>
        </w:rPr>
        <w:t>38.42+15.21×[（a-b）/b]×(1+50%)。</w:t>
      </w:r>
    </w:p>
    <w:p w14:paraId="6168CA9B">
      <w:pPr>
        <w:pStyle w:val="14"/>
        <w:numPr>
          <w:ilvl w:val="0"/>
          <w:numId w:val="25"/>
        </w:numPr>
        <w:tabs>
          <w:tab w:val="left" w:pos="1852"/>
        </w:tabs>
        <w:spacing w:before="6" w:after="0" w:line="240" w:lineRule="auto"/>
        <w:ind w:left="1852" w:right="0" w:hanging="240"/>
        <w:jc w:val="left"/>
        <w:rPr>
          <w:sz w:val="24"/>
        </w:rPr>
      </w:pPr>
      <w:r>
        <w:rPr>
          <w:color w:val="0D0D0D"/>
          <w:spacing w:val="-1"/>
          <w:sz w:val="24"/>
        </w:rPr>
        <w:t>结算阶段机械价格综合指数的应用。</w:t>
      </w:r>
    </w:p>
    <w:p w14:paraId="515479D1">
      <w:pPr>
        <w:pStyle w:val="4"/>
        <w:spacing w:before="160" w:line="364" w:lineRule="auto"/>
        <w:ind w:left="1132" w:right="1294" w:firstLine="480"/>
      </w:pPr>
      <w:r>
        <w:rPr>
          <w:color w:val="0D0D0D"/>
          <w:spacing w:val="-2"/>
        </w:rPr>
        <w:t>合同应明确机械价格综合指数的计算方法，如合同未明确，可采用算术平均法计算。周期机械价格综合指数可参照周期人工成本综合指数计算。机</w:t>
      </w:r>
      <w:r>
        <w:rPr>
          <w:color w:val="0D0D0D"/>
          <w:spacing w:val="-15"/>
        </w:rPr>
        <w:t>械费价差只计取增值税。工期延误时，可参照人工成本综合指数的调整原则，</w:t>
      </w:r>
      <w:r>
        <w:rPr>
          <w:color w:val="0D0D0D"/>
          <w:spacing w:val="-2"/>
        </w:rPr>
        <w:t>根据延误责任方进行确定。</w:t>
      </w:r>
    </w:p>
    <w:p w14:paraId="5A3DE735">
      <w:pPr>
        <w:pStyle w:val="4"/>
        <w:spacing w:before="159"/>
        <w:ind w:left="1612"/>
      </w:pPr>
      <w:bookmarkStart w:id="44" w:name="三、我省《消耗量》应用说明"/>
      <w:bookmarkEnd w:id="44"/>
      <w:bookmarkStart w:id="45" w:name="_bookmark22"/>
      <w:bookmarkEnd w:id="45"/>
      <w:r>
        <w:rPr>
          <w:spacing w:val="-1"/>
        </w:rPr>
        <w:t>三、我省《消耗量》应用说明</w:t>
      </w:r>
    </w:p>
    <w:p w14:paraId="132BA9E9">
      <w:pPr>
        <w:pStyle w:val="4"/>
        <w:spacing w:before="9"/>
      </w:pPr>
    </w:p>
    <w:p w14:paraId="5772CC96">
      <w:pPr>
        <w:pStyle w:val="14"/>
        <w:numPr>
          <w:ilvl w:val="0"/>
          <w:numId w:val="28"/>
        </w:numPr>
        <w:tabs>
          <w:tab w:val="left" w:pos="1972"/>
        </w:tabs>
        <w:spacing w:before="0" w:after="0" w:line="364" w:lineRule="auto"/>
        <w:ind w:left="1132" w:right="1376" w:firstLine="480"/>
        <w:jc w:val="both"/>
        <w:rPr>
          <w:sz w:val="24"/>
        </w:rPr>
      </w:pPr>
      <w:r>
        <w:rPr>
          <w:spacing w:val="-6"/>
          <w:sz w:val="24"/>
        </w:rPr>
        <w:t xml:space="preserve">《消耗量》指我省在 </w:t>
      </w:r>
      <w:r>
        <w:rPr>
          <w:spacing w:val="-4"/>
          <w:sz w:val="24"/>
        </w:rPr>
        <w:t>24</w:t>
      </w:r>
      <w:r>
        <w:rPr>
          <w:spacing w:val="-7"/>
          <w:sz w:val="24"/>
        </w:rPr>
        <w:t xml:space="preserve"> 清单标准实施后发布的各专业工程消耗量，</w:t>
      </w:r>
      <w:r>
        <w:rPr>
          <w:sz w:val="24"/>
        </w:rPr>
        <w:t>名称为《xxx</w:t>
      </w:r>
      <w:r>
        <w:rPr>
          <w:spacing w:val="-6"/>
          <w:sz w:val="24"/>
        </w:rPr>
        <w:t xml:space="preserve"> 消耗量》，该《消耗量》仅列明建设工程人工、材料、机械的</w:t>
      </w:r>
      <w:r>
        <w:rPr>
          <w:spacing w:val="-2"/>
          <w:sz w:val="24"/>
        </w:rPr>
        <w:t>消耗量，其价格由市场主体结合实际自主确定。</w:t>
      </w:r>
    </w:p>
    <w:p w14:paraId="424EF9E5">
      <w:pPr>
        <w:pStyle w:val="14"/>
        <w:numPr>
          <w:ilvl w:val="0"/>
          <w:numId w:val="28"/>
        </w:numPr>
        <w:tabs>
          <w:tab w:val="left" w:pos="1972"/>
        </w:tabs>
        <w:spacing w:before="2" w:after="0" w:line="364" w:lineRule="auto"/>
        <w:ind w:left="1132" w:right="1414" w:firstLine="480"/>
        <w:jc w:val="both"/>
        <w:rPr>
          <w:sz w:val="24"/>
        </w:rPr>
      </w:pPr>
      <w:r>
        <w:rPr>
          <w:spacing w:val="-2"/>
          <w:sz w:val="24"/>
        </w:rPr>
        <w:t>《消耗量》仅作为市场化计价的参考，执行《24</w:t>
      </w:r>
      <w:r>
        <w:rPr>
          <w:spacing w:val="-4"/>
          <w:sz w:val="24"/>
        </w:rPr>
        <w:t xml:space="preserve"> 清单》时可参考使</w:t>
      </w:r>
      <w:r>
        <w:rPr>
          <w:spacing w:val="-6"/>
          <w:sz w:val="24"/>
        </w:rPr>
        <w:t>用。</w:t>
      </w:r>
    </w:p>
    <w:p w14:paraId="7E6300C4">
      <w:pPr>
        <w:pStyle w:val="14"/>
        <w:numPr>
          <w:ilvl w:val="0"/>
          <w:numId w:val="28"/>
        </w:numPr>
        <w:tabs>
          <w:tab w:val="left" w:pos="1972"/>
        </w:tabs>
        <w:spacing w:before="1" w:after="0" w:line="364" w:lineRule="auto"/>
        <w:ind w:left="1132" w:right="1414" w:firstLine="480"/>
        <w:jc w:val="both"/>
        <w:rPr>
          <w:sz w:val="24"/>
        </w:rPr>
      </w:pPr>
      <w:r>
        <w:rPr>
          <w:spacing w:val="-2"/>
          <w:sz w:val="24"/>
        </w:rPr>
        <w:t>参考我省《消耗量》计价时，应同时配套《计价指引》使用。建设工程各费用项目的价格，除安全生产措施费（以及其中包含的安全生产责任</w:t>
      </w:r>
      <w:r>
        <w:rPr>
          <w:spacing w:val="-4"/>
          <w:sz w:val="24"/>
        </w:rPr>
        <w:t>保险费）应按照“11</w:t>
      </w:r>
      <w:r>
        <w:rPr>
          <w:spacing w:val="-11"/>
          <w:sz w:val="24"/>
        </w:rPr>
        <w:t xml:space="preserve"> 号文”相关规定计取外，其余</w:t>
      </w:r>
      <w:r>
        <w:rPr>
          <w:spacing w:val="-4"/>
          <w:sz w:val="24"/>
        </w:rPr>
        <w:t>（如管理费、利润等）均</w:t>
      </w:r>
    </w:p>
    <w:p w14:paraId="3506A6DB">
      <w:pPr>
        <w:pStyle w:val="14"/>
        <w:spacing w:after="0" w:line="364" w:lineRule="auto"/>
        <w:jc w:val="both"/>
        <w:rPr>
          <w:sz w:val="24"/>
        </w:rPr>
        <w:sectPr>
          <w:pgSz w:w="10440" w:h="14740"/>
          <w:pgMar w:top="1100" w:right="0" w:bottom="860" w:left="0" w:header="878" w:footer="676" w:gutter="0"/>
          <w:cols w:space="720" w:num="1"/>
        </w:sectPr>
      </w:pPr>
    </w:p>
    <w:p w14:paraId="043822CB">
      <w:pPr>
        <w:pStyle w:val="4"/>
        <w:spacing w:before="94"/>
      </w:pPr>
    </w:p>
    <w:p w14:paraId="37DA0459">
      <w:pPr>
        <w:pStyle w:val="4"/>
        <w:ind w:left="1416"/>
      </w:pPr>
      <w:r>
        <w:rPr>
          <w:spacing w:val="-2"/>
        </w:rPr>
        <w:t>应自主测算确定。</w:t>
      </w:r>
    </w:p>
    <w:p w14:paraId="693B2FB0">
      <w:pPr>
        <w:pStyle w:val="4"/>
        <w:spacing w:before="9"/>
      </w:pPr>
    </w:p>
    <w:p w14:paraId="03AD6B0D">
      <w:pPr>
        <w:pStyle w:val="4"/>
        <w:ind w:left="1896"/>
      </w:pPr>
      <w:bookmarkStart w:id="46" w:name="四、我省《消耗量定额及全费用基价表》应用说明"/>
      <w:bookmarkEnd w:id="46"/>
      <w:bookmarkStart w:id="47" w:name="_bookmark23"/>
      <w:bookmarkEnd w:id="47"/>
      <w:r>
        <w:rPr>
          <w:spacing w:val="-1"/>
        </w:rPr>
        <w:t>四、我省《消耗量定额及全费用基价表》应用说明</w:t>
      </w:r>
    </w:p>
    <w:p w14:paraId="5082658B">
      <w:pPr>
        <w:pStyle w:val="4"/>
        <w:spacing w:before="9"/>
      </w:pPr>
    </w:p>
    <w:p w14:paraId="6CC8A025">
      <w:pPr>
        <w:pStyle w:val="14"/>
        <w:numPr>
          <w:ilvl w:val="1"/>
          <w:numId w:val="28"/>
        </w:numPr>
        <w:tabs>
          <w:tab w:val="left" w:pos="2256"/>
        </w:tabs>
        <w:spacing w:before="0" w:after="0" w:line="364" w:lineRule="auto"/>
        <w:ind w:left="1416" w:right="1131" w:firstLine="480"/>
        <w:jc w:val="both"/>
        <w:rPr>
          <w:sz w:val="24"/>
        </w:rPr>
      </w:pPr>
      <w:r>
        <w:rPr>
          <w:spacing w:val="-5"/>
          <w:sz w:val="24"/>
        </w:rPr>
        <w:t xml:space="preserve">本文所述《消耗量定额及全费用基价表》指我省在 </w:t>
      </w:r>
      <w:r>
        <w:rPr>
          <w:spacing w:val="-4"/>
          <w:sz w:val="24"/>
        </w:rPr>
        <w:t>24</w:t>
      </w:r>
      <w:r>
        <w:rPr>
          <w:spacing w:val="-9"/>
          <w:sz w:val="24"/>
        </w:rPr>
        <w:t xml:space="preserve"> 清单标准实施</w:t>
      </w:r>
      <w:r>
        <w:rPr>
          <w:spacing w:val="-2"/>
          <w:sz w:val="24"/>
        </w:rPr>
        <w:t>前发布的名称为《xxx 消耗量定额及全费用基价表》的定额及其配套的《湖北省建筑安装工程费用定额》，包括有关补充定额。</w:t>
      </w:r>
    </w:p>
    <w:p w14:paraId="56B7A319">
      <w:pPr>
        <w:pStyle w:val="14"/>
        <w:numPr>
          <w:ilvl w:val="1"/>
          <w:numId w:val="28"/>
        </w:numPr>
        <w:tabs>
          <w:tab w:val="left" w:pos="2256"/>
        </w:tabs>
        <w:spacing w:before="2" w:after="0" w:line="364" w:lineRule="auto"/>
        <w:ind w:left="1416" w:right="1131" w:firstLine="480"/>
        <w:jc w:val="both"/>
        <w:rPr>
          <w:sz w:val="24"/>
        </w:rPr>
      </w:pPr>
      <w:r>
        <w:rPr>
          <w:spacing w:val="-2"/>
          <w:sz w:val="24"/>
        </w:rPr>
        <w:t>《消耗量定额及全费用基价表》适用于《建设工程工程量清单计价规范》（GB</w:t>
      </w:r>
      <w:r>
        <w:rPr>
          <w:spacing w:val="-26"/>
          <w:sz w:val="24"/>
        </w:rPr>
        <w:t xml:space="preserve"> </w:t>
      </w:r>
      <w:r>
        <w:rPr>
          <w:spacing w:val="-2"/>
          <w:sz w:val="24"/>
        </w:rPr>
        <w:t>50500—2013）（以下简称“13</w:t>
      </w:r>
      <w:r>
        <w:rPr>
          <w:spacing w:val="-7"/>
          <w:sz w:val="24"/>
        </w:rPr>
        <w:t xml:space="preserve"> 清单规范”</w:t>
      </w:r>
      <w:r>
        <w:rPr>
          <w:spacing w:val="-2"/>
          <w:sz w:val="24"/>
        </w:rPr>
        <w:t>）</w:t>
      </w:r>
      <w:r>
        <w:rPr>
          <w:spacing w:val="-9"/>
          <w:sz w:val="24"/>
        </w:rPr>
        <w:t xml:space="preserve">，执行 </w:t>
      </w:r>
      <w:r>
        <w:rPr>
          <w:spacing w:val="-2"/>
          <w:sz w:val="24"/>
        </w:rPr>
        <w:t>13</w:t>
      </w:r>
      <w:r>
        <w:rPr>
          <w:spacing w:val="-9"/>
          <w:sz w:val="24"/>
        </w:rPr>
        <w:t xml:space="preserve"> 清单规</w:t>
      </w:r>
      <w:r>
        <w:rPr>
          <w:spacing w:val="-1"/>
          <w:sz w:val="24"/>
        </w:rPr>
        <w:t xml:space="preserve">范时，若选择《消耗量定额及全费用基价表》作为计价依据，则应按 </w:t>
      </w:r>
      <w:r>
        <w:rPr>
          <w:sz w:val="24"/>
        </w:rPr>
        <w:t>13</w:t>
      </w:r>
      <w:r>
        <w:rPr>
          <w:spacing w:val="-15"/>
          <w:sz w:val="24"/>
        </w:rPr>
        <w:t xml:space="preserve"> 清</w:t>
      </w:r>
      <w:r>
        <w:rPr>
          <w:spacing w:val="-2"/>
          <w:sz w:val="24"/>
        </w:rPr>
        <w:t>单规范及《消耗量定额及全费用基价表》相关规定计价。</w:t>
      </w:r>
    </w:p>
    <w:p w14:paraId="2C8DD88C">
      <w:pPr>
        <w:pStyle w:val="14"/>
        <w:numPr>
          <w:ilvl w:val="1"/>
          <w:numId w:val="28"/>
        </w:numPr>
        <w:tabs>
          <w:tab w:val="left" w:pos="2256"/>
        </w:tabs>
        <w:spacing w:before="2" w:after="0" w:line="364" w:lineRule="auto"/>
        <w:ind w:left="1416" w:right="1094" w:firstLine="480"/>
        <w:jc w:val="both"/>
        <w:rPr>
          <w:sz w:val="24"/>
        </w:rPr>
      </w:pPr>
      <w:r>
        <w:rPr>
          <w:spacing w:val="-20"/>
          <w:sz w:val="24"/>
        </w:rPr>
        <w:t xml:space="preserve">执行 </w:t>
      </w:r>
      <w:r>
        <w:rPr>
          <w:sz w:val="24"/>
        </w:rPr>
        <w:t>24</w:t>
      </w:r>
      <w:r>
        <w:rPr>
          <w:spacing w:val="-9"/>
          <w:sz w:val="24"/>
        </w:rPr>
        <w:t xml:space="preserve"> 清单标准时，若选择参考《消耗量定额及全费用基价表》，</w:t>
      </w:r>
      <w:r>
        <w:rPr>
          <w:spacing w:val="4"/>
          <w:sz w:val="24"/>
        </w:rPr>
        <w:t>则除安全生产措施费</w:t>
      </w:r>
      <w:r>
        <w:rPr>
          <w:spacing w:val="7"/>
          <w:sz w:val="24"/>
        </w:rPr>
        <w:t>（</w:t>
      </w:r>
      <w:r>
        <w:rPr>
          <w:spacing w:val="4"/>
          <w:sz w:val="24"/>
        </w:rPr>
        <w:t>以及其中包含的安全生产责任保险费）</w:t>
      </w:r>
      <w:r>
        <w:rPr>
          <w:spacing w:val="6"/>
          <w:sz w:val="24"/>
        </w:rPr>
        <w:t>应按照“</w:t>
      </w:r>
      <w:r>
        <w:rPr>
          <w:sz w:val="24"/>
        </w:rPr>
        <w:t>11</w:t>
      </w:r>
      <w:r>
        <w:rPr>
          <w:spacing w:val="-5"/>
          <w:sz w:val="24"/>
        </w:rPr>
        <w:t>号文”相关规定计取外，其余费用项目的价格均应自主确定，《消耗量定额及全费用基价表》中的数据仅为参考。</w:t>
      </w:r>
    </w:p>
    <w:p w14:paraId="26A5F883">
      <w:pPr>
        <w:pStyle w:val="14"/>
        <w:numPr>
          <w:ilvl w:val="1"/>
          <w:numId w:val="28"/>
        </w:numPr>
        <w:tabs>
          <w:tab w:val="left" w:pos="2256"/>
        </w:tabs>
        <w:spacing w:before="3" w:after="0" w:line="364" w:lineRule="auto"/>
        <w:ind w:left="1416" w:right="1131" w:firstLine="480"/>
        <w:jc w:val="both"/>
        <w:rPr>
          <w:sz w:val="24"/>
        </w:rPr>
      </w:pPr>
      <w:r>
        <w:rPr>
          <w:spacing w:val="-20"/>
          <w:sz w:val="24"/>
        </w:rPr>
        <w:t xml:space="preserve">执行 </w:t>
      </w:r>
      <w:r>
        <w:rPr>
          <w:sz w:val="24"/>
        </w:rPr>
        <w:t>24</w:t>
      </w:r>
      <w:r>
        <w:rPr>
          <w:spacing w:val="-12"/>
          <w:sz w:val="24"/>
        </w:rPr>
        <w:t xml:space="preserve"> 清单标准时，若选择参考《消耗量定额及全费用基价表》中</w:t>
      </w:r>
      <w:r>
        <w:rPr>
          <w:spacing w:val="-6"/>
          <w:sz w:val="24"/>
        </w:rPr>
        <w:t xml:space="preserve">的以下定额时，其人工费可乘以参考系数 </w:t>
      </w:r>
      <w:r>
        <w:rPr>
          <w:sz w:val="24"/>
        </w:rPr>
        <w:t>1.15～1.3</w:t>
      </w:r>
      <w:r>
        <w:rPr>
          <w:spacing w:val="-16"/>
          <w:sz w:val="24"/>
        </w:rPr>
        <w:t xml:space="preserve"> 进行调整</w:t>
      </w:r>
      <w:r>
        <w:rPr>
          <w:sz w:val="24"/>
        </w:rPr>
        <w:t>（</w:t>
      </w:r>
      <w:r>
        <w:rPr>
          <w:spacing w:val="-4"/>
          <w:sz w:val="24"/>
        </w:rPr>
        <w:t>具体由编制</w:t>
      </w:r>
      <w:r>
        <w:rPr>
          <w:sz w:val="24"/>
        </w:rPr>
        <w:t>人结合项目情况自行测算选定</w:t>
      </w:r>
      <w:r>
        <w:rPr>
          <w:spacing w:val="-8"/>
          <w:sz w:val="24"/>
        </w:rPr>
        <w:t>），</w:t>
      </w:r>
      <w:r>
        <w:rPr>
          <w:spacing w:val="-5"/>
          <w:sz w:val="24"/>
        </w:rPr>
        <w:t>同时取消规费。在《计价指引》实施之前</w:t>
      </w:r>
      <w:r>
        <w:rPr>
          <w:spacing w:val="3"/>
          <w:sz w:val="24"/>
        </w:rPr>
        <w:t>已发布招标文件或已签订施工合同的工程仍按原招标文件的规定或施工合同的约定执行：</w:t>
      </w:r>
    </w:p>
    <w:p w14:paraId="616317AE">
      <w:pPr>
        <w:pStyle w:val="14"/>
        <w:numPr>
          <w:ilvl w:val="0"/>
          <w:numId w:val="29"/>
        </w:numPr>
        <w:tabs>
          <w:tab w:val="left" w:pos="2256"/>
        </w:tabs>
        <w:spacing w:before="3" w:after="0" w:line="240" w:lineRule="auto"/>
        <w:ind w:left="2256" w:right="0" w:hanging="360"/>
        <w:jc w:val="left"/>
        <w:rPr>
          <w:sz w:val="24"/>
        </w:rPr>
      </w:pPr>
      <w:r>
        <w:rPr>
          <w:spacing w:val="-6"/>
          <w:sz w:val="24"/>
        </w:rPr>
        <w:t>《湖北省城市地下综合管廊工程消耗量定额及全费用基价表</w:t>
      </w:r>
      <w:r>
        <w:rPr>
          <w:spacing w:val="14"/>
          <w:sz w:val="24"/>
        </w:rPr>
        <w:t>（2018</w:t>
      </w:r>
      <w:r>
        <w:rPr>
          <w:spacing w:val="-106"/>
          <w:sz w:val="24"/>
        </w:rPr>
        <w:t>）</w:t>
      </w:r>
      <w:r>
        <w:rPr>
          <w:spacing w:val="-10"/>
          <w:sz w:val="24"/>
        </w:rPr>
        <w:t>》</w:t>
      </w:r>
    </w:p>
    <w:p w14:paraId="7D03A9F6">
      <w:pPr>
        <w:pStyle w:val="4"/>
        <w:spacing w:before="160"/>
        <w:ind w:left="1416"/>
      </w:pPr>
      <w:r>
        <w:t>（2019</w:t>
      </w:r>
      <w:r>
        <w:rPr>
          <w:spacing w:val="-40"/>
        </w:rPr>
        <w:t xml:space="preserve"> 年 </w:t>
      </w:r>
      <w:r>
        <w:t>1</w:t>
      </w:r>
      <w:r>
        <w:rPr>
          <w:spacing w:val="-40"/>
        </w:rPr>
        <w:t xml:space="preserve"> 月 </w:t>
      </w:r>
      <w:r>
        <w:t>1</w:t>
      </w:r>
      <w:r>
        <w:rPr>
          <w:spacing w:val="-12"/>
        </w:rPr>
        <w:t xml:space="preserve"> 日起施行</w:t>
      </w:r>
      <w:r>
        <w:rPr>
          <w:spacing w:val="-5"/>
        </w:rPr>
        <w:t>）；</w:t>
      </w:r>
    </w:p>
    <w:p w14:paraId="01C4C8EB">
      <w:pPr>
        <w:pStyle w:val="14"/>
        <w:numPr>
          <w:ilvl w:val="0"/>
          <w:numId w:val="29"/>
        </w:numPr>
        <w:tabs>
          <w:tab w:val="left" w:pos="2256"/>
        </w:tabs>
        <w:spacing w:before="161" w:after="0" w:line="240" w:lineRule="auto"/>
        <w:ind w:left="2256" w:right="0" w:hanging="360"/>
        <w:jc w:val="left"/>
        <w:rPr>
          <w:sz w:val="24"/>
        </w:rPr>
      </w:pPr>
      <w:r>
        <w:rPr>
          <w:spacing w:val="-1"/>
          <w:sz w:val="24"/>
        </w:rPr>
        <w:t>《湖北省城市地下综合管廊工程维护消耗量定额及全费用基价表》</w:t>
      </w:r>
    </w:p>
    <w:p w14:paraId="212C2477">
      <w:pPr>
        <w:pStyle w:val="4"/>
        <w:spacing w:before="160"/>
        <w:ind w:left="1416"/>
      </w:pPr>
      <w:r>
        <w:t>（2020</w:t>
      </w:r>
      <w:r>
        <w:rPr>
          <w:spacing w:val="-40"/>
        </w:rPr>
        <w:t xml:space="preserve"> 年 </w:t>
      </w:r>
      <w:r>
        <w:t>1</w:t>
      </w:r>
      <w:r>
        <w:rPr>
          <w:spacing w:val="-40"/>
        </w:rPr>
        <w:t xml:space="preserve"> 月 </w:t>
      </w:r>
      <w:r>
        <w:t>1</w:t>
      </w:r>
      <w:r>
        <w:rPr>
          <w:spacing w:val="-12"/>
        </w:rPr>
        <w:t xml:space="preserve"> 日起施行</w:t>
      </w:r>
      <w:r>
        <w:rPr>
          <w:spacing w:val="-5"/>
        </w:rPr>
        <w:t>）；</w:t>
      </w:r>
    </w:p>
    <w:p w14:paraId="7E7AF607">
      <w:pPr>
        <w:pStyle w:val="14"/>
        <w:numPr>
          <w:ilvl w:val="0"/>
          <w:numId w:val="29"/>
        </w:numPr>
        <w:tabs>
          <w:tab w:val="left" w:pos="2256"/>
        </w:tabs>
        <w:spacing w:before="161" w:after="0" w:line="364" w:lineRule="auto"/>
        <w:ind w:left="1416" w:right="1154" w:firstLine="480"/>
        <w:jc w:val="left"/>
        <w:rPr>
          <w:sz w:val="24"/>
        </w:rPr>
      </w:pPr>
      <w:r>
        <w:rPr>
          <w:sz w:val="24"/>
        </w:rPr>
        <w:t>《湖北省房屋修缮工程消耗量定额及全费用基价表》（2020</w:t>
      </w:r>
      <w:r>
        <w:rPr>
          <w:spacing w:val="-40"/>
          <w:sz w:val="24"/>
        </w:rPr>
        <w:t xml:space="preserve"> 年 </w:t>
      </w:r>
      <w:r>
        <w:rPr>
          <w:sz w:val="24"/>
        </w:rPr>
        <w:t>1</w:t>
      </w:r>
      <w:r>
        <w:rPr>
          <w:spacing w:val="-30"/>
          <w:sz w:val="24"/>
        </w:rPr>
        <w:t xml:space="preserve"> 月</w:t>
      </w:r>
      <w:r>
        <w:rPr>
          <w:sz w:val="24"/>
        </w:rPr>
        <w:t xml:space="preserve"> 1</w:t>
      </w:r>
      <w:r>
        <w:rPr>
          <w:spacing w:val="-9"/>
          <w:sz w:val="24"/>
        </w:rPr>
        <w:t xml:space="preserve"> 日起施行</w:t>
      </w:r>
      <w:r>
        <w:rPr>
          <w:sz w:val="24"/>
        </w:rPr>
        <w:t>）；</w:t>
      </w:r>
    </w:p>
    <w:p w14:paraId="6E15FE91">
      <w:pPr>
        <w:pStyle w:val="14"/>
        <w:spacing w:after="0" w:line="364" w:lineRule="auto"/>
        <w:jc w:val="left"/>
        <w:rPr>
          <w:sz w:val="24"/>
        </w:rPr>
        <w:sectPr>
          <w:pgSz w:w="10440" w:h="14740"/>
          <w:pgMar w:top="1100" w:right="0" w:bottom="860" w:left="0" w:header="878" w:footer="676" w:gutter="0"/>
          <w:cols w:space="720" w:num="1"/>
        </w:sectPr>
      </w:pPr>
    </w:p>
    <w:p w14:paraId="1CE2144B">
      <w:pPr>
        <w:pStyle w:val="4"/>
        <w:spacing w:before="94"/>
      </w:pPr>
    </w:p>
    <w:p w14:paraId="4089E6C0">
      <w:pPr>
        <w:pStyle w:val="14"/>
        <w:numPr>
          <w:ilvl w:val="0"/>
          <w:numId w:val="29"/>
        </w:numPr>
        <w:tabs>
          <w:tab w:val="left" w:pos="1972"/>
        </w:tabs>
        <w:spacing w:before="0" w:after="0" w:line="240" w:lineRule="auto"/>
        <w:ind w:left="1972" w:right="0" w:hanging="360"/>
        <w:jc w:val="left"/>
        <w:rPr>
          <w:sz w:val="24"/>
        </w:rPr>
      </w:pPr>
      <w:r>
        <w:rPr>
          <w:spacing w:val="-1"/>
          <w:sz w:val="24"/>
        </w:rPr>
        <w:t>《湖北省市政公用设施维修养护工程消耗量定额及全费用基价表》</w:t>
      </w:r>
    </w:p>
    <w:p w14:paraId="492B74D3">
      <w:pPr>
        <w:pStyle w:val="4"/>
        <w:spacing w:before="160"/>
        <w:ind w:left="1132"/>
      </w:pPr>
      <w:r>
        <w:t>（2022</w:t>
      </w:r>
      <w:r>
        <w:rPr>
          <w:spacing w:val="-40"/>
        </w:rPr>
        <w:t xml:space="preserve"> 年 </w:t>
      </w:r>
      <w:r>
        <w:t>9</w:t>
      </w:r>
      <w:r>
        <w:rPr>
          <w:spacing w:val="-40"/>
        </w:rPr>
        <w:t xml:space="preserve"> 月 </w:t>
      </w:r>
      <w:r>
        <w:t>1</w:t>
      </w:r>
      <w:r>
        <w:rPr>
          <w:spacing w:val="-12"/>
        </w:rPr>
        <w:t xml:space="preserve"> 日起施行</w:t>
      </w:r>
      <w:r>
        <w:rPr>
          <w:spacing w:val="-5"/>
        </w:rPr>
        <w:t>）；</w:t>
      </w:r>
    </w:p>
    <w:p w14:paraId="5BFE948F">
      <w:pPr>
        <w:pStyle w:val="14"/>
        <w:numPr>
          <w:ilvl w:val="0"/>
          <w:numId w:val="29"/>
        </w:numPr>
        <w:tabs>
          <w:tab w:val="left" w:pos="1972"/>
        </w:tabs>
        <w:spacing w:before="161" w:after="0" w:line="364" w:lineRule="auto"/>
        <w:ind w:left="1132" w:right="1436" w:firstLine="480"/>
        <w:jc w:val="left"/>
        <w:rPr>
          <w:sz w:val="24"/>
        </w:rPr>
      </w:pPr>
      <w:r>
        <w:rPr>
          <w:sz w:val="24"/>
        </w:rPr>
        <w:t>《湖北省仿古建筑工程消耗量定额及全费用基价表》（2023</w:t>
      </w:r>
      <w:r>
        <w:rPr>
          <w:spacing w:val="-40"/>
          <w:sz w:val="24"/>
        </w:rPr>
        <w:t xml:space="preserve"> 年 </w:t>
      </w:r>
      <w:r>
        <w:rPr>
          <w:sz w:val="24"/>
        </w:rPr>
        <w:t>1</w:t>
      </w:r>
      <w:r>
        <w:rPr>
          <w:spacing w:val="-30"/>
          <w:sz w:val="24"/>
        </w:rPr>
        <w:t xml:space="preserve"> 月</w:t>
      </w:r>
      <w:r>
        <w:rPr>
          <w:sz w:val="24"/>
        </w:rPr>
        <w:t xml:space="preserve"> 1</w:t>
      </w:r>
      <w:r>
        <w:rPr>
          <w:spacing w:val="-9"/>
          <w:sz w:val="24"/>
        </w:rPr>
        <w:t xml:space="preserve"> 日起施行</w:t>
      </w:r>
      <w:r>
        <w:rPr>
          <w:sz w:val="24"/>
        </w:rPr>
        <w:t>）；</w:t>
      </w:r>
    </w:p>
    <w:p w14:paraId="72B25857">
      <w:pPr>
        <w:pStyle w:val="14"/>
        <w:numPr>
          <w:ilvl w:val="0"/>
          <w:numId w:val="29"/>
        </w:numPr>
        <w:tabs>
          <w:tab w:val="left" w:pos="1972"/>
        </w:tabs>
        <w:spacing w:before="1" w:after="0" w:line="364" w:lineRule="auto"/>
        <w:ind w:left="1132" w:right="1414" w:firstLine="480"/>
        <w:jc w:val="left"/>
        <w:rPr>
          <w:sz w:val="24"/>
        </w:rPr>
      </w:pPr>
      <w:r>
        <w:rPr>
          <w:spacing w:val="-2"/>
          <w:sz w:val="24"/>
        </w:rPr>
        <w:t>《</w:t>
      </w:r>
      <w:r>
        <w:fldChar w:fldCharType="begin"/>
      </w:r>
      <w:r>
        <w:instrText xml:space="preserve"> HYPERLINK "http://zjt.hubei.gov.cn/zfxxgk/zc/qtzdgkwj/202311/t20231103_4926050.shtml" \h </w:instrText>
      </w:r>
      <w:r>
        <w:fldChar w:fldCharType="separate"/>
      </w:r>
      <w:r>
        <w:rPr>
          <w:spacing w:val="-2"/>
          <w:sz w:val="24"/>
        </w:rPr>
        <w:t>湖北省城镇老旧小区改造工程消耗量定额及全费用基价表</w:t>
      </w:r>
      <w:r>
        <w:rPr>
          <w:spacing w:val="-2"/>
          <w:sz w:val="24"/>
        </w:rPr>
        <w:fldChar w:fldCharType="end"/>
      </w:r>
      <w:r>
        <w:rPr>
          <w:spacing w:val="-159"/>
          <w:sz w:val="24"/>
        </w:rPr>
        <w:t>》</w:t>
      </w:r>
      <w:r>
        <w:rPr>
          <w:spacing w:val="-2"/>
          <w:sz w:val="24"/>
        </w:rPr>
        <w:t>（2023</w:t>
      </w:r>
      <w:r>
        <w:rPr>
          <w:spacing w:val="-11"/>
          <w:sz w:val="24"/>
        </w:rPr>
        <w:t xml:space="preserve">年 </w:t>
      </w:r>
      <w:r>
        <w:rPr>
          <w:sz w:val="24"/>
        </w:rPr>
        <w:t>12</w:t>
      </w:r>
      <w:r>
        <w:rPr>
          <w:spacing w:val="-15"/>
          <w:sz w:val="24"/>
        </w:rPr>
        <w:t xml:space="preserve"> 月 </w:t>
      </w:r>
      <w:r>
        <w:rPr>
          <w:sz w:val="24"/>
        </w:rPr>
        <w:t>1</w:t>
      </w:r>
      <w:r>
        <w:rPr>
          <w:spacing w:val="-5"/>
          <w:sz w:val="24"/>
        </w:rPr>
        <w:t xml:space="preserve"> 日起施行</w:t>
      </w:r>
      <w:r>
        <w:rPr>
          <w:sz w:val="24"/>
        </w:rPr>
        <w:t>）；</w:t>
      </w:r>
    </w:p>
    <w:p w14:paraId="0778EF85">
      <w:pPr>
        <w:pStyle w:val="14"/>
        <w:numPr>
          <w:ilvl w:val="0"/>
          <w:numId w:val="29"/>
        </w:numPr>
        <w:tabs>
          <w:tab w:val="left" w:pos="1972"/>
        </w:tabs>
        <w:spacing w:before="1" w:after="0" w:line="364" w:lineRule="auto"/>
        <w:ind w:left="1132" w:right="1418" w:firstLine="480"/>
        <w:jc w:val="left"/>
        <w:rPr>
          <w:sz w:val="24"/>
        </w:rPr>
      </w:pPr>
      <w:r>
        <w:rPr>
          <w:spacing w:val="-2"/>
          <w:sz w:val="24"/>
        </w:rPr>
        <w:t>《湖北省水环境综合整治工程消耗量定额及全费用基价表》（2024</w:t>
      </w:r>
      <w:r>
        <w:rPr>
          <w:spacing w:val="-11"/>
          <w:sz w:val="24"/>
        </w:rPr>
        <w:t xml:space="preserve">年 </w:t>
      </w:r>
      <w:r>
        <w:rPr>
          <w:sz w:val="24"/>
        </w:rPr>
        <w:t>3</w:t>
      </w:r>
      <w:r>
        <w:rPr>
          <w:spacing w:val="-15"/>
          <w:sz w:val="24"/>
        </w:rPr>
        <w:t xml:space="preserve"> 月 </w:t>
      </w:r>
      <w:r>
        <w:rPr>
          <w:sz w:val="24"/>
        </w:rPr>
        <w:t>1</w:t>
      </w:r>
      <w:r>
        <w:rPr>
          <w:spacing w:val="-5"/>
          <w:sz w:val="24"/>
        </w:rPr>
        <w:t xml:space="preserve"> 日起施行</w:t>
      </w:r>
      <w:r>
        <w:rPr>
          <w:sz w:val="24"/>
        </w:rPr>
        <w:t>）；</w:t>
      </w:r>
    </w:p>
    <w:p w14:paraId="3FD4622F">
      <w:pPr>
        <w:pStyle w:val="14"/>
        <w:numPr>
          <w:ilvl w:val="0"/>
          <w:numId w:val="29"/>
        </w:numPr>
        <w:tabs>
          <w:tab w:val="left" w:pos="1972"/>
        </w:tabs>
        <w:spacing w:before="2" w:after="0" w:line="364" w:lineRule="auto"/>
        <w:ind w:left="1132" w:right="1436" w:firstLine="480"/>
        <w:jc w:val="left"/>
        <w:rPr>
          <w:sz w:val="24"/>
        </w:rPr>
      </w:pPr>
      <w:r>
        <w:rPr>
          <w:sz w:val="24"/>
        </w:rPr>
        <w:t>《湖北省智能建筑（工业化造楼机）补充定额（试行）》（2024</w:t>
      </w:r>
      <w:r>
        <w:rPr>
          <w:spacing w:val="-30"/>
          <w:sz w:val="24"/>
        </w:rPr>
        <w:t xml:space="preserve"> 年</w:t>
      </w:r>
      <w:r>
        <w:rPr>
          <w:sz w:val="24"/>
        </w:rPr>
        <w:t xml:space="preserve"> 7</w:t>
      </w:r>
      <w:r>
        <w:rPr>
          <w:spacing w:val="-10"/>
          <w:sz w:val="24"/>
        </w:rPr>
        <w:t xml:space="preserve"> 月 </w:t>
      </w:r>
      <w:r>
        <w:rPr>
          <w:sz w:val="24"/>
        </w:rPr>
        <w:t>10</w:t>
      </w:r>
      <w:r>
        <w:rPr>
          <w:spacing w:val="-4"/>
          <w:sz w:val="24"/>
        </w:rPr>
        <w:t xml:space="preserve"> 日起施行</w:t>
      </w:r>
      <w:r>
        <w:rPr>
          <w:sz w:val="24"/>
        </w:rPr>
        <w:t>）；</w:t>
      </w:r>
    </w:p>
    <w:p w14:paraId="4E736396">
      <w:pPr>
        <w:pStyle w:val="14"/>
        <w:numPr>
          <w:ilvl w:val="0"/>
          <w:numId w:val="29"/>
        </w:numPr>
        <w:tabs>
          <w:tab w:val="left" w:pos="1972"/>
        </w:tabs>
        <w:spacing w:before="1" w:after="0" w:line="364" w:lineRule="auto"/>
        <w:ind w:left="1132" w:right="1436" w:firstLine="480"/>
        <w:jc w:val="left"/>
        <w:rPr>
          <w:sz w:val="24"/>
        </w:rPr>
      </w:pPr>
      <w:r>
        <w:rPr>
          <w:sz w:val="24"/>
        </w:rPr>
        <w:t>《湖北省智能建造(建筑机器人)补充定额（试行）》（2024</w:t>
      </w:r>
      <w:r>
        <w:rPr>
          <w:spacing w:val="-40"/>
          <w:sz w:val="24"/>
        </w:rPr>
        <w:t xml:space="preserve"> 年 </w:t>
      </w:r>
      <w:r>
        <w:rPr>
          <w:sz w:val="24"/>
        </w:rPr>
        <w:t>3</w:t>
      </w:r>
      <w:r>
        <w:rPr>
          <w:spacing w:val="-30"/>
          <w:sz w:val="24"/>
        </w:rPr>
        <w:t xml:space="preserve"> 月</w:t>
      </w:r>
      <w:r>
        <w:rPr>
          <w:sz w:val="24"/>
        </w:rPr>
        <w:t xml:space="preserve"> 1</w:t>
      </w:r>
      <w:r>
        <w:rPr>
          <w:spacing w:val="-9"/>
          <w:sz w:val="24"/>
        </w:rPr>
        <w:t xml:space="preserve"> 日起施行</w:t>
      </w:r>
      <w:r>
        <w:rPr>
          <w:sz w:val="24"/>
        </w:rPr>
        <w:t>）；</w:t>
      </w:r>
    </w:p>
    <w:p w14:paraId="013562DC">
      <w:pPr>
        <w:pStyle w:val="14"/>
        <w:numPr>
          <w:ilvl w:val="0"/>
          <w:numId w:val="29"/>
        </w:numPr>
        <w:tabs>
          <w:tab w:val="left" w:pos="2092"/>
        </w:tabs>
        <w:spacing w:before="1" w:after="0" w:line="240" w:lineRule="auto"/>
        <w:ind w:left="2092" w:right="0" w:hanging="480"/>
        <w:jc w:val="left"/>
        <w:rPr>
          <w:sz w:val="24"/>
        </w:rPr>
      </w:pPr>
      <w:r>
        <w:rPr>
          <w:spacing w:val="-7"/>
          <w:sz w:val="24"/>
        </w:rPr>
        <w:t>《湖北省智能建造</w:t>
      </w:r>
      <w:r>
        <w:rPr>
          <w:sz w:val="24"/>
        </w:rPr>
        <w:t>（5G</w:t>
      </w:r>
      <w:r>
        <w:rPr>
          <w:spacing w:val="-14"/>
          <w:sz w:val="24"/>
        </w:rPr>
        <w:t xml:space="preserve"> 塔吊、智能施工电梯、智能爬架</w:t>
      </w:r>
      <w:r>
        <w:rPr>
          <w:spacing w:val="-56"/>
          <w:sz w:val="24"/>
        </w:rPr>
        <w:t>）</w:t>
      </w:r>
      <w:r>
        <w:rPr>
          <w:spacing w:val="-2"/>
          <w:sz w:val="24"/>
        </w:rPr>
        <w:t>补充定额（试行）》</w:t>
      </w:r>
    </w:p>
    <w:p w14:paraId="22941BBC">
      <w:pPr>
        <w:pStyle w:val="4"/>
        <w:spacing w:before="160"/>
        <w:ind w:left="1132"/>
        <w:jc w:val="both"/>
      </w:pPr>
      <w:r>
        <w:t>（2024</w:t>
      </w:r>
      <w:r>
        <w:rPr>
          <w:spacing w:val="-40"/>
        </w:rPr>
        <w:t xml:space="preserve"> 年 </w:t>
      </w:r>
      <w:r>
        <w:t>7</w:t>
      </w:r>
      <w:r>
        <w:rPr>
          <w:spacing w:val="-40"/>
        </w:rPr>
        <w:t xml:space="preserve"> 月 </w:t>
      </w:r>
      <w:r>
        <w:t>30</w:t>
      </w:r>
      <w:r>
        <w:rPr>
          <w:spacing w:val="-12"/>
        </w:rPr>
        <w:t xml:space="preserve"> 日起施行</w:t>
      </w:r>
      <w:r>
        <w:t>）</w:t>
      </w:r>
      <w:r>
        <w:rPr>
          <w:spacing w:val="-10"/>
        </w:rPr>
        <w:t>。</w:t>
      </w:r>
      <w:bookmarkStart w:id="64" w:name="_GoBack"/>
      <w:bookmarkEnd w:id="64"/>
    </w:p>
    <w:p w14:paraId="7ADBAE3B">
      <w:pPr>
        <w:pStyle w:val="4"/>
        <w:spacing w:before="161" w:line="364" w:lineRule="auto"/>
        <w:ind w:left="1132" w:right="1414" w:firstLine="480"/>
        <w:jc w:val="both"/>
      </w:pPr>
      <w:r>
        <w:rPr>
          <w:spacing w:val="-2"/>
        </w:rPr>
        <w:t>示例：如某项目编制最高投标限价时参考《</w:t>
      </w:r>
      <w:r>
        <w:fldChar w:fldCharType="begin"/>
      </w:r>
      <w:r>
        <w:instrText xml:space="preserve"> HYPERLINK "http://zjt.hubei.gov.cn/zfxxgk/zc/qtzdgkwj/202311/t20231103_4926050.shtml" \h </w:instrText>
      </w:r>
      <w:r>
        <w:fldChar w:fldCharType="separate"/>
      </w:r>
      <w:r>
        <w:rPr>
          <w:spacing w:val="-2"/>
        </w:rPr>
        <w:t>湖北省城镇老旧小区改造工</w:t>
      </w:r>
      <w:r>
        <w:rPr>
          <w:spacing w:val="-2"/>
        </w:rPr>
        <w:fldChar w:fldCharType="end"/>
      </w:r>
      <w:r>
        <w:fldChar w:fldCharType="begin"/>
      </w:r>
      <w:r>
        <w:instrText xml:space="preserve"> HYPERLINK "http://zjt.hubei.gov.cn/zfxxgk/zc/qtzdgkwj/202311/t20231103_4926050.shtml" \h </w:instrText>
      </w:r>
      <w:r>
        <w:fldChar w:fldCharType="separate"/>
      </w:r>
      <w:r>
        <w:rPr>
          <w:spacing w:val="-4"/>
        </w:rPr>
        <w:t>程消耗量定额及全费用基价表</w:t>
      </w:r>
      <w:r>
        <w:rPr>
          <w:spacing w:val="-4"/>
        </w:rPr>
        <w:fldChar w:fldCharType="end"/>
      </w:r>
      <w:r>
        <w:rPr>
          <w:spacing w:val="-6"/>
        </w:rPr>
        <w:t xml:space="preserve">》中某定额子目，其定额人工费为 </w:t>
      </w:r>
      <w:r>
        <w:rPr>
          <w:spacing w:val="-4"/>
        </w:rPr>
        <w:t>A</w:t>
      </w:r>
      <w:r>
        <w:rPr>
          <w:spacing w:val="-9"/>
        </w:rPr>
        <w:t xml:space="preserve"> 元，则参</w:t>
      </w:r>
      <w:r>
        <w:rPr>
          <w:spacing w:val="-2"/>
        </w:rPr>
        <w:t>考该数据时，人工调整方法如下（同时不再计取规费）：</w:t>
      </w:r>
    </w:p>
    <w:p w14:paraId="4FEA7C66">
      <w:pPr>
        <w:pStyle w:val="4"/>
        <w:spacing w:before="2"/>
        <w:ind w:left="1612"/>
        <w:jc w:val="both"/>
      </w:pPr>
      <w:r>
        <w:rPr>
          <w:spacing w:val="-6"/>
        </w:rPr>
        <w:t xml:space="preserve">假设选择调整系数为 </w:t>
      </w:r>
      <w:r>
        <w:t>1.28，</w:t>
      </w:r>
      <w:r>
        <w:rPr>
          <w:spacing w:val="-6"/>
        </w:rPr>
        <w:t xml:space="preserve">则调整后的人工费为 </w:t>
      </w:r>
      <w:r>
        <w:t>A×1.28（元）</w:t>
      </w:r>
      <w:r>
        <w:rPr>
          <w:spacing w:val="-10"/>
        </w:rPr>
        <w:t>。</w:t>
      </w:r>
    </w:p>
    <w:p w14:paraId="4826CB5A">
      <w:pPr>
        <w:pStyle w:val="4"/>
        <w:spacing w:before="9"/>
      </w:pPr>
    </w:p>
    <w:p w14:paraId="3B19A213">
      <w:pPr>
        <w:pStyle w:val="4"/>
        <w:ind w:left="1612"/>
        <w:jc w:val="both"/>
      </w:pPr>
      <w:bookmarkStart w:id="48" w:name="_bookmark24"/>
      <w:bookmarkEnd w:id="48"/>
      <w:bookmarkStart w:id="49" w:name="五、“11号文”应用说明"/>
      <w:bookmarkEnd w:id="49"/>
      <w:r>
        <w:t>五、“11</w:t>
      </w:r>
      <w:r>
        <w:rPr>
          <w:spacing w:val="-10"/>
        </w:rPr>
        <w:t xml:space="preserve"> 号文”应用说明</w:t>
      </w:r>
    </w:p>
    <w:p w14:paraId="789C7035">
      <w:pPr>
        <w:pStyle w:val="4"/>
        <w:spacing w:before="9"/>
      </w:pPr>
    </w:p>
    <w:p w14:paraId="4A0FEB3B">
      <w:pPr>
        <w:pStyle w:val="4"/>
        <w:spacing w:line="364" w:lineRule="auto"/>
        <w:ind w:left="1132" w:right="1174" w:firstLine="480"/>
      </w:pPr>
      <w:r>
        <w:t>“11</w:t>
      </w:r>
      <w:r>
        <w:rPr>
          <w:spacing w:val="-18"/>
        </w:rPr>
        <w:t xml:space="preserve"> 号文”与 </w:t>
      </w:r>
      <w:r>
        <w:t>24</w:t>
      </w:r>
      <w:r>
        <w:rPr>
          <w:spacing w:val="-12"/>
        </w:rPr>
        <w:t xml:space="preserve"> 清单标准配套使用，执行 </w:t>
      </w:r>
      <w:r>
        <w:t>24</w:t>
      </w:r>
      <w:r>
        <w:rPr>
          <w:spacing w:val="-8"/>
        </w:rPr>
        <w:t xml:space="preserve"> 清单标准时，无论是否参</w:t>
      </w:r>
      <w:r>
        <w:t xml:space="preserve"> </w:t>
      </w:r>
      <w:r>
        <w:rPr>
          <w:spacing w:val="-4"/>
        </w:rPr>
        <w:t>考我省定额，安全文明施工费的计算均应执行“11</w:t>
      </w:r>
      <w:r>
        <w:rPr>
          <w:spacing w:val="-11"/>
        </w:rPr>
        <w:t xml:space="preserve"> 号文”。其中，除安全生产</w:t>
      </w:r>
      <w:r>
        <w:rPr>
          <w:spacing w:val="-2"/>
        </w:rPr>
        <w:t>措施费费率不应低于下限值，其余安全文明施工费费率均应自主测算确定。具</w:t>
      </w:r>
      <w:r>
        <w:t>体规定详见“11</w:t>
      </w:r>
      <w:r>
        <w:rPr>
          <w:spacing w:val="-9"/>
        </w:rPr>
        <w:t xml:space="preserve"> 号文”。</w:t>
      </w:r>
    </w:p>
    <w:p w14:paraId="777C01B1">
      <w:pPr>
        <w:pStyle w:val="4"/>
        <w:spacing w:after="0" w:line="364" w:lineRule="auto"/>
        <w:sectPr>
          <w:pgSz w:w="10440" w:h="14740"/>
          <w:pgMar w:top="1100" w:right="0" w:bottom="860" w:left="0" w:header="878" w:footer="676" w:gutter="0"/>
          <w:cols w:space="720" w:num="1"/>
        </w:sectPr>
      </w:pPr>
    </w:p>
    <w:p w14:paraId="5B8DF6C4">
      <w:pPr>
        <w:pStyle w:val="4"/>
        <w:spacing w:before="19"/>
        <w:rPr>
          <w:sz w:val="32"/>
        </w:rPr>
      </w:pPr>
    </w:p>
    <w:p w14:paraId="21089164">
      <w:pPr>
        <w:pStyle w:val="2"/>
      </w:pPr>
      <w:bookmarkStart w:id="50" w:name="第六部分 典型问题解答"/>
      <w:bookmarkEnd w:id="50"/>
      <w:bookmarkStart w:id="51" w:name="_bookmark25"/>
      <w:bookmarkEnd w:id="51"/>
      <w:r>
        <w:rPr>
          <w:spacing w:val="-6"/>
        </w:rPr>
        <w:t>第六部分 典型问题解答</w:t>
      </w:r>
    </w:p>
    <w:p w14:paraId="1A80A365">
      <w:pPr>
        <w:pStyle w:val="4"/>
        <w:spacing w:before="88"/>
        <w:rPr>
          <w:sz w:val="32"/>
        </w:rPr>
      </w:pPr>
    </w:p>
    <w:p w14:paraId="61DECE51">
      <w:pPr>
        <w:pStyle w:val="4"/>
        <w:spacing w:line="364" w:lineRule="auto"/>
        <w:ind w:left="1416" w:right="1131" w:firstLine="480"/>
        <w:jc w:val="both"/>
      </w:pPr>
      <w:r>
        <w:rPr>
          <w:spacing w:val="-15"/>
        </w:rPr>
        <w:t xml:space="preserve">问 </w:t>
      </w:r>
      <w:r>
        <w:rPr>
          <w:spacing w:val="-8"/>
        </w:rPr>
        <w:t>1：综合单价中的“材料费”是否包含“工程设备费”？如何区分“主</w:t>
      </w:r>
      <w:r>
        <w:rPr>
          <w:spacing w:val="-2"/>
        </w:rPr>
        <w:t>材”“辅材”？综合单价是否包含甲供材的采购及保管费？</w:t>
      </w:r>
    </w:p>
    <w:p w14:paraId="3CE3059D">
      <w:pPr>
        <w:pStyle w:val="4"/>
        <w:spacing w:before="2" w:line="364" w:lineRule="auto"/>
        <w:ind w:left="1416" w:right="1094" w:firstLine="480"/>
        <w:jc w:val="both"/>
      </w:pPr>
      <w:r>
        <w:rPr>
          <w:spacing w:val="-2"/>
        </w:rPr>
        <w:t>答：（1）材料费中包含工程设备费，当材料费作为相关费用的计算基础时，计算基础应包含工程设备费；（2）工程项目应结合实际情况，需要时可在招标文件及合同中明确主材的范围。除招标文件或合同另有约定外，</w:t>
      </w:r>
      <w:r>
        <w:rPr>
          <w:spacing w:val="-11"/>
        </w:rPr>
        <w:t xml:space="preserve">采用 </w:t>
      </w:r>
      <w:r>
        <w:rPr>
          <w:spacing w:val="-2"/>
        </w:rPr>
        <w:t>24</w:t>
      </w:r>
      <w:r>
        <w:rPr>
          <w:spacing w:val="-7"/>
        </w:rPr>
        <w:t xml:space="preserve"> 清单标准编制的综合单价中，材料明细不区分主材、辅材；</w:t>
      </w:r>
      <w:r>
        <w:rPr>
          <w:spacing w:val="-2"/>
        </w:rPr>
        <w:t>（3）甲供材（发包人提供材料）由发包人负责采购，综合单价中不计甲供材的采购</w:t>
      </w:r>
      <w:r>
        <w:rPr>
          <w:spacing w:val="-1"/>
        </w:rPr>
        <w:t>费，其费用包含在甲供材价格中。甲供材的保管费在总承包服务费中计取。</w:t>
      </w:r>
    </w:p>
    <w:p w14:paraId="0ED37B2E">
      <w:pPr>
        <w:pStyle w:val="4"/>
        <w:spacing w:before="164"/>
      </w:pPr>
    </w:p>
    <w:p w14:paraId="7043A4C7">
      <w:pPr>
        <w:pStyle w:val="4"/>
        <w:ind w:left="1896"/>
        <w:jc w:val="both"/>
      </w:pPr>
      <w:r>
        <w:rPr>
          <w:spacing w:val="-31"/>
        </w:rPr>
        <w:t xml:space="preserve">问 </w:t>
      </w:r>
      <w:r>
        <w:rPr>
          <w:spacing w:val="-2"/>
        </w:rPr>
        <w:t>2</w:t>
      </w:r>
      <w:r>
        <w:rPr>
          <w:spacing w:val="-16"/>
        </w:rPr>
        <w:t>：管理费中的“检验试验费”，是否包含建筑材料的见证取样费用？</w:t>
      </w:r>
    </w:p>
    <w:p w14:paraId="5D953B8E">
      <w:pPr>
        <w:pStyle w:val="4"/>
        <w:spacing w:before="160" w:line="364" w:lineRule="auto"/>
        <w:ind w:left="1416" w:right="1131" w:firstLine="480"/>
        <w:jc w:val="both"/>
      </w:pPr>
      <w:r>
        <w:rPr>
          <w:spacing w:val="-2"/>
        </w:rPr>
        <w:t>答：管理费中的检验试验费不包括依据国家有关法律、法规和工程建设强制性标准，对涉及建筑物、构筑物的结构安全和使用功能及民用建筑工程室内环境污染控制等项目的抽样检测和对进入施工现场的建筑材料、装饰材料、构配件的见证取样检测。施工企业开展的检验试验只作为企业内部质量保证措施，作为满足工程质量验收而开展的见证取样和专项检测业务一律由建设单位委托，费用在建设单位工程建设其他费用中列支。建设工程质量检测应遵循湖北省住房和城乡建设厅《关于印发〈湖北省建设工程质量检测管</w:t>
      </w:r>
      <w:r>
        <w:t>理实施细则〉的通知》（鄂建设规〔2024〕4</w:t>
      </w:r>
      <w:r>
        <w:rPr>
          <w:spacing w:val="-21"/>
        </w:rPr>
        <w:t xml:space="preserve"> 号</w:t>
      </w:r>
      <w:r>
        <w:t>）的相关规定。</w:t>
      </w:r>
    </w:p>
    <w:p w14:paraId="7A8019DA">
      <w:pPr>
        <w:pStyle w:val="4"/>
        <w:spacing w:before="165"/>
      </w:pPr>
    </w:p>
    <w:p w14:paraId="3D560994">
      <w:pPr>
        <w:pStyle w:val="4"/>
        <w:spacing w:before="1"/>
        <w:ind w:left="1896"/>
        <w:jc w:val="both"/>
      </w:pPr>
      <w:r>
        <w:rPr>
          <w:spacing w:val="-30"/>
        </w:rPr>
        <w:t xml:space="preserve">问 </w:t>
      </w:r>
      <w:r>
        <w:t>3：</w:t>
      </w:r>
      <w:r>
        <w:rPr>
          <w:spacing w:val="-1"/>
        </w:rPr>
        <w:t>招标清单中给出的甲供材有效损耗率过低怎么办？</w:t>
      </w:r>
    </w:p>
    <w:p w14:paraId="7B62A62A">
      <w:pPr>
        <w:pStyle w:val="4"/>
        <w:spacing w:before="160" w:line="364" w:lineRule="auto"/>
        <w:ind w:left="1416" w:right="1131" w:firstLine="480"/>
        <w:jc w:val="both"/>
      </w:pPr>
      <w:r>
        <w:rPr>
          <w:spacing w:val="-2"/>
        </w:rPr>
        <w:t>答：投标人认为招标工程量清单（含修正内容）中发包人提供材料的有效损耗率不能满足使用损耗的，应自行测算材料损耗率（但不得修改招标人给定的有效损耗率），并在投标综合单价中综合考虑。</w:t>
      </w:r>
    </w:p>
    <w:p w14:paraId="21EA1674">
      <w:pPr>
        <w:pStyle w:val="4"/>
        <w:spacing w:after="0" w:line="364" w:lineRule="auto"/>
        <w:jc w:val="both"/>
        <w:sectPr>
          <w:pgSz w:w="10440" w:h="14740"/>
          <w:pgMar w:top="1100" w:right="0" w:bottom="860" w:left="0" w:header="878" w:footer="676" w:gutter="0"/>
          <w:cols w:space="720" w:num="1"/>
        </w:sectPr>
      </w:pPr>
    </w:p>
    <w:p w14:paraId="58221986">
      <w:pPr>
        <w:pStyle w:val="4"/>
        <w:spacing w:before="94"/>
      </w:pPr>
    </w:p>
    <w:p w14:paraId="0F0DF79E">
      <w:pPr>
        <w:pStyle w:val="4"/>
        <w:spacing w:line="364" w:lineRule="auto"/>
        <w:ind w:left="1132" w:right="1414" w:firstLine="480"/>
        <w:jc w:val="both"/>
      </w:pPr>
      <w:r>
        <w:rPr>
          <w:spacing w:val="-4"/>
        </w:rPr>
        <w:t xml:space="preserve">问 </w:t>
      </w:r>
      <w:r>
        <w:rPr>
          <w:spacing w:val="-2"/>
        </w:rPr>
        <w:t>4：如何理解计价程序说明中“同一个工程项目中不同清单综合单价的管理费的计算公式宜保持一致。同一个工程项目中不同清单综合单价的利润的计算公式宜保持一致”？</w:t>
      </w:r>
    </w:p>
    <w:p w14:paraId="6CEFA3F4">
      <w:pPr>
        <w:pStyle w:val="4"/>
        <w:spacing w:before="2" w:line="364" w:lineRule="auto"/>
        <w:ind w:left="1132" w:right="1414" w:firstLine="480"/>
        <w:jc w:val="both"/>
      </w:pPr>
      <w:r>
        <w:rPr>
          <w:spacing w:val="-6"/>
        </w:rPr>
        <w:t xml:space="preserve">答：虽然 </w:t>
      </w:r>
      <w:r>
        <w:t>24</w:t>
      </w:r>
      <w:r>
        <w:rPr>
          <w:spacing w:val="-6"/>
        </w:rPr>
        <w:t xml:space="preserve"> 清单标准对于管理费、利润的计算方式不作统一要求，但</w:t>
      </w:r>
      <w:r>
        <w:rPr>
          <w:spacing w:val="-2"/>
        </w:rPr>
        <w:t>为便于积累造价数据，建议同一个工程项目中不同清单的管理费、利润的计</w:t>
      </w:r>
      <w:r>
        <w:rPr>
          <w:spacing w:val="-5"/>
        </w:rPr>
        <w:t xml:space="preserve">算方式保持相对一致。举例说明：工程项目 </w:t>
      </w:r>
      <w:r>
        <w:rPr>
          <w:spacing w:val="-4"/>
        </w:rPr>
        <w:t>A</w:t>
      </w:r>
      <w:r>
        <w:rPr>
          <w:spacing w:val="-10"/>
        </w:rPr>
        <w:t xml:space="preserve"> 中的某一清单项 </w:t>
      </w:r>
      <w:r>
        <w:rPr>
          <w:spacing w:val="-4"/>
        </w:rPr>
        <w:t>M，其综合单</w:t>
      </w:r>
      <w:r>
        <w:rPr>
          <w:spacing w:val="-2"/>
        </w:rPr>
        <w:t xml:space="preserve">价中的管理费采用“计算基础×费率”的方式计算，并以“人工费+施工机具使用费”为计算基础。利润也采用“计算基础×费率”的方式计算，但以 </w:t>
      </w:r>
      <w:r>
        <w:rPr>
          <w:spacing w:val="-5"/>
        </w:rPr>
        <w:t xml:space="preserve">“人工费+材料费+施工机具使用费”为计算基础。则 </w:t>
      </w:r>
      <w:r>
        <w:rPr>
          <w:spacing w:val="-4"/>
        </w:rPr>
        <w:t>A</w:t>
      </w:r>
      <w:r>
        <w:rPr>
          <w:spacing w:val="-9"/>
        </w:rPr>
        <w:t xml:space="preserve"> 工程项目中其他分部</w:t>
      </w:r>
      <w:r>
        <w:rPr>
          <w:spacing w:val="-2"/>
        </w:rPr>
        <w:t>分项工程项目清单的管理费也宜采用费率法，且以“人工费+施工机具使用费”作为计算基础。A 工程项目中其他分部分项工程项目清单的利润也宜采用费率法，且以“人工费+材料费+施工机具使用费”作为计算基础。但其他</w:t>
      </w:r>
      <w:r>
        <w:rPr>
          <w:spacing w:val="-5"/>
        </w:rPr>
        <w:t xml:space="preserve">分部分项工程项目清单的管理费、利润的费率可以等于清单项 </w:t>
      </w:r>
      <w:r>
        <w:rPr>
          <w:spacing w:val="-4"/>
        </w:rPr>
        <w:t>M</w:t>
      </w:r>
      <w:r>
        <w:rPr>
          <w:spacing w:val="-9"/>
        </w:rPr>
        <w:t xml:space="preserve"> 的费率，也</w:t>
      </w:r>
      <w:r>
        <w:rPr>
          <w:spacing w:val="-3"/>
        </w:rPr>
        <w:t xml:space="preserve">可以不等于清单项 </w:t>
      </w:r>
      <w:r>
        <w:t>M</w:t>
      </w:r>
      <w:r>
        <w:rPr>
          <w:spacing w:val="-5"/>
        </w:rPr>
        <w:t xml:space="preserve"> 的费率。</w:t>
      </w:r>
    </w:p>
    <w:p w14:paraId="30907DD4">
      <w:pPr>
        <w:pStyle w:val="4"/>
        <w:spacing w:before="167"/>
      </w:pPr>
    </w:p>
    <w:p w14:paraId="39AB4545">
      <w:pPr>
        <w:pStyle w:val="4"/>
        <w:spacing w:line="364" w:lineRule="auto"/>
        <w:ind w:left="1132" w:right="1414" w:firstLine="480"/>
        <w:jc w:val="both"/>
      </w:pPr>
      <w:r>
        <w:rPr>
          <w:spacing w:val="-15"/>
        </w:rPr>
        <w:t xml:space="preserve">问 </w:t>
      </w:r>
      <w:r>
        <w:rPr>
          <w:spacing w:val="-6"/>
        </w:rPr>
        <w:t>5</w:t>
      </w:r>
      <w:r>
        <w:rPr>
          <w:spacing w:val="-10"/>
        </w:rPr>
        <w:t xml:space="preserve">：招标人编制工程量清单和最高投标限价时，对于 </w:t>
      </w:r>
      <w:r>
        <w:rPr>
          <w:spacing w:val="-6"/>
        </w:rPr>
        <w:t>24</w:t>
      </w:r>
      <w:r>
        <w:rPr>
          <w:spacing w:val="-10"/>
        </w:rPr>
        <w:t xml:space="preserve"> 清单标准未列</w:t>
      </w:r>
      <w:r>
        <w:rPr>
          <w:spacing w:val="-2"/>
        </w:rPr>
        <w:t>出的措施项目，如何进行编制？</w:t>
      </w:r>
    </w:p>
    <w:p w14:paraId="3172BC74">
      <w:pPr>
        <w:pStyle w:val="4"/>
        <w:spacing w:before="1" w:line="364" w:lineRule="auto"/>
        <w:ind w:left="1132" w:right="1417" w:firstLine="480"/>
        <w:jc w:val="both"/>
      </w:pPr>
      <w:r>
        <w:rPr>
          <w:spacing w:val="-2"/>
        </w:rPr>
        <w:t xml:space="preserve">答：招标人可结合工程实际情况，对 </w:t>
      </w:r>
      <w:r>
        <w:t>2024</w:t>
      </w:r>
      <w:r>
        <w:rPr>
          <w:spacing w:val="-6"/>
        </w:rPr>
        <w:t xml:space="preserve"> 版各专业工程量计算标准附</w:t>
      </w:r>
      <w:r>
        <w:rPr>
          <w:spacing w:val="-2"/>
        </w:rPr>
        <w:t>录中未包含的项目清单进行补充。补充的清单应符合下列规定：</w:t>
      </w:r>
    </w:p>
    <w:p w14:paraId="6F602C42">
      <w:pPr>
        <w:pStyle w:val="14"/>
        <w:numPr>
          <w:ilvl w:val="0"/>
          <w:numId w:val="30"/>
        </w:numPr>
        <w:tabs>
          <w:tab w:val="left" w:pos="2202"/>
        </w:tabs>
        <w:spacing w:before="1" w:after="0" w:line="364" w:lineRule="auto"/>
        <w:ind w:left="1132" w:right="1414" w:firstLine="480"/>
        <w:jc w:val="both"/>
        <w:rPr>
          <w:sz w:val="24"/>
        </w:rPr>
      </w:pPr>
      <w:r>
        <w:rPr>
          <w:spacing w:val="-4"/>
          <w:sz w:val="24"/>
        </w:rPr>
        <w:t>补充项目的编码由对应专业标准的代码（</w:t>
      </w:r>
      <w:r>
        <w:rPr>
          <w:spacing w:val="-12"/>
          <w:sz w:val="24"/>
        </w:rPr>
        <w:t xml:space="preserve">房建 </w:t>
      </w:r>
      <w:r>
        <w:rPr>
          <w:spacing w:val="-4"/>
          <w:sz w:val="24"/>
        </w:rPr>
        <w:t>01</w:t>
      </w:r>
      <w:r>
        <w:rPr>
          <w:spacing w:val="-10"/>
          <w:sz w:val="24"/>
        </w:rPr>
        <w:t xml:space="preserve">，仿古 </w:t>
      </w:r>
      <w:r>
        <w:rPr>
          <w:spacing w:val="-4"/>
          <w:sz w:val="24"/>
        </w:rPr>
        <w:t xml:space="preserve">02，安装 </w:t>
      </w:r>
      <w:r>
        <w:rPr>
          <w:spacing w:val="-8"/>
          <w:sz w:val="24"/>
        </w:rPr>
        <w:t>03</w:t>
      </w:r>
      <w:r>
        <w:rPr>
          <w:spacing w:val="-12"/>
          <w:sz w:val="24"/>
        </w:rPr>
        <w:t xml:space="preserve">，市政 </w:t>
      </w:r>
      <w:r>
        <w:rPr>
          <w:spacing w:val="-8"/>
          <w:sz w:val="24"/>
        </w:rPr>
        <w:t>04</w:t>
      </w:r>
      <w:r>
        <w:rPr>
          <w:spacing w:val="-12"/>
          <w:sz w:val="24"/>
        </w:rPr>
        <w:t xml:space="preserve">，园林 </w:t>
      </w:r>
      <w:r>
        <w:rPr>
          <w:spacing w:val="-8"/>
          <w:sz w:val="24"/>
        </w:rPr>
        <w:t>05</w:t>
      </w:r>
      <w:r>
        <w:rPr>
          <w:spacing w:val="-10"/>
          <w:sz w:val="24"/>
        </w:rPr>
        <w:t xml:space="preserve">，等等，详见 </w:t>
      </w:r>
      <w:r>
        <w:rPr>
          <w:spacing w:val="-8"/>
          <w:sz w:val="24"/>
        </w:rPr>
        <w:t>24</w:t>
      </w:r>
      <w:r>
        <w:rPr>
          <w:spacing w:val="-12"/>
          <w:sz w:val="24"/>
        </w:rPr>
        <w:t xml:space="preserve"> 清单标准各专业计算标准</w:t>
      </w:r>
      <w:r>
        <w:rPr>
          <w:spacing w:val="-8"/>
          <w:sz w:val="24"/>
        </w:rPr>
        <w:t>）</w:t>
      </w:r>
      <w:r>
        <w:rPr>
          <w:spacing w:val="-15"/>
          <w:sz w:val="24"/>
        </w:rPr>
        <w:t xml:space="preserve">与 </w:t>
      </w:r>
      <w:r>
        <w:rPr>
          <w:spacing w:val="-8"/>
          <w:sz w:val="24"/>
        </w:rPr>
        <w:t>B</w:t>
      </w:r>
      <w:r>
        <w:rPr>
          <w:spacing w:val="-13"/>
          <w:sz w:val="24"/>
        </w:rPr>
        <w:t xml:space="preserve"> 和三</w:t>
      </w:r>
      <w:r>
        <w:rPr>
          <w:spacing w:val="-3"/>
          <w:sz w:val="24"/>
        </w:rPr>
        <w:t xml:space="preserve">位阿拉伯数字组成，并应从 </w:t>
      </w:r>
      <w:r>
        <w:rPr>
          <w:sz w:val="24"/>
        </w:rPr>
        <w:t>B001</w:t>
      </w:r>
      <w:r>
        <w:rPr>
          <w:spacing w:val="-6"/>
          <w:sz w:val="24"/>
        </w:rPr>
        <w:t xml:space="preserve"> 起顺序编制</w:t>
      </w:r>
      <w:r>
        <w:rPr>
          <w:sz w:val="24"/>
        </w:rPr>
        <w:t>（从分部分项工程项目顺序编</w:t>
      </w:r>
      <w:r>
        <w:rPr>
          <w:spacing w:val="-4"/>
          <w:sz w:val="24"/>
        </w:rPr>
        <w:t>至措施项目）</w:t>
      </w:r>
      <w:r>
        <w:rPr>
          <w:spacing w:val="-6"/>
          <w:sz w:val="24"/>
        </w:rPr>
        <w:t xml:space="preserve">。例如，房建专业的第一项补充清单编码为 </w:t>
      </w:r>
      <w:r>
        <w:rPr>
          <w:spacing w:val="-4"/>
          <w:sz w:val="24"/>
        </w:rPr>
        <w:t xml:space="preserve">01B001，安装专业的第一项补充清单编码为 </w:t>
      </w:r>
      <w:r>
        <w:rPr>
          <w:sz w:val="24"/>
        </w:rPr>
        <w:t>03B001；</w:t>
      </w:r>
    </w:p>
    <w:p w14:paraId="7453CA5B">
      <w:pPr>
        <w:pStyle w:val="14"/>
        <w:numPr>
          <w:ilvl w:val="0"/>
          <w:numId w:val="30"/>
        </w:numPr>
        <w:tabs>
          <w:tab w:val="left" w:pos="804"/>
        </w:tabs>
        <w:spacing w:before="3" w:after="0" w:line="240" w:lineRule="auto"/>
        <w:ind w:left="804" w:right="0" w:hanging="608"/>
        <w:jc w:val="center"/>
        <w:rPr>
          <w:sz w:val="24"/>
        </w:rPr>
      </w:pPr>
      <w:r>
        <w:rPr>
          <w:spacing w:val="-1"/>
          <w:sz w:val="24"/>
        </w:rPr>
        <w:t>补充的分部分项工程项目清单应附有补充项目的项目名称、项目</w:t>
      </w:r>
    </w:p>
    <w:p w14:paraId="59554CB3">
      <w:pPr>
        <w:pStyle w:val="14"/>
        <w:spacing w:after="0" w:line="240" w:lineRule="auto"/>
        <w:jc w:val="center"/>
        <w:rPr>
          <w:sz w:val="24"/>
        </w:rPr>
        <w:sectPr>
          <w:pgSz w:w="10440" w:h="14740"/>
          <w:pgMar w:top="1100" w:right="0" w:bottom="860" w:left="0" w:header="878" w:footer="676" w:gutter="0"/>
          <w:cols w:space="720" w:num="1"/>
        </w:sectPr>
      </w:pPr>
    </w:p>
    <w:p w14:paraId="713F1817">
      <w:pPr>
        <w:pStyle w:val="4"/>
        <w:spacing w:before="94"/>
      </w:pPr>
    </w:p>
    <w:p w14:paraId="634DBE5D">
      <w:pPr>
        <w:pStyle w:val="4"/>
        <w:spacing w:line="364" w:lineRule="auto"/>
        <w:ind w:left="1416" w:right="1131"/>
      </w:pPr>
      <w:r>
        <w:rPr>
          <w:spacing w:val="-2"/>
        </w:rPr>
        <w:t>特征、计量单位、工程量计算规则、工作内容。补充的措施项目应附有补充项目的项目名称、工作内容及包含范围。</w:t>
      </w:r>
    </w:p>
    <w:p w14:paraId="2B117749">
      <w:pPr>
        <w:pStyle w:val="4"/>
        <w:spacing w:before="1" w:line="364" w:lineRule="auto"/>
        <w:ind w:left="1416" w:right="1011" w:firstLine="480"/>
      </w:pPr>
      <w:r>
        <w:rPr>
          <w:spacing w:val="-6"/>
        </w:rPr>
        <w:t>例如，某房建项目编制工程量清单时假设须增补“现场围挡”及“赶工”</w:t>
      </w:r>
      <w:r>
        <w:rPr>
          <w:spacing w:val="-2"/>
        </w:rPr>
        <w:t>两项清单，则补充清单可参照下表编制（项目特征及工作内容仅为示例）。</w:t>
      </w:r>
    </w:p>
    <w:p w14:paraId="3B4F4526">
      <w:pPr>
        <w:pStyle w:val="4"/>
        <w:spacing w:before="1"/>
        <w:ind w:left="1896"/>
      </w:pPr>
      <w:r>
        <w:t>现场围挡（分部分项工程项目清单</w:t>
      </w:r>
      <w:r>
        <w:rPr>
          <w:spacing w:val="-5"/>
        </w:rPr>
        <w:t>）：</w:t>
      </w:r>
    </w:p>
    <w:p w14:paraId="50F256F7">
      <w:pPr>
        <w:pStyle w:val="4"/>
        <w:spacing w:before="4"/>
        <w:rPr>
          <w:sz w:val="6"/>
        </w:rPr>
      </w:pPr>
    </w:p>
    <w:tbl>
      <w:tblPr>
        <w:tblStyle w:val="11"/>
        <w:tblW w:w="0" w:type="auto"/>
        <w:tblInd w:w="1416"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46"/>
        <w:gridCol w:w="1111"/>
        <w:gridCol w:w="2220"/>
        <w:gridCol w:w="672"/>
        <w:gridCol w:w="1120"/>
        <w:gridCol w:w="1932"/>
      </w:tblGrid>
      <w:tr w14:paraId="322D36B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7" w:hRule="atLeast"/>
        </w:trPr>
        <w:tc>
          <w:tcPr>
            <w:tcW w:w="846" w:type="dxa"/>
            <w:tcBorders>
              <w:bottom w:val="single" w:color="000000" w:sz="4" w:space="0"/>
              <w:right w:val="single" w:color="000000" w:sz="4" w:space="0"/>
            </w:tcBorders>
          </w:tcPr>
          <w:p w14:paraId="11520697">
            <w:pPr>
              <w:pStyle w:val="15"/>
              <w:spacing w:before="37" w:line="242" w:lineRule="auto"/>
              <w:ind w:left="213" w:right="197"/>
              <w:rPr>
                <w:sz w:val="21"/>
              </w:rPr>
            </w:pPr>
            <w:r>
              <w:rPr>
                <w:spacing w:val="-6"/>
                <w:sz w:val="21"/>
              </w:rPr>
              <w:t>项目</w:t>
            </w:r>
            <w:r>
              <w:rPr>
                <w:spacing w:val="-8"/>
                <w:sz w:val="21"/>
              </w:rPr>
              <w:t>编码</w:t>
            </w:r>
          </w:p>
        </w:tc>
        <w:tc>
          <w:tcPr>
            <w:tcW w:w="1111" w:type="dxa"/>
            <w:tcBorders>
              <w:left w:val="single" w:color="000000" w:sz="4" w:space="0"/>
              <w:bottom w:val="single" w:color="000000" w:sz="4" w:space="0"/>
              <w:right w:val="single" w:color="000000" w:sz="4" w:space="0"/>
            </w:tcBorders>
          </w:tcPr>
          <w:p w14:paraId="7FA98BC5">
            <w:pPr>
              <w:pStyle w:val="15"/>
              <w:spacing w:before="172"/>
              <w:ind w:left="17"/>
              <w:jc w:val="center"/>
              <w:rPr>
                <w:sz w:val="21"/>
              </w:rPr>
            </w:pPr>
            <w:r>
              <w:rPr>
                <w:spacing w:val="-7"/>
                <w:sz w:val="21"/>
              </w:rPr>
              <w:t>项目名称</w:t>
            </w:r>
          </w:p>
        </w:tc>
        <w:tc>
          <w:tcPr>
            <w:tcW w:w="2220" w:type="dxa"/>
            <w:tcBorders>
              <w:left w:val="single" w:color="000000" w:sz="4" w:space="0"/>
              <w:bottom w:val="single" w:color="000000" w:sz="4" w:space="0"/>
              <w:right w:val="single" w:color="000000" w:sz="4" w:space="0"/>
            </w:tcBorders>
          </w:tcPr>
          <w:p w14:paraId="1DF5C0F7">
            <w:pPr>
              <w:pStyle w:val="15"/>
              <w:spacing w:before="172"/>
              <w:ind w:left="484"/>
              <w:rPr>
                <w:sz w:val="21"/>
              </w:rPr>
            </w:pPr>
            <w:r>
              <w:rPr>
                <w:spacing w:val="-4"/>
                <w:sz w:val="21"/>
              </w:rPr>
              <w:t>项目特征描述</w:t>
            </w:r>
          </w:p>
        </w:tc>
        <w:tc>
          <w:tcPr>
            <w:tcW w:w="672" w:type="dxa"/>
            <w:tcBorders>
              <w:left w:val="single" w:color="000000" w:sz="4" w:space="0"/>
              <w:bottom w:val="single" w:color="000000" w:sz="4" w:space="0"/>
              <w:right w:val="single" w:color="000000" w:sz="4" w:space="0"/>
            </w:tcBorders>
          </w:tcPr>
          <w:p w14:paraId="6E3CEBE4">
            <w:pPr>
              <w:pStyle w:val="15"/>
              <w:spacing w:before="37" w:line="242" w:lineRule="auto"/>
              <w:ind w:left="131" w:right="111"/>
              <w:rPr>
                <w:sz w:val="21"/>
              </w:rPr>
            </w:pPr>
            <w:r>
              <w:rPr>
                <w:spacing w:val="-6"/>
                <w:sz w:val="21"/>
              </w:rPr>
              <w:t>计量</w:t>
            </w:r>
            <w:r>
              <w:rPr>
                <w:spacing w:val="-8"/>
                <w:sz w:val="21"/>
              </w:rPr>
              <w:t>单位</w:t>
            </w:r>
          </w:p>
        </w:tc>
        <w:tc>
          <w:tcPr>
            <w:tcW w:w="1120" w:type="dxa"/>
            <w:tcBorders>
              <w:left w:val="single" w:color="000000" w:sz="4" w:space="0"/>
              <w:bottom w:val="single" w:color="000000" w:sz="4" w:space="0"/>
              <w:right w:val="single" w:color="000000" w:sz="4" w:space="0"/>
            </w:tcBorders>
          </w:tcPr>
          <w:p w14:paraId="552C7BF6">
            <w:pPr>
              <w:pStyle w:val="15"/>
              <w:spacing w:before="37" w:line="242" w:lineRule="auto"/>
              <w:ind w:left="248" w:right="124" w:hanging="104"/>
              <w:rPr>
                <w:sz w:val="21"/>
              </w:rPr>
            </w:pPr>
            <w:r>
              <w:rPr>
                <w:spacing w:val="-4"/>
                <w:sz w:val="21"/>
              </w:rPr>
              <w:t>工程量计算规则</w:t>
            </w:r>
          </w:p>
        </w:tc>
        <w:tc>
          <w:tcPr>
            <w:tcW w:w="1932" w:type="dxa"/>
            <w:tcBorders>
              <w:left w:val="single" w:color="000000" w:sz="4" w:space="0"/>
              <w:bottom w:val="single" w:color="000000" w:sz="4" w:space="0"/>
            </w:tcBorders>
          </w:tcPr>
          <w:p w14:paraId="18758D9A">
            <w:pPr>
              <w:pStyle w:val="15"/>
              <w:spacing w:before="172"/>
              <w:ind w:left="549"/>
              <w:rPr>
                <w:sz w:val="21"/>
              </w:rPr>
            </w:pPr>
            <w:r>
              <w:rPr>
                <w:spacing w:val="-7"/>
                <w:sz w:val="21"/>
              </w:rPr>
              <w:t>工作内容</w:t>
            </w:r>
          </w:p>
        </w:tc>
      </w:tr>
      <w:tr w14:paraId="28943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05" w:hRule="atLeast"/>
        </w:trPr>
        <w:tc>
          <w:tcPr>
            <w:tcW w:w="846" w:type="dxa"/>
            <w:tcBorders>
              <w:top w:val="single" w:color="000000" w:sz="4" w:space="0"/>
              <w:right w:val="single" w:color="000000" w:sz="4" w:space="0"/>
            </w:tcBorders>
          </w:tcPr>
          <w:p w14:paraId="29431657">
            <w:pPr>
              <w:pStyle w:val="15"/>
              <w:rPr>
                <w:sz w:val="21"/>
              </w:rPr>
            </w:pPr>
          </w:p>
          <w:p w14:paraId="7B888F56">
            <w:pPr>
              <w:pStyle w:val="15"/>
              <w:spacing w:before="79"/>
              <w:rPr>
                <w:sz w:val="21"/>
              </w:rPr>
            </w:pPr>
          </w:p>
          <w:p w14:paraId="479E5B4F">
            <w:pPr>
              <w:pStyle w:val="15"/>
              <w:ind w:left="108"/>
              <w:rPr>
                <w:sz w:val="21"/>
              </w:rPr>
            </w:pPr>
            <w:r>
              <w:rPr>
                <w:spacing w:val="-2"/>
                <w:sz w:val="21"/>
              </w:rPr>
              <w:t>01B001</w:t>
            </w:r>
          </w:p>
        </w:tc>
        <w:tc>
          <w:tcPr>
            <w:tcW w:w="1111" w:type="dxa"/>
            <w:tcBorders>
              <w:top w:val="single" w:color="000000" w:sz="4" w:space="0"/>
              <w:left w:val="single" w:color="000000" w:sz="4" w:space="0"/>
              <w:right w:val="single" w:color="000000" w:sz="4" w:space="0"/>
            </w:tcBorders>
          </w:tcPr>
          <w:p w14:paraId="5190401F">
            <w:pPr>
              <w:pStyle w:val="15"/>
              <w:rPr>
                <w:sz w:val="21"/>
              </w:rPr>
            </w:pPr>
          </w:p>
          <w:p w14:paraId="1CBF9817">
            <w:pPr>
              <w:pStyle w:val="15"/>
              <w:spacing w:before="79"/>
              <w:rPr>
                <w:sz w:val="21"/>
              </w:rPr>
            </w:pPr>
          </w:p>
          <w:p w14:paraId="23686B2D">
            <w:pPr>
              <w:pStyle w:val="15"/>
              <w:ind w:left="17"/>
              <w:jc w:val="center"/>
              <w:rPr>
                <w:sz w:val="21"/>
              </w:rPr>
            </w:pPr>
            <w:r>
              <w:rPr>
                <w:spacing w:val="-7"/>
                <w:sz w:val="21"/>
              </w:rPr>
              <w:t>现场围挡</w:t>
            </w:r>
          </w:p>
        </w:tc>
        <w:tc>
          <w:tcPr>
            <w:tcW w:w="2220" w:type="dxa"/>
            <w:tcBorders>
              <w:top w:val="single" w:color="000000" w:sz="4" w:space="0"/>
              <w:left w:val="single" w:color="000000" w:sz="4" w:space="0"/>
              <w:right w:val="single" w:color="000000" w:sz="4" w:space="0"/>
            </w:tcBorders>
          </w:tcPr>
          <w:p w14:paraId="08460199">
            <w:pPr>
              <w:pStyle w:val="15"/>
              <w:numPr>
                <w:ilvl w:val="0"/>
                <w:numId w:val="31"/>
              </w:numPr>
              <w:tabs>
                <w:tab w:val="left" w:pos="323"/>
              </w:tabs>
              <w:spacing w:before="209" w:after="0" w:line="240" w:lineRule="auto"/>
              <w:ind w:left="323" w:right="-15" w:hanging="211"/>
              <w:jc w:val="left"/>
              <w:rPr>
                <w:sz w:val="21"/>
              </w:rPr>
            </w:pPr>
            <w:r>
              <w:rPr>
                <w:spacing w:val="-2"/>
                <w:sz w:val="21"/>
              </w:rPr>
              <w:t>围挡高度：H=2.5m；</w:t>
            </w:r>
          </w:p>
          <w:p w14:paraId="5B7F9365">
            <w:pPr>
              <w:pStyle w:val="15"/>
              <w:numPr>
                <w:ilvl w:val="0"/>
                <w:numId w:val="31"/>
              </w:numPr>
              <w:tabs>
                <w:tab w:val="left" w:pos="323"/>
              </w:tabs>
              <w:spacing w:before="3" w:after="0" w:line="240" w:lineRule="auto"/>
              <w:ind w:left="323" w:right="-15" w:hanging="211"/>
              <w:jc w:val="left"/>
              <w:rPr>
                <w:sz w:val="21"/>
              </w:rPr>
            </w:pPr>
            <w:r>
              <w:rPr>
                <w:spacing w:val="-3"/>
                <w:sz w:val="21"/>
              </w:rPr>
              <w:t>围挡形式：装配式；</w:t>
            </w:r>
          </w:p>
          <w:p w14:paraId="6F798D63">
            <w:pPr>
              <w:pStyle w:val="15"/>
              <w:numPr>
                <w:ilvl w:val="0"/>
                <w:numId w:val="31"/>
              </w:numPr>
              <w:tabs>
                <w:tab w:val="left" w:pos="323"/>
              </w:tabs>
              <w:spacing w:before="2" w:after="0" w:line="244" w:lineRule="auto"/>
              <w:ind w:left="112" w:right="91" w:firstLine="0"/>
              <w:jc w:val="left"/>
              <w:rPr>
                <w:sz w:val="21"/>
              </w:rPr>
            </w:pPr>
            <w:r>
              <w:rPr>
                <w:sz w:val="21"/>
              </w:rPr>
              <w:t>围挡材质：A2</w:t>
            </w:r>
            <w:r>
              <w:rPr>
                <w:spacing w:val="-15"/>
                <w:sz w:val="21"/>
              </w:rPr>
              <w:t xml:space="preserve"> 型常</w:t>
            </w:r>
            <w:r>
              <w:rPr>
                <w:spacing w:val="-13"/>
                <w:sz w:val="21"/>
              </w:rPr>
              <w:t>规装配式围挡，隔音式</w:t>
            </w:r>
          </w:p>
        </w:tc>
        <w:tc>
          <w:tcPr>
            <w:tcW w:w="672" w:type="dxa"/>
            <w:tcBorders>
              <w:top w:val="single" w:color="000000" w:sz="4" w:space="0"/>
              <w:left w:val="single" w:color="000000" w:sz="4" w:space="0"/>
              <w:right w:val="single" w:color="000000" w:sz="4" w:space="0"/>
            </w:tcBorders>
          </w:tcPr>
          <w:p w14:paraId="68AC5F1B">
            <w:pPr>
              <w:pStyle w:val="15"/>
              <w:rPr>
                <w:sz w:val="21"/>
              </w:rPr>
            </w:pPr>
          </w:p>
          <w:p w14:paraId="0707DB69">
            <w:pPr>
              <w:pStyle w:val="15"/>
              <w:spacing w:before="79"/>
              <w:rPr>
                <w:sz w:val="21"/>
              </w:rPr>
            </w:pPr>
          </w:p>
          <w:p w14:paraId="6E86CFA1">
            <w:pPr>
              <w:pStyle w:val="15"/>
              <w:ind w:left="16"/>
              <w:jc w:val="center"/>
              <w:rPr>
                <w:sz w:val="21"/>
              </w:rPr>
            </w:pPr>
            <w:r>
              <w:rPr>
                <w:spacing w:val="-10"/>
                <w:sz w:val="21"/>
              </w:rPr>
              <w:t>m</w:t>
            </w:r>
          </w:p>
        </w:tc>
        <w:tc>
          <w:tcPr>
            <w:tcW w:w="1120" w:type="dxa"/>
            <w:tcBorders>
              <w:top w:val="single" w:color="000000" w:sz="4" w:space="0"/>
              <w:left w:val="single" w:color="000000" w:sz="4" w:space="0"/>
              <w:right w:val="single" w:color="000000" w:sz="4" w:space="0"/>
            </w:tcBorders>
          </w:tcPr>
          <w:p w14:paraId="4A9AB945">
            <w:pPr>
              <w:pStyle w:val="15"/>
              <w:spacing w:before="73"/>
              <w:ind w:left="112"/>
              <w:rPr>
                <w:sz w:val="21"/>
              </w:rPr>
            </w:pPr>
            <w:r>
              <w:rPr>
                <w:spacing w:val="-5"/>
                <w:sz w:val="21"/>
              </w:rPr>
              <w:t>按设计</w:t>
            </w:r>
          </w:p>
          <w:p w14:paraId="5C1F74A4">
            <w:pPr>
              <w:pStyle w:val="15"/>
              <w:spacing w:before="2" w:line="242" w:lineRule="auto"/>
              <w:ind w:left="112" w:right="155"/>
              <w:jc w:val="both"/>
              <w:rPr>
                <w:sz w:val="21"/>
              </w:rPr>
            </w:pPr>
            <w:r>
              <w:rPr>
                <w:spacing w:val="-4"/>
                <w:sz w:val="21"/>
              </w:rPr>
              <w:t>（方案）图示尺寸以长度计</w:t>
            </w:r>
            <w:r>
              <w:rPr>
                <w:spacing w:val="-10"/>
                <w:sz w:val="21"/>
              </w:rPr>
              <w:t>算</w:t>
            </w:r>
          </w:p>
        </w:tc>
        <w:tc>
          <w:tcPr>
            <w:tcW w:w="1932" w:type="dxa"/>
            <w:tcBorders>
              <w:top w:val="single" w:color="000000" w:sz="4" w:space="0"/>
              <w:left w:val="single" w:color="000000" w:sz="4" w:space="0"/>
            </w:tcBorders>
          </w:tcPr>
          <w:p w14:paraId="63303D65">
            <w:pPr>
              <w:pStyle w:val="15"/>
              <w:numPr>
                <w:ilvl w:val="0"/>
                <w:numId w:val="32"/>
              </w:numPr>
              <w:tabs>
                <w:tab w:val="left" w:pos="320"/>
              </w:tabs>
              <w:spacing w:before="73" w:after="0" w:line="240" w:lineRule="auto"/>
              <w:ind w:left="320" w:right="0" w:hanging="208"/>
              <w:jc w:val="left"/>
              <w:rPr>
                <w:sz w:val="21"/>
              </w:rPr>
            </w:pPr>
            <w:r>
              <w:rPr>
                <w:spacing w:val="-4"/>
                <w:sz w:val="21"/>
              </w:rPr>
              <w:t>工作面清理</w:t>
            </w:r>
          </w:p>
          <w:p w14:paraId="77FAC875">
            <w:pPr>
              <w:pStyle w:val="15"/>
              <w:numPr>
                <w:ilvl w:val="0"/>
                <w:numId w:val="32"/>
              </w:numPr>
              <w:tabs>
                <w:tab w:val="left" w:pos="320"/>
              </w:tabs>
              <w:spacing w:before="2" w:after="0" w:line="240" w:lineRule="auto"/>
              <w:ind w:left="320" w:right="0" w:hanging="208"/>
              <w:jc w:val="left"/>
              <w:rPr>
                <w:sz w:val="21"/>
              </w:rPr>
            </w:pPr>
            <w:r>
              <w:rPr>
                <w:spacing w:val="-7"/>
                <w:sz w:val="21"/>
              </w:rPr>
              <w:t>基座安装</w:t>
            </w:r>
          </w:p>
          <w:p w14:paraId="388A2646">
            <w:pPr>
              <w:pStyle w:val="15"/>
              <w:numPr>
                <w:ilvl w:val="0"/>
                <w:numId w:val="32"/>
              </w:numPr>
              <w:tabs>
                <w:tab w:val="left" w:pos="320"/>
              </w:tabs>
              <w:spacing w:before="4" w:after="0" w:line="242" w:lineRule="auto"/>
              <w:ind w:left="112" w:right="124" w:firstLine="0"/>
              <w:jc w:val="both"/>
              <w:rPr>
                <w:sz w:val="21"/>
              </w:rPr>
            </w:pPr>
            <w:r>
              <w:rPr>
                <w:spacing w:val="-2"/>
                <w:sz w:val="21"/>
              </w:rPr>
              <w:t>围挡及其附着的亮化美化设施安装</w:t>
            </w:r>
            <w:r>
              <w:rPr>
                <w:spacing w:val="-4"/>
                <w:sz w:val="21"/>
              </w:rPr>
              <w:t>及拆除</w:t>
            </w:r>
          </w:p>
        </w:tc>
      </w:tr>
    </w:tbl>
    <w:p w14:paraId="214771A0">
      <w:pPr>
        <w:pStyle w:val="4"/>
        <w:spacing w:before="238"/>
        <w:ind w:left="1896"/>
      </w:pPr>
      <w:r>
        <w:t>赶工（措施项目清单</w:t>
      </w:r>
      <w:r>
        <w:rPr>
          <w:spacing w:val="-5"/>
        </w:rPr>
        <w:t>）：</w:t>
      </w:r>
    </w:p>
    <w:p w14:paraId="661BEE65">
      <w:pPr>
        <w:pStyle w:val="4"/>
        <w:spacing w:before="2"/>
        <w:rPr>
          <w:sz w:val="6"/>
        </w:rPr>
      </w:pPr>
    </w:p>
    <w:tbl>
      <w:tblPr>
        <w:tblStyle w:val="11"/>
        <w:tblW w:w="0" w:type="auto"/>
        <w:tblInd w:w="1424"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846"/>
        <w:gridCol w:w="1108"/>
        <w:gridCol w:w="1148"/>
        <w:gridCol w:w="4783"/>
      </w:tblGrid>
      <w:tr w14:paraId="65263FF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51" w:hRule="atLeast"/>
        </w:trPr>
        <w:tc>
          <w:tcPr>
            <w:tcW w:w="846" w:type="dxa"/>
            <w:tcBorders>
              <w:bottom w:val="single" w:color="000000" w:sz="4" w:space="0"/>
              <w:right w:val="single" w:color="000000" w:sz="4" w:space="0"/>
            </w:tcBorders>
          </w:tcPr>
          <w:p w14:paraId="38C9E4F2">
            <w:pPr>
              <w:pStyle w:val="15"/>
              <w:spacing w:before="53" w:line="244" w:lineRule="auto"/>
              <w:ind w:left="212" w:right="198"/>
              <w:rPr>
                <w:sz w:val="21"/>
              </w:rPr>
            </w:pPr>
            <w:r>
              <w:rPr>
                <w:spacing w:val="-6"/>
                <w:sz w:val="21"/>
              </w:rPr>
              <w:t>项目</w:t>
            </w:r>
            <w:r>
              <w:rPr>
                <w:spacing w:val="-8"/>
                <w:sz w:val="21"/>
              </w:rPr>
              <w:t>编码</w:t>
            </w:r>
          </w:p>
        </w:tc>
        <w:tc>
          <w:tcPr>
            <w:tcW w:w="1108" w:type="dxa"/>
            <w:tcBorders>
              <w:left w:val="single" w:color="000000" w:sz="4" w:space="0"/>
              <w:bottom w:val="single" w:color="000000" w:sz="4" w:space="0"/>
              <w:right w:val="single" w:color="000000" w:sz="4" w:space="0"/>
            </w:tcBorders>
          </w:tcPr>
          <w:p w14:paraId="71D3E30D">
            <w:pPr>
              <w:pStyle w:val="15"/>
              <w:spacing w:before="190"/>
              <w:ind w:left="16" w:right="2"/>
              <w:jc w:val="center"/>
              <w:rPr>
                <w:sz w:val="21"/>
              </w:rPr>
            </w:pPr>
            <w:r>
              <w:rPr>
                <w:spacing w:val="-7"/>
                <w:sz w:val="21"/>
              </w:rPr>
              <w:t>项目名称</w:t>
            </w:r>
          </w:p>
        </w:tc>
        <w:tc>
          <w:tcPr>
            <w:tcW w:w="1148" w:type="dxa"/>
            <w:tcBorders>
              <w:left w:val="single" w:color="000000" w:sz="4" w:space="0"/>
              <w:bottom w:val="single" w:color="000000" w:sz="4" w:space="0"/>
              <w:right w:val="single" w:color="000000" w:sz="4" w:space="0"/>
            </w:tcBorders>
          </w:tcPr>
          <w:p w14:paraId="7030C41A">
            <w:pPr>
              <w:pStyle w:val="15"/>
              <w:spacing w:before="190"/>
              <w:ind w:left="19" w:right="5"/>
              <w:jc w:val="center"/>
              <w:rPr>
                <w:sz w:val="21"/>
              </w:rPr>
            </w:pPr>
            <w:r>
              <w:rPr>
                <w:spacing w:val="-7"/>
                <w:sz w:val="21"/>
              </w:rPr>
              <w:t>计量单位</w:t>
            </w:r>
          </w:p>
        </w:tc>
        <w:tc>
          <w:tcPr>
            <w:tcW w:w="4783" w:type="dxa"/>
            <w:tcBorders>
              <w:left w:val="single" w:color="000000" w:sz="4" w:space="0"/>
              <w:bottom w:val="single" w:color="000000" w:sz="4" w:space="0"/>
            </w:tcBorders>
          </w:tcPr>
          <w:p w14:paraId="73C93DE4">
            <w:pPr>
              <w:pStyle w:val="15"/>
              <w:spacing w:before="190"/>
              <w:ind w:left="21"/>
              <w:jc w:val="center"/>
              <w:rPr>
                <w:sz w:val="21"/>
              </w:rPr>
            </w:pPr>
            <w:r>
              <w:rPr>
                <w:spacing w:val="-7"/>
                <w:sz w:val="21"/>
              </w:rPr>
              <w:t>工作内容</w:t>
            </w:r>
          </w:p>
        </w:tc>
      </w:tr>
      <w:tr w14:paraId="162B611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62" w:hRule="atLeast"/>
        </w:trPr>
        <w:tc>
          <w:tcPr>
            <w:tcW w:w="846" w:type="dxa"/>
            <w:tcBorders>
              <w:top w:val="single" w:color="000000" w:sz="4" w:space="0"/>
              <w:right w:val="single" w:color="000000" w:sz="4" w:space="0"/>
            </w:tcBorders>
          </w:tcPr>
          <w:p w14:paraId="0B908551">
            <w:pPr>
              <w:pStyle w:val="15"/>
              <w:rPr>
                <w:sz w:val="21"/>
              </w:rPr>
            </w:pPr>
          </w:p>
          <w:p w14:paraId="1BDAA06A">
            <w:pPr>
              <w:pStyle w:val="15"/>
              <w:spacing w:before="107"/>
              <w:rPr>
                <w:sz w:val="21"/>
              </w:rPr>
            </w:pPr>
          </w:p>
          <w:p w14:paraId="5019DC4D">
            <w:pPr>
              <w:pStyle w:val="15"/>
              <w:ind w:left="107"/>
              <w:rPr>
                <w:sz w:val="21"/>
              </w:rPr>
            </w:pPr>
            <w:r>
              <w:rPr>
                <w:spacing w:val="-2"/>
                <w:sz w:val="21"/>
              </w:rPr>
              <w:t>01B002</w:t>
            </w:r>
          </w:p>
        </w:tc>
        <w:tc>
          <w:tcPr>
            <w:tcW w:w="1108" w:type="dxa"/>
            <w:tcBorders>
              <w:top w:val="single" w:color="000000" w:sz="4" w:space="0"/>
              <w:left w:val="single" w:color="000000" w:sz="4" w:space="0"/>
              <w:right w:val="single" w:color="000000" w:sz="4" w:space="0"/>
            </w:tcBorders>
          </w:tcPr>
          <w:p w14:paraId="0EA43DC4">
            <w:pPr>
              <w:pStyle w:val="15"/>
              <w:rPr>
                <w:sz w:val="21"/>
              </w:rPr>
            </w:pPr>
          </w:p>
          <w:p w14:paraId="44590DFF">
            <w:pPr>
              <w:pStyle w:val="15"/>
              <w:spacing w:before="107"/>
              <w:rPr>
                <w:sz w:val="21"/>
              </w:rPr>
            </w:pPr>
          </w:p>
          <w:p w14:paraId="460A196E">
            <w:pPr>
              <w:pStyle w:val="15"/>
              <w:ind w:left="16"/>
              <w:jc w:val="center"/>
              <w:rPr>
                <w:sz w:val="21"/>
              </w:rPr>
            </w:pPr>
            <w:r>
              <w:rPr>
                <w:spacing w:val="-8"/>
                <w:sz w:val="21"/>
              </w:rPr>
              <w:t>赶工</w:t>
            </w:r>
          </w:p>
        </w:tc>
        <w:tc>
          <w:tcPr>
            <w:tcW w:w="1148" w:type="dxa"/>
            <w:tcBorders>
              <w:top w:val="single" w:color="000000" w:sz="4" w:space="0"/>
              <w:left w:val="single" w:color="000000" w:sz="4" w:space="0"/>
              <w:right w:val="single" w:color="000000" w:sz="4" w:space="0"/>
            </w:tcBorders>
          </w:tcPr>
          <w:p w14:paraId="00A4CD2D">
            <w:pPr>
              <w:pStyle w:val="15"/>
              <w:rPr>
                <w:sz w:val="21"/>
              </w:rPr>
            </w:pPr>
          </w:p>
          <w:p w14:paraId="1E950AF7">
            <w:pPr>
              <w:pStyle w:val="15"/>
              <w:spacing w:before="107"/>
              <w:rPr>
                <w:sz w:val="21"/>
              </w:rPr>
            </w:pPr>
          </w:p>
          <w:p w14:paraId="6BAB0C82">
            <w:pPr>
              <w:pStyle w:val="15"/>
              <w:ind w:left="19"/>
              <w:jc w:val="center"/>
              <w:rPr>
                <w:sz w:val="21"/>
              </w:rPr>
            </w:pPr>
            <w:r>
              <w:rPr>
                <w:spacing w:val="-10"/>
                <w:sz w:val="21"/>
              </w:rPr>
              <w:t>项</w:t>
            </w:r>
          </w:p>
        </w:tc>
        <w:tc>
          <w:tcPr>
            <w:tcW w:w="4783" w:type="dxa"/>
            <w:tcBorders>
              <w:top w:val="single" w:color="000000" w:sz="4" w:space="0"/>
              <w:left w:val="single" w:color="000000" w:sz="4" w:space="0"/>
            </w:tcBorders>
          </w:tcPr>
          <w:p w14:paraId="64CD9068">
            <w:pPr>
              <w:pStyle w:val="15"/>
              <w:spacing w:before="237" w:line="242" w:lineRule="auto"/>
              <w:ind w:left="113" w:right="34"/>
              <w:rPr>
                <w:sz w:val="21"/>
              </w:rPr>
            </w:pPr>
            <w:r>
              <w:rPr>
                <w:spacing w:val="-2"/>
                <w:sz w:val="21"/>
              </w:rPr>
              <w:t xml:space="preserve">施工企业为满足合同工期要求而采取的相应组织 </w:t>
            </w:r>
            <w:r>
              <w:rPr>
                <w:spacing w:val="-9"/>
                <w:sz w:val="21"/>
              </w:rPr>
              <w:t>或施工措施，包括发包人为缩短工期而要求施工企</w:t>
            </w:r>
            <w:r>
              <w:rPr>
                <w:spacing w:val="-2"/>
                <w:sz w:val="21"/>
              </w:rPr>
              <w:t>业在夜间施工所发生的夜班补助、夜间施工降效、夜间施工照明设施摊销及照明用电等。</w:t>
            </w:r>
          </w:p>
        </w:tc>
      </w:tr>
    </w:tbl>
    <w:p w14:paraId="423852FF">
      <w:pPr>
        <w:pStyle w:val="4"/>
        <w:spacing w:before="243"/>
      </w:pPr>
    </w:p>
    <w:p w14:paraId="209EE65F">
      <w:pPr>
        <w:pStyle w:val="4"/>
        <w:spacing w:line="364" w:lineRule="auto"/>
        <w:ind w:left="1416" w:right="1131" w:firstLine="480"/>
      </w:pPr>
      <w:r>
        <w:rPr>
          <w:spacing w:val="-30"/>
        </w:rPr>
        <w:t xml:space="preserve">问 </w:t>
      </w:r>
      <w:r>
        <w:t>6：某总承包合同中包含专业工程暂估价，是否可以因此计取总承包</w:t>
      </w:r>
      <w:r>
        <w:rPr>
          <w:spacing w:val="-4"/>
        </w:rPr>
        <w:t>服务费？</w:t>
      </w:r>
    </w:p>
    <w:p w14:paraId="42FD1327">
      <w:pPr>
        <w:pStyle w:val="4"/>
        <w:spacing w:before="1" w:line="364" w:lineRule="auto"/>
        <w:ind w:left="1416" w:right="1011" w:firstLine="480"/>
      </w:pPr>
      <w:r>
        <w:rPr>
          <w:spacing w:val="-7"/>
        </w:rPr>
        <w:t>答：招投标时，最高投标限价及投标报价中应对此专业工程计取总承包</w:t>
      </w:r>
      <w:r>
        <w:rPr>
          <w:spacing w:val="2"/>
        </w:rPr>
        <w:t>服务费。结算时，有以下情形之一的，应扣减该部分总承包服务费：（</w:t>
      </w:r>
      <w:r>
        <w:rPr>
          <w:spacing w:val="4"/>
        </w:rPr>
        <w:t>1</w:t>
      </w:r>
      <w:r>
        <w:t>）</w:t>
      </w:r>
      <w:r>
        <w:rPr>
          <w:spacing w:val="-8"/>
        </w:rPr>
        <w:t>该专业工程取消；</w:t>
      </w:r>
      <w:r>
        <w:t>（2</w:t>
      </w:r>
      <w:r>
        <w:rPr>
          <w:spacing w:val="-34"/>
        </w:rPr>
        <w:t>）</w:t>
      </w:r>
      <w:r>
        <w:rPr>
          <w:spacing w:val="-4"/>
        </w:rPr>
        <w:t>按相关规定该专业工程由总承包单位负责实施；（3）</w:t>
      </w:r>
      <w:r>
        <w:rPr>
          <w:spacing w:val="-3"/>
        </w:rPr>
        <w:t>该专业工程虽不是由总承包单位负责实施，但是在总承包合同工程已竣工且撤离现场后进行。</w:t>
      </w:r>
    </w:p>
    <w:p w14:paraId="7FE5C9CC">
      <w:pPr>
        <w:pStyle w:val="4"/>
        <w:spacing w:after="0" w:line="364" w:lineRule="auto"/>
        <w:sectPr>
          <w:pgSz w:w="10440" w:h="14740"/>
          <w:pgMar w:top="1100" w:right="0" w:bottom="860" w:left="0" w:header="878" w:footer="676" w:gutter="0"/>
          <w:cols w:space="720" w:num="1"/>
        </w:sectPr>
      </w:pPr>
    </w:p>
    <w:p w14:paraId="00573DDC">
      <w:pPr>
        <w:pStyle w:val="4"/>
        <w:spacing w:before="94"/>
      </w:pPr>
    </w:p>
    <w:p w14:paraId="63E69DB0">
      <w:pPr>
        <w:pStyle w:val="4"/>
        <w:spacing w:line="364" w:lineRule="auto"/>
        <w:ind w:left="1132" w:right="1414" w:firstLine="480"/>
        <w:jc w:val="both"/>
      </w:pPr>
      <w:r>
        <w:rPr>
          <w:spacing w:val="-4"/>
        </w:rPr>
        <w:t xml:space="preserve">问 </w:t>
      </w:r>
      <w:r>
        <w:rPr>
          <w:spacing w:val="-2"/>
        </w:rPr>
        <w:t>7：总承包服务费中，专业分包工程的总承包服务费以专业工程暂估价为计算基础乘以总承包服务费费率计算，且由此得出的总承包服务费不含</w:t>
      </w:r>
      <w:r>
        <w:rPr>
          <w:spacing w:val="-5"/>
        </w:rPr>
        <w:t xml:space="preserve">增值税，但 </w:t>
      </w:r>
      <w:r>
        <w:t>24</w:t>
      </w:r>
      <w:r>
        <w:rPr>
          <w:spacing w:val="-6"/>
        </w:rPr>
        <w:t xml:space="preserve"> 清单标准规定专业工程暂估价包含增值税，这样是否重复计</w:t>
      </w:r>
      <w:r>
        <w:rPr>
          <w:spacing w:val="-2"/>
        </w:rPr>
        <w:t>算了专业分包工程的增值税？</w:t>
      </w:r>
    </w:p>
    <w:p w14:paraId="4FFBC368">
      <w:pPr>
        <w:pStyle w:val="4"/>
        <w:spacing w:before="2" w:line="364" w:lineRule="auto"/>
        <w:ind w:left="1132" w:right="1414" w:firstLine="480"/>
        <w:jc w:val="both"/>
      </w:pPr>
      <w:r>
        <w:rPr>
          <w:spacing w:val="-2"/>
        </w:rPr>
        <w:t>答：没有重复计税。专业工程暂估价的增值税是另行发包的专业分包工程造价中的增值税，与编制工程（总承包工程）的增值税属于不同的发包工程。可以通俗理解为：借助另一个工程的含税造价作为基数，计算本工程的不含税总承包服务费。注意，如果该专业分包工程由总承包单位实施，则结算时应扣除该专业分包工程的总承包服务费。</w:t>
      </w:r>
    </w:p>
    <w:p w14:paraId="66175E67">
      <w:pPr>
        <w:pStyle w:val="4"/>
        <w:spacing w:before="164"/>
      </w:pPr>
    </w:p>
    <w:p w14:paraId="2503CC8F">
      <w:pPr>
        <w:pStyle w:val="4"/>
        <w:spacing w:line="364" w:lineRule="auto"/>
        <w:ind w:left="1132" w:right="1376" w:firstLine="480"/>
        <w:jc w:val="right"/>
      </w:pPr>
      <w:r>
        <w:rPr>
          <w:spacing w:val="-31"/>
        </w:rPr>
        <w:t xml:space="preserve">问 </w:t>
      </w:r>
      <w:r>
        <w:rPr>
          <w:spacing w:val="-2"/>
        </w:rPr>
        <w:t>8</w:t>
      </w:r>
      <w:r>
        <w:rPr>
          <w:spacing w:val="-17"/>
        </w:rPr>
        <w:t xml:space="preserve">：执行 </w:t>
      </w:r>
      <w:r>
        <w:rPr>
          <w:spacing w:val="-2"/>
        </w:rPr>
        <w:t>24</w:t>
      </w:r>
      <w:r>
        <w:rPr>
          <w:spacing w:val="-10"/>
        </w:rPr>
        <w:t xml:space="preserve"> 清单标准时，对于合同约定的人材机的调整，对应的措施</w:t>
      </w:r>
      <w:r>
        <w:t>项目清单中的人材机能否一起调整（</w:t>
      </w:r>
      <w:r>
        <w:rPr>
          <w:spacing w:val="-6"/>
        </w:rPr>
        <w:t xml:space="preserve">例如，合同约定材料 </w:t>
      </w:r>
      <w:r>
        <w:t>A</w:t>
      </w:r>
      <w:r>
        <w:rPr>
          <w:spacing w:val="-8"/>
        </w:rPr>
        <w:t xml:space="preserve"> 结算可调价差，措施项目清单中也包含该材料，结算时措施项目中的材料</w:t>
      </w:r>
      <w:r>
        <w:t>A</w:t>
      </w:r>
      <w:r>
        <w:rPr>
          <w:spacing w:val="-13"/>
        </w:rPr>
        <w:t xml:space="preserve"> 是否可以调整</w:t>
      </w:r>
      <w:r>
        <w:rPr>
          <w:spacing w:val="-120"/>
        </w:rPr>
        <w:t>）</w:t>
      </w:r>
      <w:r>
        <w:t>？</w:t>
      </w:r>
      <w:r>
        <w:rPr>
          <w:spacing w:val="-2"/>
        </w:rPr>
        <w:t>答：一般情况下调差仅涉及分部分项项目清单中的人材机，合同有特殊</w:t>
      </w:r>
    </w:p>
    <w:p w14:paraId="1F14BF23">
      <w:pPr>
        <w:pStyle w:val="4"/>
        <w:spacing w:before="2" w:line="364" w:lineRule="auto"/>
        <w:ind w:left="1132" w:right="1414"/>
        <w:jc w:val="both"/>
      </w:pPr>
      <w:r>
        <w:rPr>
          <w:spacing w:val="-6"/>
        </w:rPr>
        <w:t xml:space="preserve">约定的按合同约定执行。如果合同仅约定材料 </w:t>
      </w:r>
      <w:r>
        <w:rPr>
          <w:spacing w:val="-4"/>
        </w:rPr>
        <w:t>A</w:t>
      </w:r>
      <w:r>
        <w:rPr>
          <w:spacing w:val="-9"/>
        </w:rPr>
        <w:t xml:space="preserve"> 结算时可根据市场波动调整</w:t>
      </w:r>
      <w:r>
        <w:rPr>
          <w:spacing w:val="-7"/>
        </w:rPr>
        <w:t xml:space="preserve">价差，但并未明确其是否包含措施项目清单中的材料 </w:t>
      </w:r>
      <w:r>
        <w:rPr>
          <w:spacing w:val="-6"/>
        </w:rPr>
        <w:t>A</w:t>
      </w:r>
      <w:r>
        <w:rPr>
          <w:spacing w:val="-11"/>
        </w:rPr>
        <w:t xml:space="preserve">，根据 </w:t>
      </w:r>
      <w:r>
        <w:rPr>
          <w:spacing w:val="-6"/>
        </w:rPr>
        <w:t>24</w:t>
      </w:r>
      <w:r>
        <w:rPr>
          <w:spacing w:val="-10"/>
        </w:rPr>
        <w:t xml:space="preserve"> 清单标准中</w:t>
      </w:r>
      <w:r>
        <w:rPr>
          <w:spacing w:val="-6"/>
        </w:rPr>
        <w:t xml:space="preserve">措施项目清单的计价特点，应将 </w:t>
      </w:r>
      <w:r>
        <w:rPr>
          <w:spacing w:val="-4"/>
        </w:rPr>
        <w:t>A</w:t>
      </w:r>
      <w:r>
        <w:rPr>
          <w:spacing w:val="-9"/>
        </w:rPr>
        <w:t xml:space="preserve"> 材料理解为仅包含分部分项工程项目清单</w:t>
      </w:r>
      <w:r>
        <w:rPr>
          <w:spacing w:val="-12"/>
        </w:rPr>
        <w:t xml:space="preserve">中的 </w:t>
      </w:r>
      <w:r>
        <w:rPr>
          <w:spacing w:val="-6"/>
        </w:rPr>
        <w:t>A</w:t>
      </w:r>
      <w:r>
        <w:rPr>
          <w:spacing w:val="-12"/>
        </w:rPr>
        <w:t xml:space="preserve"> 材料，不包含措施项目清单中的 </w:t>
      </w:r>
      <w:r>
        <w:rPr>
          <w:spacing w:val="-6"/>
        </w:rPr>
        <w:t>A</w:t>
      </w:r>
      <w:r>
        <w:rPr>
          <w:spacing w:val="-10"/>
        </w:rPr>
        <w:t xml:space="preserve"> 材料。人工费价差、机械费价差同</w:t>
      </w:r>
      <w:r>
        <w:rPr>
          <w:spacing w:val="-6"/>
        </w:rPr>
        <w:t>理。</w:t>
      </w:r>
    </w:p>
    <w:p w14:paraId="116F704F">
      <w:pPr>
        <w:pStyle w:val="4"/>
        <w:spacing w:before="164"/>
      </w:pPr>
    </w:p>
    <w:p w14:paraId="0565A78B">
      <w:pPr>
        <w:pStyle w:val="4"/>
        <w:spacing w:line="364" w:lineRule="auto"/>
        <w:ind w:left="1132" w:right="1294" w:firstLine="480"/>
      </w:pPr>
      <w:r>
        <w:rPr>
          <w:spacing w:val="-32"/>
        </w:rPr>
        <w:t xml:space="preserve">问 </w:t>
      </w:r>
      <w:r>
        <w:rPr>
          <w:spacing w:val="-4"/>
        </w:rPr>
        <w:t>9：工程结算阶段的计价程序中，法律法规及政策性变化、工程变更、</w:t>
      </w:r>
      <w:r>
        <w:rPr>
          <w:spacing w:val="-2"/>
        </w:rPr>
        <w:t>新增工程、工程索赔、约定的其他项目调整，是否作为增值税计算基础？</w:t>
      </w:r>
    </w:p>
    <w:p w14:paraId="68D5AFF0">
      <w:pPr>
        <w:pStyle w:val="4"/>
        <w:spacing w:before="1" w:line="364" w:lineRule="auto"/>
        <w:ind w:left="1132" w:right="1294" w:firstLine="480"/>
      </w:pPr>
      <w:r>
        <w:rPr>
          <w:spacing w:val="-4"/>
        </w:rPr>
        <w:t>答：24</w:t>
      </w:r>
      <w:r>
        <w:rPr>
          <w:spacing w:val="-23"/>
        </w:rPr>
        <w:t xml:space="preserve"> 清单标准 </w:t>
      </w:r>
      <w:r>
        <w:rPr>
          <w:spacing w:val="-4"/>
        </w:rPr>
        <w:t>3.2.11</w:t>
      </w:r>
      <w:r>
        <w:rPr>
          <w:spacing w:val="-12"/>
        </w:rPr>
        <w:t xml:space="preserve"> 条规定：“增值税应以分部分项工程项目清单、</w:t>
      </w:r>
      <w:r>
        <w:rPr>
          <w:spacing w:val="-2"/>
        </w:rPr>
        <w:t>措施项目清单、其他项目清单（专业工程暂估价除外）的合计金额作为计算基础，乘以政府主管部门规定的增值税税率计算税金”工程结算阶段的计价</w:t>
      </w:r>
    </w:p>
    <w:p w14:paraId="0229F2F2">
      <w:pPr>
        <w:pStyle w:val="4"/>
        <w:spacing w:after="0" w:line="364" w:lineRule="auto"/>
        <w:sectPr>
          <w:pgSz w:w="10440" w:h="14740"/>
          <w:pgMar w:top="1100" w:right="0" w:bottom="860" w:left="0" w:header="878" w:footer="676" w:gutter="0"/>
          <w:cols w:space="720" w:num="1"/>
        </w:sectPr>
      </w:pPr>
    </w:p>
    <w:p w14:paraId="0F06D015">
      <w:pPr>
        <w:pStyle w:val="4"/>
        <w:spacing w:before="94"/>
      </w:pPr>
    </w:p>
    <w:p w14:paraId="63ADF90A">
      <w:pPr>
        <w:pStyle w:val="4"/>
        <w:spacing w:line="364" w:lineRule="auto"/>
        <w:ind w:left="1416" w:right="1011"/>
      </w:pPr>
      <w:r>
        <w:rPr>
          <w:spacing w:val="-2"/>
        </w:rPr>
        <w:t>程序中，法律法规及政策性变化、工程变更、新增工程、工程索赔、约定的</w:t>
      </w:r>
      <w:r>
        <w:rPr>
          <w:spacing w:val="-10"/>
        </w:rPr>
        <w:t>其他项目调整是否含税应看合同约定，由编制人据实处理。如该金额已含税，</w:t>
      </w:r>
      <w:r>
        <w:rPr>
          <w:spacing w:val="-2"/>
        </w:rPr>
        <w:t>汇总造价时就不再作为增值税计算基础，反之则可以计税。处理原则是同一工程项目中既不漏计税，也不重复计税。</w:t>
      </w:r>
    </w:p>
    <w:p w14:paraId="52143567">
      <w:pPr>
        <w:pStyle w:val="4"/>
        <w:spacing w:before="163"/>
      </w:pPr>
    </w:p>
    <w:p w14:paraId="75B5DB10">
      <w:pPr>
        <w:pStyle w:val="4"/>
        <w:ind w:left="1896"/>
        <w:jc w:val="both"/>
      </w:pPr>
      <w:r>
        <w:rPr>
          <w:spacing w:val="-30"/>
        </w:rPr>
        <w:t xml:space="preserve">问 </w:t>
      </w:r>
      <w:r>
        <w:t>10:24</w:t>
      </w:r>
      <w:r>
        <w:rPr>
          <w:spacing w:val="-9"/>
        </w:rPr>
        <w:t xml:space="preserve"> 清单标准实施后，签证被取消了吗？</w:t>
      </w:r>
    </w:p>
    <w:p w14:paraId="3DA4382D">
      <w:pPr>
        <w:pStyle w:val="4"/>
        <w:spacing w:before="160" w:line="364" w:lineRule="auto"/>
        <w:ind w:left="1416" w:right="1094" w:firstLine="480"/>
        <w:jc w:val="both"/>
      </w:pPr>
      <w:r>
        <w:t>答：签证没有被取消。《工程造价术语标准》（GB/T</w:t>
      </w:r>
      <w:r>
        <w:rPr>
          <w:spacing w:val="-30"/>
        </w:rPr>
        <w:t xml:space="preserve"> </w:t>
      </w:r>
      <w:r>
        <w:t>50875—2013）对</w:t>
      </w:r>
      <w:r>
        <w:rPr>
          <w:spacing w:val="-2"/>
        </w:rPr>
        <w:t>现场签证的定义是：“发包人现场代表（或其授权的监理人、工程造价咨询人</w:t>
      </w:r>
      <w:r>
        <w:rPr>
          <w:spacing w:val="-72"/>
        </w:rPr>
        <w:t>）</w:t>
      </w:r>
      <w:r>
        <w:rPr>
          <w:spacing w:val="-5"/>
        </w:rPr>
        <w:t>与承包人现场代表就施工过程中涉及的责任事件所作的签认证明。</w:t>
      </w:r>
      <w:r>
        <w:rPr>
          <w:spacing w:val="-47"/>
        </w:rPr>
        <w:t>”《最</w:t>
      </w:r>
      <w:r>
        <w:rPr>
          <w:spacing w:val="-1"/>
        </w:rPr>
        <w:t>高人民法院关于审理建设工程施工合同纠纷案件适用法律问题的解释(一)》</w:t>
      </w:r>
    </w:p>
    <w:p w14:paraId="13F9F3CA">
      <w:pPr>
        <w:pStyle w:val="4"/>
        <w:spacing w:before="3" w:line="364" w:lineRule="auto"/>
        <w:ind w:left="1416" w:right="1094"/>
        <w:jc w:val="both"/>
      </w:pPr>
      <w:r>
        <w:rPr>
          <w:spacing w:val="-4"/>
        </w:rPr>
        <w:t>（法释〔2020〕25</w:t>
      </w:r>
      <w:r>
        <w:rPr>
          <w:spacing w:val="-6"/>
        </w:rPr>
        <w:t xml:space="preserve"> 号</w:t>
      </w:r>
      <w:r>
        <w:rPr>
          <w:spacing w:val="-4"/>
        </w:rPr>
        <w:t>）规定：“当事人对工程量有争议的，按照施工过程中</w:t>
      </w:r>
      <w:r>
        <w:t>形成的签证等书面文件确认。”财政部 原建设部《建设工程价款结算暂行办法》（财建〔2004〕369</w:t>
      </w:r>
      <w:r>
        <w:rPr>
          <w:spacing w:val="-15"/>
        </w:rPr>
        <w:t xml:space="preserve"> 号</w:t>
      </w:r>
      <w:r>
        <w:t>）规定：“凡由发、承包双方授权的现场代表</w:t>
      </w:r>
      <w:r>
        <w:rPr>
          <w:spacing w:val="-2"/>
        </w:rPr>
        <w:t>签字的现场签证以及发、承包双方协商确定的索赔等费用，应在工程竣工结算中如实办理，不得因发、承包双方现场代表的中途变更改变其有效性。”可见，现行有效的技术标准、司法解释及部门规章均保留了“签证”这一概</w:t>
      </w:r>
      <w:r>
        <w:t xml:space="preserve">念。24 清单标准实施后，签证本身不会消失，也不可能被禁止。只不过在 </w:t>
      </w:r>
      <w:r>
        <w:rPr>
          <w:spacing w:val="-4"/>
        </w:rPr>
        <w:t>24</w:t>
      </w:r>
      <w:r>
        <w:rPr>
          <w:spacing w:val="-10"/>
        </w:rPr>
        <w:t xml:space="preserve"> 清单标准里，签证还原了“临时性文件”这一属性，签证对合同价款的影</w:t>
      </w:r>
    </w:p>
    <w:p w14:paraId="2B9C4C85">
      <w:pPr>
        <w:pStyle w:val="4"/>
        <w:spacing w:before="5" w:line="364" w:lineRule="auto"/>
        <w:ind w:left="1416" w:right="1131"/>
        <w:jc w:val="both"/>
      </w:pPr>
      <w:r>
        <w:rPr>
          <w:spacing w:val="-6"/>
        </w:rPr>
        <w:t xml:space="preserve">响应通过计价标准第 </w:t>
      </w:r>
      <w:r>
        <w:rPr>
          <w:spacing w:val="-4"/>
        </w:rPr>
        <w:t>8.1.1</w:t>
      </w:r>
      <w:r>
        <w:rPr>
          <w:spacing w:val="-9"/>
        </w:rPr>
        <w:t xml:space="preserve"> 条规定的合同价款调整事项予以体现，合同另有</w:t>
      </w:r>
      <w:r>
        <w:rPr>
          <w:spacing w:val="-2"/>
        </w:rPr>
        <w:t>约定的，从其约定。</w:t>
      </w:r>
    </w:p>
    <w:p w14:paraId="408E743E">
      <w:pPr>
        <w:pStyle w:val="4"/>
        <w:spacing w:before="161"/>
      </w:pPr>
    </w:p>
    <w:p w14:paraId="1F9AFEFE">
      <w:pPr>
        <w:pStyle w:val="4"/>
        <w:ind w:left="1896"/>
      </w:pPr>
      <w:r>
        <w:rPr>
          <w:spacing w:val="-19"/>
        </w:rPr>
        <w:t xml:space="preserve">问 </w:t>
      </w:r>
      <w:r>
        <w:rPr>
          <w:spacing w:val="-4"/>
        </w:rPr>
        <w:t>11</w:t>
      </w:r>
      <w:r>
        <w:rPr>
          <w:spacing w:val="-5"/>
        </w:rPr>
        <w:t>：举例说明如何按照算术平均法计算某个周期的人工成本综合指数。</w:t>
      </w:r>
    </w:p>
    <w:p w14:paraId="2DD7DDF8">
      <w:pPr>
        <w:pStyle w:val="4"/>
        <w:spacing w:before="161" w:line="364" w:lineRule="auto"/>
        <w:ind w:left="1416" w:right="1011" w:firstLine="480"/>
      </w:pPr>
      <w:r>
        <w:rPr>
          <w:spacing w:val="-15"/>
        </w:rPr>
        <w:t>答：周期人工成本综合指数计算的关键在于，多个指数进行算术平均时，</w:t>
      </w:r>
      <w:r>
        <w:rPr>
          <w:spacing w:val="-2"/>
        </w:rPr>
        <w:t>是按月度平均，而不是按季度平均。</w:t>
      </w:r>
    </w:p>
    <w:p w14:paraId="52BD9170">
      <w:pPr>
        <w:pStyle w:val="4"/>
        <w:spacing w:before="1"/>
        <w:ind w:left="1896"/>
      </w:pPr>
      <w:r>
        <w:rPr>
          <w:spacing w:val="-3"/>
        </w:rPr>
        <w:t>举例如下：武汉某建设工程，合同约定的人工费调整周期为一年，施工</w:t>
      </w:r>
    </w:p>
    <w:p w14:paraId="3BE69DDF">
      <w:pPr>
        <w:pStyle w:val="4"/>
        <w:spacing w:after="0"/>
        <w:sectPr>
          <w:pgSz w:w="10440" w:h="14740"/>
          <w:pgMar w:top="1100" w:right="0" w:bottom="860" w:left="0" w:header="878" w:footer="676" w:gutter="0"/>
          <w:cols w:space="720" w:num="1"/>
        </w:sectPr>
      </w:pPr>
    </w:p>
    <w:p w14:paraId="4D9538DF">
      <w:pPr>
        <w:pStyle w:val="4"/>
        <w:spacing w:before="94"/>
      </w:pPr>
    </w:p>
    <w:p w14:paraId="5772F9B0">
      <w:pPr>
        <w:pStyle w:val="4"/>
        <w:spacing w:line="364" w:lineRule="auto"/>
        <w:ind w:left="1132" w:right="1414"/>
        <w:jc w:val="both"/>
      </w:pPr>
      <w:r>
        <w:rPr>
          <w:spacing w:val="-16"/>
        </w:rPr>
        <w:t>期为 2022</w:t>
      </w:r>
      <w:r>
        <w:rPr>
          <w:spacing w:val="-15"/>
        </w:rPr>
        <w:t xml:space="preserve"> 年 </w:t>
      </w:r>
      <w:r>
        <w:rPr>
          <w:spacing w:val="-16"/>
        </w:rPr>
        <w:t>2 月至 2023</w:t>
      </w:r>
      <w:r>
        <w:rPr>
          <w:spacing w:val="-15"/>
        </w:rPr>
        <w:t xml:space="preserve"> 年 </w:t>
      </w:r>
      <w:r>
        <w:rPr>
          <w:spacing w:val="-16"/>
        </w:rPr>
        <w:t>1 月。基准期为 2021</w:t>
      </w:r>
      <w:r>
        <w:rPr>
          <w:spacing w:val="-15"/>
        </w:rPr>
        <w:t xml:space="preserve"> 年 </w:t>
      </w:r>
      <w:r>
        <w:rPr>
          <w:spacing w:val="-16"/>
        </w:rPr>
        <w:t>11 月，合同分部分项工</w:t>
      </w:r>
      <w:r>
        <w:rPr>
          <w:spacing w:val="-8"/>
        </w:rPr>
        <w:t xml:space="preserve">程项目清单中不含增值税人工费 </w:t>
      </w:r>
      <w:r>
        <w:rPr>
          <w:spacing w:val="-6"/>
        </w:rPr>
        <w:t>A</w:t>
      </w:r>
      <w:r>
        <w:rPr>
          <w:spacing w:val="-18"/>
        </w:rPr>
        <w:t xml:space="preserve"> 为 </w:t>
      </w:r>
      <w:r>
        <w:rPr>
          <w:spacing w:val="-6"/>
        </w:rPr>
        <w:t>200</w:t>
      </w:r>
      <w:r>
        <w:rPr>
          <w:spacing w:val="-10"/>
        </w:rPr>
        <w:t xml:space="preserve"> 万元。使用武汉市发布的人工成本</w:t>
      </w:r>
      <w:r>
        <w:rPr>
          <w:spacing w:val="-2"/>
        </w:rPr>
        <w:t>综合指数计算人工费价差调整金额（不含增值税）。</w:t>
      </w:r>
    </w:p>
    <w:p w14:paraId="2D25E92F">
      <w:pPr>
        <w:pStyle w:val="4"/>
        <w:spacing w:before="2"/>
        <w:ind w:left="1612"/>
      </w:pPr>
      <w:r>
        <w:rPr>
          <w:spacing w:val="-2"/>
        </w:rPr>
        <w:t>计算步骤：</w:t>
      </w:r>
    </w:p>
    <w:p w14:paraId="0E8BDC2F">
      <w:pPr>
        <w:pStyle w:val="14"/>
        <w:numPr>
          <w:ilvl w:val="0"/>
          <w:numId w:val="33"/>
        </w:numPr>
        <w:tabs>
          <w:tab w:val="left" w:pos="1852"/>
        </w:tabs>
        <w:spacing w:before="160" w:after="0" w:line="240" w:lineRule="auto"/>
        <w:ind w:left="1852" w:right="0" w:hanging="240"/>
        <w:jc w:val="both"/>
        <w:rPr>
          <w:sz w:val="22"/>
        </w:rPr>
      </w:pPr>
      <w:r>
        <w:rPr>
          <w:spacing w:val="-5"/>
          <w:sz w:val="24"/>
        </w:rPr>
        <w:t>计算周期人工成本综合指数 Pn</w:t>
      </w:r>
    </w:p>
    <w:p w14:paraId="6D605666">
      <w:pPr>
        <w:pStyle w:val="4"/>
        <w:spacing w:before="161" w:line="364" w:lineRule="auto"/>
        <w:ind w:left="1132" w:right="1294" w:firstLine="480"/>
        <w:jc w:val="both"/>
      </w:pPr>
      <w:r>
        <w:rPr>
          <w:spacing w:val="-4"/>
        </w:rPr>
        <w:t>2022</w:t>
      </w:r>
      <w:r>
        <w:rPr>
          <w:spacing w:val="-19"/>
        </w:rPr>
        <w:t xml:space="preserve"> 年 </w:t>
      </w:r>
      <w:r>
        <w:rPr>
          <w:spacing w:val="-4"/>
        </w:rPr>
        <w:t>1—4</w:t>
      </w:r>
      <w:r>
        <w:rPr>
          <w:spacing w:val="-10"/>
        </w:rPr>
        <w:t xml:space="preserve"> 季度、</w:t>
      </w:r>
      <w:r>
        <w:rPr>
          <w:spacing w:val="-4"/>
        </w:rPr>
        <w:t>2023</w:t>
      </w:r>
      <w:r>
        <w:rPr>
          <w:spacing w:val="-19"/>
        </w:rPr>
        <w:t xml:space="preserve"> 年 </w:t>
      </w:r>
      <w:r>
        <w:rPr>
          <w:spacing w:val="-4"/>
        </w:rPr>
        <w:t>1</w:t>
      </w:r>
      <w:r>
        <w:rPr>
          <w:spacing w:val="-9"/>
        </w:rPr>
        <w:t xml:space="preserve"> 季度武汉市发布的人工成本综合指数分别</w:t>
      </w:r>
      <w:r>
        <w:rPr>
          <w:spacing w:val="-2"/>
        </w:rPr>
        <w:t>为：100.81%、100.96%、99.70%、99.86%、98.22%，根据每月的指数等于当</w:t>
      </w:r>
      <w:r>
        <w:rPr>
          <w:spacing w:val="-4"/>
        </w:rPr>
        <w:t>季的指数，2022</w:t>
      </w:r>
      <w:r>
        <w:rPr>
          <w:spacing w:val="-39"/>
        </w:rPr>
        <w:t xml:space="preserve"> 年 </w:t>
      </w:r>
      <w:r>
        <w:rPr>
          <w:spacing w:val="-4"/>
        </w:rPr>
        <w:t>2</w:t>
      </w:r>
      <w:r>
        <w:rPr>
          <w:spacing w:val="-30"/>
        </w:rPr>
        <w:t xml:space="preserve"> 月至 </w:t>
      </w:r>
      <w:r>
        <w:rPr>
          <w:spacing w:val="-4"/>
        </w:rPr>
        <w:t>2023</w:t>
      </w:r>
      <w:r>
        <w:rPr>
          <w:spacing w:val="-38"/>
        </w:rPr>
        <w:t xml:space="preserve"> 年 </w:t>
      </w:r>
      <w:r>
        <w:rPr>
          <w:spacing w:val="-4"/>
        </w:rPr>
        <w:t>1</w:t>
      </w:r>
      <w:r>
        <w:rPr>
          <w:spacing w:val="-12"/>
        </w:rPr>
        <w:t xml:space="preserve"> 月期间每月的人工成本综合指数分别为：</w:t>
      </w:r>
    </w:p>
    <w:p w14:paraId="428E3FA7">
      <w:pPr>
        <w:pStyle w:val="4"/>
        <w:rPr>
          <w:sz w:val="6"/>
        </w:rPr>
      </w:pPr>
    </w:p>
    <w:tbl>
      <w:tblPr>
        <w:tblStyle w:val="11"/>
        <w:tblW w:w="0" w:type="auto"/>
        <w:tblInd w:w="1653"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979"/>
        <w:gridCol w:w="979"/>
        <w:gridCol w:w="979"/>
        <w:gridCol w:w="979"/>
        <w:gridCol w:w="979"/>
        <w:gridCol w:w="979"/>
        <w:gridCol w:w="982"/>
      </w:tblGrid>
      <w:tr w14:paraId="08C236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29" w:hRule="atLeast"/>
        </w:trPr>
        <w:tc>
          <w:tcPr>
            <w:tcW w:w="979" w:type="dxa"/>
            <w:tcBorders>
              <w:left w:val="nil"/>
              <w:bottom w:val="single" w:color="000000" w:sz="4" w:space="0"/>
              <w:right w:val="single" w:color="000000" w:sz="4" w:space="0"/>
            </w:tcBorders>
          </w:tcPr>
          <w:p w14:paraId="468594A6">
            <w:pPr>
              <w:pStyle w:val="15"/>
              <w:spacing w:before="230"/>
              <w:ind w:left="4" w:right="3"/>
              <w:jc w:val="center"/>
              <w:rPr>
                <w:sz w:val="21"/>
              </w:rPr>
            </w:pPr>
            <w:r>
              <w:rPr>
                <w:spacing w:val="-8"/>
                <w:sz w:val="21"/>
              </w:rPr>
              <w:t>月份</w:t>
            </w:r>
          </w:p>
        </w:tc>
        <w:tc>
          <w:tcPr>
            <w:tcW w:w="979" w:type="dxa"/>
            <w:tcBorders>
              <w:left w:val="single" w:color="000000" w:sz="4" w:space="0"/>
              <w:bottom w:val="single" w:color="000000" w:sz="4" w:space="0"/>
              <w:right w:val="single" w:color="000000" w:sz="4" w:space="0"/>
            </w:tcBorders>
          </w:tcPr>
          <w:p w14:paraId="7912C28B">
            <w:pPr>
              <w:pStyle w:val="15"/>
              <w:spacing w:before="73"/>
              <w:ind w:left="1" w:right="2"/>
              <w:jc w:val="center"/>
              <w:rPr>
                <w:sz w:val="21"/>
              </w:rPr>
            </w:pPr>
            <w:r>
              <w:rPr>
                <w:spacing w:val="-2"/>
                <w:sz w:val="21"/>
              </w:rPr>
              <w:t>2022</w:t>
            </w:r>
            <w:r>
              <w:rPr>
                <w:spacing w:val="-30"/>
                <w:sz w:val="21"/>
              </w:rPr>
              <w:t xml:space="preserve"> 年</w:t>
            </w:r>
          </w:p>
          <w:p w14:paraId="19BB6A26">
            <w:pPr>
              <w:pStyle w:val="15"/>
              <w:spacing w:before="43"/>
              <w:ind w:left="1" w:right="2"/>
              <w:jc w:val="center"/>
              <w:rPr>
                <w:sz w:val="21"/>
              </w:rPr>
            </w:pPr>
            <w:r>
              <w:rPr>
                <w:spacing w:val="-2"/>
                <w:sz w:val="21"/>
              </w:rPr>
              <w:t>2</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572A111F">
            <w:pPr>
              <w:pStyle w:val="15"/>
              <w:spacing w:before="73"/>
              <w:ind w:left="2" w:right="2"/>
              <w:jc w:val="center"/>
              <w:rPr>
                <w:sz w:val="21"/>
              </w:rPr>
            </w:pPr>
            <w:r>
              <w:rPr>
                <w:spacing w:val="-2"/>
                <w:sz w:val="21"/>
              </w:rPr>
              <w:t>2022</w:t>
            </w:r>
            <w:r>
              <w:rPr>
                <w:spacing w:val="-30"/>
                <w:sz w:val="21"/>
              </w:rPr>
              <w:t xml:space="preserve"> 年</w:t>
            </w:r>
          </w:p>
          <w:p w14:paraId="74190DCF">
            <w:pPr>
              <w:pStyle w:val="15"/>
              <w:spacing w:before="43"/>
              <w:ind w:left="2" w:right="2"/>
              <w:jc w:val="center"/>
              <w:rPr>
                <w:sz w:val="21"/>
              </w:rPr>
            </w:pPr>
            <w:r>
              <w:rPr>
                <w:spacing w:val="-2"/>
                <w:sz w:val="21"/>
              </w:rPr>
              <w:t>3</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77154CD3">
            <w:pPr>
              <w:pStyle w:val="15"/>
              <w:spacing w:before="73"/>
              <w:ind w:left="2" w:right="2"/>
              <w:jc w:val="center"/>
              <w:rPr>
                <w:sz w:val="21"/>
              </w:rPr>
            </w:pPr>
            <w:r>
              <w:rPr>
                <w:spacing w:val="-2"/>
                <w:sz w:val="21"/>
              </w:rPr>
              <w:t>2022</w:t>
            </w:r>
            <w:r>
              <w:rPr>
                <w:spacing w:val="-30"/>
                <w:sz w:val="21"/>
              </w:rPr>
              <w:t xml:space="preserve"> 年</w:t>
            </w:r>
          </w:p>
          <w:p w14:paraId="42C5F8AE">
            <w:pPr>
              <w:pStyle w:val="15"/>
              <w:spacing w:before="43"/>
              <w:ind w:left="2" w:right="2"/>
              <w:jc w:val="center"/>
              <w:rPr>
                <w:sz w:val="21"/>
              </w:rPr>
            </w:pPr>
            <w:r>
              <w:rPr>
                <w:spacing w:val="-2"/>
                <w:sz w:val="21"/>
              </w:rPr>
              <w:t>4</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68DF2795">
            <w:pPr>
              <w:pStyle w:val="15"/>
              <w:spacing w:before="73"/>
              <w:ind w:left="1" w:right="2"/>
              <w:jc w:val="center"/>
              <w:rPr>
                <w:sz w:val="21"/>
              </w:rPr>
            </w:pPr>
            <w:r>
              <w:rPr>
                <w:spacing w:val="-2"/>
                <w:sz w:val="21"/>
              </w:rPr>
              <w:t>2022</w:t>
            </w:r>
            <w:r>
              <w:rPr>
                <w:spacing w:val="-30"/>
                <w:sz w:val="21"/>
              </w:rPr>
              <w:t xml:space="preserve"> 年</w:t>
            </w:r>
          </w:p>
          <w:p w14:paraId="418D89D1">
            <w:pPr>
              <w:pStyle w:val="15"/>
              <w:spacing w:before="43"/>
              <w:ind w:left="1" w:right="2"/>
              <w:jc w:val="center"/>
              <w:rPr>
                <w:sz w:val="21"/>
              </w:rPr>
            </w:pPr>
            <w:r>
              <w:rPr>
                <w:spacing w:val="-2"/>
                <w:sz w:val="21"/>
              </w:rPr>
              <w:t>5</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0EC3FA51">
            <w:pPr>
              <w:pStyle w:val="15"/>
              <w:spacing w:before="73"/>
              <w:ind w:left="1" w:right="2"/>
              <w:jc w:val="center"/>
              <w:rPr>
                <w:sz w:val="21"/>
              </w:rPr>
            </w:pPr>
            <w:r>
              <w:rPr>
                <w:spacing w:val="-2"/>
                <w:sz w:val="21"/>
              </w:rPr>
              <w:t>2022</w:t>
            </w:r>
            <w:r>
              <w:rPr>
                <w:spacing w:val="-30"/>
                <w:sz w:val="21"/>
              </w:rPr>
              <w:t xml:space="preserve"> 年</w:t>
            </w:r>
          </w:p>
          <w:p w14:paraId="6F0ECE65">
            <w:pPr>
              <w:pStyle w:val="15"/>
              <w:spacing w:before="43"/>
              <w:ind w:right="2"/>
              <w:jc w:val="center"/>
              <w:rPr>
                <w:sz w:val="21"/>
              </w:rPr>
            </w:pPr>
            <w:r>
              <w:rPr>
                <w:spacing w:val="-2"/>
                <w:sz w:val="21"/>
              </w:rPr>
              <w:t>6</w:t>
            </w:r>
            <w:r>
              <w:rPr>
                <w:spacing w:val="-31"/>
                <w:sz w:val="21"/>
              </w:rPr>
              <w:t xml:space="preserve"> 月</w:t>
            </w:r>
          </w:p>
        </w:tc>
        <w:tc>
          <w:tcPr>
            <w:tcW w:w="982" w:type="dxa"/>
            <w:tcBorders>
              <w:left w:val="single" w:color="000000" w:sz="4" w:space="0"/>
              <w:bottom w:val="single" w:color="000000" w:sz="4" w:space="0"/>
              <w:right w:val="nil"/>
            </w:tcBorders>
          </w:tcPr>
          <w:p w14:paraId="67FD7C4F">
            <w:pPr>
              <w:pStyle w:val="15"/>
              <w:spacing w:before="73"/>
              <w:ind w:right="7"/>
              <w:jc w:val="center"/>
              <w:rPr>
                <w:sz w:val="21"/>
              </w:rPr>
            </w:pPr>
            <w:r>
              <w:rPr>
                <w:spacing w:val="-2"/>
                <w:sz w:val="21"/>
              </w:rPr>
              <w:t>2022</w:t>
            </w:r>
            <w:r>
              <w:rPr>
                <w:spacing w:val="-30"/>
                <w:sz w:val="21"/>
              </w:rPr>
              <w:t xml:space="preserve"> 年</w:t>
            </w:r>
          </w:p>
          <w:p w14:paraId="7D0EA962">
            <w:pPr>
              <w:pStyle w:val="15"/>
              <w:spacing w:before="43"/>
              <w:ind w:left="3" w:right="7"/>
              <w:jc w:val="center"/>
              <w:rPr>
                <w:sz w:val="21"/>
              </w:rPr>
            </w:pPr>
            <w:r>
              <w:rPr>
                <w:spacing w:val="-2"/>
                <w:sz w:val="21"/>
              </w:rPr>
              <w:t>7</w:t>
            </w:r>
            <w:r>
              <w:rPr>
                <w:spacing w:val="-31"/>
                <w:sz w:val="21"/>
              </w:rPr>
              <w:t xml:space="preserve"> 月</w:t>
            </w:r>
          </w:p>
        </w:tc>
      </w:tr>
      <w:tr w14:paraId="3632C86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28" w:hRule="atLeast"/>
        </w:trPr>
        <w:tc>
          <w:tcPr>
            <w:tcW w:w="979" w:type="dxa"/>
            <w:tcBorders>
              <w:top w:val="single" w:color="000000" w:sz="4" w:space="0"/>
              <w:left w:val="nil"/>
              <w:right w:val="single" w:color="000000" w:sz="4" w:space="0"/>
            </w:tcBorders>
          </w:tcPr>
          <w:p w14:paraId="05210621">
            <w:pPr>
              <w:pStyle w:val="15"/>
              <w:spacing w:before="74"/>
              <w:ind w:left="4" w:right="1"/>
              <w:jc w:val="center"/>
              <w:rPr>
                <w:sz w:val="21"/>
              </w:rPr>
            </w:pPr>
            <w:r>
              <w:rPr>
                <w:spacing w:val="-7"/>
                <w:sz w:val="21"/>
              </w:rPr>
              <w:t>人工指数</w:t>
            </w:r>
          </w:p>
          <w:p w14:paraId="1BB51765">
            <w:pPr>
              <w:pStyle w:val="15"/>
              <w:spacing w:before="42"/>
              <w:ind w:left="4"/>
              <w:jc w:val="center"/>
              <w:rPr>
                <w:sz w:val="21"/>
              </w:rPr>
            </w:pPr>
            <w:r>
              <w:rPr>
                <w:spacing w:val="-10"/>
                <w:sz w:val="21"/>
              </w:rPr>
              <w:t>%</w:t>
            </w:r>
          </w:p>
        </w:tc>
        <w:tc>
          <w:tcPr>
            <w:tcW w:w="979" w:type="dxa"/>
            <w:tcBorders>
              <w:top w:val="single" w:color="000000" w:sz="4" w:space="0"/>
              <w:left w:val="single" w:color="000000" w:sz="4" w:space="0"/>
              <w:right w:val="single" w:color="000000" w:sz="4" w:space="0"/>
            </w:tcBorders>
          </w:tcPr>
          <w:p w14:paraId="32621350">
            <w:pPr>
              <w:pStyle w:val="15"/>
              <w:spacing w:before="229"/>
              <w:ind w:left="2" w:right="2"/>
              <w:jc w:val="center"/>
              <w:rPr>
                <w:sz w:val="21"/>
              </w:rPr>
            </w:pPr>
            <w:r>
              <w:rPr>
                <w:spacing w:val="-2"/>
                <w:sz w:val="21"/>
              </w:rPr>
              <w:t>100.81</w:t>
            </w:r>
          </w:p>
        </w:tc>
        <w:tc>
          <w:tcPr>
            <w:tcW w:w="979" w:type="dxa"/>
            <w:tcBorders>
              <w:top w:val="single" w:color="000000" w:sz="4" w:space="0"/>
              <w:left w:val="single" w:color="000000" w:sz="4" w:space="0"/>
              <w:right w:val="single" w:color="000000" w:sz="4" w:space="0"/>
            </w:tcBorders>
          </w:tcPr>
          <w:p w14:paraId="255431BB">
            <w:pPr>
              <w:pStyle w:val="15"/>
              <w:spacing w:before="229"/>
              <w:ind w:left="1" w:right="2"/>
              <w:jc w:val="center"/>
              <w:rPr>
                <w:sz w:val="21"/>
              </w:rPr>
            </w:pPr>
            <w:r>
              <w:rPr>
                <w:spacing w:val="-2"/>
                <w:sz w:val="21"/>
              </w:rPr>
              <w:t>100.81</w:t>
            </w:r>
          </w:p>
        </w:tc>
        <w:tc>
          <w:tcPr>
            <w:tcW w:w="979" w:type="dxa"/>
            <w:tcBorders>
              <w:top w:val="single" w:color="000000" w:sz="4" w:space="0"/>
              <w:left w:val="single" w:color="000000" w:sz="4" w:space="0"/>
              <w:right w:val="single" w:color="000000" w:sz="4" w:space="0"/>
            </w:tcBorders>
          </w:tcPr>
          <w:p w14:paraId="4A608AEC">
            <w:pPr>
              <w:pStyle w:val="15"/>
              <w:spacing w:before="229"/>
              <w:ind w:left="1" w:right="2"/>
              <w:jc w:val="center"/>
              <w:rPr>
                <w:sz w:val="21"/>
              </w:rPr>
            </w:pPr>
            <w:r>
              <w:rPr>
                <w:spacing w:val="-2"/>
                <w:sz w:val="21"/>
              </w:rPr>
              <w:t>100.96</w:t>
            </w:r>
          </w:p>
        </w:tc>
        <w:tc>
          <w:tcPr>
            <w:tcW w:w="979" w:type="dxa"/>
            <w:tcBorders>
              <w:top w:val="single" w:color="000000" w:sz="4" w:space="0"/>
              <w:left w:val="single" w:color="000000" w:sz="4" w:space="0"/>
              <w:right w:val="single" w:color="000000" w:sz="4" w:space="0"/>
            </w:tcBorders>
          </w:tcPr>
          <w:p w14:paraId="421ADF93">
            <w:pPr>
              <w:pStyle w:val="15"/>
              <w:spacing w:before="229"/>
              <w:ind w:left="2" w:right="2"/>
              <w:jc w:val="center"/>
              <w:rPr>
                <w:sz w:val="21"/>
              </w:rPr>
            </w:pPr>
            <w:r>
              <w:rPr>
                <w:spacing w:val="-2"/>
                <w:sz w:val="21"/>
              </w:rPr>
              <w:t>100.96</w:t>
            </w:r>
          </w:p>
        </w:tc>
        <w:tc>
          <w:tcPr>
            <w:tcW w:w="979" w:type="dxa"/>
            <w:tcBorders>
              <w:top w:val="single" w:color="000000" w:sz="4" w:space="0"/>
              <w:left w:val="single" w:color="000000" w:sz="4" w:space="0"/>
              <w:right w:val="single" w:color="000000" w:sz="4" w:space="0"/>
            </w:tcBorders>
          </w:tcPr>
          <w:p w14:paraId="7E1DDAF7">
            <w:pPr>
              <w:pStyle w:val="15"/>
              <w:spacing w:before="229"/>
              <w:ind w:left="2" w:right="2"/>
              <w:jc w:val="center"/>
              <w:rPr>
                <w:sz w:val="21"/>
              </w:rPr>
            </w:pPr>
            <w:r>
              <w:rPr>
                <w:spacing w:val="-2"/>
                <w:sz w:val="21"/>
              </w:rPr>
              <w:t>100.96</w:t>
            </w:r>
          </w:p>
        </w:tc>
        <w:tc>
          <w:tcPr>
            <w:tcW w:w="982" w:type="dxa"/>
            <w:tcBorders>
              <w:top w:val="single" w:color="000000" w:sz="4" w:space="0"/>
              <w:left w:val="single" w:color="000000" w:sz="4" w:space="0"/>
              <w:right w:val="nil"/>
            </w:tcBorders>
          </w:tcPr>
          <w:p w14:paraId="61056B82">
            <w:pPr>
              <w:pStyle w:val="15"/>
              <w:spacing w:before="229"/>
              <w:ind w:left="4" w:right="7"/>
              <w:jc w:val="center"/>
              <w:rPr>
                <w:sz w:val="21"/>
              </w:rPr>
            </w:pPr>
            <w:r>
              <w:rPr>
                <w:spacing w:val="-4"/>
                <w:sz w:val="21"/>
              </w:rPr>
              <w:t>99.7</w:t>
            </w:r>
          </w:p>
        </w:tc>
      </w:tr>
      <w:tr w14:paraId="62F79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29" w:hRule="atLeast"/>
        </w:trPr>
        <w:tc>
          <w:tcPr>
            <w:tcW w:w="979" w:type="dxa"/>
            <w:tcBorders>
              <w:left w:val="nil"/>
              <w:bottom w:val="single" w:color="000000" w:sz="4" w:space="0"/>
              <w:right w:val="single" w:color="000000" w:sz="4" w:space="0"/>
            </w:tcBorders>
          </w:tcPr>
          <w:p w14:paraId="71A5A4DC">
            <w:pPr>
              <w:pStyle w:val="15"/>
              <w:spacing w:before="229"/>
              <w:ind w:left="4" w:right="3"/>
              <w:jc w:val="center"/>
              <w:rPr>
                <w:sz w:val="21"/>
              </w:rPr>
            </w:pPr>
            <w:r>
              <w:rPr>
                <w:spacing w:val="-8"/>
                <w:sz w:val="21"/>
              </w:rPr>
              <w:t>月份</w:t>
            </w:r>
          </w:p>
        </w:tc>
        <w:tc>
          <w:tcPr>
            <w:tcW w:w="979" w:type="dxa"/>
            <w:tcBorders>
              <w:left w:val="single" w:color="000000" w:sz="4" w:space="0"/>
              <w:bottom w:val="single" w:color="000000" w:sz="4" w:space="0"/>
              <w:right w:val="single" w:color="000000" w:sz="4" w:space="0"/>
            </w:tcBorders>
          </w:tcPr>
          <w:p w14:paraId="19112BA2">
            <w:pPr>
              <w:pStyle w:val="15"/>
              <w:spacing w:before="73"/>
              <w:ind w:left="1" w:right="2"/>
              <w:jc w:val="center"/>
              <w:rPr>
                <w:sz w:val="21"/>
              </w:rPr>
            </w:pPr>
            <w:r>
              <w:rPr>
                <w:spacing w:val="-2"/>
                <w:sz w:val="21"/>
              </w:rPr>
              <w:t>2022</w:t>
            </w:r>
            <w:r>
              <w:rPr>
                <w:spacing w:val="-30"/>
                <w:sz w:val="21"/>
              </w:rPr>
              <w:t xml:space="preserve"> 年</w:t>
            </w:r>
          </w:p>
          <w:p w14:paraId="6DED5EAE">
            <w:pPr>
              <w:pStyle w:val="15"/>
              <w:spacing w:before="43"/>
              <w:ind w:left="1" w:right="2"/>
              <w:jc w:val="center"/>
              <w:rPr>
                <w:sz w:val="21"/>
              </w:rPr>
            </w:pPr>
            <w:r>
              <w:rPr>
                <w:spacing w:val="-2"/>
                <w:sz w:val="21"/>
              </w:rPr>
              <w:t>8</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3E859F5E">
            <w:pPr>
              <w:pStyle w:val="15"/>
              <w:spacing w:before="73"/>
              <w:ind w:left="2" w:right="2"/>
              <w:jc w:val="center"/>
              <w:rPr>
                <w:sz w:val="21"/>
              </w:rPr>
            </w:pPr>
            <w:r>
              <w:rPr>
                <w:spacing w:val="-2"/>
                <w:sz w:val="21"/>
              </w:rPr>
              <w:t>2022</w:t>
            </w:r>
            <w:r>
              <w:rPr>
                <w:spacing w:val="-30"/>
                <w:sz w:val="21"/>
              </w:rPr>
              <w:t xml:space="preserve"> 年</w:t>
            </w:r>
          </w:p>
          <w:p w14:paraId="6D8D5CD3">
            <w:pPr>
              <w:pStyle w:val="15"/>
              <w:spacing w:before="43"/>
              <w:ind w:left="2" w:right="2"/>
              <w:jc w:val="center"/>
              <w:rPr>
                <w:sz w:val="21"/>
              </w:rPr>
            </w:pPr>
            <w:r>
              <w:rPr>
                <w:spacing w:val="-2"/>
                <w:sz w:val="21"/>
              </w:rPr>
              <w:t>9</w:t>
            </w:r>
            <w:r>
              <w:rPr>
                <w:spacing w:val="-32"/>
                <w:sz w:val="21"/>
              </w:rPr>
              <w:t xml:space="preserve"> 月</w:t>
            </w:r>
          </w:p>
        </w:tc>
        <w:tc>
          <w:tcPr>
            <w:tcW w:w="979" w:type="dxa"/>
            <w:tcBorders>
              <w:left w:val="single" w:color="000000" w:sz="4" w:space="0"/>
              <w:bottom w:val="single" w:color="000000" w:sz="4" w:space="0"/>
              <w:right w:val="single" w:color="000000" w:sz="4" w:space="0"/>
            </w:tcBorders>
          </w:tcPr>
          <w:p w14:paraId="004797B7">
            <w:pPr>
              <w:pStyle w:val="15"/>
              <w:spacing w:before="73"/>
              <w:ind w:left="2" w:right="2"/>
              <w:jc w:val="center"/>
              <w:rPr>
                <w:sz w:val="21"/>
              </w:rPr>
            </w:pPr>
            <w:r>
              <w:rPr>
                <w:spacing w:val="-2"/>
                <w:sz w:val="21"/>
              </w:rPr>
              <w:t>2022</w:t>
            </w:r>
            <w:r>
              <w:rPr>
                <w:spacing w:val="-30"/>
                <w:sz w:val="21"/>
              </w:rPr>
              <w:t xml:space="preserve"> 年</w:t>
            </w:r>
          </w:p>
          <w:p w14:paraId="3F15D08D">
            <w:pPr>
              <w:pStyle w:val="15"/>
              <w:spacing w:before="43"/>
              <w:ind w:left="2" w:right="2"/>
              <w:jc w:val="center"/>
              <w:rPr>
                <w:sz w:val="21"/>
              </w:rPr>
            </w:pPr>
            <w:r>
              <w:rPr>
                <w:spacing w:val="-2"/>
                <w:sz w:val="21"/>
              </w:rPr>
              <w:t>10</w:t>
            </w:r>
            <w:r>
              <w:rPr>
                <w:spacing w:val="-31"/>
                <w:sz w:val="21"/>
              </w:rPr>
              <w:t xml:space="preserve"> 月</w:t>
            </w:r>
          </w:p>
        </w:tc>
        <w:tc>
          <w:tcPr>
            <w:tcW w:w="979" w:type="dxa"/>
            <w:tcBorders>
              <w:left w:val="single" w:color="000000" w:sz="4" w:space="0"/>
              <w:bottom w:val="single" w:color="000000" w:sz="4" w:space="0"/>
              <w:right w:val="single" w:color="000000" w:sz="4" w:space="0"/>
            </w:tcBorders>
          </w:tcPr>
          <w:p w14:paraId="2D4844AB">
            <w:pPr>
              <w:pStyle w:val="15"/>
              <w:spacing w:before="73"/>
              <w:ind w:left="1" w:right="2"/>
              <w:jc w:val="center"/>
              <w:rPr>
                <w:sz w:val="21"/>
              </w:rPr>
            </w:pPr>
            <w:r>
              <w:rPr>
                <w:spacing w:val="-2"/>
                <w:sz w:val="21"/>
              </w:rPr>
              <w:t>2022</w:t>
            </w:r>
            <w:r>
              <w:rPr>
                <w:spacing w:val="-30"/>
                <w:sz w:val="21"/>
              </w:rPr>
              <w:t xml:space="preserve"> 年</w:t>
            </w:r>
          </w:p>
          <w:p w14:paraId="42ACDDC0">
            <w:pPr>
              <w:pStyle w:val="15"/>
              <w:spacing w:before="43"/>
              <w:ind w:left="2" w:right="2"/>
              <w:jc w:val="center"/>
              <w:rPr>
                <w:sz w:val="21"/>
              </w:rPr>
            </w:pPr>
            <w:r>
              <w:rPr>
                <w:spacing w:val="-2"/>
                <w:sz w:val="21"/>
              </w:rPr>
              <w:t>11</w:t>
            </w:r>
            <w:r>
              <w:rPr>
                <w:spacing w:val="-31"/>
                <w:sz w:val="21"/>
              </w:rPr>
              <w:t xml:space="preserve"> 月</w:t>
            </w:r>
          </w:p>
        </w:tc>
        <w:tc>
          <w:tcPr>
            <w:tcW w:w="979" w:type="dxa"/>
            <w:tcBorders>
              <w:left w:val="single" w:color="000000" w:sz="4" w:space="0"/>
              <w:bottom w:val="single" w:color="000000" w:sz="4" w:space="0"/>
              <w:right w:val="single" w:color="000000" w:sz="4" w:space="0"/>
            </w:tcBorders>
          </w:tcPr>
          <w:p w14:paraId="7DD6F779">
            <w:pPr>
              <w:pStyle w:val="15"/>
              <w:spacing w:before="73"/>
              <w:ind w:left="1" w:right="2"/>
              <w:jc w:val="center"/>
              <w:rPr>
                <w:sz w:val="21"/>
              </w:rPr>
            </w:pPr>
            <w:r>
              <w:rPr>
                <w:spacing w:val="-2"/>
                <w:sz w:val="21"/>
              </w:rPr>
              <w:t>2022</w:t>
            </w:r>
            <w:r>
              <w:rPr>
                <w:spacing w:val="-30"/>
                <w:sz w:val="21"/>
              </w:rPr>
              <w:t xml:space="preserve"> 年</w:t>
            </w:r>
          </w:p>
          <w:p w14:paraId="27248F6F">
            <w:pPr>
              <w:pStyle w:val="15"/>
              <w:spacing w:before="43"/>
              <w:ind w:left="1" w:right="2"/>
              <w:jc w:val="center"/>
              <w:rPr>
                <w:sz w:val="21"/>
              </w:rPr>
            </w:pPr>
            <w:r>
              <w:rPr>
                <w:spacing w:val="-2"/>
                <w:sz w:val="21"/>
              </w:rPr>
              <w:t>12</w:t>
            </w:r>
            <w:r>
              <w:rPr>
                <w:spacing w:val="-31"/>
                <w:sz w:val="21"/>
              </w:rPr>
              <w:t xml:space="preserve"> 月</w:t>
            </w:r>
          </w:p>
        </w:tc>
        <w:tc>
          <w:tcPr>
            <w:tcW w:w="982" w:type="dxa"/>
            <w:tcBorders>
              <w:left w:val="single" w:color="000000" w:sz="4" w:space="0"/>
              <w:bottom w:val="single" w:color="000000" w:sz="4" w:space="0"/>
              <w:right w:val="nil"/>
            </w:tcBorders>
          </w:tcPr>
          <w:p w14:paraId="09105647">
            <w:pPr>
              <w:pStyle w:val="15"/>
              <w:spacing w:before="73"/>
              <w:ind w:right="7"/>
              <w:jc w:val="center"/>
              <w:rPr>
                <w:sz w:val="21"/>
              </w:rPr>
            </w:pPr>
            <w:r>
              <w:rPr>
                <w:spacing w:val="-2"/>
                <w:sz w:val="21"/>
              </w:rPr>
              <w:t>2023</w:t>
            </w:r>
            <w:r>
              <w:rPr>
                <w:spacing w:val="-30"/>
                <w:sz w:val="21"/>
              </w:rPr>
              <w:t xml:space="preserve"> 年</w:t>
            </w:r>
          </w:p>
          <w:p w14:paraId="335903A9">
            <w:pPr>
              <w:pStyle w:val="15"/>
              <w:spacing w:before="43"/>
              <w:ind w:left="3" w:right="7"/>
              <w:jc w:val="center"/>
              <w:rPr>
                <w:sz w:val="21"/>
              </w:rPr>
            </w:pPr>
            <w:r>
              <w:rPr>
                <w:spacing w:val="-2"/>
                <w:sz w:val="21"/>
              </w:rPr>
              <w:t>1</w:t>
            </w:r>
            <w:r>
              <w:rPr>
                <w:spacing w:val="-31"/>
                <w:sz w:val="21"/>
              </w:rPr>
              <w:t xml:space="preserve"> 月</w:t>
            </w:r>
          </w:p>
        </w:tc>
      </w:tr>
      <w:tr w14:paraId="1ADFEB1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28" w:hRule="atLeast"/>
        </w:trPr>
        <w:tc>
          <w:tcPr>
            <w:tcW w:w="979" w:type="dxa"/>
            <w:tcBorders>
              <w:top w:val="single" w:color="000000" w:sz="4" w:space="0"/>
              <w:left w:val="nil"/>
              <w:right w:val="single" w:color="000000" w:sz="4" w:space="0"/>
            </w:tcBorders>
          </w:tcPr>
          <w:p w14:paraId="64058364">
            <w:pPr>
              <w:pStyle w:val="15"/>
              <w:spacing w:before="73"/>
              <w:ind w:left="4" w:right="1"/>
              <w:jc w:val="center"/>
              <w:rPr>
                <w:sz w:val="21"/>
              </w:rPr>
            </w:pPr>
            <w:r>
              <w:rPr>
                <w:spacing w:val="-7"/>
                <w:sz w:val="21"/>
              </w:rPr>
              <w:t>人工指数</w:t>
            </w:r>
          </w:p>
          <w:p w14:paraId="508C7B73">
            <w:pPr>
              <w:pStyle w:val="15"/>
              <w:spacing w:before="43"/>
              <w:ind w:left="4"/>
              <w:jc w:val="center"/>
              <w:rPr>
                <w:sz w:val="21"/>
              </w:rPr>
            </w:pPr>
            <w:r>
              <w:rPr>
                <w:spacing w:val="-10"/>
                <w:sz w:val="21"/>
              </w:rPr>
              <w:t>%</w:t>
            </w:r>
          </w:p>
        </w:tc>
        <w:tc>
          <w:tcPr>
            <w:tcW w:w="979" w:type="dxa"/>
            <w:tcBorders>
              <w:top w:val="single" w:color="000000" w:sz="4" w:space="0"/>
              <w:left w:val="single" w:color="000000" w:sz="4" w:space="0"/>
              <w:right w:val="single" w:color="000000" w:sz="4" w:space="0"/>
            </w:tcBorders>
          </w:tcPr>
          <w:p w14:paraId="316490E4">
            <w:pPr>
              <w:pStyle w:val="15"/>
              <w:spacing w:before="229"/>
              <w:ind w:left="2" w:right="2"/>
              <w:jc w:val="center"/>
              <w:rPr>
                <w:sz w:val="21"/>
              </w:rPr>
            </w:pPr>
            <w:r>
              <w:rPr>
                <w:spacing w:val="-4"/>
                <w:sz w:val="21"/>
              </w:rPr>
              <w:t>99.7</w:t>
            </w:r>
          </w:p>
        </w:tc>
        <w:tc>
          <w:tcPr>
            <w:tcW w:w="979" w:type="dxa"/>
            <w:tcBorders>
              <w:top w:val="single" w:color="000000" w:sz="4" w:space="0"/>
              <w:left w:val="single" w:color="000000" w:sz="4" w:space="0"/>
              <w:right w:val="single" w:color="000000" w:sz="4" w:space="0"/>
            </w:tcBorders>
          </w:tcPr>
          <w:p w14:paraId="06166A82">
            <w:pPr>
              <w:pStyle w:val="15"/>
              <w:spacing w:before="229"/>
              <w:ind w:left="2" w:right="2"/>
              <w:jc w:val="center"/>
              <w:rPr>
                <w:sz w:val="21"/>
              </w:rPr>
            </w:pPr>
            <w:r>
              <w:rPr>
                <w:spacing w:val="-4"/>
                <w:sz w:val="21"/>
              </w:rPr>
              <w:t>99.7</w:t>
            </w:r>
          </w:p>
        </w:tc>
        <w:tc>
          <w:tcPr>
            <w:tcW w:w="979" w:type="dxa"/>
            <w:tcBorders>
              <w:top w:val="single" w:color="000000" w:sz="4" w:space="0"/>
              <w:left w:val="single" w:color="000000" w:sz="4" w:space="0"/>
              <w:right w:val="single" w:color="000000" w:sz="4" w:space="0"/>
            </w:tcBorders>
          </w:tcPr>
          <w:p w14:paraId="65D7BFDC">
            <w:pPr>
              <w:pStyle w:val="15"/>
              <w:spacing w:before="229"/>
              <w:ind w:left="1" w:right="2"/>
              <w:jc w:val="center"/>
              <w:rPr>
                <w:sz w:val="21"/>
              </w:rPr>
            </w:pPr>
            <w:r>
              <w:rPr>
                <w:spacing w:val="-2"/>
                <w:sz w:val="21"/>
              </w:rPr>
              <w:t>99.86</w:t>
            </w:r>
          </w:p>
        </w:tc>
        <w:tc>
          <w:tcPr>
            <w:tcW w:w="979" w:type="dxa"/>
            <w:tcBorders>
              <w:top w:val="single" w:color="000000" w:sz="4" w:space="0"/>
              <w:left w:val="single" w:color="000000" w:sz="4" w:space="0"/>
              <w:right w:val="single" w:color="000000" w:sz="4" w:space="0"/>
            </w:tcBorders>
          </w:tcPr>
          <w:p w14:paraId="7155C1D4">
            <w:pPr>
              <w:pStyle w:val="15"/>
              <w:spacing w:before="229"/>
              <w:ind w:left="2" w:right="2"/>
              <w:jc w:val="center"/>
              <w:rPr>
                <w:sz w:val="21"/>
              </w:rPr>
            </w:pPr>
            <w:r>
              <w:rPr>
                <w:spacing w:val="-2"/>
                <w:sz w:val="21"/>
              </w:rPr>
              <w:t>99.86</w:t>
            </w:r>
          </w:p>
        </w:tc>
        <w:tc>
          <w:tcPr>
            <w:tcW w:w="979" w:type="dxa"/>
            <w:tcBorders>
              <w:top w:val="single" w:color="000000" w:sz="4" w:space="0"/>
              <w:left w:val="single" w:color="000000" w:sz="4" w:space="0"/>
              <w:right w:val="single" w:color="000000" w:sz="4" w:space="0"/>
            </w:tcBorders>
          </w:tcPr>
          <w:p w14:paraId="55903C81">
            <w:pPr>
              <w:pStyle w:val="15"/>
              <w:spacing w:before="229"/>
              <w:ind w:left="2" w:right="2"/>
              <w:jc w:val="center"/>
              <w:rPr>
                <w:sz w:val="21"/>
              </w:rPr>
            </w:pPr>
            <w:r>
              <w:rPr>
                <w:spacing w:val="-2"/>
                <w:sz w:val="21"/>
              </w:rPr>
              <w:t>99.86</w:t>
            </w:r>
          </w:p>
        </w:tc>
        <w:tc>
          <w:tcPr>
            <w:tcW w:w="982" w:type="dxa"/>
            <w:tcBorders>
              <w:top w:val="single" w:color="000000" w:sz="4" w:space="0"/>
              <w:left w:val="single" w:color="000000" w:sz="4" w:space="0"/>
              <w:right w:val="nil"/>
            </w:tcBorders>
          </w:tcPr>
          <w:p w14:paraId="79D918AA">
            <w:pPr>
              <w:pStyle w:val="15"/>
              <w:spacing w:before="229"/>
              <w:ind w:left="1" w:right="7"/>
              <w:jc w:val="center"/>
              <w:rPr>
                <w:sz w:val="21"/>
              </w:rPr>
            </w:pPr>
            <w:r>
              <w:rPr>
                <w:spacing w:val="-2"/>
                <w:sz w:val="21"/>
              </w:rPr>
              <w:t>98.22</w:t>
            </w:r>
          </w:p>
        </w:tc>
      </w:tr>
    </w:tbl>
    <w:p w14:paraId="547C4492">
      <w:pPr>
        <w:pStyle w:val="4"/>
        <w:spacing w:before="240" w:line="364" w:lineRule="auto"/>
        <w:ind w:left="1612"/>
      </w:pPr>
      <w:r>
        <w:rPr>
          <w:spacing w:val="-2"/>
        </w:rPr>
        <w:t>这一年的周期人工成本综合指数： Pn=(100.81%+100.81%+100.96%+100.96%+100.96%+99.70%+99.70%+</w:t>
      </w:r>
    </w:p>
    <w:p w14:paraId="7FF23C8E">
      <w:pPr>
        <w:pStyle w:val="4"/>
        <w:spacing w:before="2"/>
        <w:ind w:left="1132"/>
      </w:pPr>
      <w:r>
        <w:rPr>
          <w:spacing w:val="-2"/>
        </w:rPr>
        <w:t>99.70%+99.86%+99.86%+99.86%+98.22%）/12=100.12%</w:t>
      </w:r>
    </w:p>
    <w:p w14:paraId="0548999F">
      <w:pPr>
        <w:pStyle w:val="14"/>
        <w:numPr>
          <w:ilvl w:val="0"/>
          <w:numId w:val="33"/>
        </w:numPr>
        <w:tabs>
          <w:tab w:val="left" w:pos="1852"/>
        </w:tabs>
        <w:spacing w:before="160" w:after="0" w:line="240" w:lineRule="auto"/>
        <w:ind w:left="1852" w:right="0" w:hanging="240"/>
        <w:jc w:val="left"/>
        <w:rPr>
          <w:sz w:val="22"/>
        </w:rPr>
      </w:pPr>
      <w:r>
        <w:rPr>
          <w:sz w:val="24"/>
        </w:rPr>
        <w:t>计算</w:t>
      </w:r>
      <w:r>
        <w:rPr>
          <w:color w:val="0D0D0D"/>
          <w:spacing w:val="-2"/>
          <w:sz w:val="24"/>
        </w:rPr>
        <w:t>指数变化率</w:t>
      </w:r>
    </w:p>
    <w:p w14:paraId="38A4AFBC">
      <w:pPr>
        <w:pStyle w:val="4"/>
        <w:spacing w:before="161" w:line="364" w:lineRule="auto"/>
        <w:ind w:left="1132" w:right="1526" w:firstLine="480"/>
      </w:pPr>
      <w:r>
        <w:rPr>
          <w:color w:val="0D0D0D"/>
          <w:spacing w:val="-12"/>
        </w:rPr>
        <w:t xml:space="preserve">基准期为 </w:t>
      </w:r>
      <w:r>
        <w:rPr>
          <w:color w:val="0D0D0D"/>
        </w:rPr>
        <w:t>2021</w:t>
      </w:r>
      <w:r>
        <w:rPr>
          <w:color w:val="0D0D0D"/>
          <w:spacing w:val="-40"/>
        </w:rPr>
        <w:t xml:space="preserve"> 年 </w:t>
      </w:r>
      <w:r>
        <w:rPr>
          <w:color w:val="0D0D0D"/>
        </w:rPr>
        <w:t>11</w:t>
      </w:r>
      <w:r>
        <w:rPr>
          <w:color w:val="0D0D0D"/>
          <w:spacing w:val="-12"/>
        </w:rPr>
        <w:t xml:space="preserve"> 月，对应武汉市人工成本综合指数 </w:t>
      </w:r>
      <w:r>
        <w:rPr>
          <w:color w:val="0D0D0D"/>
        </w:rPr>
        <w:t>P</w:t>
      </w:r>
      <w:r>
        <w:rPr>
          <w:color w:val="0D0D0D"/>
          <w:position w:val="-2"/>
          <w:sz w:val="12"/>
        </w:rPr>
        <w:t>0</w:t>
      </w:r>
      <w:r>
        <w:rPr>
          <w:color w:val="0D0D0D"/>
          <w:spacing w:val="-29"/>
          <w:position w:val="-2"/>
          <w:sz w:val="12"/>
        </w:rPr>
        <w:t xml:space="preserve"> </w:t>
      </w:r>
      <w:r>
        <w:rPr>
          <w:color w:val="0D0D0D"/>
          <w:spacing w:val="-30"/>
        </w:rPr>
        <w:t xml:space="preserve">为 </w:t>
      </w:r>
      <w:r>
        <w:rPr>
          <w:color w:val="0D0D0D"/>
        </w:rPr>
        <w:t>99.23%。</w:t>
      </w:r>
      <w:r>
        <w:rPr>
          <w:color w:val="0D0D0D"/>
          <w:spacing w:val="-2"/>
        </w:rPr>
        <w:t>则指数变化率：</w:t>
      </w:r>
    </w:p>
    <w:p w14:paraId="1F619CB5">
      <w:pPr>
        <w:pStyle w:val="4"/>
        <w:spacing w:before="1"/>
        <w:ind w:left="1612"/>
      </w:pPr>
      <w:r>
        <w:rPr>
          <w:color w:val="0D0D0D"/>
        </w:rPr>
        <w:t>W=(P</w:t>
      </w:r>
      <w:r>
        <w:rPr>
          <w:color w:val="0D0D0D"/>
          <w:position w:val="-2"/>
          <w:sz w:val="12"/>
        </w:rPr>
        <w:t>n</w:t>
      </w:r>
      <w:r>
        <w:rPr>
          <w:color w:val="0D0D0D"/>
        </w:rPr>
        <w:t>-P</w:t>
      </w:r>
      <w:r>
        <w:rPr>
          <w:color w:val="0D0D0D"/>
          <w:position w:val="-2"/>
          <w:sz w:val="12"/>
        </w:rPr>
        <w:t>0</w:t>
      </w:r>
      <w:r>
        <w:rPr>
          <w:color w:val="0D0D0D"/>
        </w:rPr>
        <w:t>)/P</w:t>
      </w:r>
      <w:r>
        <w:rPr>
          <w:color w:val="0D0D0D"/>
          <w:position w:val="-2"/>
          <w:sz w:val="12"/>
        </w:rPr>
        <w:t>0</w:t>
      </w:r>
      <w:r>
        <w:rPr>
          <w:color w:val="0D0D0D"/>
        </w:rPr>
        <w:t>=(100.12%-</w:t>
      </w:r>
      <w:r>
        <w:rPr>
          <w:color w:val="0D0D0D"/>
          <w:spacing w:val="-2"/>
        </w:rPr>
        <w:t>99.23%)/99.23%=0.90%</w:t>
      </w:r>
    </w:p>
    <w:p w14:paraId="5C5934FA">
      <w:pPr>
        <w:pStyle w:val="14"/>
        <w:numPr>
          <w:ilvl w:val="0"/>
          <w:numId w:val="33"/>
        </w:numPr>
        <w:tabs>
          <w:tab w:val="left" w:pos="1852"/>
        </w:tabs>
        <w:spacing w:before="160" w:after="0" w:line="240" w:lineRule="auto"/>
        <w:ind w:left="1852" w:right="0" w:hanging="240"/>
        <w:jc w:val="left"/>
        <w:rPr>
          <w:color w:val="0D0D0D"/>
          <w:sz w:val="22"/>
        </w:rPr>
      </w:pPr>
      <w:r>
        <w:rPr>
          <w:color w:val="0D0D0D"/>
          <w:spacing w:val="-1"/>
          <w:sz w:val="24"/>
        </w:rPr>
        <w:t>计算人工费价差调整金额</w:t>
      </w:r>
    </w:p>
    <w:p w14:paraId="2F91953C">
      <w:pPr>
        <w:pStyle w:val="4"/>
        <w:spacing w:before="161" w:line="364" w:lineRule="auto"/>
        <w:ind w:left="1612" w:right="1726"/>
      </w:pPr>
      <w:r>
        <w:rPr>
          <w:color w:val="0D0D0D"/>
          <w:spacing w:val="-2"/>
        </w:rPr>
        <w:t>人工费价差调整金额（不含增值税）： Q=A×W=2000000×0.90%=18000（元）</w:t>
      </w:r>
    </w:p>
    <w:p w14:paraId="16E5B3B9">
      <w:pPr>
        <w:pStyle w:val="4"/>
        <w:spacing w:after="0" w:line="364" w:lineRule="auto"/>
        <w:sectPr>
          <w:pgSz w:w="10440" w:h="14740"/>
          <w:pgMar w:top="1100" w:right="0" w:bottom="860" w:left="0" w:header="878" w:footer="676" w:gutter="0"/>
          <w:cols w:space="720" w:num="1"/>
        </w:sectPr>
      </w:pPr>
    </w:p>
    <w:p w14:paraId="414C97E3">
      <w:pPr>
        <w:pStyle w:val="4"/>
        <w:spacing w:before="94"/>
      </w:pPr>
    </w:p>
    <w:p w14:paraId="7DD036A8">
      <w:pPr>
        <w:pStyle w:val="4"/>
        <w:ind w:left="1896"/>
        <w:jc w:val="both"/>
      </w:pPr>
      <w:r>
        <w:rPr>
          <w:spacing w:val="-30"/>
        </w:rPr>
        <w:t xml:space="preserve">问 </w:t>
      </w:r>
      <w:r>
        <w:t>12：</w:t>
      </w:r>
      <w:r>
        <w:rPr>
          <w:spacing w:val="-1"/>
        </w:rPr>
        <w:t>结算时，安全生产措施费如何计算？请举例说明。</w:t>
      </w:r>
    </w:p>
    <w:p w14:paraId="17796C73">
      <w:pPr>
        <w:pStyle w:val="4"/>
        <w:spacing w:before="160" w:line="364" w:lineRule="auto"/>
        <w:ind w:left="1416" w:right="1131" w:firstLine="480"/>
        <w:jc w:val="both"/>
      </w:pPr>
      <w:r>
        <w:rPr>
          <w:spacing w:val="-2"/>
        </w:rPr>
        <w:t>答：结算时，安全生产措施费的计算，除应考虑因工程量清单缺陷导致的调整外，还应关注安全生产责任保险费的处理。安全生产责任保险费属于</w:t>
      </w:r>
      <w:r>
        <w:rPr>
          <w:spacing w:val="-4"/>
        </w:rPr>
        <w:t>安全生产措施费。招投标时，安全生产责任保险费按“11</w:t>
      </w:r>
      <w:r>
        <w:rPr>
          <w:spacing w:val="-9"/>
        </w:rPr>
        <w:t xml:space="preserve"> 号文”中规定的固</w:t>
      </w:r>
      <w:r>
        <w:rPr>
          <w:spacing w:val="-11"/>
        </w:rPr>
        <w:t xml:space="preserve">定费率 </w:t>
      </w:r>
      <w:r>
        <w:t>0.5%计取；结算时，安全生产责任保险费应据实调整。</w:t>
      </w:r>
    </w:p>
    <w:p w14:paraId="20B573D4">
      <w:pPr>
        <w:pStyle w:val="4"/>
        <w:spacing w:before="3" w:line="364" w:lineRule="auto"/>
        <w:ind w:left="1416" w:right="1131" w:firstLine="480"/>
        <w:jc w:val="both"/>
      </w:pPr>
      <w:r>
        <w:rPr>
          <w:spacing w:val="-3"/>
        </w:rPr>
        <w:t>因工程量清单缺陷导致安全生产措施费调整时，安全生产责任保险费会</w:t>
      </w:r>
      <w:r>
        <w:rPr>
          <w:spacing w:val="-7"/>
        </w:rPr>
        <w:t>随之调整。结算时，应将安全生产责任保险费的上述调整因素剔除，并以实</w:t>
      </w:r>
      <w:r>
        <w:rPr>
          <w:spacing w:val="3"/>
        </w:rPr>
        <w:t>际交纳的安全生产责任保险费相对合同安全生产责任保险费的变动值作为调整金额，计算安全生产措施费结算额。</w:t>
      </w:r>
    </w:p>
    <w:p w14:paraId="2B548C21">
      <w:pPr>
        <w:pStyle w:val="4"/>
        <w:spacing w:before="2" w:line="364" w:lineRule="auto"/>
        <w:ind w:left="1416" w:right="1131" w:firstLine="480"/>
        <w:jc w:val="both"/>
      </w:pPr>
      <w:r>
        <w:rPr>
          <w:spacing w:val="-2"/>
        </w:rPr>
        <w:t>举例如下：湖北省某房建工程，合同安全生产措施费（本题中简称安措</w:t>
      </w:r>
      <w:r>
        <w:t>费）</w:t>
      </w:r>
      <w:r>
        <w:rPr>
          <w:spacing w:val="-21"/>
        </w:rPr>
        <w:t xml:space="preserve">为 </w:t>
      </w:r>
      <w:r>
        <w:t>400</w:t>
      </w:r>
      <w:r>
        <w:rPr>
          <w:spacing w:val="-7"/>
        </w:rPr>
        <w:t xml:space="preserve"> 万元，其中安全生产责任保险费</w:t>
      </w:r>
      <w:r>
        <w:t>（本题中简称安责险）</w:t>
      </w:r>
      <w:r>
        <w:rPr>
          <w:spacing w:val="-23"/>
        </w:rPr>
        <w:t xml:space="preserve">为 </w:t>
      </w:r>
      <w:r>
        <w:t>10</w:t>
      </w:r>
      <w:r>
        <w:rPr>
          <w:spacing w:val="-27"/>
        </w:rPr>
        <w:t xml:space="preserve"> 万</w:t>
      </w:r>
    </w:p>
    <w:p w14:paraId="288808F1">
      <w:pPr>
        <w:pStyle w:val="4"/>
        <w:spacing w:before="1"/>
        <w:ind w:left="1416"/>
      </w:pPr>
      <w:r>
        <w:rPr>
          <w:spacing w:val="-5"/>
        </w:rPr>
        <w:t xml:space="preserve">元。由于工程量清单缺陷导致安措费调增 </w:t>
      </w:r>
      <w:r>
        <w:rPr>
          <w:spacing w:val="-2"/>
        </w:rPr>
        <w:t>20</w:t>
      </w:r>
      <w:r>
        <w:rPr>
          <w:spacing w:val="-14"/>
        </w:rPr>
        <w:t xml:space="preserve"> 万元，其中安责险调增 </w:t>
      </w:r>
      <w:r>
        <w:rPr>
          <w:spacing w:val="-2"/>
        </w:rPr>
        <w:t>1</w:t>
      </w:r>
      <w:r>
        <w:rPr>
          <w:spacing w:val="-18"/>
        </w:rPr>
        <w:t xml:space="preserve"> 万元。</w:t>
      </w:r>
    </w:p>
    <w:p w14:paraId="2CAFCB84">
      <w:pPr>
        <w:pStyle w:val="4"/>
        <w:spacing w:before="161" w:line="364" w:lineRule="auto"/>
        <w:ind w:left="1896" w:right="1574" w:hanging="480"/>
      </w:pPr>
      <w:r>
        <w:rPr>
          <w:spacing w:val="-6"/>
        </w:rPr>
        <w:t xml:space="preserve">承包人实际交纳安责险 </w:t>
      </w:r>
      <w:r>
        <w:t>8</w:t>
      </w:r>
      <w:r>
        <w:rPr>
          <w:spacing w:val="-8"/>
        </w:rPr>
        <w:t xml:space="preserve"> 万元。不考虑其他因素，计算安措费结算额。</w:t>
      </w:r>
      <w:r>
        <w:rPr>
          <w:spacing w:val="-2"/>
        </w:rPr>
        <w:t>方法一：按照安措费结算价的形成过程计算。计算步骤：</w:t>
      </w:r>
    </w:p>
    <w:p w14:paraId="1604B2F1">
      <w:pPr>
        <w:pStyle w:val="14"/>
        <w:numPr>
          <w:ilvl w:val="0"/>
          <w:numId w:val="34"/>
        </w:numPr>
        <w:tabs>
          <w:tab w:val="left" w:pos="2136"/>
        </w:tabs>
        <w:spacing w:before="1" w:after="0" w:line="240" w:lineRule="auto"/>
        <w:ind w:left="2136" w:right="0" w:hanging="240"/>
        <w:jc w:val="left"/>
        <w:rPr>
          <w:sz w:val="24"/>
        </w:rPr>
      </w:pPr>
      <w:r>
        <w:rPr>
          <w:sz w:val="24"/>
        </w:rPr>
        <w:t>安措费合同额=400</w:t>
      </w:r>
      <w:r>
        <w:rPr>
          <w:spacing w:val="-18"/>
          <w:sz w:val="24"/>
        </w:rPr>
        <w:t xml:space="preserve"> 万元；</w:t>
      </w:r>
    </w:p>
    <w:p w14:paraId="0527B914">
      <w:pPr>
        <w:pStyle w:val="14"/>
        <w:numPr>
          <w:ilvl w:val="0"/>
          <w:numId w:val="34"/>
        </w:numPr>
        <w:tabs>
          <w:tab w:val="left" w:pos="2138"/>
        </w:tabs>
        <w:spacing w:before="161" w:after="0" w:line="364" w:lineRule="auto"/>
        <w:ind w:left="1416" w:right="1131" w:firstLine="480"/>
        <w:jc w:val="left"/>
        <w:rPr>
          <w:sz w:val="24"/>
        </w:rPr>
      </w:pPr>
      <w:r>
        <w:rPr>
          <w:spacing w:val="-2"/>
          <w:sz w:val="24"/>
        </w:rPr>
        <w:t>安措费调整额=（清单缺陷安措费调整额-清单缺陷安责险调整额+安责险据实结算调整额）=20-(+1)+(8-10)=17（万元）；</w:t>
      </w:r>
    </w:p>
    <w:p w14:paraId="650D60D1">
      <w:pPr>
        <w:pStyle w:val="14"/>
        <w:numPr>
          <w:ilvl w:val="0"/>
          <w:numId w:val="34"/>
        </w:numPr>
        <w:tabs>
          <w:tab w:val="left" w:pos="2136"/>
        </w:tabs>
        <w:spacing w:before="1" w:after="0" w:line="364" w:lineRule="auto"/>
        <w:ind w:left="1896" w:right="1214" w:firstLine="0"/>
        <w:jc w:val="left"/>
        <w:rPr>
          <w:sz w:val="24"/>
        </w:rPr>
      </w:pPr>
      <w:r>
        <w:rPr>
          <w:spacing w:val="-2"/>
          <w:sz w:val="24"/>
        </w:rPr>
        <w:t>安措费结算额=安措费合同额+安措费调整额=400+17=417（万元）。方法二：按照安措费的费用构成计算。计算步骤：</w:t>
      </w:r>
    </w:p>
    <w:p w14:paraId="078853EC">
      <w:pPr>
        <w:pStyle w:val="14"/>
        <w:numPr>
          <w:ilvl w:val="0"/>
          <w:numId w:val="35"/>
        </w:numPr>
        <w:tabs>
          <w:tab w:val="left" w:pos="2143"/>
        </w:tabs>
        <w:spacing w:before="1" w:after="0" w:line="364" w:lineRule="auto"/>
        <w:ind w:left="1416" w:right="1133" w:firstLine="480"/>
        <w:jc w:val="left"/>
        <w:rPr>
          <w:sz w:val="24"/>
        </w:rPr>
      </w:pPr>
      <w:r>
        <w:rPr>
          <w:spacing w:val="3"/>
          <w:sz w:val="24"/>
        </w:rPr>
        <w:t>不含安责险的安措费结算额=不含安责险的安措费合同额+不含安责险的清单缺陷安措费调整额=(400-10)+(20-1)=409（万元）；</w:t>
      </w:r>
    </w:p>
    <w:p w14:paraId="0041DC23">
      <w:pPr>
        <w:pStyle w:val="14"/>
        <w:numPr>
          <w:ilvl w:val="0"/>
          <w:numId w:val="35"/>
        </w:numPr>
        <w:tabs>
          <w:tab w:val="left" w:pos="2136"/>
        </w:tabs>
        <w:spacing w:before="1" w:after="0" w:line="240" w:lineRule="auto"/>
        <w:ind w:left="2136" w:right="0" w:hanging="240"/>
        <w:jc w:val="left"/>
        <w:rPr>
          <w:sz w:val="24"/>
        </w:rPr>
      </w:pPr>
      <w:r>
        <w:rPr>
          <w:sz w:val="24"/>
        </w:rPr>
        <w:t>安责险结算额=8</w:t>
      </w:r>
      <w:r>
        <w:rPr>
          <w:spacing w:val="-18"/>
          <w:sz w:val="24"/>
        </w:rPr>
        <w:t xml:space="preserve"> 万元；</w:t>
      </w:r>
    </w:p>
    <w:p w14:paraId="05B8F9FC">
      <w:pPr>
        <w:pStyle w:val="14"/>
        <w:numPr>
          <w:ilvl w:val="0"/>
          <w:numId w:val="35"/>
        </w:numPr>
        <w:tabs>
          <w:tab w:val="left" w:pos="2181"/>
        </w:tabs>
        <w:spacing w:before="161" w:after="0" w:line="240" w:lineRule="auto"/>
        <w:ind w:left="2181" w:right="0" w:hanging="285"/>
        <w:jc w:val="left"/>
        <w:rPr>
          <w:sz w:val="24"/>
        </w:rPr>
      </w:pPr>
      <w:r>
        <w:rPr>
          <w:spacing w:val="21"/>
          <w:sz w:val="24"/>
        </w:rPr>
        <w:t>安措费结算额= 不含安责险的安措费结算额+ 安责险结算额</w:t>
      </w:r>
    </w:p>
    <w:p w14:paraId="14B02BF4">
      <w:pPr>
        <w:pStyle w:val="4"/>
        <w:spacing w:before="160"/>
        <w:ind w:left="1416"/>
      </w:pPr>
      <w:r>
        <w:t>=409+8=417（万元）</w:t>
      </w:r>
      <w:r>
        <w:rPr>
          <w:spacing w:val="-10"/>
        </w:rPr>
        <w:t>。</w:t>
      </w:r>
    </w:p>
    <w:p w14:paraId="375C96B3">
      <w:pPr>
        <w:pStyle w:val="4"/>
        <w:spacing w:after="0"/>
        <w:sectPr>
          <w:pgSz w:w="10440" w:h="14740"/>
          <w:pgMar w:top="1100" w:right="0" w:bottom="860" w:left="0" w:header="878" w:footer="676" w:gutter="0"/>
          <w:cols w:space="720" w:num="1"/>
        </w:sectPr>
      </w:pPr>
    </w:p>
    <w:p w14:paraId="338F5FD1">
      <w:pPr>
        <w:pStyle w:val="4"/>
        <w:spacing w:before="19"/>
        <w:rPr>
          <w:sz w:val="32"/>
        </w:rPr>
      </w:pPr>
    </w:p>
    <w:p w14:paraId="7378ADD7">
      <w:pPr>
        <w:pStyle w:val="2"/>
        <w:ind w:left="0" w:right="284"/>
      </w:pPr>
      <w:bookmarkStart w:id="52" w:name="第七部分  附录"/>
      <w:bookmarkEnd w:id="52"/>
      <w:bookmarkStart w:id="53" w:name="_bookmark26"/>
      <w:bookmarkEnd w:id="53"/>
      <w:r>
        <w:t>第七部分</w:t>
      </w:r>
      <w:r>
        <w:rPr>
          <w:spacing w:val="67"/>
          <w:w w:val="150"/>
        </w:rPr>
        <w:t xml:space="preserve"> </w:t>
      </w:r>
      <w:r>
        <w:rPr>
          <w:spacing w:val="-5"/>
        </w:rPr>
        <w:t>附录</w:t>
      </w:r>
    </w:p>
    <w:p w14:paraId="3082F886">
      <w:pPr>
        <w:pStyle w:val="4"/>
        <w:spacing w:before="88"/>
        <w:rPr>
          <w:sz w:val="32"/>
        </w:rPr>
      </w:pPr>
    </w:p>
    <w:p w14:paraId="494904CB">
      <w:pPr>
        <w:pStyle w:val="4"/>
        <w:spacing w:line="364" w:lineRule="auto"/>
        <w:ind w:left="1132" w:right="1414" w:firstLine="480"/>
        <w:jc w:val="both"/>
      </w:pPr>
      <w:r>
        <w:rPr>
          <w:spacing w:val="-2"/>
        </w:rPr>
        <w:t xml:space="preserve">《计价指引》梳理了截至目前我省已发布的部分配套 </w:t>
      </w:r>
      <w:r>
        <w:t>24</w:t>
      </w:r>
      <w:r>
        <w:rPr>
          <w:spacing w:val="-6"/>
        </w:rPr>
        <w:t xml:space="preserve"> 清单标准应用</w:t>
      </w:r>
      <w:r>
        <w:rPr>
          <w:spacing w:val="-2"/>
        </w:rPr>
        <w:t>的政策文件及技术资料</w:t>
      </w:r>
      <w:r>
        <w:rPr>
          <w:color w:val="0D0D0D"/>
          <w:spacing w:val="-2"/>
        </w:rPr>
        <w:t>。相关文件或资料若有勘误或发布新版，除合同另有约定外，以最新版本为准。</w:t>
      </w:r>
    </w:p>
    <w:p w14:paraId="5760D708">
      <w:pPr>
        <w:pStyle w:val="3"/>
      </w:pPr>
      <w:r>
        <w:rPr>
          <w:color w:val="0D0D0D"/>
        </w:rPr>
        <w:t>政策文件</w:t>
      </w:r>
      <w:r>
        <w:rPr>
          <w:spacing w:val="-10"/>
        </w:rPr>
        <w:t>：</w:t>
      </w:r>
    </w:p>
    <w:p w14:paraId="1F5D44F0">
      <w:pPr>
        <w:pStyle w:val="4"/>
        <w:spacing w:before="183" w:line="364" w:lineRule="auto"/>
        <w:ind w:left="1132" w:right="1294" w:firstLine="480"/>
      </w:pPr>
      <w:r>
        <w:rPr>
          <w:color w:val="0D0D0D"/>
          <w:spacing w:val="-4"/>
        </w:rPr>
        <w:t>一、《关于贯彻〈建设工程工程量清单计价标准〉（GB/T</w:t>
      </w:r>
      <w:r>
        <w:rPr>
          <w:color w:val="0D0D0D"/>
          <w:spacing w:val="-41"/>
        </w:rPr>
        <w:t xml:space="preserve"> </w:t>
      </w:r>
      <w:r>
        <w:rPr>
          <w:color w:val="0D0D0D"/>
          <w:spacing w:val="-4"/>
        </w:rPr>
        <w:t>50500—2024）</w:t>
      </w:r>
      <w:r>
        <w:rPr>
          <w:color w:val="0D0D0D"/>
        </w:rPr>
        <w:t>安全文明施工费有关事项的通知》（鄂建标定〔2025〕11</w:t>
      </w:r>
      <w:r>
        <w:rPr>
          <w:color w:val="0D0D0D"/>
          <w:spacing w:val="-21"/>
        </w:rPr>
        <w:t xml:space="preserve"> 号</w:t>
      </w:r>
      <w:r>
        <w:rPr>
          <w:color w:val="0D0D0D"/>
        </w:rPr>
        <w:t>）；</w:t>
      </w:r>
    </w:p>
    <w:p w14:paraId="7F3C6ECD">
      <w:pPr>
        <w:pStyle w:val="4"/>
        <w:spacing w:before="1" w:line="364" w:lineRule="auto"/>
        <w:ind w:left="1612" w:right="1174"/>
      </w:pPr>
      <w:r>
        <w:rPr>
          <w:color w:val="0D0D0D"/>
          <w:spacing w:val="-20"/>
        </w:rPr>
        <w:t>二、《关于发布建设工程人工成本综合指数及机械价格综合指数的通知》；</w:t>
      </w:r>
      <w:r>
        <w:rPr>
          <w:color w:val="0D0D0D"/>
          <w:spacing w:val="-17"/>
        </w:rPr>
        <w:t>三、《关于全面推进全省房屋市政工程智慧工地建设的通知</w:t>
      </w:r>
      <w:r>
        <w:rPr>
          <w:color w:val="0D0D0D"/>
          <w:spacing w:val="-204"/>
        </w:rPr>
        <w:t>》</w:t>
      </w:r>
      <w:r>
        <w:rPr>
          <w:color w:val="0D0D0D"/>
          <w:spacing w:val="-2"/>
        </w:rPr>
        <w:t>（</w:t>
      </w:r>
      <w:r>
        <w:rPr>
          <w:color w:val="0D0D0D"/>
          <w:spacing w:val="-35"/>
        </w:rPr>
        <w:t>厅头〔</w:t>
      </w:r>
      <w:r>
        <w:rPr>
          <w:color w:val="0D0D0D"/>
          <w:spacing w:val="-2"/>
        </w:rPr>
        <w:t>2023</w:t>
      </w:r>
      <w:r>
        <w:rPr>
          <w:color w:val="0D0D0D"/>
          <w:spacing w:val="-10"/>
        </w:rPr>
        <w:t>〕</w:t>
      </w:r>
    </w:p>
    <w:p w14:paraId="5B5DB99B">
      <w:pPr>
        <w:pStyle w:val="4"/>
        <w:spacing w:before="1"/>
        <w:ind w:left="1132"/>
      </w:pPr>
      <w:r>
        <w:rPr>
          <w:color w:val="0D0D0D"/>
        </w:rPr>
        <w:t>627</w:t>
      </w:r>
      <w:r>
        <w:rPr>
          <w:color w:val="0D0D0D"/>
          <w:spacing w:val="-30"/>
        </w:rPr>
        <w:t xml:space="preserve"> 号</w:t>
      </w:r>
      <w:r>
        <w:rPr>
          <w:color w:val="0D0D0D"/>
          <w:spacing w:val="-5"/>
        </w:rPr>
        <w:t>）；</w:t>
      </w:r>
    </w:p>
    <w:p w14:paraId="105D6528">
      <w:pPr>
        <w:pStyle w:val="3"/>
        <w:spacing w:before="161"/>
      </w:pPr>
      <w:r>
        <w:rPr>
          <w:color w:val="0D0D0D"/>
        </w:rPr>
        <w:t>技术资料</w:t>
      </w:r>
      <w:r>
        <w:rPr>
          <w:spacing w:val="-10"/>
        </w:rPr>
        <w:t>：</w:t>
      </w:r>
    </w:p>
    <w:p w14:paraId="6AA427D5">
      <w:pPr>
        <w:pStyle w:val="4"/>
        <w:spacing w:before="183" w:line="364" w:lineRule="auto"/>
        <w:ind w:left="1132" w:right="1414" w:firstLine="480"/>
      </w:pPr>
      <w:r>
        <w:rPr>
          <w:color w:val="0D0D0D"/>
        </w:rPr>
        <w:t>四、《建设工程工程量清单计价（GB/T</w:t>
      </w:r>
      <w:r>
        <w:rPr>
          <w:color w:val="0D0D0D"/>
          <w:spacing w:val="-39"/>
        </w:rPr>
        <w:t xml:space="preserve"> </w:t>
      </w:r>
      <w:r>
        <w:rPr>
          <w:color w:val="0D0D0D"/>
        </w:rPr>
        <w:t>50500—2024）及计算标准应用</w:t>
      </w:r>
      <w:r>
        <w:rPr>
          <w:color w:val="0D0D0D"/>
          <w:spacing w:val="-2"/>
        </w:rPr>
        <w:t>与实务》；</w:t>
      </w:r>
    </w:p>
    <w:p w14:paraId="53774BF3">
      <w:pPr>
        <w:pStyle w:val="4"/>
        <w:spacing w:before="1"/>
        <w:ind w:left="1612"/>
      </w:pPr>
      <w:r>
        <w:rPr>
          <w:color w:val="0D0D0D"/>
          <w:spacing w:val="-18"/>
        </w:rPr>
        <w:t>五、《湖北省房屋建筑和市政基础设施工程最高投标限价编制案例指南》。</w:t>
      </w:r>
    </w:p>
    <w:p w14:paraId="2D328B16">
      <w:pPr>
        <w:pStyle w:val="4"/>
        <w:spacing w:after="0"/>
        <w:sectPr>
          <w:pgSz w:w="10440" w:h="14740"/>
          <w:pgMar w:top="1100" w:right="0" w:bottom="860" w:left="0" w:header="878" w:footer="676" w:gutter="0"/>
          <w:cols w:space="720" w:num="1"/>
        </w:sectPr>
      </w:pPr>
    </w:p>
    <w:p w14:paraId="5736249E">
      <w:pPr>
        <w:pStyle w:val="4"/>
        <w:spacing w:before="94"/>
      </w:pPr>
    </w:p>
    <w:p w14:paraId="6252A2A6">
      <w:pPr>
        <w:pStyle w:val="4"/>
        <w:spacing w:line="364" w:lineRule="auto"/>
        <w:ind w:left="1416" w:right="1094" w:firstLine="480"/>
      </w:pPr>
      <w:bookmarkStart w:id="54" w:name="一、关于贯彻《建设工程工程量清单计价标准》（GB/T 50500—2024）安全"/>
      <w:bookmarkEnd w:id="54"/>
      <w:bookmarkStart w:id="55" w:name="_bookmark27"/>
      <w:bookmarkEnd w:id="55"/>
      <w:r>
        <w:t>一、关于贯彻《建设工程工程量清单计价标准》（GB/T</w:t>
      </w:r>
      <w:r>
        <w:rPr>
          <w:spacing w:val="-30"/>
        </w:rPr>
        <w:t xml:space="preserve"> </w:t>
      </w:r>
      <w:r>
        <w:t>50500—2024）</w:t>
      </w:r>
      <w:r>
        <w:rPr>
          <w:spacing w:val="-2"/>
        </w:rPr>
        <w:t>安全文明施工费有关事项的通知</w:t>
      </w:r>
    </w:p>
    <w:p w14:paraId="287E6B3C">
      <w:pPr>
        <w:pStyle w:val="4"/>
        <w:rPr>
          <w:sz w:val="20"/>
        </w:rPr>
      </w:pPr>
    </w:p>
    <w:p w14:paraId="7D734C89">
      <w:pPr>
        <w:pStyle w:val="4"/>
        <w:rPr>
          <w:sz w:val="20"/>
        </w:rPr>
      </w:pPr>
    </w:p>
    <w:p w14:paraId="44866699">
      <w:pPr>
        <w:pStyle w:val="4"/>
        <w:rPr>
          <w:sz w:val="20"/>
        </w:rPr>
      </w:pPr>
    </w:p>
    <w:p w14:paraId="353F5991">
      <w:pPr>
        <w:pStyle w:val="4"/>
        <w:spacing w:before="113"/>
        <w:rPr>
          <w:sz w:val="20"/>
        </w:rPr>
      </w:pPr>
      <w:r>
        <w:rPr>
          <w:sz w:val="20"/>
        </w:rPr>
        <w:drawing>
          <wp:anchor distT="0" distB="0" distL="0" distR="0" simplePos="0" relativeHeight="251671552" behindDoc="1" locked="0" layoutInCell="1" allowOverlap="1">
            <wp:simplePos x="0" y="0"/>
            <wp:positionH relativeFrom="page">
              <wp:posOffset>1430655</wp:posOffset>
            </wp:positionH>
            <wp:positionV relativeFrom="paragraph">
              <wp:posOffset>249555</wp:posOffset>
            </wp:positionV>
            <wp:extent cx="4534535" cy="5619115"/>
            <wp:effectExtent l="0" t="0" r="0" b="0"/>
            <wp:wrapTopAndBottom/>
            <wp:docPr id="19" name="Image 19"/>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0" cstate="print"/>
                    <a:stretch>
                      <a:fillRect/>
                    </a:stretch>
                  </pic:blipFill>
                  <pic:spPr>
                    <a:xfrm>
                      <a:off x="0" y="0"/>
                      <a:ext cx="4534329" cy="5619369"/>
                    </a:xfrm>
                    <a:prstGeom prst="rect">
                      <a:avLst/>
                    </a:prstGeom>
                  </pic:spPr>
                </pic:pic>
              </a:graphicData>
            </a:graphic>
          </wp:anchor>
        </w:drawing>
      </w:r>
    </w:p>
    <w:p w14:paraId="00C15B86">
      <w:pPr>
        <w:pStyle w:val="4"/>
        <w:spacing w:after="0"/>
        <w:rPr>
          <w:sz w:val="20"/>
        </w:rPr>
        <w:sectPr>
          <w:pgSz w:w="10440" w:h="14740"/>
          <w:pgMar w:top="1100" w:right="0" w:bottom="860" w:left="0" w:header="878" w:footer="676" w:gutter="0"/>
          <w:cols w:space="720" w:num="1"/>
        </w:sectPr>
      </w:pPr>
    </w:p>
    <w:p w14:paraId="450FCC1A">
      <w:pPr>
        <w:pStyle w:val="4"/>
        <w:spacing w:before="65"/>
        <w:rPr>
          <w:sz w:val="20"/>
        </w:rPr>
      </w:pPr>
    </w:p>
    <w:p w14:paraId="4DEC8D17">
      <w:pPr>
        <w:pStyle w:val="4"/>
        <w:ind w:left="1135"/>
        <w:rPr>
          <w:sz w:val="20"/>
        </w:rPr>
      </w:pPr>
      <w:r>
        <w:rPr>
          <w:sz w:val="20"/>
        </w:rPr>
        <w:drawing>
          <wp:inline distT="0" distB="0" distL="0" distR="0">
            <wp:extent cx="4655185" cy="6802755"/>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1" cstate="print"/>
                    <a:stretch>
                      <a:fillRect/>
                    </a:stretch>
                  </pic:blipFill>
                  <pic:spPr>
                    <a:xfrm>
                      <a:off x="0" y="0"/>
                      <a:ext cx="4655301" cy="6803040"/>
                    </a:xfrm>
                    <a:prstGeom prst="rect">
                      <a:avLst/>
                    </a:prstGeom>
                  </pic:spPr>
                </pic:pic>
              </a:graphicData>
            </a:graphic>
          </wp:inline>
        </w:drawing>
      </w:r>
    </w:p>
    <w:p w14:paraId="58867592">
      <w:pPr>
        <w:pStyle w:val="4"/>
        <w:spacing w:after="0"/>
        <w:rPr>
          <w:sz w:val="20"/>
        </w:rPr>
        <w:sectPr>
          <w:pgSz w:w="10440" w:h="14740"/>
          <w:pgMar w:top="1100" w:right="0" w:bottom="860" w:left="0" w:header="878" w:footer="676" w:gutter="0"/>
          <w:cols w:space="720" w:num="1"/>
        </w:sectPr>
      </w:pPr>
    </w:p>
    <w:p w14:paraId="5E168380">
      <w:pPr>
        <w:pStyle w:val="4"/>
        <w:rPr>
          <w:sz w:val="20"/>
        </w:rPr>
      </w:pPr>
    </w:p>
    <w:p w14:paraId="6263124D">
      <w:pPr>
        <w:pStyle w:val="4"/>
        <w:rPr>
          <w:sz w:val="20"/>
        </w:rPr>
      </w:pPr>
    </w:p>
    <w:p w14:paraId="75BC1AD4">
      <w:pPr>
        <w:pStyle w:val="4"/>
        <w:rPr>
          <w:sz w:val="20"/>
        </w:rPr>
      </w:pPr>
    </w:p>
    <w:p w14:paraId="01D1827C">
      <w:pPr>
        <w:pStyle w:val="4"/>
        <w:spacing w:before="165" w:after="1"/>
        <w:rPr>
          <w:sz w:val="20"/>
        </w:rPr>
      </w:pPr>
    </w:p>
    <w:p w14:paraId="4E601B28">
      <w:pPr>
        <w:pStyle w:val="4"/>
        <w:ind w:left="2305"/>
        <w:rPr>
          <w:sz w:val="20"/>
        </w:rPr>
      </w:pPr>
      <w:r>
        <w:rPr>
          <w:sz w:val="20"/>
        </w:rPr>
        <w:drawing>
          <wp:inline distT="0" distB="0" distL="0" distR="0">
            <wp:extent cx="3667125" cy="6127115"/>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2" cstate="print"/>
                    <a:stretch>
                      <a:fillRect/>
                    </a:stretch>
                  </pic:blipFill>
                  <pic:spPr>
                    <a:xfrm>
                      <a:off x="0" y="0"/>
                      <a:ext cx="3667513" cy="6127242"/>
                    </a:xfrm>
                    <a:prstGeom prst="rect">
                      <a:avLst/>
                    </a:prstGeom>
                  </pic:spPr>
                </pic:pic>
              </a:graphicData>
            </a:graphic>
          </wp:inline>
        </w:drawing>
      </w:r>
    </w:p>
    <w:p w14:paraId="379485B5">
      <w:pPr>
        <w:pStyle w:val="4"/>
        <w:spacing w:after="0"/>
        <w:rPr>
          <w:sz w:val="20"/>
        </w:rPr>
        <w:sectPr>
          <w:pgSz w:w="10440" w:h="14740"/>
          <w:pgMar w:top="1100" w:right="0" w:bottom="860" w:left="0" w:header="878" w:footer="676" w:gutter="0"/>
          <w:cols w:space="720" w:num="1"/>
        </w:sectPr>
      </w:pPr>
    </w:p>
    <w:p w14:paraId="4028D2C0">
      <w:pPr>
        <w:pStyle w:val="4"/>
        <w:rPr>
          <w:sz w:val="20"/>
        </w:rPr>
      </w:pPr>
    </w:p>
    <w:p w14:paraId="27778D84">
      <w:pPr>
        <w:pStyle w:val="4"/>
        <w:rPr>
          <w:sz w:val="20"/>
        </w:rPr>
      </w:pPr>
    </w:p>
    <w:p w14:paraId="0AB60A52">
      <w:pPr>
        <w:pStyle w:val="4"/>
        <w:rPr>
          <w:sz w:val="20"/>
        </w:rPr>
      </w:pPr>
    </w:p>
    <w:p w14:paraId="79D38012">
      <w:pPr>
        <w:pStyle w:val="4"/>
        <w:spacing w:before="175" w:after="1"/>
        <w:rPr>
          <w:sz w:val="20"/>
        </w:rPr>
      </w:pPr>
    </w:p>
    <w:p w14:paraId="432665E9">
      <w:pPr>
        <w:pStyle w:val="4"/>
        <w:ind w:left="2163"/>
        <w:rPr>
          <w:sz w:val="20"/>
        </w:rPr>
      </w:pPr>
      <w:r>
        <w:rPr>
          <w:sz w:val="20"/>
        </w:rPr>
        <w:drawing>
          <wp:inline distT="0" distB="0" distL="0" distR="0">
            <wp:extent cx="3705225" cy="5734050"/>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3" cstate="print"/>
                    <a:stretch>
                      <a:fillRect/>
                    </a:stretch>
                  </pic:blipFill>
                  <pic:spPr>
                    <a:xfrm>
                      <a:off x="0" y="0"/>
                      <a:ext cx="3705369" cy="5734050"/>
                    </a:xfrm>
                    <a:prstGeom prst="rect">
                      <a:avLst/>
                    </a:prstGeom>
                  </pic:spPr>
                </pic:pic>
              </a:graphicData>
            </a:graphic>
          </wp:inline>
        </w:drawing>
      </w:r>
    </w:p>
    <w:p w14:paraId="6E8E2F40">
      <w:pPr>
        <w:pStyle w:val="4"/>
        <w:spacing w:after="0"/>
        <w:rPr>
          <w:sz w:val="20"/>
        </w:rPr>
        <w:sectPr>
          <w:pgSz w:w="10440" w:h="14740"/>
          <w:pgMar w:top="1100" w:right="0" w:bottom="860" w:left="0" w:header="878" w:footer="676" w:gutter="0"/>
          <w:cols w:space="720" w:num="1"/>
        </w:sectPr>
      </w:pPr>
    </w:p>
    <w:p w14:paraId="5F367239">
      <w:pPr>
        <w:pStyle w:val="4"/>
        <w:rPr>
          <w:sz w:val="20"/>
        </w:rPr>
      </w:pPr>
    </w:p>
    <w:p w14:paraId="1B18698F">
      <w:pPr>
        <w:pStyle w:val="4"/>
        <w:rPr>
          <w:sz w:val="20"/>
        </w:rPr>
      </w:pPr>
    </w:p>
    <w:p w14:paraId="0DD07889">
      <w:pPr>
        <w:pStyle w:val="4"/>
        <w:rPr>
          <w:sz w:val="20"/>
        </w:rPr>
      </w:pPr>
    </w:p>
    <w:p w14:paraId="51F62576">
      <w:pPr>
        <w:pStyle w:val="4"/>
        <w:rPr>
          <w:sz w:val="20"/>
        </w:rPr>
      </w:pPr>
    </w:p>
    <w:p w14:paraId="65FBCF7C">
      <w:pPr>
        <w:pStyle w:val="4"/>
        <w:spacing w:before="34"/>
        <w:rPr>
          <w:sz w:val="20"/>
        </w:rPr>
      </w:pPr>
    </w:p>
    <w:p w14:paraId="09D8B28D">
      <w:pPr>
        <w:pStyle w:val="4"/>
        <w:ind w:left="2410"/>
        <w:rPr>
          <w:sz w:val="20"/>
        </w:rPr>
      </w:pPr>
      <w:r>
        <w:rPr>
          <w:sz w:val="20"/>
        </w:rPr>
        <w:drawing>
          <wp:inline distT="0" distB="0" distL="0" distR="0">
            <wp:extent cx="3667760" cy="6024245"/>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4" cstate="print"/>
                    <a:stretch>
                      <a:fillRect/>
                    </a:stretch>
                  </pic:blipFill>
                  <pic:spPr>
                    <a:xfrm>
                      <a:off x="0" y="0"/>
                      <a:ext cx="3668131" cy="6024848"/>
                    </a:xfrm>
                    <a:prstGeom prst="rect">
                      <a:avLst/>
                    </a:prstGeom>
                  </pic:spPr>
                </pic:pic>
              </a:graphicData>
            </a:graphic>
          </wp:inline>
        </w:drawing>
      </w:r>
    </w:p>
    <w:p w14:paraId="76BBA234">
      <w:pPr>
        <w:pStyle w:val="4"/>
        <w:spacing w:after="0"/>
        <w:rPr>
          <w:sz w:val="20"/>
        </w:rPr>
        <w:sectPr>
          <w:pgSz w:w="10440" w:h="14740"/>
          <w:pgMar w:top="1100" w:right="0" w:bottom="860" w:left="0" w:header="878" w:footer="676" w:gutter="0"/>
          <w:cols w:space="720" w:num="1"/>
        </w:sectPr>
      </w:pPr>
    </w:p>
    <w:p w14:paraId="38EFC182">
      <w:pPr>
        <w:pStyle w:val="4"/>
        <w:rPr>
          <w:sz w:val="20"/>
        </w:rPr>
      </w:pPr>
    </w:p>
    <w:p w14:paraId="369AD794">
      <w:pPr>
        <w:pStyle w:val="4"/>
        <w:rPr>
          <w:sz w:val="20"/>
        </w:rPr>
      </w:pPr>
    </w:p>
    <w:p w14:paraId="050681DB">
      <w:pPr>
        <w:pStyle w:val="4"/>
        <w:rPr>
          <w:sz w:val="20"/>
        </w:rPr>
      </w:pPr>
    </w:p>
    <w:p w14:paraId="69F79CDF">
      <w:pPr>
        <w:pStyle w:val="4"/>
        <w:spacing w:before="223"/>
        <w:rPr>
          <w:sz w:val="20"/>
        </w:rPr>
      </w:pPr>
    </w:p>
    <w:p w14:paraId="5E959688">
      <w:pPr>
        <w:pStyle w:val="4"/>
        <w:ind w:left="1796"/>
        <w:rPr>
          <w:sz w:val="20"/>
        </w:rPr>
      </w:pPr>
      <w:r>
        <w:rPr>
          <w:sz w:val="20"/>
        </w:rPr>
        <w:drawing>
          <wp:inline distT="0" distB="0" distL="0" distR="0">
            <wp:extent cx="3977005" cy="5934710"/>
            <wp:effectExtent l="0" t="0" r="0" b="0"/>
            <wp:docPr id="24" name="Image 2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5" cstate="print"/>
                    <a:stretch>
                      <a:fillRect/>
                    </a:stretch>
                  </pic:blipFill>
                  <pic:spPr>
                    <a:xfrm>
                      <a:off x="0" y="0"/>
                      <a:ext cx="3977628" cy="5934741"/>
                    </a:xfrm>
                    <a:prstGeom prst="rect">
                      <a:avLst/>
                    </a:prstGeom>
                  </pic:spPr>
                </pic:pic>
              </a:graphicData>
            </a:graphic>
          </wp:inline>
        </w:drawing>
      </w:r>
    </w:p>
    <w:p w14:paraId="5ADB60D6">
      <w:pPr>
        <w:pStyle w:val="4"/>
        <w:spacing w:after="0"/>
        <w:rPr>
          <w:sz w:val="20"/>
        </w:rPr>
        <w:sectPr>
          <w:pgSz w:w="10440" w:h="14740"/>
          <w:pgMar w:top="1100" w:right="0" w:bottom="860" w:left="0" w:header="878" w:footer="676" w:gutter="0"/>
          <w:cols w:space="720" w:num="1"/>
        </w:sectPr>
      </w:pPr>
    </w:p>
    <w:p w14:paraId="494B0CB7">
      <w:pPr>
        <w:pStyle w:val="4"/>
        <w:rPr>
          <w:sz w:val="20"/>
        </w:rPr>
      </w:pPr>
    </w:p>
    <w:p w14:paraId="46CE84C3">
      <w:pPr>
        <w:pStyle w:val="4"/>
        <w:rPr>
          <w:sz w:val="20"/>
        </w:rPr>
      </w:pPr>
    </w:p>
    <w:p w14:paraId="548D0A92">
      <w:pPr>
        <w:pStyle w:val="4"/>
        <w:rPr>
          <w:sz w:val="20"/>
        </w:rPr>
      </w:pPr>
    </w:p>
    <w:p w14:paraId="5FA8D78F">
      <w:pPr>
        <w:pStyle w:val="4"/>
        <w:spacing w:before="197"/>
        <w:rPr>
          <w:sz w:val="20"/>
        </w:rPr>
      </w:pPr>
    </w:p>
    <w:p w14:paraId="496F9D75">
      <w:pPr>
        <w:pStyle w:val="4"/>
        <w:ind w:left="1802"/>
        <w:rPr>
          <w:sz w:val="20"/>
        </w:rPr>
      </w:pPr>
      <w:r>
        <w:rPr>
          <w:sz w:val="20"/>
        </w:rPr>
        <w:drawing>
          <wp:inline distT="0" distB="0" distL="0" distR="0">
            <wp:extent cx="4548505" cy="4271645"/>
            <wp:effectExtent l="0" t="0" r="0" b="0"/>
            <wp:docPr id="25" name="Image 25"/>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6" cstate="print"/>
                    <a:stretch>
                      <a:fillRect/>
                    </a:stretch>
                  </pic:blipFill>
                  <pic:spPr>
                    <a:xfrm>
                      <a:off x="0" y="0"/>
                      <a:ext cx="4548906" cy="4271867"/>
                    </a:xfrm>
                    <a:prstGeom prst="rect">
                      <a:avLst/>
                    </a:prstGeom>
                  </pic:spPr>
                </pic:pic>
              </a:graphicData>
            </a:graphic>
          </wp:inline>
        </w:drawing>
      </w:r>
    </w:p>
    <w:p w14:paraId="5C67C87D">
      <w:pPr>
        <w:pStyle w:val="4"/>
        <w:spacing w:after="0"/>
        <w:rPr>
          <w:sz w:val="20"/>
        </w:rPr>
        <w:sectPr>
          <w:pgSz w:w="10440" w:h="14740"/>
          <w:pgMar w:top="1100" w:right="0" w:bottom="860" w:left="0" w:header="878" w:footer="676" w:gutter="0"/>
          <w:cols w:space="720" w:num="1"/>
        </w:sectPr>
      </w:pPr>
    </w:p>
    <w:p w14:paraId="08100CA0">
      <w:pPr>
        <w:pStyle w:val="4"/>
        <w:spacing w:before="86" w:after="1"/>
        <w:rPr>
          <w:sz w:val="20"/>
        </w:rPr>
      </w:pPr>
    </w:p>
    <w:p w14:paraId="6076AE9E">
      <w:pPr>
        <w:pStyle w:val="4"/>
        <w:ind w:left="1730"/>
        <w:rPr>
          <w:sz w:val="20"/>
        </w:rPr>
      </w:pPr>
      <w:r>
        <w:rPr>
          <w:sz w:val="20"/>
        </w:rPr>
        <w:drawing>
          <wp:inline distT="0" distB="0" distL="0" distR="0">
            <wp:extent cx="4341495" cy="6732905"/>
            <wp:effectExtent l="0" t="0" r="0" b="0"/>
            <wp:docPr id="26" name="Image 26"/>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7" cstate="print"/>
                    <a:stretch>
                      <a:fillRect/>
                    </a:stretch>
                  </pic:blipFill>
                  <pic:spPr>
                    <a:xfrm>
                      <a:off x="0" y="0"/>
                      <a:ext cx="4342110" cy="6733413"/>
                    </a:xfrm>
                    <a:prstGeom prst="rect">
                      <a:avLst/>
                    </a:prstGeom>
                  </pic:spPr>
                </pic:pic>
              </a:graphicData>
            </a:graphic>
          </wp:inline>
        </w:drawing>
      </w:r>
    </w:p>
    <w:p w14:paraId="56193E0C">
      <w:pPr>
        <w:pStyle w:val="4"/>
        <w:spacing w:after="0"/>
        <w:rPr>
          <w:sz w:val="20"/>
        </w:rPr>
        <w:sectPr>
          <w:pgSz w:w="10440" w:h="14740"/>
          <w:pgMar w:top="1100" w:right="0" w:bottom="860" w:left="0" w:header="878" w:footer="676" w:gutter="0"/>
          <w:cols w:space="720" w:num="1"/>
        </w:sectPr>
      </w:pPr>
    </w:p>
    <w:p w14:paraId="5681C1DC">
      <w:pPr>
        <w:pStyle w:val="4"/>
        <w:spacing w:before="185"/>
        <w:rPr>
          <w:sz w:val="20"/>
        </w:rPr>
      </w:pPr>
    </w:p>
    <w:p w14:paraId="3EAC9EB5">
      <w:pPr>
        <w:pStyle w:val="4"/>
        <w:ind w:left="2443"/>
        <w:rPr>
          <w:sz w:val="20"/>
        </w:rPr>
      </w:pPr>
      <w:r>
        <w:rPr>
          <w:sz w:val="20"/>
        </w:rPr>
        <w:drawing>
          <wp:inline distT="0" distB="0" distL="0" distR="0">
            <wp:extent cx="4235450" cy="6553200"/>
            <wp:effectExtent l="0" t="0" r="0" b="0"/>
            <wp:docPr id="27" name="Image 27"/>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8" cstate="print"/>
                    <a:stretch>
                      <a:fillRect/>
                    </a:stretch>
                  </pic:blipFill>
                  <pic:spPr>
                    <a:xfrm>
                      <a:off x="0" y="0"/>
                      <a:ext cx="4235667" cy="6553200"/>
                    </a:xfrm>
                    <a:prstGeom prst="rect">
                      <a:avLst/>
                    </a:prstGeom>
                  </pic:spPr>
                </pic:pic>
              </a:graphicData>
            </a:graphic>
          </wp:inline>
        </w:drawing>
      </w:r>
    </w:p>
    <w:p w14:paraId="75E42A5F">
      <w:pPr>
        <w:pStyle w:val="4"/>
        <w:spacing w:after="0"/>
        <w:rPr>
          <w:sz w:val="20"/>
        </w:rPr>
        <w:sectPr>
          <w:pgSz w:w="10440" w:h="14740"/>
          <w:pgMar w:top="1100" w:right="0" w:bottom="860" w:left="0" w:header="878" w:footer="676" w:gutter="0"/>
          <w:cols w:space="720" w:num="1"/>
        </w:sectPr>
      </w:pPr>
    </w:p>
    <w:p w14:paraId="09170638">
      <w:pPr>
        <w:pStyle w:val="4"/>
        <w:spacing w:before="96"/>
        <w:rPr>
          <w:sz w:val="20"/>
        </w:rPr>
      </w:pPr>
    </w:p>
    <w:p w14:paraId="0D2BD652">
      <w:pPr>
        <w:pStyle w:val="4"/>
        <w:ind w:left="1691"/>
        <w:rPr>
          <w:sz w:val="20"/>
        </w:rPr>
      </w:pPr>
      <w:r>
        <w:rPr>
          <w:sz w:val="20"/>
        </w:rPr>
        <w:drawing>
          <wp:inline distT="0" distB="0" distL="0" distR="0">
            <wp:extent cx="4630420" cy="6876415"/>
            <wp:effectExtent l="0" t="0" r="0" b="0"/>
            <wp:docPr id="28" name="Image 28"/>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9" cstate="print"/>
                    <a:stretch>
                      <a:fillRect/>
                    </a:stretch>
                  </pic:blipFill>
                  <pic:spPr>
                    <a:xfrm>
                      <a:off x="0" y="0"/>
                      <a:ext cx="4630465" cy="6876764"/>
                    </a:xfrm>
                    <a:prstGeom prst="rect">
                      <a:avLst/>
                    </a:prstGeom>
                  </pic:spPr>
                </pic:pic>
              </a:graphicData>
            </a:graphic>
          </wp:inline>
        </w:drawing>
      </w:r>
    </w:p>
    <w:p w14:paraId="426813C6">
      <w:pPr>
        <w:pStyle w:val="4"/>
        <w:spacing w:after="0"/>
        <w:rPr>
          <w:sz w:val="20"/>
        </w:rPr>
        <w:sectPr>
          <w:pgSz w:w="10440" w:h="14740"/>
          <w:pgMar w:top="1100" w:right="0" w:bottom="860" w:left="0" w:header="878" w:footer="676" w:gutter="0"/>
          <w:cols w:space="720" w:num="1"/>
        </w:sectPr>
      </w:pPr>
    </w:p>
    <w:p w14:paraId="00387845">
      <w:pPr>
        <w:pStyle w:val="4"/>
        <w:rPr>
          <w:sz w:val="20"/>
        </w:rPr>
      </w:pPr>
    </w:p>
    <w:p w14:paraId="4D6F4477">
      <w:pPr>
        <w:pStyle w:val="4"/>
        <w:rPr>
          <w:sz w:val="20"/>
        </w:rPr>
      </w:pPr>
    </w:p>
    <w:p w14:paraId="004C487D">
      <w:pPr>
        <w:pStyle w:val="4"/>
        <w:rPr>
          <w:sz w:val="20"/>
        </w:rPr>
      </w:pPr>
    </w:p>
    <w:p w14:paraId="15242C64">
      <w:pPr>
        <w:pStyle w:val="4"/>
        <w:spacing w:before="254"/>
        <w:rPr>
          <w:sz w:val="20"/>
        </w:rPr>
      </w:pPr>
    </w:p>
    <w:p w14:paraId="5B7C46EA">
      <w:pPr>
        <w:pStyle w:val="4"/>
        <w:ind w:left="2436"/>
        <w:rPr>
          <w:sz w:val="20"/>
        </w:rPr>
      </w:pPr>
      <w:r>
        <w:rPr>
          <w:sz w:val="20"/>
        </w:rPr>
        <w:drawing>
          <wp:inline distT="0" distB="0" distL="0" distR="0">
            <wp:extent cx="3733165" cy="5995670"/>
            <wp:effectExtent l="0" t="0" r="0" b="0"/>
            <wp:docPr id="29" name="Image 29"/>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30" cstate="print"/>
                    <a:stretch>
                      <a:fillRect/>
                    </a:stretch>
                  </pic:blipFill>
                  <pic:spPr>
                    <a:xfrm>
                      <a:off x="0" y="0"/>
                      <a:ext cx="3733426" cy="5996178"/>
                    </a:xfrm>
                    <a:prstGeom prst="rect">
                      <a:avLst/>
                    </a:prstGeom>
                  </pic:spPr>
                </pic:pic>
              </a:graphicData>
            </a:graphic>
          </wp:inline>
        </w:drawing>
      </w:r>
    </w:p>
    <w:p w14:paraId="1B3D0CEB">
      <w:pPr>
        <w:pStyle w:val="4"/>
        <w:spacing w:after="0"/>
        <w:rPr>
          <w:sz w:val="20"/>
        </w:rPr>
        <w:sectPr>
          <w:pgSz w:w="10440" w:h="14740"/>
          <w:pgMar w:top="1100" w:right="0" w:bottom="860" w:left="0" w:header="878" w:footer="676" w:gutter="0"/>
          <w:cols w:space="720" w:num="1"/>
        </w:sectPr>
      </w:pPr>
    </w:p>
    <w:p w14:paraId="5B76327D">
      <w:pPr>
        <w:pStyle w:val="4"/>
        <w:spacing w:before="132"/>
        <w:rPr>
          <w:sz w:val="20"/>
        </w:rPr>
      </w:pPr>
    </w:p>
    <w:p w14:paraId="5B19B28F">
      <w:pPr>
        <w:pStyle w:val="4"/>
        <w:ind w:left="1920"/>
        <w:rPr>
          <w:sz w:val="20"/>
        </w:rPr>
      </w:pPr>
      <w:r>
        <w:rPr>
          <w:sz w:val="20"/>
        </w:rPr>
        <w:drawing>
          <wp:inline distT="0" distB="0" distL="0" distR="0">
            <wp:extent cx="4228465" cy="7142480"/>
            <wp:effectExtent l="0" t="0" r="0" b="0"/>
            <wp:docPr id="30" name="Image 30"/>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1" cstate="print"/>
                    <a:stretch>
                      <a:fillRect/>
                    </a:stretch>
                  </pic:blipFill>
                  <pic:spPr>
                    <a:xfrm>
                      <a:off x="0" y="0"/>
                      <a:ext cx="4228796" cy="7142988"/>
                    </a:xfrm>
                    <a:prstGeom prst="rect">
                      <a:avLst/>
                    </a:prstGeom>
                  </pic:spPr>
                </pic:pic>
              </a:graphicData>
            </a:graphic>
          </wp:inline>
        </w:drawing>
      </w:r>
    </w:p>
    <w:p w14:paraId="0B97A8CF">
      <w:pPr>
        <w:pStyle w:val="4"/>
        <w:spacing w:after="0"/>
        <w:rPr>
          <w:sz w:val="20"/>
        </w:rPr>
        <w:sectPr>
          <w:pgSz w:w="10440" w:h="14740"/>
          <w:pgMar w:top="1100" w:right="0" w:bottom="860" w:left="0" w:header="878" w:footer="676" w:gutter="0"/>
          <w:cols w:space="720" w:num="1"/>
        </w:sectPr>
      </w:pPr>
    </w:p>
    <w:p w14:paraId="01489D9D">
      <w:pPr>
        <w:pStyle w:val="4"/>
        <w:spacing w:before="94"/>
      </w:pPr>
    </w:p>
    <w:p w14:paraId="7918A201">
      <w:pPr>
        <w:pStyle w:val="4"/>
        <w:ind w:left="1896"/>
      </w:pPr>
      <w:bookmarkStart w:id="56" w:name="二、关于发布建设工程人工成本综合指数及机械价格综合指数的通知"/>
      <w:bookmarkEnd w:id="56"/>
      <w:bookmarkStart w:id="57" w:name="_bookmark28"/>
      <w:bookmarkEnd w:id="57"/>
      <w:r>
        <w:rPr>
          <w:spacing w:val="-1"/>
        </w:rPr>
        <w:t>二、关于发布建设工程人工成本综合指数及机械价格综合指数的通知</w:t>
      </w:r>
    </w:p>
    <w:p w14:paraId="3D1BCD39">
      <w:pPr>
        <w:pStyle w:val="4"/>
        <w:rPr>
          <w:sz w:val="20"/>
        </w:rPr>
      </w:pPr>
    </w:p>
    <w:p w14:paraId="091935BA">
      <w:pPr>
        <w:pStyle w:val="4"/>
        <w:spacing w:before="146"/>
        <w:rPr>
          <w:sz w:val="20"/>
        </w:rPr>
      </w:pPr>
      <w:r>
        <w:rPr>
          <w:sz w:val="20"/>
        </w:rPr>
        <w:drawing>
          <wp:anchor distT="0" distB="0" distL="0" distR="0" simplePos="0" relativeHeight="251671552" behindDoc="1" locked="0" layoutInCell="1" allowOverlap="1">
            <wp:simplePos x="0" y="0"/>
            <wp:positionH relativeFrom="page">
              <wp:posOffset>899160</wp:posOffset>
            </wp:positionH>
            <wp:positionV relativeFrom="paragraph">
              <wp:posOffset>270510</wp:posOffset>
            </wp:positionV>
            <wp:extent cx="4542790" cy="6049645"/>
            <wp:effectExtent l="0" t="0" r="0" b="0"/>
            <wp:wrapTopAndBottom/>
            <wp:docPr id="31" name="Image 31"/>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32" cstate="print"/>
                    <a:stretch>
                      <a:fillRect/>
                    </a:stretch>
                  </pic:blipFill>
                  <pic:spPr>
                    <a:xfrm>
                      <a:off x="0" y="0"/>
                      <a:ext cx="4542776" cy="6049422"/>
                    </a:xfrm>
                    <a:prstGeom prst="rect">
                      <a:avLst/>
                    </a:prstGeom>
                  </pic:spPr>
                </pic:pic>
              </a:graphicData>
            </a:graphic>
          </wp:anchor>
        </w:drawing>
      </w:r>
    </w:p>
    <w:p w14:paraId="44E928DA">
      <w:pPr>
        <w:pStyle w:val="4"/>
        <w:spacing w:after="0"/>
        <w:rPr>
          <w:sz w:val="20"/>
        </w:rPr>
        <w:sectPr>
          <w:pgSz w:w="10440" w:h="14740"/>
          <w:pgMar w:top="1100" w:right="0" w:bottom="860" w:left="0" w:header="878" w:footer="676" w:gutter="0"/>
          <w:cols w:space="720" w:num="1"/>
        </w:sectPr>
      </w:pPr>
    </w:p>
    <w:p w14:paraId="693FB91E">
      <w:pPr>
        <w:pStyle w:val="4"/>
        <w:spacing w:before="86" w:after="1"/>
        <w:rPr>
          <w:sz w:val="20"/>
        </w:rPr>
      </w:pPr>
    </w:p>
    <w:p w14:paraId="0068A4B7">
      <w:pPr>
        <w:pStyle w:val="4"/>
        <w:ind w:left="1135"/>
        <w:rPr>
          <w:sz w:val="20"/>
        </w:rPr>
      </w:pPr>
      <w:r>
        <w:rPr>
          <w:sz w:val="20"/>
        </w:rPr>
        <w:drawing>
          <wp:inline distT="0" distB="0" distL="0" distR="0">
            <wp:extent cx="4782820" cy="6925310"/>
            <wp:effectExtent l="0" t="0" r="0" b="0"/>
            <wp:docPr id="32" name="Image 32"/>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3" cstate="print"/>
                    <a:stretch>
                      <a:fillRect/>
                    </a:stretch>
                  </pic:blipFill>
                  <pic:spPr>
                    <a:xfrm>
                      <a:off x="0" y="0"/>
                      <a:ext cx="4783329" cy="6925913"/>
                    </a:xfrm>
                    <a:prstGeom prst="rect">
                      <a:avLst/>
                    </a:prstGeom>
                  </pic:spPr>
                </pic:pic>
              </a:graphicData>
            </a:graphic>
          </wp:inline>
        </w:drawing>
      </w:r>
    </w:p>
    <w:p w14:paraId="0D3D79C1">
      <w:pPr>
        <w:pStyle w:val="4"/>
        <w:spacing w:after="0"/>
        <w:rPr>
          <w:sz w:val="20"/>
        </w:rPr>
        <w:sectPr>
          <w:pgSz w:w="10440" w:h="14740"/>
          <w:pgMar w:top="1100" w:right="0" w:bottom="860" w:left="0" w:header="878" w:footer="676" w:gutter="0"/>
          <w:cols w:space="720" w:num="1"/>
        </w:sectPr>
      </w:pPr>
    </w:p>
    <w:p w14:paraId="3648736C">
      <w:pPr>
        <w:pStyle w:val="4"/>
        <w:spacing w:before="65"/>
        <w:rPr>
          <w:sz w:val="20"/>
        </w:rPr>
      </w:pPr>
    </w:p>
    <w:p w14:paraId="63CBC335">
      <w:pPr>
        <w:pStyle w:val="4"/>
        <w:ind w:left="1416"/>
        <w:rPr>
          <w:sz w:val="20"/>
        </w:rPr>
      </w:pPr>
      <w:r>
        <w:rPr>
          <w:sz w:val="20"/>
        </w:rPr>
        <w:drawing>
          <wp:inline distT="0" distB="0" distL="0" distR="0">
            <wp:extent cx="4928235" cy="7028180"/>
            <wp:effectExtent l="0" t="0" r="0" b="0"/>
            <wp:docPr id="33" name="Image 33"/>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4" cstate="print"/>
                    <a:stretch>
                      <a:fillRect/>
                    </a:stretch>
                  </pic:blipFill>
                  <pic:spPr>
                    <a:xfrm>
                      <a:off x="0" y="0"/>
                      <a:ext cx="4928376" cy="7028307"/>
                    </a:xfrm>
                    <a:prstGeom prst="rect">
                      <a:avLst/>
                    </a:prstGeom>
                  </pic:spPr>
                </pic:pic>
              </a:graphicData>
            </a:graphic>
          </wp:inline>
        </w:drawing>
      </w:r>
    </w:p>
    <w:p w14:paraId="0D3C29BF">
      <w:pPr>
        <w:pStyle w:val="4"/>
        <w:spacing w:after="0"/>
        <w:rPr>
          <w:sz w:val="20"/>
        </w:rPr>
        <w:sectPr>
          <w:pgSz w:w="10440" w:h="14740"/>
          <w:pgMar w:top="1100" w:right="0" w:bottom="860" w:left="0" w:header="878" w:footer="676" w:gutter="0"/>
          <w:cols w:space="720" w:num="1"/>
        </w:sectPr>
      </w:pPr>
    </w:p>
    <w:p w14:paraId="54C4CDE3">
      <w:pPr>
        <w:pStyle w:val="4"/>
        <w:spacing w:before="94"/>
      </w:pPr>
    </w:p>
    <w:p w14:paraId="2D215F12">
      <w:pPr>
        <w:pStyle w:val="4"/>
        <w:ind w:left="1612"/>
      </w:pPr>
      <w:bookmarkStart w:id="58" w:name="三、关于全面推进全省房屋市政工程智慧工地建设的通知"/>
      <w:bookmarkEnd w:id="58"/>
      <w:bookmarkStart w:id="59" w:name="_bookmark29"/>
      <w:bookmarkEnd w:id="59"/>
      <w:r>
        <w:rPr>
          <w:spacing w:val="-1"/>
        </w:rPr>
        <w:t>三、关于全面推进全省房屋市政工程智慧工地建设的通知</w:t>
      </w:r>
    </w:p>
    <w:p w14:paraId="1653DDAD">
      <w:pPr>
        <w:pStyle w:val="4"/>
      </w:pPr>
    </w:p>
    <w:p w14:paraId="3C7A5EAF">
      <w:pPr>
        <w:pStyle w:val="4"/>
        <w:spacing w:before="67"/>
      </w:pPr>
    </w:p>
    <w:p w14:paraId="63D6F8AC">
      <w:pPr>
        <w:spacing w:before="0"/>
        <w:ind w:left="282" w:right="563" w:firstLine="0"/>
        <w:jc w:val="center"/>
        <w:rPr>
          <w:sz w:val="28"/>
        </w:rPr>
      </w:pPr>
      <w:r>
        <w:rPr>
          <w:spacing w:val="-3"/>
          <w:sz w:val="28"/>
        </w:rPr>
        <w:t>关于全面推进全省房屋市政工程智慧工地建设的通知</w:t>
      </w:r>
    </w:p>
    <w:p w14:paraId="3F0D6AFB">
      <w:pPr>
        <w:spacing w:before="230"/>
        <w:ind w:left="0" w:right="285" w:firstLine="0"/>
        <w:jc w:val="center"/>
        <w:rPr>
          <w:sz w:val="21"/>
        </w:rPr>
      </w:pPr>
      <w:r>
        <w:rPr>
          <w:spacing w:val="-2"/>
          <w:sz w:val="21"/>
        </w:rPr>
        <w:t>厅头〔2023〕627</w:t>
      </w:r>
      <w:r>
        <w:rPr>
          <w:spacing w:val="-27"/>
          <w:sz w:val="21"/>
        </w:rPr>
        <w:t xml:space="preserve"> 号</w:t>
      </w:r>
    </w:p>
    <w:p w14:paraId="058BF8F1">
      <w:pPr>
        <w:pStyle w:val="4"/>
        <w:spacing w:before="181"/>
        <w:ind w:left="1132"/>
      </w:pPr>
      <w:r>
        <w:t>各市、州、直管市、神农架林区住（城）</w:t>
      </w:r>
      <w:r>
        <w:rPr>
          <w:spacing w:val="-2"/>
        </w:rPr>
        <w:t>建局，各有关单位：</w:t>
      </w:r>
    </w:p>
    <w:p w14:paraId="1721FD0D">
      <w:pPr>
        <w:pStyle w:val="4"/>
        <w:spacing w:before="160" w:line="364" w:lineRule="auto"/>
        <w:ind w:left="1132" w:right="1294" w:firstLine="480"/>
      </w:pPr>
      <w:r>
        <w:rPr>
          <w:spacing w:val="-2"/>
        </w:rPr>
        <w:t>为深入贯彻落实《省人民政府关于全面推进数字湖北建设的意见》《湖</w:t>
      </w:r>
      <w:r>
        <w:t>北省数字住建行动计划（2021-2025</w:t>
      </w:r>
      <w:r>
        <w:rPr>
          <w:spacing w:val="-19"/>
        </w:rPr>
        <w:t xml:space="preserve"> 年</w:t>
      </w:r>
      <w:r>
        <w:t>）》，数字赋能行业监管，全面推进</w:t>
      </w:r>
      <w:r>
        <w:rPr>
          <w:spacing w:val="-11"/>
        </w:rPr>
        <w:t>我省房屋市政工程智慧工地建设，提高施工现场管理全过程数字化、精细化、</w:t>
      </w:r>
      <w:r>
        <w:rPr>
          <w:spacing w:val="-2"/>
        </w:rPr>
        <w:t>智慧化水平，助推我省建筑业高质量发展。现就有关事项通知如下：</w:t>
      </w:r>
    </w:p>
    <w:p w14:paraId="747F29CD">
      <w:pPr>
        <w:pStyle w:val="4"/>
        <w:spacing w:before="3"/>
        <w:ind w:left="1612"/>
      </w:pPr>
      <w:r>
        <w:rPr>
          <w:spacing w:val="-2"/>
        </w:rPr>
        <w:t>一、总体目标</w:t>
      </w:r>
    </w:p>
    <w:p w14:paraId="76807CD1">
      <w:pPr>
        <w:pStyle w:val="4"/>
        <w:spacing w:before="160" w:line="364" w:lineRule="auto"/>
        <w:ind w:left="1132" w:right="1414" w:firstLine="480"/>
        <w:jc w:val="both"/>
      </w:pPr>
      <w:r>
        <w:rPr>
          <w:spacing w:val="-2"/>
        </w:rPr>
        <w:t>以科技创新为驱动，坚持目标导向、问题导向、效果导向，借助互联网技术和信息化手段，集工程动态管控、智能预警、人员管理、环境监测、质量管理、安全管理等场景于一体，实现数据互联、场景互通、管理协同，为项目建设提供全过程数字化管理信息，助力建筑施工生产治理体系和治理能力现代化水平提升。</w:t>
      </w:r>
    </w:p>
    <w:p w14:paraId="12B063A0">
      <w:pPr>
        <w:pStyle w:val="4"/>
        <w:spacing w:before="3"/>
        <w:ind w:left="1612"/>
      </w:pPr>
      <w:r>
        <w:rPr>
          <w:spacing w:val="-2"/>
        </w:rPr>
        <w:t>二、建设原则</w:t>
      </w:r>
    </w:p>
    <w:p w14:paraId="15DD0A75">
      <w:pPr>
        <w:pStyle w:val="4"/>
        <w:spacing w:before="161" w:line="364" w:lineRule="auto"/>
        <w:ind w:left="1132" w:right="1294" w:firstLine="480"/>
        <w:jc w:val="both"/>
      </w:pPr>
      <w:r>
        <w:rPr>
          <w:spacing w:val="-2"/>
        </w:rPr>
        <w:t>（一）政府引导，企业主体。各地住建主管部门要加强推进智慧工地建设引导，制定实施工作方案，明确智慧工地建设各阶段工作要求、激励保障措施。充分调动企业积极性，主动加强智慧工地管理信息化手段建设，实现对施工现场人、机、料、法、环等关键要素的智能监控、预测报警和在线管</w:t>
      </w:r>
      <w:r>
        <w:rPr>
          <w:spacing w:val="-13"/>
        </w:rPr>
        <w:t>理的数据共享、实时协同，助力参建各方主体落实事前预防和事中控制责任。</w:t>
      </w:r>
    </w:p>
    <w:p w14:paraId="195B829F">
      <w:pPr>
        <w:pStyle w:val="4"/>
        <w:spacing w:before="3" w:line="364" w:lineRule="auto"/>
        <w:ind w:left="1132" w:right="1414" w:firstLine="480"/>
        <w:jc w:val="both"/>
      </w:pPr>
      <w:r>
        <w:rPr>
          <w:spacing w:val="-4"/>
        </w:rPr>
        <w:t>（二）</w:t>
      </w:r>
      <w:r>
        <w:rPr>
          <w:spacing w:val="-6"/>
        </w:rPr>
        <w:t xml:space="preserve">突出重点，分级推进。智慧工地建设按照 </w:t>
      </w:r>
      <w:r>
        <w:rPr>
          <w:spacing w:val="-4"/>
        </w:rPr>
        <w:t>N+X</w:t>
      </w:r>
      <w:r>
        <w:rPr>
          <w:spacing w:val="-9"/>
        </w:rPr>
        <w:t xml:space="preserve"> 分层级推进，坚持</w:t>
      </w:r>
      <w:r>
        <w:rPr>
          <w:spacing w:val="-2"/>
        </w:rPr>
        <w:t>示范引领、务求实效，优先在过程监控、起重设备、扬尘防治、人员管理等</w:t>
      </w:r>
      <w:r>
        <w:rPr>
          <w:spacing w:val="-4"/>
        </w:rPr>
        <w:t>环节重点应用，逐步拓展实施。其中：N1</w:t>
      </w:r>
      <w:r>
        <w:rPr>
          <w:spacing w:val="-10"/>
        </w:rPr>
        <w:t xml:space="preserve"> 为基础项，是安全文明施工基本要</w:t>
      </w:r>
    </w:p>
    <w:p w14:paraId="6B0C2637">
      <w:pPr>
        <w:pStyle w:val="4"/>
        <w:spacing w:after="0" w:line="364" w:lineRule="auto"/>
        <w:jc w:val="both"/>
        <w:sectPr>
          <w:pgSz w:w="10440" w:h="14740"/>
          <w:pgMar w:top="1100" w:right="0" w:bottom="860" w:left="0" w:header="878" w:footer="676" w:gutter="0"/>
          <w:cols w:space="720" w:num="1"/>
        </w:sectPr>
      </w:pPr>
    </w:p>
    <w:p w14:paraId="2C226F5C">
      <w:pPr>
        <w:pStyle w:val="4"/>
        <w:spacing w:before="94"/>
      </w:pPr>
    </w:p>
    <w:p w14:paraId="6075DD94">
      <w:pPr>
        <w:pStyle w:val="4"/>
        <w:spacing w:line="364" w:lineRule="auto"/>
        <w:ind w:left="1416" w:right="1131"/>
        <w:jc w:val="both"/>
      </w:pPr>
      <w:r>
        <w:rPr>
          <w:spacing w:val="-4"/>
        </w:rPr>
        <w:t>求；N2</w:t>
      </w:r>
      <w:r>
        <w:rPr>
          <w:spacing w:val="-9"/>
        </w:rPr>
        <w:t xml:space="preserve"> 为提高项，是创优项目、观摩工地的前提条件；</w:t>
      </w:r>
      <w:r>
        <w:rPr>
          <w:spacing w:val="-4"/>
        </w:rPr>
        <w:t>X</w:t>
      </w:r>
      <w:r>
        <w:rPr>
          <w:spacing w:val="-9"/>
        </w:rPr>
        <w:t xml:space="preserve"> 为创新项，各地住</w:t>
      </w:r>
      <w:r>
        <w:rPr>
          <w:spacing w:val="-2"/>
        </w:rPr>
        <w:t>建主管部门和建筑施工企业可根据项目特点和管理能力，创新实施内容。</w:t>
      </w:r>
    </w:p>
    <w:p w14:paraId="2E6C8D41">
      <w:pPr>
        <w:pStyle w:val="4"/>
        <w:spacing w:before="1" w:line="364" w:lineRule="auto"/>
        <w:ind w:left="1416" w:right="1131" w:firstLine="480"/>
        <w:jc w:val="both"/>
      </w:pPr>
      <w:r>
        <w:rPr>
          <w:spacing w:val="-2"/>
        </w:rPr>
        <w:t>（三）整体协同，集成共建。省厅开发建设了全省统一协同的智慧工地监管平台，打造智慧监管数字住建共生治理监管生态，各级住建主管部门都</w:t>
      </w:r>
      <w:r>
        <w:rPr>
          <w:spacing w:val="-22"/>
        </w:rPr>
        <w:t xml:space="preserve">可免费申请权限使用。已开发建设相关监管系统的，要根据省厅要求，在 </w:t>
      </w:r>
      <w:r>
        <w:rPr>
          <w:spacing w:val="-4"/>
        </w:rPr>
        <w:t>2023</w:t>
      </w:r>
    </w:p>
    <w:p w14:paraId="43617300">
      <w:pPr>
        <w:pStyle w:val="4"/>
        <w:spacing w:before="2" w:line="364" w:lineRule="auto"/>
        <w:ind w:left="1416" w:right="1131"/>
        <w:jc w:val="both"/>
      </w:pPr>
      <w:r>
        <w:rPr>
          <w:spacing w:val="-15"/>
        </w:rPr>
        <w:t xml:space="preserve">年 </w:t>
      </w:r>
      <w:r>
        <w:rPr>
          <w:spacing w:val="-4"/>
        </w:rPr>
        <w:t>4</w:t>
      </w:r>
      <w:r>
        <w:rPr>
          <w:spacing w:val="-9"/>
        </w:rPr>
        <w:t xml:space="preserve"> 月底前，完成基础项数据与省智慧工地监管平台对接，实现数据实时归</w:t>
      </w:r>
      <w:r>
        <w:rPr>
          <w:spacing w:val="-4"/>
        </w:rPr>
        <w:t>集上传。</w:t>
      </w:r>
    </w:p>
    <w:p w14:paraId="5A1F3A8A">
      <w:pPr>
        <w:pStyle w:val="4"/>
        <w:spacing w:before="1"/>
        <w:ind w:left="1896"/>
      </w:pPr>
      <w:r>
        <w:rPr>
          <w:spacing w:val="-2"/>
        </w:rPr>
        <w:t>三、重点任务</w:t>
      </w:r>
    </w:p>
    <w:p w14:paraId="02553822">
      <w:pPr>
        <w:pStyle w:val="4"/>
        <w:spacing w:before="161" w:line="364" w:lineRule="auto"/>
        <w:ind w:left="1416" w:right="1131" w:firstLine="480"/>
      </w:pPr>
      <w:r>
        <w:rPr>
          <w:spacing w:val="-2"/>
        </w:rPr>
        <w:t>坚持全省一盘棋，统筹发展和安全，聚焦结果导向，创新工作机制，抓责任强落实，示范引领、分步有序推进智慧工地建设落到实处。</w:t>
      </w:r>
    </w:p>
    <w:p w14:paraId="61FB19B7">
      <w:pPr>
        <w:pStyle w:val="4"/>
        <w:spacing w:before="1" w:line="364" w:lineRule="auto"/>
        <w:ind w:left="1416" w:right="1011" w:firstLine="480"/>
      </w:pPr>
      <w:r>
        <w:t>（一）调研谋划阶段。2023</w:t>
      </w:r>
      <w:r>
        <w:rPr>
          <w:spacing w:val="-40"/>
        </w:rPr>
        <w:t xml:space="preserve"> 年 </w:t>
      </w:r>
      <w:r>
        <w:t>4</w:t>
      </w:r>
      <w:r>
        <w:rPr>
          <w:spacing w:val="-8"/>
        </w:rPr>
        <w:t xml:space="preserve"> 月底前，各级住建主管部门要加大动员</w:t>
      </w:r>
      <w:r>
        <w:rPr>
          <w:spacing w:val="-5"/>
        </w:rPr>
        <w:t xml:space="preserve">部署推进力度，开展调查研究，根据当地实际，选育 </w:t>
      </w:r>
      <w:r>
        <w:rPr>
          <w:spacing w:val="-2"/>
        </w:rPr>
        <w:t>3—5</w:t>
      </w:r>
      <w:r>
        <w:rPr>
          <w:spacing w:val="-10"/>
        </w:rPr>
        <w:t xml:space="preserve"> 个示范推进项目，</w:t>
      </w:r>
      <w:r>
        <w:rPr>
          <w:spacing w:val="-2"/>
        </w:rPr>
        <w:t>向省厅报送智慧工地建设实施方案和示范项目情况。</w:t>
      </w:r>
    </w:p>
    <w:p w14:paraId="5C8491B3">
      <w:pPr>
        <w:pStyle w:val="4"/>
        <w:spacing w:before="2" w:line="364" w:lineRule="auto"/>
        <w:ind w:left="1416" w:right="1011" w:firstLine="480"/>
      </w:pPr>
      <w:r>
        <w:t>（二</w:t>
      </w:r>
      <w:r>
        <w:rPr>
          <w:spacing w:val="-72"/>
        </w:rPr>
        <w:t>）</w:t>
      </w:r>
      <w:r>
        <w:rPr>
          <w:spacing w:val="-11"/>
        </w:rPr>
        <w:t>全面推进阶段。</w:t>
      </w:r>
      <w:r>
        <w:t>2023</w:t>
      </w:r>
      <w:r>
        <w:rPr>
          <w:spacing w:val="-40"/>
        </w:rPr>
        <w:t xml:space="preserve"> 年 </w:t>
      </w:r>
      <w:r>
        <w:t>6</w:t>
      </w:r>
      <w:r>
        <w:rPr>
          <w:spacing w:val="-12"/>
        </w:rPr>
        <w:t xml:space="preserve"> 月底前，各地要加强试点项目指导服务，</w:t>
      </w:r>
      <w:r>
        <w:rPr>
          <w:spacing w:val="-2"/>
        </w:rPr>
        <w:t>做到市区项目智慧工地建设基础项全覆盖，探索实施创新型智慧工地做法，完成相关数据对接省级平台，打造一批智慧工地示范项目。</w:t>
      </w:r>
    </w:p>
    <w:p w14:paraId="055D7633">
      <w:pPr>
        <w:pStyle w:val="4"/>
        <w:spacing w:before="1" w:line="364" w:lineRule="auto"/>
        <w:ind w:left="1416" w:right="1131" w:firstLine="480"/>
        <w:jc w:val="both"/>
      </w:pPr>
      <w:r>
        <w:rPr>
          <w:spacing w:val="-8"/>
        </w:rPr>
        <w:t>（三）深化实施阶段。2024</w:t>
      </w:r>
      <w:r>
        <w:rPr>
          <w:spacing w:val="-13"/>
        </w:rPr>
        <w:t xml:space="preserve"> 年 </w:t>
      </w:r>
      <w:r>
        <w:rPr>
          <w:spacing w:val="-8"/>
        </w:rPr>
        <w:t>6</w:t>
      </w:r>
      <w:r>
        <w:rPr>
          <w:spacing w:val="-11"/>
        </w:rPr>
        <w:t xml:space="preserve"> 月底前，各地房屋市政工程智慧工地建</w:t>
      </w:r>
      <w:r>
        <w:rPr>
          <w:spacing w:val="-4"/>
        </w:rPr>
        <w:t>设要实现基础项和提高项 100%</w:t>
      </w:r>
      <w:r>
        <w:rPr>
          <w:spacing w:val="-7"/>
        </w:rPr>
        <w:t>全覆盖。要以智慧工地建设为契机，从清单建</w:t>
      </w:r>
      <w:r>
        <w:rPr>
          <w:spacing w:val="-2"/>
        </w:rPr>
        <w:t>设、场景丰富等方面，持续开展智慧工地多元创新发展研究应用。</w:t>
      </w:r>
    </w:p>
    <w:p w14:paraId="7A738DF3">
      <w:pPr>
        <w:pStyle w:val="4"/>
        <w:spacing w:before="2"/>
        <w:ind w:left="1896"/>
      </w:pPr>
      <w:r>
        <w:rPr>
          <w:spacing w:val="-2"/>
        </w:rPr>
        <w:t>四、有关要求</w:t>
      </w:r>
    </w:p>
    <w:p w14:paraId="750448FE">
      <w:pPr>
        <w:pStyle w:val="4"/>
        <w:spacing w:before="161" w:line="364" w:lineRule="auto"/>
        <w:ind w:left="1416" w:right="1094" w:firstLine="480"/>
        <w:jc w:val="both"/>
      </w:pPr>
      <w:r>
        <w:rPr>
          <w:spacing w:val="-2"/>
        </w:rPr>
        <w:t>（一）强化组织领导。各地要成立工作专班，主要领导亲自挂帅指挥，将智慧工地建设任务纳入年度重点工作目标，制定本地区智慧工地建设实施方案，细化工作措施，突出重点任务，确定试点项目，推进示范引导，确保各项工作部署落地落实。</w:t>
      </w:r>
    </w:p>
    <w:p w14:paraId="1846260A">
      <w:pPr>
        <w:pStyle w:val="4"/>
        <w:spacing w:after="0" w:line="364" w:lineRule="auto"/>
        <w:jc w:val="both"/>
        <w:sectPr>
          <w:pgSz w:w="10440" w:h="14740"/>
          <w:pgMar w:top="1100" w:right="0" w:bottom="860" w:left="0" w:header="878" w:footer="676" w:gutter="0"/>
          <w:cols w:space="720" w:num="1"/>
        </w:sectPr>
      </w:pPr>
    </w:p>
    <w:p w14:paraId="1D5DBEE7">
      <w:pPr>
        <w:pStyle w:val="4"/>
        <w:spacing w:before="94"/>
      </w:pPr>
    </w:p>
    <w:p w14:paraId="75597175">
      <w:pPr>
        <w:pStyle w:val="4"/>
        <w:spacing w:line="364" w:lineRule="auto"/>
        <w:ind w:left="1132" w:right="1414" w:firstLine="480"/>
        <w:jc w:val="both"/>
      </w:pPr>
      <w:r>
        <w:rPr>
          <w:spacing w:val="-2"/>
        </w:rPr>
        <w:t>（二）强化推进举措。各地应建立智慧工地建设保障和奖励机制，合理使用安全文明措施费，多形式、多渠道加强宣传推广，为智慧工地建设营造</w:t>
      </w:r>
      <w:r>
        <w:rPr>
          <w:spacing w:val="-5"/>
        </w:rPr>
        <w:t xml:space="preserve">良好的外部环境。自 </w:t>
      </w:r>
      <w:r>
        <w:rPr>
          <w:spacing w:val="-2"/>
        </w:rPr>
        <w:t>2023</w:t>
      </w:r>
      <w:r>
        <w:rPr>
          <w:spacing w:val="-20"/>
        </w:rPr>
        <w:t xml:space="preserve"> 年 </w:t>
      </w:r>
      <w:r>
        <w:rPr>
          <w:spacing w:val="-2"/>
        </w:rPr>
        <w:t>7</w:t>
      </w:r>
      <w:r>
        <w:rPr>
          <w:spacing w:val="-7"/>
        </w:rPr>
        <w:t xml:space="preserve"> 月起，各类评优评先申报项目，必须随施工</w:t>
      </w:r>
      <w:r>
        <w:rPr>
          <w:spacing w:val="-2"/>
        </w:rPr>
        <w:t>进度逐项落实智慧工地建设基础项、提高项内容。</w:t>
      </w:r>
    </w:p>
    <w:p w14:paraId="7E4D73C0">
      <w:pPr>
        <w:pStyle w:val="4"/>
        <w:spacing w:before="2" w:line="364" w:lineRule="auto"/>
        <w:ind w:left="1132" w:right="1294" w:firstLine="480"/>
      </w:pPr>
      <w:r>
        <w:t>（三）强化督导落实。2023</w:t>
      </w:r>
      <w:r>
        <w:rPr>
          <w:spacing w:val="-8"/>
        </w:rPr>
        <w:t xml:space="preserve"> 年起，各地智慧工地建设推进情况，纳入全</w:t>
      </w:r>
      <w:r>
        <w:rPr>
          <w:spacing w:val="-2"/>
        </w:rPr>
        <w:t>省住建年度重点工作考评打分。省厅将加大督促通报力度，对工作进展快、</w:t>
      </w:r>
      <w:r>
        <w:rPr>
          <w:spacing w:val="-15"/>
        </w:rPr>
        <w:t>效果好的地区、项目通报表扬；对工作开展不及时、推进效果不理想的地区，</w:t>
      </w:r>
      <w:r>
        <w:rPr>
          <w:spacing w:val="-2"/>
        </w:rPr>
        <w:t>将进行通报或约谈。</w:t>
      </w:r>
    </w:p>
    <w:p w14:paraId="230B516E">
      <w:pPr>
        <w:pStyle w:val="4"/>
        <w:spacing w:before="3" w:line="364" w:lineRule="auto"/>
        <w:ind w:left="1132" w:right="1414" w:firstLine="480"/>
        <w:jc w:val="both"/>
      </w:pPr>
      <w:r>
        <w:rPr>
          <w:spacing w:val="-2"/>
        </w:rPr>
        <w:t>为全面推进智慧工地建设，请各地住建主管部门明确一名分管领导和联</w:t>
      </w:r>
      <w:r>
        <w:rPr>
          <w:spacing w:val="-9"/>
        </w:rPr>
        <w:t xml:space="preserve">络员，与智慧工地建设实施方案和示范建设项目情况，于 </w:t>
      </w:r>
      <w:r>
        <w:rPr>
          <w:spacing w:val="-8"/>
        </w:rPr>
        <w:t>2023</w:t>
      </w:r>
      <w:r>
        <w:rPr>
          <w:spacing w:val="-18"/>
        </w:rPr>
        <w:t xml:space="preserve"> 年 </w:t>
      </w:r>
      <w:r>
        <w:rPr>
          <w:spacing w:val="-8"/>
        </w:rPr>
        <w:t>4</w:t>
      </w:r>
      <w:r>
        <w:rPr>
          <w:spacing w:val="-18"/>
        </w:rPr>
        <w:t xml:space="preserve"> 月 </w:t>
      </w:r>
      <w:r>
        <w:rPr>
          <w:spacing w:val="-8"/>
        </w:rPr>
        <w:t>15</w:t>
      </w:r>
      <w:r>
        <w:rPr>
          <w:spacing w:val="-15"/>
        </w:rPr>
        <w:t xml:space="preserve"> 日</w:t>
      </w:r>
      <w:r>
        <w:rPr>
          <w:spacing w:val="-2"/>
        </w:rPr>
        <w:t>前一并报送省厅。</w:t>
      </w:r>
    </w:p>
    <w:p w14:paraId="2020D864">
      <w:pPr>
        <w:pStyle w:val="4"/>
        <w:spacing w:before="2"/>
        <w:ind w:left="1612"/>
      </w:pPr>
      <w:r>
        <w:rPr>
          <w:spacing w:val="-2"/>
        </w:rPr>
        <w:t>联系人：曹天书</w:t>
      </w:r>
    </w:p>
    <w:p w14:paraId="0E44991D">
      <w:pPr>
        <w:pStyle w:val="4"/>
        <w:spacing w:before="160" w:line="364" w:lineRule="auto"/>
        <w:ind w:left="1612" w:right="6176"/>
      </w:pPr>
      <w:r>
        <w:rPr>
          <w:spacing w:val="-2"/>
        </w:rPr>
        <w:t>联系电话：027-67120973传真：027-67120970</w:t>
      </w:r>
    </w:p>
    <w:p w14:paraId="1291337A">
      <w:pPr>
        <w:pStyle w:val="4"/>
        <w:spacing w:before="1"/>
        <w:ind w:left="1612"/>
      </w:pPr>
      <w:r>
        <w:rPr>
          <w:spacing w:val="-1"/>
        </w:rPr>
        <w:t>邮箱：</w:t>
      </w:r>
      <w:r>
        <w:fldChar w:fldCharType="begin"/>
      </w:r>
      <w:r>
        <w:instrText xml:space="preserve"> HYPERLINK "mailto:zazz@hbszjt.net.cn" \h </w:instrText>
      </w:r>
      <w:r>
        <w:fldChar w:fldCharType="separate"/>
      </w:r>
      <w:r>
        <w:rPr>
          <w:spacing w:val="-2"/>
        </w:rPr>
        <w:t>zazz@hbszjt.net.cn</w:t>
      </w:r>
      <w:r>
        <w:rPr>
          <w:spacing w:val="-2"/>
        </w:rPr>
        <w:fldChar w:fldCharType="end"/>
      </w:r>
    </w:p>
    <w:p w14:paraId="6E80FBE6">
      <w:pPr>
        <w:pStyle w:val="4"/>
        <w:spacing w:before="161" w:line="364" w:lineRule="auto"/>
        <w:ind w:left="1612" w:right="4256"/>
      </w:pPr>
      <w:r>
        <w:rPr>
          <w:spacing w:val="-2"/>
        </w:rPr>
        <w:t>省智慧工地监管平台技术支持联系人：谢鹏联系电话：027-59764927</w:t>
      </w:r>
    </w:p>
    <w:p w14:paraId="06158B30">
      <w:pPr>
        <w:pStyle w:val="4"/>
        <w:spacing w:before="1"/>
        <w:ind w:left="1612"/>
      </w:pPr>
      <w:r>
        <w:rPr>
          <w:spacing w:val="-4"/>
        </w:rPr>
        <w:t>附件：</w:t>
      </w:r>
    </w:p>
    <w:p w14:paraId="350C315F">
      <w:pPr>
        <w:pStyle w:val="14"/>
        <w:numPr>
          <w:ilvl w:val="0"/>
          <w:numId w:val="36"/>
        </w:numPr>
        <w:tabs>
          <w:tab w:val="left" w:pos="1852"/>
        </w:tabs>
        <w:spacing w:before="160" w:after="0" w:line="240" w:lineRule="auto"/>
        <w:ind w:left="1852" w:right="0" w:hanging="240"/>
        <w:jc w:val="left"/>
        <w:rPr>
          <w:sz w:val="24"/>
        </w:rPr>
      </w:pPr>
      <w:r>
        <w:rPr>
          <w:sz w:val="24"/>
        </w:rPr>
        <w:t>智慧工地建设清单（试行</w:t>
      </w:r>
      <w:r>
        <w:rPr>
          <w:spacing w:val="-10"/>
          <w:sz w:val="24"/>
        </w:rPr>
        <w:t>）</w:t>
      </w:r>
    </w:p>
    <w:p w14:paraId="7DF76351">
      <w:pPr>
        <w:pStyle w:val="14"/>
        <w:numPr>
          <w:ilvl w:val="0"/>
          <w:numId w:val="36"/>
        </w:numPr>
        <w:tabs>
          <w:tab w:val="left" w:pos="1852"/>
        </w:tabs>
        <w:spacing w:before="161" w:after="0" w:line="240" w:lineRule="auto"/>
        <w:ind w:left="1852" w:right="0" w:hanging="240"/>
        <w:jc w:val="left"/>
        <w:rPr>
          <w:sz w:val="24"/>
        </w:rPr>
      </w:pPr>
      <w:r>
        <w:rPr>
          <w:sz w:val="24"/>
        </w:rPr>
        <w:t>智慧工地建设联系人（略</w:t>
      </w:r>
      <w:r>
        <w:rPr>
          <w:spacing w:val="-10"/>
          <w:sz w:val="24"/>
        </w:rPr>
        <w:t>）</w:t>
      </w:r>
    </w:p>
    <w:p w14:paraId="29EAC46B">
      <w:pPr>
        <w:pStyle w:val="14"/>
        <w:numPr>
          <w:ilvl w:val="0"/>
          <w:numId w:val="36"/>
        </w:numPr>
        <w:tabs>
          <w:tab w:val="left" w:pos="1852"/>
        </w:tabs>
        <w:spacing w:before="160" w:after="0" w:line="240" w:lineRule="auto"/>
        <w:ind w:left="1852" w:right="0" w:hanging="240"/>
        <w:jc w:val="left"/>
        <w:rPr>
          <w:sz w:val="24"/>
        </w:rPr>
      </w:pPr>
      <w:r>
        <w:rPr>
          <w:sz w:val="24"/>
        </w:rPr>
        <w:t>智慧工地示范推进项目信息表（略</w:t>
      </w:r>
      <w:r>
        <w:rPr>
          <w:spacing w:val="-10"/>
          <w:sz w:val="24"/>
        </w:rPr>
        <w:t>）</w:t>
      </w:r>
    </w:p>
    <w:p w14:paraId="4A2C88A9">
      <w:pPr>
        <w:pStyle w:val="4"/>
      </w:pPr>
    </w:p>
    <w:p w14:paraId="6DEFB812">
      <w:pPr>
        <w:pStyle w:val="4"/>
        <w:spacing w:before="14"/>
      </w:pPr>
    </w:p>
    <w:p w14:paraId="5EB24A46">
      <w:pPr>
        <w:pStyle w:val="4"/>
        <w:ind w:right="1414"/>
        <w:jc w:val="right"/>
      </w:pPr>
      <w:r>
        <w:rPr>
          <w:spacing w:val="-1"/>
        </w:rPr>
        <w:t>湖北省住房和城乡建设厅</w:t>
      </w:r>
    </w:p>
    <w:p w14:paraId="7840762A">
      <w:pPr>
        <w:pStyle w:val="4"/>
        <w:spacing w:before="160"/>
        <w:ind w:right="1414"/>
        <w:jc w:val="right"/>
      </w:pPr>
      <w:r>
        <w:t>2023</w:t>
      </w:r>
      <w:r>
        <w:rPr>
          <w:spacing w:val="-40"/>
        </w:rPr>
        <w:t xml:space="preserve"> 年 </w:t>
      </w:r>
      <w:r>
        <w:t>4</w:t>
      </w:r>
      <w:r>
        <w:rPr>
          <w:spacing w:val="-40"/>
        </w:rPr>
        <w:t xml:space="preserve"> 月 </w:t>
      </w:r>
      <w:r>
        <w:t>7</w:t>
      </w:r>
      <w:r>
        <w:rPr>
          <w:spacing w:val="-35"/>
        </w:rPr>
        <w:t xml:space="preserve"> 日</w:t>
      </w:r>
    </w:p>
    <w:p w14:paraId="0A377088">
      <w:pPr>
        <w:pStyle w:val="4"/>
        <w:spacing w:after="0"/>
        <w:jc w:val="right"/>
        <w:sectPr>
          <w:pgSz w:w="10440" w:h="14740"/>
          <w:pgMar w:top="1100" w:right="0" w:bottom="860" w:left="0" w:header="878" w:footer="676" w:gutter="0"/>
          <w:cols w:space="720" w:num="1"/>
        </w:sectPr>
      </w:pPr>
    </w:p>
    <w:p w14:paraId="4ADE96CF">
      <w:pPr>
        <w:pStyle w:val="4"/>
        <w:spacing w:before="240"/>
        <w:rPr>
          <w:sz w:val="20"/>
        </w:rPr>
      </w:pPr>
    </w:p>
    <w:p w14:paraId="6489CF2C">
      <w:pPr>
        <w:pStyle w:val="4"/>
        <w:spacing w:after="0"/>
        <w:rPr>
          <w:sz w:val="20"/>
        </w:rPr>
        <w:sectPr>
          <w:pgSz w:w="10440" w:h="14740"/>
          <w:pgMar w:top="1100" w:right="0" w:bottom="860" w:left="0" w:header="878" w:footer="676" w:gutter="0"/>
          <w:cols w:space="720" w:num="1"/>
        </w:sectPr>
      </w:pPr>
    </w:p>
    <w:p w14:paraId="5DCAB938">
      <w:pPr>
        <w:pStyle w:val="4"/>
        <w:spacing w:before="66"/>
        <w:jc w:val="right"/>
      </w:pPr>
      <w:r>
        <w:rPr>
          <w:spacing w:val="-20"/>
        </w:rPr>
        <w:t xml:space="preserve">附件 </w:t>
      </w:r>
      <w:r>
        <w:rPr>
          <w:spacing w:val="-10"/>
        </w:rPr>
        <w:t>1</w:t>
      </w:r>
    </w:p>
    <w:p w14:paraId="4C8940CA">
      <w:pPr>
        <w:spacing w:before="147" w:line="240" w:lineRule="auto"/>
        <w:rPr>
          <w:sz w:val="36"/>
        </w:rPr>
      </w:pPr>
      <w:r>
        <w:br w:type="column"/>
      </w:r>
    </w:p>
    <w:p w14:paraId="4005B222">
      <w:pPr>
        <w:spacing w:before="0"/>
        <w:ind w:left="1080" w:right="0" w:firstLine="0"/>
        <w:jc w:val="left"/>
        <w:rPr>
          <w:sz w:val="36"/>
        </w:rPr>
      </w:pPr>
      <w:r>
        <w:rPr>
          <w:sz w:val="36"/>
        </w:rPr>
        <w:t>智慧工地建设清单（试行</w:t>
      </w:r>
      <w:r>
        <w:rPr>
          <w:spacing w:val="-10"/>
          <w:sz w:val="36"/>
        </w:rPr>
        <w:t>）</w:t>
      </w:r>
    </w:p>
    <w:p w14:paraId="7869D0B0">
      <w:pPr>
        <w:spacing w:after="0"/>
        <w:jc w:val="left"/>
        <w:rPr>
          <w:sz w:val="36"/>
        </w:rPr>
        <w:sectPr>
          <w:type w:val="continuous"/>
          <w:pgSz w:w="10440" w:h="14740"/>
          <w:pgMar w:top="1680" w:right="0" w:bottom="0" w:left="0" w:header="878" w:footer="676" w:gutter="0"/>
          <w:cols w:equalWidth="0" w:num="2">
            <w:col w:w="2077" w:space="40"/>
            <w:col w:w="8323"/>
          </w:cols>
        </w:sectPr>
      </w:pPr>
    </w:p>
    <w:p w14:paraId="11D2FF41">
      <w:pPr>
        <w:pStyle w:val="4"/>
        <w:spacing w:before="10"/>
        <w:rPr>
          <w:sz w:val="2"/>
        </w:rPr>
      </w:pPr>
    </w:p>
    <w:tbl>
      <w:tblPr>
        <w:tblStyle w:val="11"/>
        <w:tblW w:w="0" w:type="auto"/>
        <w:tblInd w:w="17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8"/>
        <w:gridCol w:w="1055"/>
        <w:gridCol w:w="4026"/>
        <w:gridCol w:w="647"/>
        <w:gridCol w:w="740"/>
      </w:tblGrid>
      <w:tr w14:paraId="4FCF26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48" w:type="dxa"/>
          </w:tcPr>
          <w:p w14:paraId="0D713620">
            <w:pPr>
              <w:pStyle w:val="15"/>
              <w:spacing w:before="176"/>
              <w:ind w:left="213"/>
              <w:rPr>
                <w:sz w:val="21"/>
              </w:rPr>
            </w:pPr>
            <w:r>
              <w:rPr>
                <w:spacing w:val="-8"/>
                <w:sz w:val="21"/>
              </w:rPr>
              <w:t>项目</w:t>
            </w:r>
          </w:p>
        </w:tc>
        <w:tc>
          <w:tcPr>
            <w:tcW w:w="1055" w:type="dxa"/>
          </w:tcPr>
          <w:p w14:paraId="5D6D8878">
            <w:pPr>
              <w:pStyle w:val="15"/>
              <w:spacing w:before="176"/>
              <w:ind w:left="212"/>
              <w:rPr>
                <w:sz w:val="21"/>
              </w:rPr>
            </w:pPr>
            <w:r>
              <w:rPr>
                <w:spacing w:val="-5"/>
                <w:sz w:val="21"/>
              </w:rPr>
              <w:t>子系统</w:t>
            </w:r>
          </w:p>
        </w:tc>
        <w:tc>
          <w:tcPr>
            <w:tcW w:w="4026" w:type="dxa"/>
          </w:tcPr>
          <w:p w14:paraId="6CC16A2B">
            <w:pPr>
              <w:pStyle w:val="15"/>
              <w:spacing w:before="176"/>
              <w:ind w:left="9"/>
              <w:jc w:val="center"/>
              <w:rPr>
                <w:sz w:val="21"/>
              </w:rPr>
            </w:pPr>
            <w:r>
              <w:rPr>
                <w:spacing w:val="-7"/>
                <w:sz w:val="21"/>
              </w:rPr>
              <w:t>基本要求</w:t>
            </w:r>
          </w:p>
        </w:tc>
        <w:tc>
          <w:tcPr>
            <w:tcW w:w="647" w:type="dxa"/>
          </w:tcPr>
          <w:p w14:paraId="5A1F6E47">
            <w:pPr>
              <w:pStyle w:val="15"/>
              <w:spacing w:before="20"/>
              <w:ind w:left="7" w:right="3"/>
              <w:jc w:val="center"/>
              <w:rPr>
                <w:sz w:val="21"/>
              </w:rPr>
            </w:pPr>
            <w:r>
              <w:rPr>
                <w:spacing w:val="-8"/>
                <w:sz w:val="21"/>
              </w:rPr>
              <w:t>基础</w:t>
            </w:r>
          </w:p>
          <w:p w14:paraId="39809DA1">
            <w:pPr>
              <w:pStyle w:val="15"/>
              <w:spacing w:before="43"/>
              <w:ind w:left="7" w:right="1"/>
              <w:jc w:val="center"/>
              <w:rPr>
                <w:sz w:val="21"/>
              </w:rPr>
            </w:pPr>
            <w:r>
              <w:rPr>
                <w:spacing w:val="-10"/>
                <w:sz w:val="21"/>
              </w:rPr>
              <w:t>项</w:t>
            </w:r>
          </w:p>
        </w:tc>
        <w:tc>
          <w:tcPr>
            <w:tcW w:w="740" w:type="dxa"/>
          </w:tcPr>
          <w:p w14:paraId="77FF9CD1">
            <w:pPr>
              <w:pStyle w:val="15"/>
              <w:spacing w:before="20"/>
              <w:ind w:left="9"/>
              <w:jc w:val="center"/>
              <w:rPr>
                <w:sz w:val="21"/>
              </w:rPr>
            </w:pPr>
            <w:r>
              <w:rPr>
                <w:spacing w:val="-8"/>
                <w:sz w:val="21"/>
              </w:rPr>
              <w:t>提高</w:t>
            </w:r>
          </w:p>
          <w:p w14:paraId="317C769C">
            <w:pPr>
              <w:pStyle w:val="15"/>
              <w:spacing w:before="43"/>
              <w:ind w:left="9" w:right="3"/>
              <w:jc w:val="center"/>
              <w:rPr>
                <w:sz w:val="21"/>
              </w:rPr>
            </w:pPr>
            <w:r>
              <w:rPr>
                <w:spacing w:val="-10"/>
                <w:sz w:val="21"/>
              </w:rPr>
              <w:t>项</w:t>
            </w:r>
          </w:p>
        </w:tc>
      </w:tr>
      <w:tr w14:paraId="4F6FD4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9" w:hRule="atLeast"/>
        </w:trPr>
        <w:tc>
          <w:tcPr>
            <w:tcW w:w="848" w:type="dxa"/>
            <w:vMerge w:val="restart"/>
          </w:tcPr>
          <w:p w14:paraId="0733C9E3">
            <w:pPr>
              <w:pStyle w:val="15"/>
              <w:rPr>
                <w:sz w:val="21"/>
              </w:rPr>
            </w:pPr>
          </w:p>
          <w:p w14:paraId="7FF6582D">
            <w:pPr>
              <w:pStyle w:val="15"/>
              <w:rPr>
                <w:sz w:val="21"/>
              </w:rPr>
            </w:pPr>
          </w:p>
          <w:p w14:paraId="6FC506D8">
            <w:pPr>
              <w:pStyle w:val="15"/>
              <w:rPr>
                <w:sz w:val="21"/>
              </w:rPr>
            </w:pPr>
          </w:p>
          <w:p w14:paraId="346F073A">
            <w:pPr>
              <w:pStyle w:val="15"/>
              <w:rPr>
                <w:sz w:val="21"/>
              </w:rPr>
            </w:pPr>
          </w:p>
          <w:p w14:paraId="40A15F90">
            <w:pPr>
              <w:pStyle w:val="15"/>
              <w:rPr>
                <w:sz w:val="21"/>
              </w:rPr>
            </w:pPr>
          </w:p>
          <w:p w14:paraId="31B30E05">
            <w:pPr>
              <w:pStyle w:val="15"/>
              <w:spacing w:before="102"/>
              <w:rPr>
                <w:sz w:val="21"/>
              </w:rPr>
            </w:pPr>
          </w:p>
          <w:p w14:paraId="01012262">
            <w:pPr>
              <w:pStyle w:val="15"/>
              <w:spacing w:line="242" w:lineRule="auto"/>
              <w:ind w:left="319" w:right="99" w:hanging="212"/>
              <w:rPr>
                <w:sz w:val="21"/>
              </w:rPr>
            </w:pPr>
            <w:r>
              <w:rPr>
                <w:spacing w:val="-4"/>
                <w:sz w:val="21"/>
              </w:rPr>
              <w:t>人员管</w:t>
            </w:r>
            <w:r>
              <w:rPr>
                <w:spacing w:val="-10"/>
                <w:sz w:val="21"/>
              </w:rPr>
              <w:t>理</w:t>
            </w:r>
          </w:p>
        </w:tc>
        <w:tc>
          <w:tcPr>
            <w:tcW w:w="1055" w:type="dxa"/>
          </w:tcPr>
          <w:p w14:paraId="39573B2D">
            <w:pPr>
              <w:pStyle w:val="15"/>
              <w:spacing w:before="43"/>
              <w:rPr>
                <w:sz w:val="21"/>
              </w:rPr>
            </w:pPr>
          </w:p>
          <w:p w14:paraId="5A0B4753">
            <w:pPr>
              <w:pStyle w:val="15"/>
              <w:spacing w:line="242" w:lineRule="auto"/>
              <w:ind w:left="315" w:right="201" w:hanging="104"/>
              <w:rPr>
                <w:sz w:val="21"/>
              </w:rPr>
            </w:pPr>
            <w:r>
              <w:rPr>
                <w:spacing w:val="-4"/>
                <w:sz w:val="21"/>
              </w:rPr>
              <w:t>实名制</w:t>
            </w:r>
            <w:r>
              <w:rPr>
                <w:spacing w:val="-6"/>
                <w:sz w:val="21"/>
              </w:rPr>
              <w:t>管理</w:t>
            </w:r>
          </w:p>
        </w:tc>
        <w:tc>
          <w:tcPr>
            <w:tcW w:w="4026" w:type="dxa"/>
          </w:tcPr>
          <w:p w14:paraId="4F135927">
            <w:pPr>
              <w:pStyle w:val="15"/>
              <w:spacing w:before="176" w:line="242" w:lineRule="auto"/>
              <w:ind w:left="108" w:right="96"/>
              <w:jc w:val="both"/>
              <w:rPr>
                <w:sz w:val="21"/>
              </w:rPr>
            </w:pPr>
            <w:r>
              <w:rPr>
                <w:spacing w:val="-15"/>
                <w:sz w:val="21"/>
              </w:rPr>
              <w:t>每个工程的人员出入口，安装身份识别</w:t>
            </w:r>
            <w:r>
              <w:rPr>
                <w:spacing w:val="-2"/>
                <w:sz w:val="21"/>
              </w:rPr>
              <w:t>（人</w:t>
            </w:r>
            <w:r>
              <w:rPr>
                <w:spacing w:val="-5"/>
                <w:sz w:val="21"/>
              </w:rPr>
              <w:t xml:space="preserve">脸、指纹、虹膜、手机 </w:t>
            </w:r>
            <w:r>
              <w:rPr>
                <w:spacing w:val="-2"/>
                <w:sz w:val="21"/>
              </w:rPr>
              <w:t>NFC</w:t>
            </w:r>
            <w:r>
              <w:rPr>
                <w:spacing w:val="-7"/>
                <w:sz w:val="21"/>
              </w:rPr>
              <w:t xml:space="preserve"> 或其他生物特</w:t>
            </w:r>
            <w:r>
              <w:rPr>
                <w:spacing w:val="-2"/>
                <w:sz w:val="21"/>
              </w:rPr>
              <w:t>征）设备采集人员信息。</w:t>
            </w:r>
          </w:p>
        </w:tc>
        <w:tc>
          <w:tcPr>
            <w:tcW w:w="647" w:type="dxa"/>
          </w:tcPr>
          <w:p w14:paraId="0A88AB87">
            <w:pPr>
              <w:pStyle w:val="15"/>
              <w:spacing w:before="180"/>
              <w:rPr>
                <w:sz w:val="21"/>
              </w:rPr>
            </w:pPr>
          </w:p>
          <w:p w14:paraId="669A7E0B">
            <w:pPr>
              <w:pStyle w:val="15"/>
              <w:ind w:left="7"/>
              <w:jc w:val="center"/>
              <w:rPr>
                <w:sz w:val="21"/>
              </w:rPr>
            </w:pPr>
            <w:r>
              <w:rPr>
                <w:spacing w:val="-5"/>
                <w:sz w:val="21"/>
              </w:rPr>
              <w:t>N1</w:t>
            </w:r>
          </w:p>
        </w:tc>
        <w:tc>
          <w:tcPr>
            <w:tcW w:w="740" w:type="dxa"/>
          </w:tcPr>
          <w:p w14:paraId="2C3D60F1">
            <w:pPr>
              <w:pStyle w:val="15"/>
              <w:rPr>
                <w:rFonts w:ascii="Times New Roman"/>
                <w:sz w:val="20"/>
              </w:rPr>
            </w:pPr>
          </w:p>
        </w:tc>
      </w:tr>
      <w:tr w14:paraId="769265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1" w:hRule="atLeast"/>
        </w:trPr>
        <w:tc>
          <w:tcPr>
            <w:tcW w:w="848" w:type="dxa"/>
            <w:vMerge w:val="continue"/>
            <w:tcBorders>
              <w:top w:val="nil"/>
            </w:tcBorders>
          </w:tcPr>
          <w:p w14:paraId="47A0B2A9">
            <w:pPr>
              <w:rPr>
                <w:sz w:val="2"/>
                <w:szCs w:val="2"/>
              </w:rPr>
            </w:pPr>
          </w:p>
        </w:tc>
        <w:tc>
          <w:tcPr>
            <w:tcW w:w="1055" w:type="dxa"/>
          </w:tcPr>
          <w:p w14:paraId="25242EC2">
            <w:pPr>
              <w:pStyle w:val="15"/>
              <w:spacing w:before="244" w:line="242" w:lineRule="auto"/>
              <w:ind w:left="315" w:right="309"/>
              <w:rPr>
                <w:sz w:val="21"/>
              </w:rPr>
            </w:pPr>
            <w:r>
              <w:rPr>
                <w:spacing w:val="-6"/>
                <w:sz w:val="21"/>
              </w:rPr>
              <w:t>证件</w:t>
            </w:r>
            <w:r>
              <w:rPr>
                <w:spacing w:val="-8"/>
                <w:sz w:val="21"/>
              </w:rPr>
              <w:t>管理</w:t>
            </w:r>
          </w:p>
        </w:tc>
        <w:tc>
          <w:tcPr>
            <w:tcW w:w="4026" w:type="dxa"/>
          </w:tcPr>
          <w:p w14:paraId="1CE03B57">
            <w:pPr>
              <w:pStyle w:val="15"/>
              <w:spacing w:before="107" w:line="242" w:lineRule="auto"/>
              <w:ind w:left="108" w:right="96"/>
              <w:jc w:val="both"/>
              <w:rPr>
                <w:sz w:val="21"/>
              </w:rPr>
            </w:pPr>
            <w:r>
              <w:rPr>
                <w:spacing w:val="-2"/>
                <w:sz w:val="21"/>
              </w:rPr>
              <w:t>对管理人员、特种作业人员、安管人员的岗位证书、从业经历、继续教育、诚信记录等实现信息化管理。</w:t>
            </w:r>
          </w:p>
        </w:tc>
        <w:tc>
          <w:tcPr>
            <w:tcW w:w="647" w:type="dxa"/>
          </w:tcPr>
          <w:p w14:paraId="40801998">
            <w:pPr>
              <w:pStyle w:val="15"/>
              <w:rPr>
                <w:rFonts w:ascii="Times New Roman"/>
                <w:sz w:val="20"/>
              </w:rPr>
            </w:pPr>
          </w:p>
        </w:tc>
        <w:tc>
          <w:tcPr>
            <w:tcW w:w="740" w:type="dxa"/>
          </w:tcPr>
          <w:p w14:paraId="38528101">
            <w:pPr>
              <w:pStyle w:val="15"/>
              <w:spacing w:before="111"/>
              <w:rPr>
                <w:sz w:val="21"/>
              </w:rPr>
            </w:pPr>
          </w:p>
          <w:p w14:paraId="3837ADF0">
            <w:pPr>
              <w:pStyle w:val="15"/>
              <w:ind w:left="9" w:right="1"/>
              <w:jc w:val="center"/>
              <w:rPr>
                <w:sz w:val="21"/>
              </w:rPr>
            </w:pPr>
            <w:r>
              <w:rPr>
                <w:spacing w:val="-5"/>
                <w:sz w:val="21"/>
              </w:rPr>
              <w:t>N2</w:t>
            </w:r>
          </w:p>
        </w:tc>
      </w:tr>
      <w:tr w14:paraId="3981A5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2" w:hRule="atLeast"/>
        </w:trPr>
        <w:tc>
          <w:tcPr>
            <w:tcW w:w="848" w:type="dxa"/>
            <w:vMerge w:val="continue"/>
            <w:tcBorders>
              <w:top w:val="nil"/>
            </w:tcBorders>
          </w:tcPr>
          <w:p w14:paraId="62E905CD">
            <w:pPr>
              <w:rPr>
                <w:sz w:val="2"/>
                <w:szCs w:val="2"/>
              </w:rPr>
            </w:pPr>
          </w:p>
        </w:tc>
        <w:tc>
          <w:tcPr>
            <w:tcW w:w="1055" w:type="dxa"/>
          </w:tcPr>
          <w:p w14:paraId="756DD9E8">
            <w:pPr>
              <w:pStyle w:val="15"/>
              <w:spacing w:before="199" w:line="244" w:lineRule="auto"/>
              <w:ind w:left="315" w:right="309"/>
              <w:rPr>
                <w:sz w:val="21"/>
              </w:rPr>
            </w:pPr>
            <w:r>
              <w:rPr>
                <w:spacing w:val="-6"/>
                <w:sz w:val="21"/>
              </w:rPr>
              <w:t>工资</w:t>
            </w:r>
            <w:r>
              <w:rPr>
                <w:spacing w:val="-8"/>
                <w:sz w:val="21"/>
              </w:rPr>
              <w:t>管理</w:t>
            </w:r>
          </w:p>
        </w:tc>
        <w:tc>
          <w:tcPr>
            <w:tcW w:w="4026" w:type="dxa"/>
          </w:tcPr>
          <w:p w14:paraId="42A33985">
            <w:pPr>
              <w:pStyle w:val="15"/>
              <w:spacing w:before="199" w:line="244" w:lineRule="auto"/>
              <w:ind w:left="108" w:right="-15"/>
              <w:rPr>
                <w:sz w:val="21"/>
              </w:rPr>
            </w:pPr>
            <w:r>
              <w:rPr>
                <w:spacing w:val="-2"/>
                <w:sz w:val="21"/>
              </w:rPr>
              <w:t>具备项目工资款拨付及农民工工资发放情</w:t>
            </w:r>
            <w:r>
              <w:rPr>
                <w:spacing w:val="-11"/>
                <w:sz w:val="21"/>
              </w:rPr>
              <w:t>况动态监管，自动进行拖欠风险预警提示。</w:t>
            </w:r>
          </w:p>
        </w:tc>
        <w:tc>
          <w:tcPr>
            <w:tcW w:w="647" w:type="dxa"/>
          </w:tcPr>
          <w:p w14:paraId="7D1DC5F1">
            <w:pPr>
              <w:pStyle w:val="15"/>
              <w:rPr>
                <w:rFonts w:ascii="Times New Roman"/>
                <w:sz w:val="20"/>
              </w:rPr>
            </w:pPr>
          </w:p>
        </w:tc>
        <w:tc>
          <w:tcPr>
            <w:tcW w:w="740" w:type="dxa"/>
          </w:tcPr>
          <w:p w14:paraId="57A888D5">
            <w:pPr>
              <w:pStyle w:val="15"/>
              <w:spacing w:before="66"/>
              <w:rPr>
                <w:sz w:val="21"/>
              </w:rPr>
            </w:pPr>
          </w:p>
          <w:p w14:paraId="5D08D25E">
            <w:pPr>
              <w:pStyle w:val="15"/>
              <w:ind w:left="9" w:right="1"/>
              <w:jc w:val="center"/>
              <w:rPr>
                <w:sz w:val="21"/>
              </w:rPr>
            </w:pPr>
            <w:r>
              <w:rPr>
                <w:spacing w:val="-5"/>
                <w:sz w:val="21"/>
              </w:rPr>
              <w:t>N2</w:t>
            </w:r>
          </w:p>
        </w:tc>
      </w:tr>
      <w:tr w14:paraId="283A8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2" w:hRule="atLeast"/>
        </w:trPr>
        <w:tc>
          <w:tcPr>
            <w:tcW w:w="848" w:type="dxa"/>
            <w:vMerge w:val="continue"/>
            <w:tcBorders>
              <w:top w:val="nil"/>
            </w:tcBorders>
          </w:tcPr>
          <w:p w14:paraId="682F20D4">
            <w:pPr>
              <w:rPr>
                <w:sz w:val="2"/>
                <w:szCs w:val="2"/>
              </w:rPr>
            </w:pPr>
          </w:p>
        </w:tc>
        <w:tc>
          <w:tcPr>
            <w:tcW w:w="1055" w:type="dxa"/>
          </w:tcPr>
          <w:p w14:paraId="489CADEA">
            <w:pPr>
              <w:pStyle w:val="15"/>
              <w:spacing w:before="129" w:line="242" w:lineRule="auto"/>
              <w:ind w:left="212" w:right="201"/>
              <w:rPr>
                <w:sz w:val="21"/>
              </w:rPr>
            </w:pPr>
            <w:r>
              <w:rPr>
                <w:spacing w:val="-4"/>
                <w:sz w:val="21"/>
              </w:rPr>
              <w:t>培训教</w:t>
            </w:r>
            <w:r>
              <w:rPr>
                <w:spacing w:val="-5"/>
                <w:sz w:val="21"/>
              </w:rPr>
              <w:t>育管理</w:t>
            </w:r>
          </w:p>
        </w:tc>
        <w:tc>
          <w:tcPr>
            <w:tcW w:w="4026" w:type="dxa"/>
          </w:tcPr>
          <w:p w14:paraId="0B8E115E">
            <w:pPr>
              <w:pStyle w:val="15"/>
              <w:spacing w:before="129" w:line="242" w:lineRule="auto"/>
              <w:ind w:left="108" w:right="96"/>
              <w:rPr>
                <w:sz w:val="21"/>
              </w:rPr>
            </w:pPr>
            <w:r>
              <w:rPr>
                <w:spacing w:val="11"/>
                <w:sz w:val="21"/>
              </w:rPr>
              <w:t>对从业人员的学习培训和继续教育等信</w:t>
            </w:r>
            <w:r>
              <w:rPr>
                <w:spacing w:val="-2"/>
                <w:sz w:val="21"/>
              </w:rPr>
              <w:t>息，实现信息化管理。</w:t>
            </w:r>
          </w:p>
        </w:tc>
        <w:tc>
          <w:tcPr>
            <w:tcW w:w="647" w:type="dxa"/>
          </w:tcPr>
          <w:p w14:paraId="64712019">
            <w:pPr>
              <w:pStyle w:val="15"/>
              <w:rPr>
                <w:rFonts w:ascii="Times New Roman"/>
                <w:sz w:val="20"/>
              </w:rPr>
            </w:pPr>
          </w:p>
        </w:tc>
        <w:tc>
          <w:tcPr>
            <w:tcW w:w="740" w:type="dxa"/>
          </w:tcPr>
          <w:p w14:paraId="28241427">
            <w:pPr>
              <w:pStyle w:val="15"/>
              <w:spacing w:before="266"/>
              <w:ind w:left="9" w:right="1"/>
              <w:jc w:val="center"/>
              <w:rPr>
                <w:sz w:val="21"/>
              </w:rPr>
            </w:pPr>
            <w:r>
              <w:rPr>
                <w:spacing w:val="-5"/>
                <w:sz w:val="21"/>
              </w:rPr>
              <w:t>N2</w:t>
            </w:r>
          </w:p>
        </w:tc>
      </w:tr>
      <w:tr w14:paraId="321C8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61" w:hRule="atLeast"/>
        </w:trPr>
        <w:tc>
          <w:tcPr>
            <w:tcW w:w="848" w:type="dxa"/>
            <w:vMerge w:val="restart"/>
          </w:tcPr>
          <w:p w14:paraId="3FE79C26">
            <w:pPr>
              <w:pStyle w:val="15"/>
              <w:rPr>
                <w:sz w:val="21"/>
              </w:rPr>
            </w:pPr>
          </w:p>
          <w:p w14:paraId="2BC47E3C">
            <w:pPr>
              <w:pStyle w:val="15"/>
              <w:rPr>
                <w:sz w:val="21"/>
              </w:rPr>
            </w:pPr>
          </w:p>
          <w:p w14:paraId="7F485B39">
            <w:pPr>
              <w:pStyle w:val="15"/>
              <w:rPr>
                <w:sz w:val="21"/>
              </w:rPr>
            </w:pPr>
          </w:p>
          <w:p w14:paraId="35BB6816">
            <w:pPr>
              <w:pStyle w:val="15"/>
              <w:rPr>
                <w:sz w:val="21"/>
              </w:rPr>
            </w:pPr>
          </w:p>
          <w:p w14:paraId="5A63138E">
            <w:pPr>
              <w:pStyle w:val="15"/>
              <w:rPr>
                <w:sz w:val="21"/>
              </w:rPr>
            </w:pPr>
          </w:p>
          <w:p w14:paraId="67E19D1A">
            <w:pPr>
              <w:pStyle w:val="15"/>
              <w:rPr>
                <w:sz w:val="21"/>
              </w:rPr>
            </w:pPr>
          </w:p>
          <w:p w14:paraId="771F90BC">
            <w:pPr>
              <w:pStyle w:val="15"/>
              <w:rPr>
                <w:sz w:val="21"/>
              </w:rPr>
            </w:pPr>
          </w:p>
          <w:p w14:paraId="4B41B4BB">
            <w:pPr>
              <w:pStyle w:val="15"/>
              <w:spacing w:before="128"/>
              <w:rPr>
                <w:sz w:val="21"/>
              </w:rPr>
            </w:pPr>
          </w:p>
          <w:p w14:paraId="3D3C51E2">
            <w:pPr>
              <w:pStyle w:val="15"/>
              <w:spacing w:line="244" w:lineRule="auto"/>
              <w:ind w:left="319" w:right="99" w:hanging="212"/>
              <w:rPr>
                <w:sz w:val="21"/>
              </w:rPr>
            </w:pPr>
            <w:r>
              <w:rPr>
                <w:spacing w:val="-4"/>
                <w:sz w:val="21"/>
              </w:rPr>
              <w:t>智慧监</w:t>
            </w:r>
            <w:r>
              <w:rPr>
                <w:spacing w:val="-10"/>
                <w:sz w:val="21"/>
              </w:rPr>
              <w:t>控</w:t>
            </w:r>
          </w:p>
        </w:tc>
        <w:tc>
          <w:tcPr>
            <w:tcW w:w="1055" w:type="dxa"/>
          </w:tcPr>
          <w:p w14:paraId="658C0175">
            <w:pPr>
              <w:pStyle w:val="15"/>
              <w:rPr>
                <w:sz w:val="21"/>
              </w:rPr>
            </w:pPr>
          </w:p>
          <w:p w14:paraId="2751BD1B">
            <w:pPr>
              <w:pStyle w:val="15"/>
              <w:rPr>
                <w:sz w:val="21"/>
              </w:rPr>
            </w:pPr>
          </w:p>
          <w:p w14:paraId="33C49DBB">
            <w:pPr>
              <w:pStyle w:val="15"/>
              <w:spacing w:before="101"/>
              <w:rPr>
                <w:sz w:val="21"/>
              </w:rPr>
            </w:pPr>
          </w:p>
          <w:p w14:paraId="5F7A6E50">
            <w:pPr>
              <w:pStyle w:val="15"/>
              <w:spacing w:line="244" w:lineRule="auto"/>
              <w:ind w:left="212" w:right="201"/>
              <w:rPr>
                <w:sz w:val="21"/>
              </w:rPr>
            </w:pPr>
            <w:r>
              <w:rPr>
                <w:spacing w:val="-4"/>
                <w:sz w:val="21"/>
              </w:rPr>
              <w:t>扬尘噪</w:t>
            </w:r>
            <w:r>
              <w:rPr>
                <w:spacing w:val="-5"/>
                <w:sz w:val="21"/>
              </w:rPr>
              <w:t>声监测</w:t>
            </w:r>
          </w:p>
        </w:tc>
        <w:tc>
          <w:tcPr>
            <w:tcW w:w="4026" w:type="dxa"/>
          </w:tcPr>
          <w:p w14:paraId="1F38ECF9">
            <w:pPr>
              <w:pStyle w:val="15"/>
              <w:spacing w:before="229" w:line="242" w:lineRule="auto"/>
              <w:ind w:left="108" w:right="96"/>
              <w:jc w:val="both"/>
              <w:rPr>
                <w:sz w:val="21"/>
              </w:rPr>
            </w:pPr>
            <w:r>
              <w:rPr>
                <w:spacing w:val="11"/>
                <w:sz w:val="21"/>
              </w:rPr>
              <w:t>设置扬尘噪声监测设备及其配套监控软</w:t>
            </w:r>
            <w:r>
              <w:rPr>
                <w:spacing w:val="-1"/>
                <w:sz w:val="21"/>
              </w:rPr>
              <w:t xml:space="preserve">件，实时采集现场 </w:t>
            </w:r>
            <w:r>
              <w:rPr>
                <w:sz w:val="21"/>
              </w:rPr>
              <w:t>PM2.5、PM10、噪声、</w:t>
            </w:r>
            <w:r>
              <w:rPr>
                <w:spacing w:val="-2"/>
                <w:sz w:val="21"/>
              </w:rPr>
              <w:t>温度等相关环境数据，并实现联动喷淋降</w:t>
            </w:r>
            <w:r>
              <w:rPr>
                <w:spacing w:val="-4"/>
                <w:sz w:val="21"/>
              </w:rPr>
              <w:t xml:space="preserve">尘处置。房建工程用地面积每 </w:t>
            </w:r>
            <w:r>
              <w:rPr>
                <w:sz w:val="21"/>
              </w:rPr>
              <w:t>2</w:t>
            </w:r>
            <w:r>
              <w:rPr>
                <w:spacing w:val="-13"/>
                <w:sz w:val="21"/>
              </w:rPr>
              <w:t xml:space="preserve"> 万平方米</w:t>
            </w:r>
          </w:p>
          <w:p w14:paraId="4822A49A">
            <w:pPr>
              <w:pStyle w:val="15"/>
              <w:ind w:left="108"/>
              <w:rPr>
                <w:sz w:val="21"/>
              </w:rPr>
            </w:pPr>
            <w:r>
              <w:rPr>
                <w:spacing w:val="-5"/>
                <w:sz w:val="21"/>
              </w:rPr>
              <w:t xml:space="preserve">不少于 </w:t>
            </w:r>
            <w:r>
              <w:rPr>
                <w:spacing w:val="-2"/>
                <w:sz w:val="21"/>
              </w:rPr>
              <w:t>1</w:t>
            </w:r>
            <w:r>
              <w:rPr>
                <w:spacing w:val="-10"/>
                <w:sz w:val="21"/>
              </w:rPr>
              <w:t xml:space="preserve"> 个监测点。距离基坑或项目主体</w:t>
            </w:r>
          </w:p>
          <w:p w14:paraId="45F5520B">
            <w:pPr>
              <w:pStyle w:val="15"/>
              <w:spacing w:before="5"/>
              <w:ind w:left="108"/>
              <w:rPr>
                <w:sz w:val="21"/>
              </w:rPr>
            </w:pPr>
            <w:r>
              <w:rPr>
                <w:spacing w:val="-11"/>
                <w:sz w:val="21"/>
              </w:rPr>
              <w:t xml:space="preserve">结构不大于 </w:t>
            </w:r>
            <w:r>
              <w:rPr>
                <w:spacing w:val="-2"/>
                <w:sz w:val="21"/>
              </w:rPr>
              <w:t>10</w:t>
            </w:r>
            <w:r>
              <w:rPr>
                <w:spacing w:val="-14"/>
                <w:sz w:val="21"/>
              </w:rPr>
              <w:t xml:space="preserve"> 米范围，或距离工程主要出</w:t>
            </w:r>
          </w:p>
          <w:p w14:paraId="53CEAD66">
            <w:pPr>
              <w:pStyle w:val="15"/>
              <w:spacing w:before="2"/>
              <w:ind w:left="108" w:right="-15"/>
              <w:rPr>
                <w:sz w:val="21"/>
              </w:rPr>
            </w:pPr>
            <w:r>
              <w:rPr>
                <w:spacing w:val="-11"/>
                <w:sz w:val="21"/>
              </w:rPr>
              <w:t xml:space="preserve">入口不大于 </w:t>
            </w:r>
            <w:r>
              <w:rPr>
                <w:spacing w:val="-2"/>
                <w:sz w:val="21"/>
              </w:rPr>
              <w:t>5</w:t>
            </w:r>
            <w:r>
              <w:rPr>
                <w:spacing w:val="-14"/>
                <w:sz w:val="21"/>
              </w:rPr>
              <w:t xml:space="preserve"> 米范围。市政工程参照执行。</w:t>
            </w:r>
          </w:p>
        </w:tc>
        <w:tc>
          <w:tcPr>
            <w:tcW w:w="647" w:type="dxa"/>
          </w:tcPr>
          <w:p w14:paraId="1BE585AC">
            <w:pPr>
              <w:pStyle w:val="15"/>
              <w:rPr>
                <w:sz w:val="21"/>
              </w:rPr>
            </w:pPr>
          </w:p>
          <w:p w14:paraId="12269EFC">
            <w:pPr>
              <w:pStyle w:val="15"/>
              <w:rPr>
                <w:sz w:val="21"/>
              </w:rPr>
            </w:pPr>
          </w:p>
          <w:p w14:paraId="656C4B7E">
            <w:pPr>
              <w:pStyle w:val="15"/>
              <w:spacing w:before="238"/>
              <w:rPr>
                <w:sz w:val="21"/>
              </w:rPr>
            </w:pPr>
          </w:p>
          <w:p w14:paraId="3F0E3908">
            <w:pPr>
              <w:pStyle w:val="15"/>
              <w:ind w:left="7"/>
              <w:jc w:val="center"/>
              <w:rPr>
                <w:sz w:val="21"/>
              </w:rPr>
            </w:pPr>
            <w:r>
              <w:rPr>
                <w:spacing w:val="-5"/>
                <w:sz w:val="21"/>
              </w:rPr>
              <w:t>N1</w:t>
            </w:r>
          </w:p>
        </w:tc>
        <w:tc>
          <w:tcPr>
            <w:tcW w:w="740" w:type="dxa"/>
          </w:tcPr>
          <w:p w14:paraId="07BA220A">
            <w:pPr>
              <w:pStyle w:val="15"/>
              <w:rPr>
                <w:rFonts w:ascii="Times New Roman"/>
                <w:sz w:val="20"/>
              </w:rPr>
            </w:pPr>
          </w:p>
        </w:tc>
      </w:tr>
      <w:tr w14:paraId="6D34C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6" w:hRule="atLeast"/>
        </w:trPr>
        <w:tc>
          <w:tcPr>
            <w:tcW w:w="848" w:type="dxa"/>
            <w:vMerge w:val="continue"/>
            <w:tcBorders>
              <w:top w:val="nil"/>
            </w:tcBorders>
          </w:tcPr>
          <w:p w14:paraId="67D7497B">
            <w:pPr>
              <w:rPr>
                <w:sz w:val="2"/>
                <w:szCs w:val="2"/>
              </w:rPr>
            </w:pPr>
          </w:p>
        </w:tc>
        <w:tc>
          <w:tcPr>
            <w:tcW w:w="1055" w:type="dxa"/>
          </w:tcPr>
          <w:p w14:paraId="4B72CA0E">
            <w:pPr>
              <w:pStyle w:val="15"/>
              <w:rPr>
                <w:sz w:val="21"/>
              </w:rPr>
            </w:pPr>
          </w:p>
          <w:p w14:paraId="08E6A93C">
            <w:pPr>
              <w:pStyle w:val="15"/>
              <w:spacing w:before="143"/>
              <w:rPr>
                <w:sz w:val="21"/>
              </w:rPr>
            </w:pPr>
          </w:p>
          <w:p w14:paraId="5773DE3E">
            <w:pPr>
              <w:pStyle w:val="15"/>
              <w:spacing w:before="1" w:line="242" w:lineRule="auto"/>
              <w:ind w:left="315" w:right="309"/>
              <w:rPr>
                <w:sz w:val="21"/>
              </w:rPr>
            </w:pPr>
            <w:r>
              <w:rPr>
                <w:spacing w:val="-6"/>
                <w:sz w:val="21"/>
              </w:rPr>
              <w:t>视频</w:t>
            </w:r>
            <w:r>
              <w:rPr>
                <w:spacing w:val="-8"/>
                <w:sz w:val="21"/>
              </w:rPr>
              <w:t>监控</w:t>
            </w:r>
          </w:p>
        </w:tc>
        <w:tc>
          <w:tcPr>
            <w:tcW w:w="4026" w:type="dxa"/>
          </w:tcPr>
          <w:p w14:paraId="05A3C9E4">
            <w:pPr>
              <w:pStyle w:val="15"/>
              <w:spacing w:line="242" w:lineRule="auto"/>
              <w:ind w:left="108" w:right="96"/>
              <w:jc w:val="both"/>
              <w:rPr>
                <w:sz w:val="21"/>
              </w:rPr>
            </w:pPr>
            <w:r>
              <w:rPr>
                <w:spacing w:val="-4"/>
                <w:sz w:val="21"/>
              </w:rPr>
              <w:t>400W</w:t>
            </w:r>
            <w:r>
              <w:rPr>
                <w:spacing w:val="-9"/>
                <w:sz w:val="21"/>
              </w:rPr>
              <w:t xml:space="preserve"> 球型摄像机：安装在塔式起重机或周</w:t>
            </w:r>
            <w:r>
              <w:rPr>
                <w:spacing w:val="-2"/>
                <w:sz w:val="21"/>
              </w:rPr>
              <w:t>边建筑物制高点上及主出入口大门，对在</w:t>
            </w:r>
            <w:r>
              <w:rPr>
                <w:spacing w:val="-11"/>
                <w:sz w:val="21"/>
              </w:rPr>
              <w:t xml:space="preserve">建工程 </w:t>
            </w:r>
            <w:r>
              <w:rPr>
                <w:sz w:val="21"/>
              </w:rPr>
              <w:t>360°全方位进行监控。</w:t>
            </w:r>
          </w:p>
          <w:p w14:paraId="5D19941B">
            <w:pPr>
              <w:pStyle w:val="15"/>
              <w:spacing w:before="3" w:line="242" w:lineRule="auto"/>
              <w:ind w:left="108" w:right="96"/>
              <w:jc w:val="both"/>
              <w:rPr>
                <w:sz w:val="21"/>
              </w:rPr>
            </w:pPr>
            <w:r>
              <w:rPr>
                <w:spacing w:val="-4"/>
                <w:sz w:val="21"/>
              </w:rPr>
              <w:t>400W</w:t>
            </w:r>
            <w:r>
              <w:rPr>
                <w:spacing w:val="-9"/>
                <w:sz w:val="21"/>
              </w:rPr>
              <w:t xml:space="preserve"> 枪型摄像机：安装在工地出入口、冲</w:t>
            </w:r>
            <w:r>
              <w:rPr>
                <w:spacing w:val="-2"/>
                <w:sz w:val="21"/>
              </w:rPr>
              <w:t>洗区、主要通道、施工升降机、物料加工</w:t>
            </w:r>
            <w:r>
              <w:rPr>
                <w:sz w:val="21"/>
              </w:rPr>
              <w:t>区、工人生活区（可选）</w:t>
            </w:r>
            <w:r>
              <w:rPr>
                <w:spacing w:val="-2"/>
                <w:sz w:val="21"/>
              </w:rPr>
              <w:t>、项目部会议室</w:t>
            </w:r>
          </w:p>
          <w:p w14:paraId="2304179F">
            <w:pPr>
              <w:pStyle w:val="15"/>
              <w:spacing w:before="1" w:line="251" w:lineRule="exact"/>
              <w:ind w:left="108"/>
              <w:rPr>
                <w:sz w:val="21"/>
              </w:rPr>
            </w:pPr>
            <w:r>
              <w:rPr>
                <w:spacing w:val="-8"/>
                <w:sz w:val="21"/>
              </w:rPr>
              <w:t>等。</w:t>
            </w:r>
          </w:p>
        </w:tc>
        <w:tc>
          <w:tcPr>
            <w:tcW w:w="647" w:type="dxa"/>
          </w:tcPr>
          <w:p w14:paraId="3AD4CD2F">
            <w:pPr>
              <w:pStyle w:val="15"/>
              <w:rPr>
                <w:sz w:val="21"/>
              </w:rPr>
            </w:pPr>
          </w:p>
          <w:p w14:paraId="6CAFDB7E">
            <w:pPr>
              <w:pStyle w:val="15"/>
              <w:rPr>
                <w:sz w:val="21"/>
              </w:rPr>
            </w:pPr>
          </w:p>
          <w:p w14:paraId="435EA736">
            <w:pPr>
              <w:pStyle w:val="15"/>
              <w:spacing w:before="9"/>
              <w:rPr>
                <w:sz w:val="21"/>
              </w:rPr>
            </w:pPr>
          </w:p>
          <w:p w14:paraId="380EF438">
            <w:pPr>
              <w:pStyle w:val="15"/>
              <w:ind w:left="7"/>
              <w:jc w:val="center"/>
              <w:rPr>
                <w:sz w:val="21"/>
              </w:rPr>
            </w:pPr>
            <w:r>
              <w:rPr>
                <w:spacing w:val="-5"/>
                <w:sz w:val="21"/>
              </w:rPr>
              <w:t>N1</w:t>
            </w:r>
          </w:p>
        </w:tc>
        <w:tc>
          <w:tcPr>
            <w:tcW w:w="740" w:type="dxa"/>
          </w:tcPr>
          <w:p w14:paraId="5CDF0714">
            <w:pPr>
              <w:pStyle w:val="15"/>
              <w:rPr>
                <w:rFonts w:ascii="Times New Roman"/>
                <w:sz w:val="20"/>
              </w:rPr>
            </w:pPr>
          </w:p>
        </w:tc>
      </w:tr>
      <w:tr w14:paraId="4DAA7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0" w:hRule="atLeast"/>
        </w:trPr>
        <w:tc>
          <w:tcPr>
            <w:tcW w:w="848" w:type="dxa"/>
            <w:vMerge w:val="continue"/>
            <w:tcBorders>
              <w:top w:val="nil"/>
            </w:tcBorders>
          </w:tcPr>
          <w:p w14:paraId="5ED7BE3E">
            <w:pPr>
              <w:rPr>
                <w:sz w:val="2"/>
                <w:szCs w:val="2"/>
              </w:rPr>
            </w:pPr>
          </w:p>
        </w:tc>
        <w:tc>
          <w:tcPr>
            <w:tcW w:w="1055" w:type="dxa"/>
          </w:tcPr>
          <w:p w14:paraId="750A5B87">
            <w:pPr>
              <w:pStyle w:val="15"/>
              <w:spacing w:before="4"/>
              <w:rPr>
                <w:sz w:val="21"/>
              </w:rPr>
            </w:pPr>
          </w:p>
          <w:p w14:paraId="5892D804">
            <w:pPr>
              <w:pStyle w:val="15"/>
              <w:spacing w:line="244" w:lineRule="auto"/>
              <w:ind w:left="212" w:right="201"/>
              <w:rPr>
                <w:sz w:val="21"/>
              </w:rPr>
            </w:pPr>
            <w:r>
              <w:rPr>
                <w:spacing w:val="-4"/>
                <w:sz w:val="21"/>
              </w:rPr>
              <w:t>车辆出</w:t>
            </w:r>
            <w:r>
              <w:rPr>
                <w:spacing w:val="-5"/>
                <w:sz w:val="21"/>
              </w:rPr>
              <w:t>入管理</w:t>
            </w:r>
          </w:p>
        </w:tc>
        <w:tc>
          <w:tcPr>
            <w:tcW w:w="4026" w:type="dxa"/>
          </w:tcPr>
          <w:p w14:paraId="70DC3DD0">
            <w:pPr>
              <w:pStyle w:val="15"/>
              <w:spacing w:before="139" w:line="242" w:lineRule="auto"/>
              <w:ind w:left="108" w:right="96"/>
              <w:jc w:val="both"/>
              <w:rPr>
                <w:sz w:val="21"/>
              </w:rPr>
            </w:pPr>
            <w:r>
              <w:rPr>
                <w:spacing w:val="-2"/>
                <w:sz w:val="21"/>
              </w:rPr>
              <w:t>通过车牌识别功能，自动登记车辆出入信息，建立车辆信息库，掌握进出项目车辆基本数据。</w:t>
            </w:r>
          </w:p>
        </w:tc>
        <w:tc>
          <w:tcPr>
            <w:tcW w:w="647" w:type="dxa"/>
          </w:tcPr>
          <w:p w14:paraId="1E892A4A">
            <w:pPr>
              <w:pStyle w:val="15"/>
              <w:rPr>
                <w:rFonts w:ascii="Times New Roman"/>
                <w:sz w:val="20"/>
              </w:rPr>
            </w:pPr>
          </w:p>
        </w:tc>
        <w:tc>
          <w:tcPr>
            <w:tcW w:w="740" w:type="dxa"/>
          </w:tcPr>
          <w:p w14:paraId="45265FD7">
            <w:pPr>
              <w:pStyle w:val="15"/>
              <w:spacing w:before="140"/>
              <w:rPr>
                <w:sz w:val="21"/>
              </w:rPr>
            </w:pPr>
          </w:p>
          <w:p w14:paraId="5347A22B">
            <w:pPr>
              <w:pStyle w:val="15"/>
              <w:spacing w:before="1"/>
              <w:ind w:left="9" w:right="1"/>
              <w:jc w:val="center"/>
              <w:rPr>
                <w:sz w:val="21"/>
              </w:rPr>
            </w:pPr>
            <w:r>
              <w:rPr>
                <w:spacing w:val="-5"/>
                <w:sz w:val="21"/>
              </w:rPr>
              <w:t>N2</w:t>
            </w:r>
          </w:p>
        </w:tc>
      </w:tr>
    </w:tbl>
    <w:p w14:paraId="3FB6F471">
      <w:pPr>
        <w:pStyle w:val="15"/>
        <w:spacing w:after="0"/>
        <w:jc w:val="center"/>
        <w:rPr>
          <w:sz w:val="21"/>
        </w:rPr>
        <w:sectPr>
          <w:type w:val="continuous"/>
          <w:pgSz w:w="10440" w:h="14740"/>
          <w:pgMar w:top="1680" w:right="0" w:bottom="0" w:left="0" w:header="878" w:footer="676" w:gutter="0"/>
          <w:cols w:space="720" w:num="1"/>
        </w:sectPr>
      </w:pPr>
    </w:p>
    <w:p w14:paraId="13B9A1E8">
      <w:pPr>
        <w:pStyle w:val="4"/>
        <w:spacing w:before="65"/>
        <w:rPr>
          <w:sz w:val="20"/>
        </w:rPr>
      </w:pPr>
    </w:p>
    <w:tbl>
      <w:tblPr>
        <w:tblStyle w:val="11"/>
        <w:tblW w:w="0" w:type="auto"/>
        <w:tblInd w:w="142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8"/>
        <w:gridCol w:w="1055"/>
        <w:gridCol w:w="4026"/>
        <w:gridCol w:w="647"/>
        <w:gridCol w:w="740"/>
      </w:tblGrid>
      <w:tr w14:paraId="56D68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48" w:type="dxa"/>
          </w:tcPr>
          <w:p w14:paraId="1F986E89">
            <w:pPr>
              <w:pStyle w:val="15"/>
              <w:spacing w:before="177"/>
              <w:ind w:left="213"/>
              <w:rPr>
                <w:sz w:val="21"/>
              </w:rPr>
            </w:pPr>
            <w:r>
              <w:rPr>
                <w:spacing w:val="-8"/>
                <w:sz w:val="21"/>
              </w:rPr>
              <w:t>项目</w:t>
            </w:r>
          </w:p>
        </w:tc>
        <w:tc>
          <w:tcPr>
            <w:tcW w:w="1055" w:type="dxa"/>
          </w:tcPr>
          <w:p w14:paraId="6592BD13">
            <w:pPr>
              <w:pStyle w:val="15"/>
              <w:spacing w:before="177"/>
              <w:ind w:left="212"/>
              <w:rPr>
                <w:sz w:val="21"/>
              </w:rPr>
            </w:pPr>
            <w:r>
              <w:rPr>
                <w:spacing w:val="-5"/>
                <w:sz w:val="21"/>
              </w:rPr>
              <w:t>子系统</w:t>
            </w:r>
          </w:p>
        </w:tc>
        <w:tc>
          <w:tcPr>
            <w:tcW w:w="4026" w:type="dxa"/>
          </w:tcPr>
          <w:p w14:paraId="322AF1F2">
            <w:pPr>
              <w:pStyle w:val="15"/>
              <w:spacing w:before="177"/>
              <w:ind w:left="9" w:right="1"/>
              <w:jc w:val="center"/>
              <w:rPr>
                <w:sz w:val="21"/>
              </w:rPr>
            </w:pPr>
            <w:r>
              <w:rPr>
                <w:spacing w:val="-7"/>
                <w:sz w:val="21"/>
              </w:rPr>
              <w:t>基本要求</w:t>
            </w:r>
          </w:p>
        </w:tc>
        <w:tc>
          <w:tcPr>
            <w:tcW w:w="647" w:type="dxa"/>
          </w:tcPr>
          <w:p w14:paraId="0FE8B2F9">
            <w:pPr>
              <w:pStyle w:val="15"/>
              <w:spacing w:before="21"/>
              <w:ind w:left="7" w:right="4"/>
              <w:jc w:val="center"/>
              <w:rPr>
                <w:sz w:val="21"/>
              </w:rPr>
            </w:pPr>
            <w:r>
              <w:rPr>
                <w:spacing w:val="-8"/>
                <w:sz w:val="21"/>
              </w:rPr>
              <w:t>基础</w:t>
            </w:r>
          </w:p>
          <w:p w14:paraId="217BB021">
            <w:pPr>
              <w:pStyle w:val="15"/>
              <w:spacing w:before="43"/>
              <w:ind w:left="7" w:right="1"/>
              <w:jc w:val="center"/>
              <w:rPr>
                <w:sz w:val="21"/>
              </w:rPr>
            </w:pPr>
            <w:r>
              <w:rPr>
                <w:spacing w:val="-10"/>
                <w:sz w:val="21"/>
              </w:rPr>
              <w:t>项</w:t>
            </w:r>
          </w:p>
        </w:tc>
        <w:tc>
          <w:tcPr>
            <w:tcW w:w="740" w:type="dxa"/>
          </w:tcPr>
          <w:p w14:paraId="4473D704">
            <w:pPr>
              <w:pStyle w:val="15"/>
              <w:spacing w:before="21"/>
              <w:ind w:left="9" w:right="1"/>
              <w:jc w:val="center"/>
              <w:rPr>
                <w:sz w:val="21"/>
              </w:rPr>
            </w:pPr>
            <w:r>
              <w:rPr>
                <w:spacing w:val="-8"/>
                <w:sz w:val="21"/>
              </w:rPr>
              <w:t>提高</w:t>
            </w:r>
          </w:p>
          <w:p w14:paraId="3456A257">
            <w:pPr>
              <w:pStyle w:val="15"/>
              <w:spacing w:before="43"/>
              <w:ind w:left="9" w:right="3"/>
              <w:jc w:val="center"/>
              <w:rPr>
                <w:sz w:val="21"/>
              </w:rPr>
            </w:pPr>
            <w:r>
              <w:rPr>
                <w:spacing w:val="-10"/>
                <w:sz w:val="21"/>
              </w:rPr>
              <w:t>项</w:t>
            </w:r>
          </w:p>
        </w:tc>
      </w:tr>
      <w:tr w14:paraId="6273A5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0" w:hRule="atLeast"/>
        </w:trPr>
        <w:tc>
          <w:tcPr>
            <w:tcW w:w="848" w:type="dxa"/>
            <w:vMerge w:val="restart"/>
          </w:tcPr>
          <w:p w14:paraId="0920C467">
            <w:pPr>
              <w:pStyle w:val="15"/>
              <w:rPr>
                <w:sz w:val="21"/>
              </w:rPr>
            </w:pPr>
          </w:p>
          <w:p w14:paraId="4C159013">
            <w:pPr>
              <w:pStyle w:val="15"/>
              <w:rPr>
                <w:sz w:val="21"/>
              </w:rPr>
            </w:pPr>
          </w:p>
          <w:p w14:paraId="3BE10302">
            <w:pPr>
              <w:pStyle w:val="15"/>
              <w:rPr>
                <w:sz w:val="21"/>
              </w:rPr>
            </w:pPr>
          </w:p>
          <w:p w14:paraId="4D20BF5B">
            <w:pPr>
              <w:pStyle w:val="15"/>
              <w:rPr>
                <w:sz w:val="21"/>
              </w:rPr>
            </w:pPr>
          </w:p>
          <w:p w14:paraId="7B6AA3A0">
            <w:pPr>
              <w:pStyle w:val="15"/>
              <w:rPr>
                <w:sz w:val="21"/>
              </w:rPr>
            </w:pPr>
          </w:p>
          <w:p w14:paraId="39A44A41">
            <w:pPr>
              <w:pStyle w:val="15"/>
              <w:rPr>
                <w:sz w:val="21"/>
              </w:rPr>
            </w:pPr>
          </w:p>
          <w:p w14:paraId="644913EC">
            <w:pPr>
              <w:pStyle w:val="15"/>
              <w:rPr>
                <w:sz w:val="21"/>
              </w:rPr>
            </w:pPr>
          </w:p>
          <w:p w14:paraId="07B24E8E">
            <w:pPr>
              <w:pStyle w:val="15"/>
              <w:spacing w:before="234"/>
              <w:rPr>
                <w:sz w:val="21"/>
              </w:rPr>
            </w:pPr>
          </w:p>
          <w:p w14:paraId="0960A239">
            <w:pPr>
              <w:pStyle w:val="15"/>
              <w:spacing w:line="244" w:lineRule="auto"/>
              <w:ind w:left="318" w:right="99" w:hanging="212"/>
              <w:rPr>
                <w:sz w:val="21"/>
              </w:rPr>
            </w:pPr>
            <w:r>
              <w:rPr>
                <w:spacing w:val="-4"/>
                <w:sz w:val="21"/>
              </w:rPr>
              <w:t>智慧监</w:t>
            </w:r>
            <w:r>
              <w:rPr>
                <w:spacing w:val="-10"/>
                <w:sz w:val="21"/>
              </w:rPr>
              <w:t>控</w:t>
            </w:r>
          </w:p>
        </w:tc>
        <w:tc>
          <w:tcPr>
            <w:tcW w:w="1055" w:type="dxa"/>
          </w:tcPr>
          <w:p w14:paraId="57A7FAF2">
            <w:pPr>
              <w:pStyle w:val="15"/>
              <w:spacing w:before="186"/>
              <w:rPr>
                <w:sz w:val="21"/>
              </w:rPr>
            </w:pPr>
          </w:p>
          <w:p w14:paraId="0CF38281">
            <w:pPr>
              <w:pStyle w:val="15"/>
              <w:spacing w:line="242" w:lineRule="auto"/>
              <w:ind w:left="315" w:right="177" w:hanging="130"/>
              <w:rPr>
                <w:sz w:val="21"/>
              </w:rPr>
            </w:pPr>
            <w:r>
              <w:rPr>
                <w:spacing w:val="-2"/>
                <w:sz w:val="21"/>
              </w:rPr>
              <w:t>AI</w:t>
            </w:r>
            <w:r>
              <w:rPr>
                <w:spacing w:val="-20"/>
                <w:sz w:val="21"/>
              </w:rPr>
              <w:t xml:space="preserve"> 行为</w:t>
            </w:r>
            <w:r>
              <w:rPr>
                <w:spacing w:val="-6"/>
                <w:sz w:val="21"/>
              </w:rPr>
              <w:t>分析</w:t>
            </w:r>
          </w:p>
        </w:tc>
        <w:tc>
          <w:tcPr>
            <w:tcW w:w="4026" w:type="dxa"/>
          </w:tcPr>
          <w:p w14:paraId="57736D1C">
            <w:pPr>
              <w:pStyle w:val="15"/>
              <w:spacing w:before="181" w:line="242" w:lineRule="auto"/>
              <w:ind w:left="107" w:right="97"/>
              <w:jc w:val="both"/>
              <w:rPr>
                <w:sz w:val="21"/>
              </w:rPr>
            </w:pPr>
            <w:r>
              <w:rPr>
                <w:spacing w:val="-2"/>
                <w:sz w:val="21"/>
              </w:rPr>
              <w:t xml:space="preserve">采用 </w:t>
            </w:r>
            <w:r>
              <w:rPr>
                <w:sz w:val="21"/>
              </w:rPr>
              <w:t>AI</w:t>
            </w:r>
            <w:r>
              <w:rPr>
                <w:spacing w:val="-2"/>
                <w:sz w:val="21"/>
              </w:rPr>
              <w:t xml:space="preserve"> 智能识别技术实现施工现场安全帽佩戴、安全绳和反光衣穿戴，以及临边防护、裸土覆盖、明火烟雾、车辆冲洗等场景智能识别，进行预警提示防控。</w:t>
            </w:r>
          </w:p>
        </w:tc>
        <w:tc>
          <w:tcPr>
            <w:tcW w:w="647" w:type="dxa"/>
          </w:tcPr>
          <w:p w14:paraId="48F90F90">
            <w:pPr>
              <w:pStyle w:val="15"/>
              <w:rPr>
                <w:rFonts w:ascii="Times New Roman"/>
                <w:sz w:val="20"/>
              </w:rPr>
            </w:pPr>
          </w:p>
        </w:tc>
        <w:tc>
          <w:tcPr>
            <w:tcW w:w="740" w:type="dxa"/>
          </w:tcPr>
          <w:p w14:paraId="13E65B42">
            <w:pPr>
              <w:pStyle w:val="15"/>
              <w:rPr>
                <w:sz w:val="21"/>
              </w:rPr>
            </w:pPr>
          </w:p>
          <w:p w14:paraId="5052FFA8">
            <w:pPr>
              <w:pStyle w:val="15"/>
              <w:spacing w:before="51"/>
              <w:rPr>
                <w:sz w:val="21"/>
              </w:rPr>
            </w:pPr>
          </w:p>
          <w:p w14:paraId="77AE6728">
            <w:pPr>
              <w:pStyle w:val="15"/>
              <w:ind w:left="9" w:right="2"/>
              <w:jc w:val="center"/>
              <w:rPr>
                <w:sz w:val="21"/>
              </w:rPr>
            </w:pPr>
            <w:r>
              <w:rPr>
                <w:spacing w:val="-5"/>
                <w:sz w:val="21"/>
              </w:rPr>
              <w:t>N2</w:t>
            </w:r>
          </w:p>
        </w:tc>
      </w:tr>
      <w:tr w14:paraId="07547F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7" w:hRule="atLeast"/>
        </w:trPr>
        <w:tc>
          <w:tcPr>
            <w:tcW w:w="848" w:type="dxa"/>
            <w:vMerge w:val="continue"/>
            <w:tcBorders>
              <w:top w:val="nil"/>
            </w:tcBorders>
          </w:tcPr>
          <w:p w14:paraId="5CB7AD4E">
            <w:pPr>
              <w:rPr>
                <w:sz w:val="2"/>
                <w:szCs w:val="2"/>
              </w:rPr>
            </w:pPr>
          </w:p>
        </w:tc>
        <w:tc>
          <w:tcPr>
            <w:tcW w:w="1055" w:type="dxa"/>
          </w:tcPr>
          <w:p w14:paraId="31A9AD16">
            <w:pPr>
              <w:pStyle w:val="15"/>
              <w:spacing w:before="235" w:line="242" w:lineRule="auto"/>
              <w:ind w:left="106" w:right="98"/>
              <w:jc w:val="center"/>
              <w:rPr>
                <w:sz w:val="21"/>
              </w:rPr>
            </w:pPr>
            <w:r>
              <w:rPr>
                <w:spacing w:val="-4"/>
                <w:sz w:val="21"/>
              </w:rPr>
              <w:t xml:space="preserve">临边、卸料平台 </w:t>
            </w:r>
            <w:r>
              <w:rPr>
                <w:spacing w:val="-6"/>
                <w:sz w:val="21"/>
              </w:rPr>
              <w:t>预警</w:t>
            </w:r>
          </w:p>
        </w:tc>
        <w:tc>
          <w:tcPr>
            <w:tcW w:w="4026" w:type="dxa"/>
          </w:tcPr>
          <w:p w14:paraId="37298830">
            <w:pPr>
              <w:pStyle w:val="15"/>
              <w:spacing w:before="100" w:line="242" w:lineRule="auto"/>
              <w:ind w:left="107" w:right="97"/>
              <w:jc w:val="both"/>
              <w:rPr>
                <w:sz w:val="21"/>
              </w:rPr>
            </w:pPr>
            <w:r>
              <w:rPr>
                <w:spacing w:val="-2"/>
                <w:sz w:val="21"/>
              </w:rPr>
              <w:t>在工程施工现场四口、五临边等容易发生高处坠落的位置，安装临边预警装置。现场卸料平台全部安装、使用智慧监测与报</w:t>
            </w:r>
            <w:r>
              <w:rPr>
                <w:spacing w:val="-4"/>
                <w:sz w:val="21"/>
              </w:rPr>
              <w:t>警装置。</w:t>
            </w:r>
          </w:p>
        </w:tc>
        <w:tc>
          <w:tcPr>
            <w:tcW w:w="647" w:type="dxa"/>
          </w:tcPr>
          <w:p w14:paraId="27747C40">
            <w:pPr>
              <w:pStyle w:val="15"/>
              <w:rPr>
                <w:rFonts w:ascii="Times New Roman"/>
                <w:sz w:val="20"/>
              </w:rPr>
            </w:pPr>
          </w:p>
        </w:tc>
        <w:tc>
          <w:tcPr>
            <w:tcW w:w="740" w:type="dxa"/>
          </w:tcPr>
          <w:p w14:paraId="0C91D1D6">
            <w:pPr>
              <w:pStyle w:val="15"/>
              <w:spacing w:before="239"/>
              <w:rPr>
                <w:sz w:val="21"/>
              </w:rPr>
            </w:pPr>
          </w:p>
          <w:p w14:paraId="484349A1">
            <w:pPr>
              <w:pStyle w:val="15"/>
              <w:ind w:left="9" w:right="2"/>
              <w:jc w:val="center"/>
              <w:rPr>
                <w:sz w:val="21"/>
              </w:rPr>
            </w:pPr>
            <w:r>
              <w:rPr>
                <w:spacing w:val="-5"/>
                <w:sz w:val="21"/>
              </w:rPr>
              <w:t>N2</w:t>
            </w:r>
          </w:p>
        </w:tc>
      </w:tr>
      <w:tr w14:paraId="009D0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6" w:hRule="atLeast"/>
        </w:trPr>
        <w:tc>
          <w:tcPr>
            <w:tcW w:w="848" w:type="dxa"/>
            <w:vMerge w:val="continue"/>
            <w:tcBorders>
              <w:top w:val="nil"/>
            </w:tcBorders>
          </w:tcPr>
          <w:p w14:paraId="480A2F28">
            <w:pPr>
              <w:rPr>
                <w:sz w:val="2"/>
                <w:szCs w:val="2"/>
              </w:rPr>
            </w:pPr>
          </w:p>
        </w:tc>
        <w:tc>
          <w:tcPr>
            <w:tcW w:w="1055" w:type="dxa"/>
          </w:tcPr>
          <w:p w14:paraId="4F9B119A">
            <w:pPr>
              <w:pStyle w:val="15"/>
              <w:spacing w:before="74" w:line="244" w:lineRule="auto"/>
              <w:ind w:left="212" w:right="201"/>
              <w:jc w:val="center"/>
              <w:rPr>
                <w:sz w:val="21"/>
              </w:rPr>
            </w:pPr>
            <w:r>
              <w:rPr>
                <w:spacing w:val="-4"/>
                <w:sz w:val="21"/>
              </w:rPr>
              <w:t>深基坑</w:t>
            </w:r>
            <w:r>
              <w:rPr>
                <w:spacing w:val="-6"/>
                <w:sz w:val="21"/>
              </w:rPr>
              <w:t>监控</w:t>
            </w:r>
          </w:p>
          <w:p w14:paraId="39FFD5B9">
            <w:pPr>
              <w:pStyle w:val="15"/>
              <w:spacing w:line="265" w:lineRule="exact"/>
              <w:ind w:left="6"/>
              <w:jc w:val="center"/>
              <w:rPr>
                <w:sz w:val="21"/>
              </w:rPr>
            </w:pPr>
            <w:r>
              <w:rPr>
                <w:spacing w:val="-10"/>
                <w:sz w:val="21"/>
              </w:rPr>
              <w:t>☆</w:t>
            </w:r>
          </w:p>
        </w:tc>
        <w:tc>
          <w:tcPr>
            <w:tcW w:w="4026" w:type="dxa"/>
          </w:tcPr>
          <w:p w14:paraId="6D335030">
            <w:pPr>
              <w:pStyle w:val="15"/>
              <w:spacing w:before="74" w:line="242" w:lineRule="auto"/>
              <w:ind w:left="107" w:right="97"/>
              <w:jc w:val="both"/>
              <w:rPr>
                <w:sz w:val="21"/>
              </w:rPr>
            </w:pPr>
            <w:r>
              <w:rPr>
                <w:spacing w:val="-2"/>
                <w:sz w:val="21"/>
              </w:rPr>
              <w:t>现场基坑安装、使用智慧监测装置，根据不同深基坑安全等级和施工工法，进行相关数据实时在线监测、高效预警。</w:t>
            </w:r>
          </w:p>
        </w:tc>
        <w:tc>
          <w:tcPr>
            <w:tcW w:w="647" w:type="dxa"/>
          </w:tcPr>
          <w:p w14:paraId="28A63183">
            <w:pPr>
              <w:pStyle w:val="15"/>
              <w:rPr>
                <w:rFonts w:ascii="Times New Roman"/>
                <w:sz w:val="20"/>
              </w:rPr>
            </w:pPr>
          </w:p>
        </w:tc>
        <w:tc>
          <w:tcPr>
            <w:tcW w:w="740" w:type="dxa"/>
          </w:tcPr>
          <w:p w14:paraId="2B0D4759">
            <w:pPr>
              <w:pStyle w:val="15"/>
              <w:spacing w:before="79"/>
              <w:rPr>
                <w:sz w:val="21"/>
              </w:rPr>
            </w:pPr>
          </w:p>
          <w:p w14:paraId="006FC338">
            <w:pPr>
              <w:pStyle w:val="15"/>
              <w:ind w:left="9" w:right="2"/>
              <w:jc w:val="center"/>
              <w:rPr>
                <w:sz w:val="21"/>
              </w:rPr>
            </w:pPr>
            <w:r>
              <w:rPr>
                <w:spacing w:val="-5"/>
                <w:sz w:val="21"/>
              </w:rPr>
              <w:t>N2</w:t>
            </w:r>
          </w:p>
        </w:tc>
      </w:tr>
      <w:tr w14:paraId="4B7A54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8" w:hRule="atLeast"/>
        </w:trPr>
        <w:tc>
          <w:tcPr>
            <w:tcW w:w="848" w:type="dxa"/>
            <w:vMerge w:val="continue"/>
            <w:tcBorders>
              <w:top w:val="nil"/>
            </w:tcBorders>
          </w:tcPr>
          <w:p w14:paraId="6B652EB8">
            <w:pPr>
              <w:rPr>
                <w:sz w:val="2"/>
                <w:szCs w:val="2"/>
              </w:rPr>
            </w:pPr>
          </w:p>
        </w:tc>
        <w:tc>
          <w:tcPr>
            <w:tcW w:w="1055" w:type="dxa"/>
          </w:tcPr>
          <w:p w14:paraId="7C1C6D89">
            <w:pPr>
              <w:pStyle w:val="15"/>
              <w:spacing w:before="10" w:line="244" w:lineRule="auto"/>
              <w:ind w:left="212" w:right="201"/>
              <w:jc w:val="center"/>
              <w:rPr>
                <w:sz w:val="21"/>
              </w:rPr>
            </w:pPr>
            <w:r>
              <w:rPr>
                <w:spacing w:val="-4"/>
                <w:sz w:val="21"/>
              </w:rPr>
              <w:t>高支模</w:t>
            </w:r>
            <w:r>
              <w:rPr>
                <w:spacing w:val="-6"/>
                <w:sz w:val="21"/>
              </w:rPr>
              <w:t>监控</w:t>
            </w:r>
          </w:p>
          <w:p w14:paraId="1EE6E171">
            <w:pPr>
              <w:pStyle w:val="15"/>
              <w:spacing w:line="260" w:lineRule="exact"/>
              <w:ind w:left="6"/>
              <w:jc w:val="center"/>
              <w:rPr>
                <w:sz w:val="21"/>
              </w:rPr>
            </w:pPr>
            <w:r>
              <w:rPr>
                <w:spacing w:val="-10"/>
                <w:sz w:val="21"/>
              </w:rPr>
              <w:t>☆</w:t>
            </w:r>
          </w:p>
        </w:tc>
        <w:tc>
          <w:tcPr>
            <w:tcW w:w="4026" w:type="dxa"/>
          </w:tcPr>
          <w:p w14:paraId="478E88E9">
            <w:pPr>
              <w:pStyle w:val="15"/>
              <w:spacing w:before="147" w:line="244" w:lineRule="auto"/>
              <w:ind w:left="107" w:right="97"/>
              <w:rPr>
                <w:sz w:val="21"/>
              </w:rPr>
            </w:pPr>
            <w:r>
              <w:rPr>
                <w:spacing w:val="-2"/>
                <w:sz w:val="21"/>
              </w:rPr>
              <w:t>现场安装、使用混凝土模板支撑体系智慧监测与报警装置。</w:t>
            </w:r>
          </w:p>
        </w:tc>
        <w:tc>
          <w:tcPr>
            <w:tcW w:w="647" w:type="dxa"/>
          </w:tcPr>
          <w:p w14:paraId="648E269C">
            <w:pPr>
              <w:pStyle w:val="15"/>
              <w:rPr>
                <w:rFonts w:ascii="Times New Roman"/>
                <w:sz w:val="20"/>
              </w:rPr>
            </w:pPr>
          </w:p>
        </w:tc>
        <w:tc>
          <w:tcPr>
            <w:tcW w:w="740" w:type="dxa"/>
          </w:tcPr>
          <w:p w14:paraId="0A8772BE">
            <w:pPr>
              <w:pStyle w:val="15"/>
              <w:spacing w:before="15"/>
              <w:rPr>
                <w:sz w:val="21"/>
              </w:rPr>
            </w:pPr>
          </w:p>
          <w:p w14:paraId="5CEC2EFC">
            <w:pPr>
              <w:pStyle w:val="15"/>
              <w:ind w:left="9" w:right="2"/>
              <w:jc w:val="center"/>
              <w:rPr>
                <w:sz w:val="21"/>
              </w:rPr>
            </w:pPr>
            <w:r>
              <w:rPr>
                <w:spacing w:val="-5"/>
                <w:sz w:val="21"/>
              </w:rPr>
              <w:t>N2</w:t>
            </w:r>
          </w:p>
        </w:tc>
      </w:tr>
      <w:tr w14:paraId="747084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848" w:type="dxa"/>
            <w:vMerge w:val="continue"/>
            <w:tcBorders>
              <w:top w:val="nil"/>
            </w:tcBorders>
          </w:tcPr>
          <w:p w14:paraId="0D7EC4F7">
            <w:pPr>
              <w:rPr>
                <w:sz w:val="2"/>
                <w:szCs w:val="2"/>
              </w:rPr>
            </w:pPr>
          </w:p>
        </w:tc>
        <w:tc>
          <w:tcPr>
            <w:tcW w:w="1055" w:type="dxa"/>
          </w:tcPr>
          <w:p w14:paraId="46AE207C">
            <w:pPr>
              <w:pStyle w:val="15"/>
              <w:spacing w:before="232" w:line="242" w:lineRule="auto"/>
              <w:ind w:left="315" w:right="309"/>
              <w:rPr>
                <w:sz w:val="21"/>
              </w:rPr>
            </w:pPr>
            <w:r>
              <w:rPr>
                <w:spacing w:val="-6"/>
                <w:sz w:val="21"/>
              </w:rPr>
              <w:t>水电</w:t>
            </w:r>
            <w:r>
              <w:rPr>
                <w:spacing w:val="-8"/>
                <w:sz w:val="21"/>
              </w:rPr>
              <w:t>监控</w:t>
            </w:r>
          </w:p>
        </w:tc>
        <w:tc>
          <w:tcPr>
            <w:tcW w:w="4026" w:type="dxa"/>
          </w:tcPr>
          <w:p w14:paraId="22C80878">
            <w:pPr>
              <w:pStyle w:val="15"/>
              <w:spacing w:before="95" w:line="242" w:lineRule="auto"/>
              <w:ind w:left="107" w:right="97"/>
              <w:jc w:val="both"/>
              <w:rPr>
                <w:sz w:val="21"/>
              </w:rPr>
            </w:pPr>
            <w:r>
              <w:rPr>
                <w:spacing w:val="-2"/>
                <w:sz w:val="21"/>
              </w:rPr>
              <w:t>使用智能水表、电表实时监测办公区、生活区、施工区用水、用电情况，为项目节水、节电管理提供数据支撑。</w:t>
            </w:r>
          </w:p>
        </w:tc>
        <w:tc>
          <w:tcPr>
            <w:tcW w:w="647" w:type="dxa"/>
          </w:tcPr>
          <w:p w14:paraId="04AC8B4E">
            <w:pPr>
              <w:pStyle w:val="15"/>
              <w:rPr>
                <w:rFonts w:ascii="Times New Roman"/>
                <w:sz w:val="20"/>
              </w:rPr>
            </w:pPr>
          </w:p>
        </w:tc>
        <w:tc>
          <w:tcPr>
            <w:tcW w:w="740" w:type="dxa"/>
          </w:tcPr>
          <w:p w14:paraId="1EDB0CF1">
            <w:pPr>
              <w:pStyle w:val="15"/>
              <w:spacing w:before="99"/>
              <w:rPr>
                <w:sz w:val="21"/>
              </w:rPr>
            </w:pPr>
          </w:p>
          <w:p w14:paraId="404CA304">
            <w:pPr>
              <w:pStyle w:val="15"/>
              <w:ind w:left="9" w:right="2"/>
              <w:jc w:val="center"/>
              <w:rPr>
                <w:sz w:val="21"/>
              </w:rPr>
            </w:pPr>
            <w:r>
              <w:rPr>
                <w:spacing w:val="-5"/>
                <w:sz w:val="21"/>
              </w:rPr>
              <w:t>N2</w:t>
            </w:r>
          </w:p>
        </w:tc>
      </w:tr>
      <w:tr w14:paraId="67827F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7" w:hRule="atLeast"/>
        </w:trPr>
        <w:tc>
          <w:tcPr>
            <w:tcW w:w="848" w:type="dxa"/>
            <w:vMerge w:val="restart"/>
          </w:tcPr>
          <w:p w14:paraId="3B8833CD">
            <w:pPr>
              <w:pStyle w:val="15"/>
              <w:rPr>
                <w:sz w:val="21"/>
              </w:rPr>
            </w:pPr>
          </w:p>
          <w:p w14:paraId="0C68333A">
            <w:pPr>
              <w:pStyle w:val="15"/>
              <w:rPr>
                <w:sz w:val="21"/>
              </w:rPr>
            </w:pPr>
          </w:p>
          <w:p w14:paraId="7445FE3F">
            <w:pPr>
              <w:pStyle w:val="15"/>
              <w:rPr>
                <w:sz w:val="21"/>
              </w:rPr>
            </w:pPr>
          </w:p>
          <w:p w14:paraId="6275E4C6">
            <w:pPr>
              <w:pStyle w:val="15"/>
              <w:rPr>
                <w:sz w:val="21"/>
              </w:rPr>
            </w:pPr>
          </w:p>
          <w:p w14:paraId="08C33839">
            <w:pPr>
              <w:pStyle w:val="15"/>
              <w:rPr>
                <w:sz w:val="21"/>
              </w:rPr>
            </w:pPr>
          </w:p>
          <w:p w14:paraId="7C50ADE9">
            <w:pPr>
              <w:pStyle w:val="15"/>
              <w:rPr>
                <w:sz w:val="21"/>
              </w:rPr>
            </w:pPr>
          </w:p>
          <w:p w14:paraId="71012A01">
            <w:pPr>
              <w:pStyle w:val="15"/>
              <w:rPr>
                <w:sz w:val="21"/>
              </w:rPr>
            </w:pPr>
          </w:p>
          <w:p w14:paraId="5909791B">
            <w:pPr>
              <w:pStyle w:val="15"/>
              <w:spacing w:before="195"/>
              <w:rPr>
                <w:sz w:val="21"/>
              </w:rPr>
            </w:pPr>
          </w:p>
          <w:p w14:paraId="76972E22">
            <w:pPr>
              <w:pStyle w:val="15"/>
              <w:spacing w:before="1" w:line="242" w:lineRule="auto"/>
              <w:ind w:left="318" w:right="99" w:hanging="212"/>
              <w:rPr>
                <w:sz w:val="21"/>
              </w:rPr>
            </w:pPr>
            <w:r>
              <w:rPr>
                <w:spacing w:val="-4"/>
                <w:sz w:val="21"/>
              </w:rPr>
              <w:t>起重机</w:t>
            </w:r>
            <w:r>
              <w:rPr>
                <w:spacing w:val="-10"/>
                <w:sz w:val="21"/>
              </w:rPr>
              <w:t>械</w:t>
            </w:r>
          </w:p>
        </w:tc>
        <w:tc>
          <w:tcPr>
            <w:tcW w:w="1055" w:type="dxa"/>
          </w:tcPr>
          <w:p w14:paraId="2844B8FB">
            <w:pPr>
              <w:pStyle w:val="15"/>
              <w:spacing w:before="140" w:line="242" w:lineRule="auto"/>
              <w:ind w:left="212" w:right="201"/>
              <w:jc w:val="both"/>
              <w:rPr>
                <w:sz w:val="21"/>
              </w:rPr>
            </w:pPr>
            <w:r>
              <w:rPr>
                <w:spacing w:val="-4"/>
                <w:sz w:val="21"/>
              </w:rPr>
              <w:t>施工升降机安</w:t>
            </w:r>
            <w:r>
              <w:rPr>
                <w:spacing w:val="-5"/>
                <w:sz w:val="21"/>
              </w:rPr>
              <w:t>全监控</w:t>
            </w:r>
          </w:p>
        </w:tc>
        <w:tc>
          <w:tcPr>
            <w:tcW w:w="4026" w:type="dxa"/>
          </w:tcPr>
          <w:p w14:paraId="114FA39A">
            <w:pPr>
              <w:pStyle w:val="15"/>
              <w:spacing w:before="140" w:line="242" w:lineRule="auto"/>
              <w:ind w:left="107" w:right="-15"/>
              <w:jc w:val="both"/>
              <w:rPr>
                <w:sz w:val="21"/>
              </w:rPr>
            </w:pPr>
            <w:r>
              <w:rPr>
                <w:spacing w:val="-2"/>
                <w:sz w:val="21"/>
              </w:rPr>
              <w:t>现场施工升降机全部安装、使用安全监控报警智能设备，具备驾驶员人脸识别、人</w:t>
            </w:r>
            <w:r>
              <w:rPr>
                <w:spacing w:val="-8"/>
                <w:sz w:val="21"/>
              </w:rPr>
              <w:t>员限载及运行状态等实时监控、预警功能。</w:t>
            </w:r>
          </w:p>
        </w:tc>
        <w:tc>
          <w:tcPr>
            <w:tcW w:w="647" w:type="dxa"/>
          </w:tcPr>
          <w:p w14:paraId="44BED798">
            <w:pPr>
              <w:pStyle w:val="15"/>
              <w:spacing w:before="144"/>
              <w:rPr>
                <w:sz w:val="21"/>
              </w:rPr>
            </w:pPr>
          </w:p>
          <w:p w14:paraId="4201247A">
            <w:pPr>
              <w:pStyle w:val="15"/>
              <w:spacing w:before="1"/>
              <w:ind w:left="7"/>
              <w:jc w:val="center"/>
              <w:rPr>
                <w:sz w:val="21"/>
              </w:rPr>
            </w:pPr>
            <w:r>
              <w:rPr>
                <w:spacing w:val="-5"/>
                <w:sz w:val="21"/>
              </w:rPr>
              <w:t>N1</w:t>
            </w:r>
          </w:p>
        </w:tc>
        <w:tc>
          <w:tcPr>
            <w:tcW w:w="740" w:type="dxa"/>
          </w:tcPr>
          <w:p w14:paraId="70DF4D2E">
            <w:pPr>
              <w:pStyle w:val="15"/>
              <w:rPr>
                <w:rFonts w:ascii="Times New Roman"/>
                <w:sz w:val="20"/>
              </w:rPr>
            </w:pPr>
          </w:p>
        </w:tc>
      </w:tr>
      <w:tr w14:paraId="6B4F48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2" w:hRule="atLeast"/>
        </w:trPr>
        <w:tc>
          <w:tcPr>
            <w:tcW w:w="848" w:type="dxa"/>
            <w:vMerge w:val="continue"/>
            <w:tcBorders>
              <w:top w:val="nil"/>
            </w:tcBorders>
          </w:tcPr>
          <w:p w14:paraId="320DE738">
            <w:pPr>
              <w:rPr>
                <w:sz w:val="2"/>
                <w:szCs w:val="2"/>
              </w:rPr>
            </w:pPr>
          </w:p>
        </w:tc>
        <w:tc>
          <w:tcPr>
            <w:tcW w:w="1055" w:type="dxa"/>
          </w:tcPr>
          <w:p w14:paraId="08BA3D2F">
            <w:pPr>
              <w:pStyle w:val="15"/>
              <w:spacing w:before="259" w:line="242" w:lineRule="auto"/>
              <w:ind w:left="212" w:right="201"/>
              <w:jc w:val="both"/>
              <w:rPr>
                <w:sz w:val="21"/>
              </w:rPr>
            </w:pPr>
            <w:r>
              <w:rPr>
                <w:spacing w:val="-4"/>
                <w:sz w:val="21"/>
              </w:rPr>
              <w:t>塔式起重机安</w:t>
            </w:r>
            <w:r>
              <w:rPr>
                <w:spacing w:val="-5"/>
                <w:sz w:val="21"/>
              </w:rPr>
              <w:t>全监控</w:t>
            </w:r>
          </w:p>
        </w:tc>
        <w:tc>
          <w:tcPr>
            <w:tcW w:w="4026" w:type="dxa"/>
          </w:tcPr>
          <w:p w14:paraId="1D21C7E8">
            <w:pPr>
              <w:pStyle w:val="15"/>
              <w:spacing w:before="122" w:line="242" w:lineRule="auto"/>
              <w:ind w:left="107" w:right="97"/>
              <w:jc w:val="both"/>
              <w:rPr>
                <w:sz w:val="21"/>
              </w:rPr>
            </w:pPr>
            <w:r>
              <w:rPr>
                <w:spacing w:val="-2"/>
                <w:sz w:val="21"/>
              </w:rPr>
              <w:t>对塔式起重机全部安装、使用安全监控报警智能设备，对定期检查、维修保养及运行状态等基本信息进行管理，具备群塔防碰撞、自动报警等功能。</w:t>
            </w:r>
          </w:p>
        </w:tc>
        <w:tc>
          <w:tcPr>
            <w:tcW w:w="647" w:type="dxa"/>
          </w:tcPr>
          <w:p w14:paraId="3229300C">
            <w:pPr>
              <w:pStyle w:val="15"/>
              <w:spacing w:before="260"/>
              <w:rPr>
                <w:sz w:val="21"/>
              </w:rPr>
            </w:pPr>
          </w:p>
          <w:p w14:paraId="4E9B8EB6">
            <w:pPr>
              <w:pStyle w:val="15"/>
              <w:spacing w:before="1"/>
              <w:ind w:left="7"/>
              <w:jc w:val="center"/>
              <w:rPr>
                <w:sz w:val="21"/>
              </w:rPr>
            </w:pPr>
            <w:r>
              <w:rPr>
                <w:spacing w:val="-5"/>
                <w:sz w:val="21"/>
              </w:rPr>
              <w:t>N1</w:t>
            </w:r>
          </w:p>
        </w:tc>
        <w:tc>
          <w:tcPr>
            <w:tcW w:w="740" w:type="dxa"/>
          </w:tcPr>
          <w:p w14:paraId="75B1909E">
            <w:pPr>
              <w:pStyle w:val="15"/>
              <w:rPr>
                <w:rFonts w:ascii="Times New Roman"/>
                <w:sz w:val="20"/>
              </w:rPr>
            </w:pPr>
          </w:p>
        </w:tc>
      </w:tr>
      <w:tr w14:paraId="283A1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5" w:hRule="atLeast"/>
        </w:trPr>
        <w:tc>
          <w:tcPr>
            <w:tcW w:w="848" w:type="dxa"/>
            <w:vMerge w:val="continue"/>
            <w:tcBorders>
              <w:top w:val="nil"/>
            </w:tcBorders>
          </w:tcPr>
          <w:p w14:paraId="77692E14">
            <w:pPr>
              <w:rPr>
                <w:sz w:val="2"/>
                <w:szCs w:val="2"/>
              </w:rPr>
            </w:pPr>
          </w:p>
        </w:tc>
        <w:tc>
          <w:tcPr>
            <w:tcW w:w="1055" w:type="dxa"/>
          </w:tcPr>
          <w:p w14:paraId="582E610D">
            <w:pPr>
              <w:pStyle w:val="15"/>
              <w:spacing w:before="67"/>
              <w:rPr>
                <w:sz w:val="21"/>
              </w:rPr>
            </w:pPr>
          </w:p>
          <w:p w14:paraId="669B5211">
            <w:pPr>
              <w:pStyle w:val="15"/>
              <w:spacing w:line="242" w:lineRule="auto"/>
              <w:ind w:left="315" w:right="201" w:hanging="104"/>
              <w:rPr>
                <w:sz w:val="21"/>
              </w:rPr>
            </w:pPr>
            <w:r>
              <w:rPr>
                <w:spacing w:val="-4"/>
                <w:sz w:val="21"/>
              </w:rPr>
              <w:t>吊钩可</w:t>
            </w:r>
            <w:r>
              <w:rPr>
                <w:spacing w:val="-6"/>
                <w:sz w:val="21"/>
              </w:rPr>
              <w:t>视化</w:t>
            </w:r>
          </w:p>
        </w:tc>
        <w:tc>
          <w:tcPr>
            <w:tcW w:w="4026" w:type="dxa"/>
          </w:tcPr>
          <w:p w14:paraId="0D665EE3">
            <w:pPr>
              <w:pStyle w:val="15"/>
              <w:spacing w:before="200" w:line="242" w:lineRule="auto"/>
              <w:ind w:left="107" w:right="97"/>
              <w:jc w:val="both"/>
              <w:rPr>
                <w:sz w:val="21"/>
              </w:rPr>
            </w:pPr>
            <w:r>
              <w:rPr>
                <w:spacing w:val="-2"/>
                <w:sz w:val="21"/>
              </w:rPr>
              <w:t>现场塔式起重机全部安装、使用吊钩可视化监测系统，指导司机吊物操作，提高塔机作业的安全性。</w:t>
            </w:r>
          </w:p>
        </w:tc>
        <w:tc>
          <w:tcPr>
            <w:tcW w:w="647" w:type="dxa"/>
          </w:tcPr>
          <w:p w14:paraId="1DA22D8A">
            <w:pPr>
              <w:pStyle w:val="15"/>
              <w:rPr>
                <w:rFonts w:ascii="Times New Roman"/>
                <w:sz w:val="20"/>
              </w:rPr>
            </w:pPr>
          </w:p>
        </w:tc>
        <w:tc>
          <w:tcPr>
            <w:tcW w:w="740" w:type="dxa"/>
          </w:tcPr>
          <w:p w14:paraId="68EBA474">
            <w:pPr>
              <w:pStyle w:val="15"/>
              <w:spacing w:before="201"/>
              <w:rPr>
                <w:sz w:val="21"/>
              </w:rPr>
            </w:pPr>
          </w:p>
          <w:p w14:paraId="28E762D0">
            <w:pPr>
              <w:pStyle w:val="15"/>
              <w:spacing w:before="1"/>
              <w:ind w:left="9" w:right="2"/>
              <w:jc w:val="center"/>
              <w:rPr>
                <w:sz w:val="21"/>
              </w:rPr>
            </w:pPr>
            <w:r>
              <w:rPr>
                <w:spacing w:val="-5"/>
                <w:sz w:val="21"/>
              </w:rPr>
              <w:t>N2</w:t>
            </w:r>
          </w:p>
        </w:tc>
      </w:tr>
      <w:tr w14:paraId="140E00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33" w:hRule="atLeast"/>
        </w:trPr>
        <w:tc>
          <w:tcPr>
            <w:tcW w:w="848" w:type="dxa"/>
            <w:vMerge w:val="continue"/>
            <w:tcBorders>
              <w:top w:val="nil"/>
            </w:tcBorders>
          </w:tcPr>
          <w:p w14:paraId="6A2140BF">
            <w:pPr>
              <w:rPr>
                <w:sz w:val="2"/>
                <w:szCs w:val="2"/>
              </w:rPr>
            </w:pPr>
          </w:p>
        </w:tc>
        <w:tc>
          <w:tcPr>
            <w:tcW w:w="1055" w:type="dxa"/>
          </w:tcPr>
          <w:p w14:paraId="610AF221">
            <w:pPr>
              <w:pStyle w:val="15"/>
              <w:spacing w:before="241"/>
              <w:rPr>
                <w:sz w:val="21"/>
              </w:rPr>
            </w:pPr>
          </w:p>
          <w:p w14:paraId="2C90BD82">
            <w:pPr>
              <w:pStyle w:val="15"/>
              <w:spacing w:line="242" w:lineRule="auto"/>
              <w:ind w:left="212" w:right="201"/>
              <w:jc w:val="center"/>
              <w:rPr>
                <w:sz w:val="21"/>
              </w:rPr>
            </w:pPr>
            <w:r>
              <w:rPr>
                <w:spacing w:val="-4"/>
                <w:sz w:val="21"/>
              </w:rPr>
              <w:t>钢丝绳监测管</w:t>
            </w:r>
            <w:r>
              <w:rPr>
                <w:spacing w:val="-10"/>
                <w:sz w:val="21"/>
              </w:rPr>
              <w:t>理</w:t>
            </w:r>
          </w:p>
        </w:tc>
        <w:tc>
          <w:tcPr>
            <w:tcW w:w="4026" w:type="dxa"/>
          </w:tcPr>
          <w:p w14:paraId="7492DDC6">
            <w:pPr>
              <w:pStyle w:val="15"/>
              <w:spacing w:before="237" w:line="242" w:lineRule="auto"/>
              <w:ind w:left="107" w:right="97"/>
              <w:jc w:val="both"/>
              <w:rPr>
                <w:sz w:val="21"/>
              </w:rPr>
            </w:pPr>
            <w:r>
              <w:rPr>
                <w:spacing w:val="-2"/>
                <w:sz w:val="21"/>
              </w:rPr>
              <w:t>采用数字化探头设备监测钢丝绳的实时损伤、断丝、磨损、锈蚀、疲劳、变形等数据，研判损伤发展趋势，超限超载实时预警，实现远程数据管理、数据查看、数据分析等功能。</w:t>
            </w:r>
          </w:p>
        </w:tc>
        <w:tc>
          <w:tcPr>
            <w:tcW w:w="647" w:type="dxa"/>
          </w:tcPr>
          <w:p w14:paraId="4710C911">
            <w:pPr>
              <w:pStyle w:val="15"/>
              <w:rPr>
                <w:rFonts w:ascii="Times New Roman"/>
                <w:sz w:val="20"/>
              </w:rPr>
            </w:pPr>
          </w:p>
        </w:tc>
        <w:tc>
          <w:tcPr>
            <w:tcW w:w="740" w:type="dxa"/>
          </w:tcPr>
          <w:p w14:paraId="6BE21A68">
            <w:pPr>
              <w:pStyle w:val="15"/>
              <w:rPr>
                <w:sz w:val="21"/>
              </w:rPr>
            </w:pPr>
          </w:p>
          <w:p w14:paraId="49787B38">
            <w:pPr>
              <w:pStyle w:val="15"/>
              <w:spacing w:before="243"/>
              <w:rPr>
                <w:sz w:val="21"/>
              </w:rPr>
            </w:pPr>
          </w:p>
          <w:p w14:paraId="31E44D3A">
            <w:pPr>
              <w:pStyle w:val="15"/>
              <w:spacing w:before="1"/>
              <w:ind w:left="9" w:right="2"/>
              <w:jc w:val="center"/>
              <w:rPr>
                <w:sz w:val="21"/>
              </w:rPr>
            </w:pPr>
            <w:r>
              <w:rPr>
                <w:spacing w:val="-5"/>
                <w:sz w:val="21"/>
              </w:rPr>
              <w:t>N2</w:t>
            </w:r>
          </w:p>
        </w:tc>
      </w:tr>
    </w:tbl>
    <w:p w14:paraId="5EF53C01">
      <w:pPr>
        <w:pStyle w:val="15"/>
        <w:spacing w:after="0"/>
        <w:jc w:val="center"/>
        <w:rPr>
          <w:sz w:val="21"/>
        </w:rPr>
        <w:sectPr>
          <w:pgSz w:w="10440" w:h="14740"/>
          <w:pgMar w:top="1100" w:right="0" w:bottom="860" w:left="0" w:header="878" w:footer="676" w:gutter="0"/>
          <w:cols w:space="720" w:num="1"/>
        </w:sectPr>
      </w:pPr>
    </w:p>
    <w:p w14:paraId="33D42B4D">
      <w:pPr>
        <w:pStyle w:val="4"/>
        <w:spacing w:before="65"/>
        <w:rPr>
          <w:sz w:val="20"/>
        </w:rPr>
      </w:pPr>
    </w:p>
    <w:tbl>
      <w:tblPr>
        <w:tblStyle w:val="11"/>
        <w:tblW w:w="0" w:type="auto"/>
        <w:tblInd w:w="17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8"/>
        <w:gridCol w:w="1055"/>
        <w:gridCol w:w="4026"/>
        <w:gridCol w:w="647"/>
        <w:gridCol w:w="740"/>
      </w:tblGrid>
      <w:tr w14:paraId="4092D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848" w:type="dxa"/>
          </w:tcPr>
          <w:p w14:paraId="47BFB459">
            <w:pPr>
              <w:pStyle w:val="15"/>
              <w:spacing w:before="177"/>
              <w:ind w:left="213"/>
              <w:rPr>
                <w:sz w:val="21"/>
              </w:rPr>
            </w:pPr>
            <w:r>
              <w:rPr>
                <w:spacing w:val="-8"/>
                <w:sz w:val="21"/>
              </w:rPr>
              <w:t>项目</w:t>
            </w:r>
          </w:p>
        </w:tc>
        <w:tc>
          <w:tcPr>
            <w:tcW w:w="1055" w:type="dxa"/>
          </w:tcPr>
          <w:p w14:paraId="64B3E9F1">
            <w:pPr>
              <w:pStyle w:val="15"/>
              <w:spacing w:before="177"/>
              <w:ind w:left="212"/>
              <w:rPr>
                <w:sz w:val="21"/>
              </w:rPr>
            </w:pPr>
            <w:r>
              <w:rPr>
                <w:spacing w:val="-5"/>
                <w:sz w:val="21"/>
              </w:rPr>
              <w:t>子系统</w:t>
            </w:r>
          </w:p>
        </w:tc>
        <w:tc>
          <w:tcPr>
            <w:tcW w:w="4026" w:type="dxa"/>
          </w:tcPr>
          <w:p w14:paraId="4F368EFF">
            <w:pPr>
              <w:pStyle w:val="15"/>
              <w:spacing w:before="177"/>
              <w:ind w:left="9"/>
              <w:jc w:val="center"/>
              <w:rPr>
                <w:sz w:val="21"/>
              </w:rPr>
            </w:pPr>
            <w:r>
              <w:rPr>
                <w:spacing w:val="-7"/>
                <w:sz w:val="21"/>
              </w:rPr>
              <w:t>基本要求</w:t>
            </w:r>
          </w:p>
        </w:tc>
        <w:tc>
          <w:tcPr>
            <w:tcW w:w="647" w:type="dxa"/>
          </w:tcPr>
          <w:p w14:paraId="2C52F032">
            <w:pPr>
              <w:pStyle w:val="15"/>
              <w:spacing w:before="21"/>
              <w:ind w:left="7" w:right="3"/>
              <w:jc w:val="center"/>
              <w:rPr>
                <w:sz w:val="21"/>
              </w:rPr>
            </w:pPr>
            <w:r>
              <w:rPr>
                <w:spacing w:val="-8"/>
                <w:sz w:val="21"/>
              </w:rPr>
              <w:t>基础</w:t>
            </w:r>
          </w:p>
          <w:p w14:paraId="10F376F9">
            <w:pPr>
              <w:pStyle w:val="15"/>
              <w:spacing w:before="43"/>
              <w:ind w:left="7" w:right="1"/>
              <w:jc w:val="center"/>
              <w:rPr>
                <w:sz w:val="21"/>
              </w:rPr>
            </w:pPr>
            <w:r>
              <w:rPr>
                <w:spacing w:val="-10"/>
                <w:sz w:val="21"/>
              </w:rPr>
              <w:t>项</w:t>
            </w:r>
          </w:p>
        </w:tc>
        <w:tc>
          <w:tcPr>
            <w:tcW w:w="740" w:type="dxa"/>
          </w:tcPr>
          <w:p w14:paraId="575CBFEE">
            <w:pPr>
              <w:pStyle w:val="15"/>
              <w:spacing w:before="21"/>
              <w:ind w:left="9"/>
              <w:jc w:val="center"/>
              <w:rPr>
                <w:sz w:val="21"/>
              </w:rPr>
            </w:pPr>
            <w:r>
              <w:rPr>
                <w:spacing w:val="-8"/>
                <w:sz w:val="21"/>
              </w:rPr>
              <w:t>提高</w:t>
            </w:r>
          </w:p>
          <w:p w14:paraId="54964CDD">
            <w:pPr>
              <w:pStyle w:val="15"/>
              <w:spacing w:before="43"/>
              <w:ind w:left="9" w:right="3"/>
              <w:jc w:val="center"/>
              <w:rPr>
                <w:sz w:val="21"/>
              </w:rPr>
            </w:pPr>
            <w:r>
              <w:rPr>
                <w:spacing w:val="-10"/>
                <w:sz w:val="21"/>
              </w:rPr>
              <w:t>项</w:t>
            </w:r>
          </w:p>
        </w:tc>
      </w:tr>
      <w:tr w14:paraId="154B2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3" w:hRule="atLeast"/>
        </w:trPr>
        <w:tc>
          <w:tcPr>
            <w:tcW w:w="848" w:type="dxa"/>
          </w:tcPr>
          <w:p w14:paraId="7DDC6C84">
            <w:pPr>
              <w:pStyle w:val="15"/>
              <w:rPr>
                <w:sz w:val="21"/>
              </w:rPr>
            </w:pPr>
          </w:p>
          <w:p w14:paraId="0F029ADE">
            <w:pPr>
              <w:pStyle w:val="15"/>
              <w:spacing w:before="27"/>
              <w:rPr>
                <w:sz w:val="21"/>
              </w:rPr>
            </w:pPr>
          </w:p>
          <w:p w14:paraId="77947CF0">
            <w:pPr>
              <w:pStyle w:val="15"/>
              <w:spacing w:line="242" w:lineRule="auto"/>
              <w:ind w:left="319" w:right="99" w:hanging="212"/>
              <w:rPr>
                <w:sz w:val="21"/>
              </w:rPr>
            </w:pPr>
            <w:r>
              <w:rPr>
                <w:spacing w:val="-4"/>
                <w:sz w:val="21"/>
              </w:rPr>
              <w:t>起重机</w:t>
            </w:r>
            <w:r>
              <w:rPr>
                <w:spacing w:val="-10"/>
                <w:sz w:val="21"/>
              </w:rPr>
              <w:t>械</w:t>
            </w:r>
          </w:p>
        </w:tc>
        <w:tc>
          <w:tcPr>
            <w:tcW w:w="1055" w:type="dxa"/>
          </w:tcPr>
          <w:p w14:paraId="7C990477">
            <w:pPr>
              <w:pStyle w:val="15"/>
              <w:spacing w:before="157" w:line="242" w:lineRule="auto"/>
              <w:ind w:left="212" w:right="201"/>
              <w:jc w:val="center"/>
              <w:rPr>
                <w:sz w:val="21"/>
              </w:rPr>
            </w:pPr>
            <w:r>
              <w:rPr>
                <w:spacing w:val="-4"/>
                <w:sz w:val="21"/>
              </w:rPr>
              <w:t>塔式起重机安装拆卸安全监</w:t>
            </w:r>
            <w:r>
              <w:rPr>
                <w:spacing w:val="-10"/>
                <w:sz w:val="21"/>
              </w:rPr>
              <w:t>控</w:t>
            </w:r>
          </w:p>
        </w:tc>
        <w:tc>
          <w:tcPr>
            <w:tcW w:w="4026" w:type="dxa"/>
          </w:tcPr>
          <w:p w14:paraId="55C8FC6B">
            <w:pPr>
              <w:pStyle w:val="15"/>
              <w:spacing w:before="157" w:line="242" w:lineRule="auto"/>
              <w:ind w:left="108" w:right="96"/>
              <w:jc w:val="both"/>
              <w:rPr>
                <w:sz w:val="21"/>
              </w:rPr>
            </w:pPr>
            <w:r>
              <w:rPr>
                <w:spacing w:val="-2"/>
                <w:sz w:val="21"/>
              </w:rPr>
              <w:t>对塔机在安装、顶升、拆卸作业过程中，实时采集顶升横梁、爬爪、位移等作业数据，对违规操作、不安全状态进行实时声光报警，实现远程监督、移动监督、预警防控为特征的数字化监管。</w:t>
            </w:r>
          </w:p>
        </w:tc>
        <w:tc>
          <w:tcPr>
            <w:tcW w:w="647" w:type="dxa"/>
          </w:tcPr>
          <w:p w14:paraId="408A8F3D">
            <w:pPr>
              <w:pStyle w:val="15"/>
              <w:rPr>
                <w:rFonts w:ascii="Times New Roman"/>
                <w:sz w:val="18"/>
              </w:rPr>
            </w:pPr>
          </w:p>
        </w:tc>
        <w:tc>
          <w:tcPr>
            <w:tcW w:w="740" w:type="dxa"/>
          </w:tcPr>
          <w:p w14:paraId="32651611">
            <w:pPr>
              <w:pStyle w:val="15"/>
              <w:rPr>
                <w:sz w:val="21"/>
              </w:rPr>
            </w:pPr>
          </w:p>
          <w:p w14:paraId="0C44FD61">
            <w:pPr>
              <w:pStyle w:val="15"/>
              <w:spacing w:before="161"/>
              <w:rPr>
                <w:sz w:val="21"/>
              </w:rPr>
            </w:pPr>
          </w:p>
          <w:p w14:paraId="3527DE24">
            <w:pPr>
              <w:pStyle w:val="15"/>
              <w:spacing w:before="1"/>
              <w:ind w:left="9" w:right="1"/>
              <w:jc w:val="center"/>
              <w:rPr>
                <w:sz w:val="21"/>
              </w:rPr>
            </w:pPr>
            <w:r>
              <w:rPr>
                <w:spacing w:val="-5"/>
                <w:sz w:val="21"/>
              </w:rPr>
              <w:t>N2</w:t>
            </w:r>
          </w:p>
        </w:tc>
      </w:tr>
      <w:tr w14:paraId="47E1F0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9" w:hRule="atLeast"/>
        </w:trPr>
        <w:tc>
          <w:tcPr>
            <w:tcW w:w="848" w:type="dxa"/>
            <w:vMerge w:val="restart"/>
          </w:tcPr>
          <w:p w14:paraId="6743D3E4">
            <w:pPr>
              <w:pStyle w:val="15"/>
              <w:rPr>
                <w:sz w:val="21"/>
              </w:rPr>
            </w:pPr>
          </w:p>
          <w:p w14:paraId="146BD5A3">
            <w:pPr>
              <w:pStyle w:val="15"/>
              <w:rPr>
                <w:sz w:val="21"/>
              </w:rPr>
            </w:pPr>
          </w:p>
          <w:p w14:paraId="01B4C455">
            <w:pPr>
              <w:pStyle w:val="15"/>
              <w:rPr>
                <w:sz w:val="21"/>
              </w:rPr>
            </w:pPr>
          </w:p>
          <w:p w14:paraId="2A801339">
            <w:pPr>
              <w:pStyle w:val="15"/>
              <w:rPr>
                <w:sz w:val="21"/>
              </w:rPr>
            </w:pPr>
          </w:p>
          <w:p w14:paraId="641F7B46">
            <w:pPr>
              <w:pStyle w:val="15"/>
              <w:spacing w:before="130"/>
              <w:rPr>
                <w:sz w:val="21"/>
              </w:rPr>
            </w:pPr>
          </w:p>
          <w:p w14:paraId="12325D90">
            <w:pPr>
              <w:pStyle w:val="15"/>
              <w:spacing w:line="242" w:lineRule="auto"/>
              <w:ind w:left="319" w:right="99" w:hanging="212"/>
              <w:rPr>
                <w:sz w:val="21"/>
              </w:rPr>
            </w:pPr>
            <w:r>
              <w:rPr>
                <w:spacing w:val="-4"/>
                <w:sz w:val="21"/>
              </w:rPr>
              <w:t>智慧提</w:t>
            </w:r>
            <w:r>
              <w:rPr>
                <w:spacing w:val="-10"/>
                <w:sz w:val="21"/>
              </w:rPr>
              <w:t>质</w:t>
            </w:r>
          </w:p>
        </w:tc>
        <w:tc>
          <w:tcPr>
            <w:tcW w:w="1055" w:type="dxa"/>
          </w:tcPr>
          <w:p w14:paraId="7DCD9DCF">
            <w:pPr>
              <w:pStyle w:val="15"/>
              <w:spacing w:line="242" w:lineRule="auto"/>
              <w:ind w:left="212" w:right="201"/>
              <w:jc w:val="both"/>
              <w:rPr>
                <w:sz w:val="21"/>
              </w:rPr>
            </w:pPr>
            <w:r>
              <w:rPr>
                <w:spacing w:val="-4"/>
                <w:sz w:val="21"/>
              </w:rPr>
              <w:t>关键工序可视</w:t>
            </w:r>
            <w:r>
              <w:rPr>
                <w:spacing w:val="-5"/>
                <w:sz w:val="21"/>
              </w:rPr>
              <w:t>化追溯</w:t>
            </w:r>
          </w:p>
          <w:p w14:paraId="16F0140F">
            <w:pPr>
              <w:pStyle w:val="15"/>
              <w:spacing w:before="3" w:line="251" w:lineRule="exact"/>
              <w:ind w:left="315"/>
              <w:rPr>
                <w:sz w:val="21"/>
              </w:rPr>
            </w:pPr>
            <w:r>
              <w:rPr>
                <w:spacing w:val="-8"/>
                <w:sz w:val="21"/>
              </w:rPr>
              <w:t>管理</w:t>
            </w:r>
          </w:p>
        </w:tc>
        <w:tc>
          <w:tcPr>
            <w:tcW w:w="4026" w:type="dxa"/>
          </w:tcPr>
          <w:p w14:paraId="01CEADAA">
            <w:pPr>
              <w:pStyle w:val="15"/>
              <w:spacing w:before="136" w:line="242" w:lineRule="auto"/>
              <w:ind w:left="108" w:right="-15"/>
              <w:rPr>
                <w:sz w:val="21"/>
              </w:rPr>
            </w:pPr>
            <w:r>
              <w:rPr>
                <w:spacing w:val="-6"/>
                <w:sz w:val="21"/>
              </w:rPr>
              <w:t>对混凝土浇筑、混凝土取样、制样及送样、</w:t>
            </w:r>
            <w:r>
              <w:rPr>
                <w:spacing w:val="-2"/>
                <w:sz w:val="21"/>
              </w:rPr>
              <w:t>土方回填、防水工程和外墙保温工程等关键工序的可视化追溯管理。</w:t>
            </w:r>
          </w:p>
        </w:tc>
        <w:tc>
          <w:tcPr>
            <w:tcW w:w="647" w:type="dxa"/>
          </w:tcPr>
          <w:p w14:paraId="1264EB09">
            <w:pPr>
              <w:pStyle w:val="15"/>
              <w:rPr>
                <w:rFonts w:ascii="Times New Roman"/>
                <w:sz w:val="18"/>
              </w:rPr>
            </w:pPr>
          </w:p>
        </w:tc>
        <w:tc>
          <w:tcPr>
            <w:tcW w:w="740" w:type="dxa"/>
          </w:tcPr>
          <w:p w14:paraId="4E39567E">
            <w:pPr>
              <w:pStyle w:val="15"/>
              <w:spacing w:before="138"/>
              <w:rPr>
                <w:sz w:val="21"/>
              </w:rPr>
            </w:pPr>
          </w:p>
          <w:p w14:paraId="4E5A89E9">
            <w:pPr>
              <w:pStyle w:val="15"/>
              <w:spacing w:before="1"/>
              <w:ind w:left="9" w:right="1"/>
              <w:jc w:val="center"/>
              <w:rPr>
                <w:sz w:val="21"/>
              </w:rPr>
            </w:pPr>
            <w:r>
              <w:rPr>
                <w:spacing w:val="-5"/>
                <w:sz w:val="21"/>
              </w:rPr>
              <w:t>N2</w:t>
            </w:r>
          </w:p>
        </w:tc>
      </w:tr>
      <w:tr w14:paraId="0A25B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9" w:hRule="atLeast"/>
        </w:trPr>
        <w:tc>
          <w:tcPr>
            <w:tcW w:w="848" w:type="dxa"/>
            <w:vMerge w:val="continue"/>
            <w:tcBorders>
              <w:top w:val="nil"/>
            </w:tcBorders>
          </w:tcPr>
          <w:p w14:paraId="6A64CC76">
            <w:pPr>
              <w:rPr>
                <w:sz w:val="2"/>
                <w:szCs w:val="2"/>
              </w:rPr>
            </w:pPr>
          </w:p>
        </w:tc>
        <w:tc>
          <w:tcPr>
            <w:tcW w:w="1055" w:type="dxa"/>
          </w:tcPr>
          <w:p w14:paraId="74608A4B">
            <w:pPr>
              <w:pStyle w:val="15"/>
              <w:spacing w:line="242" w:lineRule="auto"/>
              <w:ind w:left="212" w:right="201"/>
              <w:jc w:val="both"/>
              <w:rPr>
                <w:sz w:val="21"/>
              </w:rPr>
            </w:pPr>
            <w:r>
              <w:rPr>
                <w:spacing w:val="-4"/>
                <w:sz w:val="21"/>
              </w:rPr>
              <w:t>混凝土试块信</w:t>
            </w:r>
            <w:r>
              <w:rPr>
                <w:spacing w:val="-5"/>
                <w:sz w:val="21"/>
              </w:rPr>
              <w:t>息化管</w:t>
            </w:r>
          </w:p>
          <w:p w14:paraId="0AD824C7">
            <w:pPr>
              <w:pStyle w:val="15"/>
              <w:spacing w:before="3" w:line="251" w:lineRule="exact"/>
              <w:ind w:left="7"/>
              <w:jc w:val="center"/>
              <w:rPr>
                <w:sz w:val="21"/>
              </w:rPr>
            </w:pPr>
            <w:r>
              <w:rPr>
                <w:spacing w:val="-10"/>
                <w:sz w:val="21"/>
              </w:rPr>
              <w:t>理</w:t>
            </w:r>
          </w:p>
        </w:tc>
        <w:tc>
          <w:tcPr>
            <w:tcW w:w="4026" w:type="dxa"/>
          </w:tcPr>
          <w:p w14:paraId="66DC3919">
            <w:pPr>
              <w:pStyle w:val="15"/>
              <w:spacing w:before="4"/>
              <w:rPr>
                <w:sz w:val="21"/>
              </w:rPr>
            </w:pPr>
          </w:p>
          <w:p w14:paraId="2CB67007">
            <w:pPr>
              <w:pStyle w:val="15"/>
              <w:spacing w:line="242" w:lineRule="auto"/>
              <w:ind w:left="108" w:right="96"/>
              <w:rPr>
                <w:sz w:val="21"/>
              </w:rPr>
            </w:pPr>
            <w:r>
              <w:rPr>
                <w:spacing w:val="-2"/>
                <w:sz w:val="21"/>
              </w:rPr>
              <w:t>实现实时监测标养室温度、湿度，对混凝土试块到达养护龄期的进行预提醒。</w:t>
            </w:r>
          </w:p>
        </w:tc>
        <w:tc>
          <w:tcPr>
            <w:tcW w:w="647" w:type="dxa"/>
          </w:tcPr>
          <w:p w14:paraId="1FD88FB5">
            <w:pPr>
              <w:pStyle w:val="15"/>
              <w:rPr>
                <w:rFonts w:ascii="Times New Roman"/>
                <w:sz w:val="18"/>
              </w:rPr>
            </w:pPr>
          </w:p>
        </w:tc>
        <w:tc>
          <w:tcPr>
            <w:tcW w:w="740" w:type="dxa"/>
          </w:tcPr>
          <w:p w14:paraId="16237F42">
            <w:pPr>
              <w:pStyle w:val="15"/>
              <w:spacing w:before="139"/>
              <w:rPr>
                <w:sz w:val="21"/>
              </w:rPr>
            </w:pPr>
          </w:p>
          <w:p w14:paraId="7DADE609">
            <w:pPr>
              <w:pStyle w:val="15"/>
              <w:ind w:left="9" w:right="1"/>
              <w:jc w:val="center"/>
              <w:rPr>
                <w:sz w:val="21"/>
              </w:rPr>
            </w:pPr>
            <w:r>
              <w:rPr>
                <w:spacing w:val="-5"/>
                <w:sz w:val="21"/>
              </w:rPr>
              <w:t>N2</w:t>
            </w:r>
          </w:p>
        </w:tc>
      </w:tr>
      <w:tr w14:paraId="61320F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6" w:hRule="atLeast"/>
        </w:trPr>
        <w:tc>
          <w:tcPr>
            <w:tcW w:w="848" w:type="dxa"/>
            <w:vMerge w:val="continue"/>
            <w:tcBorders>
              <w:top w:val="nil"/>
            </w:tcBorders>
          </w:tcPr>
          <w:p w14:paraId="51E3192E">
            <w:pPr>
              <w:rPr>
                <w:sz w:val="2"/>
                <w:szCs w:val="2"/>
              </w:rPr>
            </w:pPr>
          </w:p>
        </w:tc>
        <w:tc>
          <w:tcPr>
            <w:tcW w:w="1055" w:type="dxa"/>
          </w:tcPr>
          <w:p w14:paraId="3555BD93">
            <w:pPr>
              <w:pStyle w:val="15"/>
              <w:spacing w:before="239" w:line="242" w:lineRule="auto"/>
              <w:ind w:left="212" w:right="201"/>
              <w:jc w:val="center"/>
              <w:rPr>
                <w:sz w:val="21"/>
              </w:rPr>
            </w:pPr>
            <w:r>
              <w:rPr>
                <w:spacing w:val="-4"/>
                <w:sz w:val="21"/>
              </w:rPr>
              <w:t>信息化实测实</w:t>
            </w:r>
            <w:r>
              <w:rPr>
                <w:spacing w:val="-10"/>
                <w:sz w:val="21"/>
              </w:rPr>
              <w:t>量</w:t>
            </w:r>
          </w:p>
        </w:tc>
        <w:tc>
          <w:tcPr>
            <w:tcW w:w="4026" w:type="dxa"/>
          </w:tcPr>
          <w:p w14:paraId="6F2605BD">
            <w:pPr>
              <w:pStyle w:val="15"/>
              <w:spacing w:before="102" w:line="242" w:lineRule="auto"/>
              <w:ind w:left="108" w:right="96"/>
              <w:jc w:val="both"/>
              <w:rPr>
                <w:sz w:val="21"/>
              </w:rPr>
            </w:pPr>
            <w:r>
              <w:rPr>
                <w:spacing w:val="-2"/>
                <w:sz w:val="21"/>
              </w:rPr>
              <w:t>采用三维激光扫描仪、智能靠尺、智能角尺、智能回弹检测仪、智能水平仪等智能设备进行工程质量实测实量，实时生成检</w:t>
            </w:r>
            <w:r>
              <w:rPr>
                <w:spacing w:val="-4"/>
                <w:sz w:val="21"/>
              </w:rPr>
              <w:t>测结果。</w:t>
            </w:r>
          </w:p>
        </w:tc>
        <w:tc>
          <w:tcPr>
            <w:tcW w:w="647" w:type="dxa"/>
          </w:tcPr>
          <w:p w14:paraId="6A4379CC">
            <w:pPr>
              <w:pStyle w:val="15"/>
              <w:rPr>
                <w:rFonts w:ascii="Times New Roman"/>
                <w:sz w:val="18"/>
              </w:rPr>
            </w:pPr>
          </w:p>
        </w:tc>
        <w:tc>
          <w:tcPr>
            <w:tcW w:w="740" w:type="dxa"/>
          </w:tcPr>
          <w:p w14:paraId="55A4CAEE">
            <w:pPr>
              <w:pStyle w:val="15"/>
              <w:spacing w:before="241"/>
              <w:rPr>
                <w:sz w:val="21"/>
              </w:rPr>
            </w:pPr>
          </w:p>
          <w:p w14:paraId="30984E6F">
            <w:pPr>
              <w:pStyle w:val="15"/>
              <w:ind w:left="9" w:right="1"/>
              <w:jc w:val="center"/>
              <w:rPr>
                <w:sz w:val="21"/>
              </w:rPr>
            </w:pPr>
            <w:r>
              <w:rPr>
                <w:spacing w:val="-5"/>
                <w:sz w:val="21"/>
              </w:rPr>
              <w:t>N2</w:t>
            </w:r>
          </w:p>
        </w:tc>
      </w:tr>
    </w:tbl>
    <w:p w14:paraId="2204E133">
      <w:pPr>
        <w:spacing w:before="141"/>
        <w:ind w:left="1596" w:right="0" w:firstLine="0"/>
        <w:jc w:val="left"/>
        <w:rPr>
          <w:sz w:val="18"/>
        </w:rPr>
      </w:pPr>
      <w:r>
        <w:rPr>
          <w:spacing w:val="-2"/>
          <w:sz w:val="18"/>
        </w:rPr>
        <w:t>注：1</w:t>
      </w:r>
      <w:r>
        <w:rPr>
          <w:spacing w:val="-3"/>
          <w:sz w:val="18"/>
        </w:rPr>
        <w:t>.本清单将结合试行情况适时调整。</w:t>
      </w:r>
    </w:p>
    <w:p w14:paraId="62580859">
      <w:pPr>
        <w:pStyle w:val="14"/>
        <w:numPr>
          <w:ilvl w:val="0"/>
          <w:numId w:val="37"/>
        </w:numPr>
        <w:tabs>
          <w:tab w:val="left" w:pos="2121"/>
          <w:tab w:val="left" w:pos="2123"/>
        </w:tabs>
        <w:spacing w:before="170" w:after="0" w:line="415" w:lineRule="auto"/>
        <w:ind w:left="2121" w:right="1131" w:hanging="180"/>
        <w:jc w:val="both"/>
        <w:rPr>
          <w:sz w:val="18"/>
        </w:rPr>
      </w:pPr>
      <w:r>
        <w:rPr>
          <w:sz w:val="18"/>
        </w:rPr>
        <w:t>标☆项目，根据《关于进一步压实责任 强化能力抓好房屋市政工程安全管理的通知》（鄂</w:t>
      </w:r>
      <w:r>
        <w:rPr>
          <w:spacing w:val="-2"/>
          <w:sz w:val="18"/>
        </w:rPr>
        <w:t>建文〔2021〕43</w:t>
      </w:r>
      <w:r>
        <w:rPr>
          <w:spacing w:val="-11"/>
          <w:sz w:val="18"/>
        </w:rPr>
        <w:t xml:space="preserve"> 号</w:t>
      </w:r>
      <w:r>
        <w:rPr>
          <w:spacing w:val="-2"/>
          <w:sz w:val="18"/>
        </w:rPr>
        <w:t>）</w:t>
      </w:r>
      <w:r>
        <w:rPr>
          <w:spacing w:val="-4"/>
          <w:sz w:val="18"/>
        </w:rPr>
        <w:t xml:space="preserve">要求，深度超过 </w:t>
      </w:r>
      <w:r>
        <w:rPr>
          <w:spacing w:val="-2"/>
          <w:sz w:val="18"/>
        </w:rPr>
        <w:t>8m</w:t>
      </w:r>
      <w:r>
        <w:rPr>
          <w:spacing w:val="-6"/>
          <w:sz w:val="18"/>
        </w:rPr>
        <w:t xml:space="preserve"> 且地质条件、周围环境和地下管线复杂的基坑施工</w:t>
      </w:r>
      <w:r>
        <w:rPr>
          <w:spacing w:val="-3"/>
          <w:sz w:val="18"/>
        </w:rPr>
        <w:t xml:space="preserve">要安装位移变形监测预警系统；搭设高度超过 </w:t>
      </w:r>
      <w:r>
        <w:rPr>
          <w:spacing w:val="-2"/>
          <w:sz w:val="18"/>
        </w:rPr>
        <w:t>16m</w:t>
      </w:r>
      <w:r>
        <w:rPr>
          <w:spacing w:val="-6"/>
          <w:sz w:val="18"/>
        </w:rPr>
        <w:t xml:space="preserve"> 的混凝土模板支撑工程施工要应用模板支</w:t>
      </w:r>
      <w:r>
        <w:rPr>
          <w:spacing w:val="-2"/>
          <w:sz w:val="18"/>
        </w:rPr>
        <w:t>撑变形监测系统。</w:t>
      </w:r>
    </w:p>
    <w:p w14:paraId="5FF4FD53">
      <w:pPr>
        <w:pStyle w:val="14"/>
        <w:numPr>
          <w:ilvl w:val="0"/>
          <w:numId w:val="37"/>
        </w:numPr>
        <w:tabs>
          <w:tab w:val="left" w:pos="2120"/>
        </w:tabs>
        <w:spacing w:before="5" w:after="0" w:line="240" w:lineRule="auto"/>
        <w:ind w:left="2120" w:right="0" w:hanging="179"/>
        <w:jc w:val="both"/>
        <w:rPr>
          <w:sz w:val="18"/>
        </w:rPr>
      </w:pPr>
      <w:r>
        <w:rPr>
          <w:sz w:val="18"/>
        </w:rPr>
        <w:t>X</w:t>
      </w:r>
      <w:r>
        <w:rPr>
          <w:spacing w:val="-8"/>
          <w:sz w:val="18"/>
        </w:rPr>
        <w:t xml:space="preserve"> 为创新项，企业可根据工程项目特点和管理能力，创新实施内容。</w:t>
      </w:r>
    </w:p>
    <w:p w14:paraId="0784FC16">
      <w:pPr>
        <w:pStyle w:val="14"/>
        <w:spacing w:after="0" w:line="240" w:lineRule="auto"/>
        <w:jc w:val="both"/>
        <w:rPr>
          <w:sz w:val="18"/>
        </w:rPr>
        <w:sectPr>
          <w:pgSz w:w="10440" w:h="14740"/>
          <w:pgMar w:top="1100" w:right="0" w:bottom="860" w:left="0" w:header="878" w:footer="676" w:gutter="0"/>
          <w:cols w:space="720" w:num="1"/>
        </w:sectPr>
      </w:pPr>
    </w:p>
    <w:p w14:paraId="46371108">
      <w:pPr>
        <w:pStyle w:val="4"/>
        <w:spacing w:before="250"/>
      </w:pPr>
    </w:p>
    <w:p w14:paraId="38338633">
      <w:pPr>
        <w:pStyle w:val="4"/>
        <w:spacing w:line="364" w:lineRule="auto"/>
        <w:ind w:left="1132" w:right="1414" w:firstLine="480"/>
      </w:pPr>
      <w:bookmarkStart w:id="60" w:name="四、建设工程工程量清单计价（GB/T 50500—2024）及计算标准应用与实务"/>
      <w:bookmarkEnd w:id="60"/>
      <w:bookmarkStart w:id="61" w:name="_bookmark30"/>
      <w:bookmarkEnd w:id="61"/>
      <w:r>
        <w:t>四、建设工程工程量清单计价（GB/T</w:t>
      </w:r>
      <w:r>
        <w:rPr>
          <w:spacing w:val="-39"/>
        </w:rPr>
        <w:t xml:space="preserve"> </w:t>
      </w:r>
      <w:r>
        <w:t>50500—2024）及计算标准应用与</w:t>
      </w:r>
      <w:r>
        <w:rPr>
          <w:spacing w:val="-6"/>
        </w:rPr>
        <w:t>实务</w:t>
      </w:r>
    </w:p>
    <w:p w14:paraId="5205F685">
      <w:pPr>
        <w:pStyle w:val="4"/>
        <w:spacing w:before="239" w:line="388" w:lineRule="auto"/>
        <w:ind w:left="1132" w:right="1294" w:firstLine="480"/>
      </w:pPr>
      <w:r>
        <w:rPr>
          <w:color w:val="0D0D0D"/>
          <w:spacing w:val="-8"/>
        </w:rPr>
        <w:t>可在湖北省住房和城乡建设厅网站</w:t>
      </w:r>
      <w:r>
        <w:rPr>
          <w:color w:val="0D0D0D"/>
          <w:spacing w:val="-2"/>
        </w:rPr>
        <w:t>（网址：https://zjt.hubei.gov.cn）自行下载查阅，该文件仅供参考。</w:t>
      </w:r>
    </w:p>
    <w:p w14:paraId="37B170C6">
      <w:pPr>
        <w:pStyle w:val="4"/>
        <w:spacing w:before="270"/>
      </w:pPr>
    </w:p>
    <w:p w14:paraId="2C7A6D8A">
      <w:pPr>
        <w:pStyle w:val="4"/>
        <w:ind w:left="282" w:right="285"/>
        <w:jc w:val="center"/>
      </w:pPr>
      <w:bookmarkStart w:id="62" w:name="五、湖北省房屋建筑和市政基础设施工程最高投标限价编制案例指南"/>
      <w:bookmarkEnd w:id="62"/>
      <w:bookmarkStart w:id="63" w:name="_bookmark31"/>
      <w:bookmarkEnd w:id="63"/>
      <w:r>
        <w:rPr>
          <w:spacing w:val="-1"/>
        </w:rPr>
        <w:t>五、湖北省房屋建筑和市政基础设施工程最高投标限价编制案例指南</w:t>
      </w:r>
    </w:p>
    <w:p w14:paraId="100D2740">
      <w:pPr>
        <w:pStyle w:val="4"/>
        <w:spacing w:before="91"/>
      </w:pPr>
    </w:p>
    <w:p w14:paraId="43C67F28">
      <w:pPr>
        <w:pStyle w:val="4"/>
        <w:spacing w:line="388" w:lineRule="auto"/>
        <w:ind w:left="1132" w:right="1294" w:firstLine="480"/>
      </w:pPr>
      <w:r>
        <w:rPr>
          <w:color w:val="0D0D0D"/>
          <w:spacing w:val="-8"/>
        </w:rPr>
        <w:t>可在湖北省住房和城乡建设厅网站</w:t>
      </w:r>
      <w:r>
        <w:rPr>
          <w:color w:val="0D0D0D"/>
          <w:spacing w:val="-2"/>
        </w:rPr>
        <w:t>（网址：https://zjt.hubei.gov.cn）自行下载查阅，该文件仅供参考。</w:t>
      </w:r>
    </w:p>
    <w:p w14:paraId="7A6E710D">
      <w:pPr>
        <w:pStyle w:val="4"/>
        <w:spacing w:after="0" w:line="388" w:lineRule="auto"/>
        <w:sectPr>
          <w:pgSz w:w="10440" w:h="14740"/>
          <w:pgMar w:top="1100" w:right="0" w:bottom="860" w:left="0" w:header="878" w:footer="676" w:gutter="0"/>
          <w:cols w:space="720" w:num="1"/>
        </w:sectPr>
      </w:pPr>
    </w:p>
    <w:p w14:paraId="5BC72828">
      <w:pPr>
        <w:pStyle w:val="4"/>
        <w:spacing w:before="7"/>
        <w:rPr>
          <w:sz w:val="15"/>
        </w:rPr>
      </w:pPr>
      <w:r>
        <w:rPr>
          <w:sz w:val="15"/>
        </w:rPr>
        <w:drawing>
          <wp:anchor distT="0" distB="0" distL="0" distR="0" simplePos="0" relativeHeight="251660288" behindDoc="0" locked="0" layoutInCell="1" allowOverlap="1">
            <wp:simplePos x="0" y="0"/>
            <wp:positionH relativeFrom="page">
              <wp:posOffset>0</wp:posOffset>
            </wp:positionH>
            <wp:positionV relativeFrom="page">
              <wp:posOffset>0</wp:posOffset>
            </wp:positionV>
            <wp:extent cx="6623685" cy="9359900"/>
            <wp:effectExtent l="0" t="0" r="0" b="0"/>
            <wp:wrapNone/>
            <wp:docPr id="35" name="Image 3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5" cstate="print"/>
                    <a:stretch>
                      <a:fillRect/>
                    </a:stretch>
                  </pic:blipFill>
                  <pic:spPr>
                    <a:xfrm>
                      <a:off x="0" y="0"/>
                      <a:ext cx="6623684" cy="9359900"/>
                    </a:xfrm>
                    <a:prstGeom prst="rect">
                      <a:avLst/>
                    </a:prstGeom>
                  </pic:spPr>
                </pic:pic>
              </a:graphicData>
            </a:graphic>
          </wp:anchor>
        </w:drawing>
      </w:r>
    </w:p>
    <w:sectPr>
      <w:headerReference r:id="rId16" w:type="default"/>
      <w:footerReference r:id="rId17" w:type="default"/>
      <w:pgSz w:w="10440" w:h="14740"/>
      <w:pgMar w:top="1680" w:right="0" w:bottom="860" w:left="0" w:header="0" w:footer="676"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10002FF" w:usb1="4000ACFF" w:usb2="00000009" w:usb3="00000000" w:csb0="2000019F" w:csb1="00000000"/>
  </w:font>
  <w:font w:name="Calibri">
    <w:panose1 w:val="020F0502020204030204"/>
    <w:charset w:val="00"/>
    <w:family w:val="auto"/>
    <w:pitch w:val="default"/>
    <w:sig w:usb0="E10002FF" w:usb1="4000ACFF" w:usb2="00000009" w:usb3="00000000" w:csb0="2000019F" w:csb1="00000000"/>
  </w:font>
  <w:font w:name="Microsoft JhengHei">
    <w:panose1 w:val="020B0604030504040204"/>
    <w:charset w:val="88"/>
    <w:family w:val="swiss"/>
    <w:pitch w:val="default"/>
    <w:sig w:usb0="00000087" w:usb1="28AF4000" w:usb2="00000016" w:usb3="00000000" w:csb0="00100009" w:csb1="00000000"/>
  </w:font>
  <w:font w:name="微软雅黑">
    <w:panose1 w:val="020B0503020204020204"/>
    <w:charset w:val="86"/>
    <w:family w:val="swiss"/>
    <w:pitch w:val="default"/>
    <w:sig w:usb0="80000287" w:usb1="280F3C52" w:usb2="00000016" w:usb3="00000000" w:csb0="0004001F" w:csb1="00000000"/>
  </w:font>
  <w:font w:name="MS PGothic">
    <w:panose1 w:val="020B0600070205080204"/>
    <w:charset w:val="80"/>
    <w:family w:val="swiss"/>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89228A">
    <w:pPr>
      <w:pStyle w:val="4"/>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4B0D44">
    <w:pPr>
      <w:pStyle w:val="4"/>
      <w:spacing w:line="14" w:lineRule="auto"/>
      <w:rPr>
        <w:sz w:val="20"/>
      </w:rPr>
    </w:pPr>
    <w:r>
      <w:rPr>
        <w:sz w:val="20"/>
      </w:rPr>
      <mc:AlternateContent>
        <mc:Choice Requires="wps">
          <w:drawing>
            <wp:anchor distT="0" distB="0" distL="0" distR="0" simplePos="0" relativeHeight="251664384" behindDoc="1" locked="0" layoutInCell="1" allowOverlap="1">
              <wp:simplePos x="0" y="0"/>
              <wp:positionH relativeFrom="page">
                <wp:posOffset>5773420</wp:posOffset>
              </wp:positionH>
              <wp:positionV relativeFrom="page">
                <wp:posOffset>8790305</wp:posOffset>
              </wp:positionV>
              <wp:extent cx="177800" cy="152400"/>
              <wp:effectExtent l="0" t="0" r="0" b="0"/>
              <wp:wrapNone/>
              <wp:docPr id="7" name="Textbox 7"/>
              <wp:cNvGraphicFramePr/>
              <a:graphic xmlns:a="http://schemas.openxmlformats.org/drawingml/2006/main">
                <a:graphicData uri="http://schemas.microsoft.com/office/word/2010/wordprocessingShape">
                  <wps:wsp>
                    <wps:cNvSpPr txBox="1"/>
                    <wps:spPr>
                      <a:xfrm>
                        <a:off x="0" y="0"/>
                        <a:ext cx="177800" cy="152400"/>
                      </a:xfrm>
                      <a:prstGeom prst="rect">
                        <a:avLst/>
                      </a:prstGeom>
                    </wps:spPr>
                    <wps:txbx>
                      <w:txbxContent>
                        <w:p w14:paraId="007A716A">
                          <w:pPr>
                            <w:spacing w:before="12"/>
                            <w:ind w:left="20" w:right="0" w:firstLine="0"/>
                            <w:jc w:val="left"/>
                            <w:rPr>
                              <w:rFonts w:ascii="Times New Roman"/>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III</w:t>
                          </w:r>
                          <w:r>
                            <w:rPr>
                              <w:rFonts w:ascii="Times New Roman"/>
                              <w:spacing w:val="-5"/>
                              <w:sz w:val="18"/>
                            </w:rPr>
                            <w:fldChar w:fldCharType="end"/>
                          </w:r>
                        </w:p>
                      </w:txbxContent>
                    </wps:txbx>
                    <wps:bodyPr wrap="square" lIns="0" tIns="0" rIns="0" bIns="0" rtlCol="0">
                      <a:noAutofit/>
                    </wps:bodyPr>
                  </wps:wsp>
                </a:graphicData>
              </a:graphic>
            </wp:anchor>
          </w:drawing>
        </mc:Choice>
        <mc:Fallback>
          <w:pict>
            <v:shape id="Textbox 7" o:spid="_x0000_s1026" o:spt="202" type="#_x0000_t202" style="position:absolute;left:0pt;margin-left:454.6pt;margin-top:692.15pt;height:12pt;width:14pt;mso-position-horizontal-relative:page;mso-position-vertical-relative:page;z-index:-251652096;mso-width-relative:page;mso-height-relative:page;" filled="f" stroked="f" coordsize="21600,21600" o:gfxdata="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J/Y&#10;NULaAAAADQEAAA8AAAAAAAAAAQAgAAAAIgAAAGRycy9kb3ducmV2LnhtbFBLAQIUABQAAAAIAIdO&#10;4kD/h0UsrwEAAHMDAAAOAAAAAAAAAAEAIAAAACkBAABkcnMvZTJvRG9jLnhtbFBLBQYAAAAABgAG&#10;AFkBAABKBQAAAAA=&#10;">
              <v:fill on="f" focussize="0,0"/>
              <v:stroke on="f"/>
              <v:imagedata o:title=""/>
              <o:lock v:ext="edit" aspectratio="f"/>
              <v:textbox inset="0mm,0mm,0mm,0mm">
                <w:txbxContent>
                  <w:p w14:paraId="007A716A">
                    <w:pPr>
                      <w:spacing w:before="12"/>
                      <w:ind w:left="20" w:right="0" w:firstLine="0"/>
                      <w:jc w:val="left"/>
                      <w:rPr>
                        <w:rFonts w:ascii="Times New Roman"/>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III</w:t>
                    </w:r>
                    <w:r>
                      <w:rPr>
                        <w:rFonts w:ascii="Times New Roman"/>
                        <w:spacing w:val="-5"/>
                        <w:sz w:val="1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4D08B">
    <w:pPr>
      <w:pStyle w:val="4"/>
      <w:spacing w:line="14" w:lineRule="auto"/>
      <w:rPr>
        <w:sz w:val="20"/>
      </w:rPr>
    </w:pPr>
    <w:r>
      <w:rPr>
        <w:sz w:val="20"/>
      </w:rPr>
      <mc:AlternateContent>
        <mc:Choice Requires="wps">
          <w:drawing>
            <wp:anchor distT="0" distB="0" distL="0" distR="0" simplePos="0" relativeHeight="251664384" behindDoc="1" locked="0" layoutInCell="1" allowOverlap="1">
              <wp:simplePos x="0" y="0"/>
              <wp:positionH relativeFrom="page">
                <wp:posOffset>685800</wp:posOffset>
              </wp:positionH>
              <wp:positionV relativeFrom="page">
                <wp:posOffset>8790305</wp:posOffset>
              </wp:positionV>
              <wp:extent cx="171450" cy="152400"/>
              <wp:effectExtent l="0" t="0" r="0" b="0"/>
              <wp:wrapNone/>
              <wp:docPr id="8" name="Textbox 8"/>
              <wp:cNvGraphicFramePr/>
              <a:graphic xmlns:a="http://schemas.openxmlformats.org/drawingml/2006/main">
                <a:graphicData uri="http://schemas.microsoft.com/office/word/2010/wordprocessingShape">
                  <wps:wsp>
                    <wps:cNvSpPr txBox="1"/>
                    <wps:spPr>
                      <a:xfrm>
                        <a:off x="0" y="0"/>
                        <a:ext cx="171450" cy="152400"/>
                      </a:xfrm>
                      <a:prstGeom prst="rect">
                        <a:avLst/>
                      </a:prstGeom>
                    </wps:spPr>
                    <wps:txbx>
                      <w:txbxContent>
                        <w:p w14:paraId="23912450">
                          <w:pPr>
                            <w:spacing w:before="12"/>
                            <w:ind w:left="60" w:right="0" w:firstLine="0"/>
                            <w:jc w:val="left"/>
                            <w:rPr>
                              <w:rFonts w:ascii="Times New Roman"/>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IV</w:t>
                          </w:r>
                          <w:r>
                            <w:rPr>
                              <w:rFonts w:ascii="Times New Roman"/>
                              <w:spacing w:val="-5"/>
                              <w:sz w:val="18"/>
                            </w:rPr>
                            <w:fldChar w:fldCharType="end"/>
                          </w:r>
                        </w:p>
                      </w:txbxContent>
                    </wps:txbx>
                    <wps:bodyPr wrap="square" lIns="0" tIns="0" rIns="0" bIns="0" rtlCol="0">
                      <a:noAutofit/>
                    </wps:bodyPr>
                  </wps:wsp>
                </a:graphicData>
              </a:graphic>
            </wp:anchor>
          </w:drawing>
        </mc:Choice>
        <mc:Fallback>
          <w:pict>
            <v:shape id="Textbox 8" o:spid="_x0000_s1026" o:spt="202" type="#_x0000_t202" style="position:absolute;left:0pt;margin-left:54pt;margin-top:692.15pt;height:12pt;width:13.5pt;mso-position-horizontal-relative:page;mso-position-vertical-relative:page;z-index:-251652096;mso-width-relative:page;mso-height-relative:page;" filled="f" stroked="f" coordsize="21600,21600" o:gfxdata="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l&#10;7ZYM2QAAAA0BAAAPAAAAAAAAAAEAIAAAACIAAABkcnMvZG93bnJldi54bWxQSwECFAAUAAAACACH&#10;TuJAa+tffLEBAABzAwAADgAAAAAAAAABACAAAAAoAQAAZHJzL2Uyb0RvYy54bWxQSwUGAAAAAAYA&#10;BgBZAQAASwUAAAAA&#10;">
              <v:fill on="f" focussize="0,0"/>
              <v:stroke on="f"/>
              <v:imagedata o:title=""/>
              <o:lock v:ext="edit" aspectratio="f"/>
              <v:textbox inset="0mm,0mm,0mm,0mm">
                <w:txbxContent>
                  <w:p w14:paraId="23912450">
                    <w:pPr>
                      <w:spacing w:before="12"/>
                      <w:ind w:left="60" w:right="0" w:firstLine="0"/>
                      <w:jc w:val="left"/>
                      <w:rPr>
                        <w:rFonts w:ascii="Times New Roman"/>
                        <w:sz w:val="18"/>
                      </w:rPr>
                    </w:pPr>
                    <w:r>
                      <w:rPr>
                        <w:rFonts w:ascii="Times New Roman"/>
                        <w:spacing w:val="-5"/>
                        <w:sz w:val="18"/>
                      </w:rPr>
                      <w:fldChar w:fldCharType="begin"/>
                    </w:r>
                    <w:r>
                      <w:rPr>
                        <w:rFonts w:ascii="Times New Roman"/>
                        <w:spacing w:val="-5"/>
                        <w:sz w:val="18"/>
                      </w:rPr>
                      <w:instrText xml:space="preserve"> PAGE  \* ROMAN </w:instrText>
                    </w:r>
                    <w:r>
                      <w:rPr>
                        <w:rFonts w:ascii="Times New Roman"/>
                        <w:spacing w:val="-5"/>
                        <w:sz w:val="18"/>
                      </w:rPr>
                      <w:fldChar w:fldCharType="separate"/>
                    </w:r>
                    <w:r>
                      <w:rPr>
                        <w:rFonts w:ascii="Times New Roman"/>
                        <w:spacing w:val="-5"/>
                        <w:sz w:val="18"/>
                      </w:rPr>
                      <w:t>IV</w:t>
                    </w:r>
                    <w:r>
                      <w:rPr>
                        <w:rFonts w:ascii="Times New Roman"/>
                        <w:spacing w:val="-5"/>
                        <w:sz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76D4B">
    <w:pPr>
      <w:pStyle w:val="4"/>
      <w:spacing w:line="14" w:lineRule="auto"/>
      <w:rPr>
        <w:sz w:val="20"/>
      </w:rPr>
    </w:pPr>
    <w:r>
      <w:rPr>
        <w:sz w:val="20"/>
      </w:rPr>
      <mc:AlternateContent>
        <mc:Choice Requires="wps">
          <w:drawing>
            <wp:anchor distT="0" distB="0" distL="0" distR="0" simplePos="0" relativeHeight="251669504" behindDoc="1" locked="0" layoutInCell="1" allowOverlap="1">
              <wp:simplePos x="0" y="0"/>
              <wp:positionH relativeFrom="page">
                <wp:posOffset>5491480</wp:posOffset>
              </wp:positionH>
              <wp:positionV relativeFrom="page">
                <wp:posOffset>8790305</wp:posOffset>
              </wp:positionV>
              <wp:extent cx="421640" cy="153670"/>
              <wp:effectExtent l="0" t="0" r="0" b="0"/>
              <wp:wrapNone/>
              <wp:docPr id="17" name="Textbox 17"/>
              <wp:cNvGraphicFramePr/>
              <a:graphic xmlns:a="http://schemas.openxmlformats.org/drawingml/2006/main">
                <a:graphicData uri="http://schemas.microsoft.com/office/word/2010/wordprocessingShape">
                  <wps:wsp>
                    <wps:cNvSpPr txBox="1"/>
                    <wps:spPr>
                      <a:xfrm>
                        <a:off x="0" y="0"/>
                        <a:ext cx="421640" cy="153670"/>
                      </a:xfrm>
                      <a:prstGeom prst="rect">
                        <a:avLst/>
                      </a:prstGeom>
                    </wps:spPr>
                    <wps:txbx>
                      <w:txbxContent>
                        <w:p w14:paraId="50430D96">
                          <w:pPr>
                            <w:spacing w:before="14"/>
                            <w:ind w:left="20" w:right="0" w:firstLine="0"/>
                            <w:jc w:val="left"/>
                            <w:rPr>
                              <w:rFonts w:ascii="Times New Roman" w:hAnsi="Times New Roman"/>
                              <w:sz w:val="18"/>
                            </w:rPr>
                          </w:pPr>
                          <w:r>
                            <w:rPr>
                              <w:rFonts w:ascii="Times New Roman" w:hAnsi="Times New Roman"/>
                              <w:sz w:val="18"/>
                            </w:rPr>
                            <w:t xml:space="preserve">— </w:t>
                          </w:r>
                          <w:r>
                            <w:rPr>
                              <w:rFonts w:ascii="Times New Roman" w:hAnsi="Times New Roman"/>
                              <w:sz w:val="18"/>
                            </w:rPr>
                            <w:fldChar w:fldCharType="begin"/>
                          </w:r>
                          <w:r>
                            <w:rPr>
                              <w:rFonts w:ascii="Times New Roman" w:hAnsi="Times New Roman"/>
                              <w:sz w:val="18"/>
                            </w:rPr>
                            <w:instrText xml:space="preserve"> PAGE </w:instrText>
                          </w:r>
                          <w:r>
                            <w:rPr>
                              <w:rFonts w:ascii="Times New Roman" w:hAnsi="Times New Roman"/>
                              <w:sz w:val="18"/>
                            </w:rPr>
                            <w:fldChar w:fldCharType="separate"/>
                          </w:r>
                          <w:r>
                            <w:rPr>
                              <w:rFonts w:ascii="Times New Roman" w:hAnsi="Times New Roman"/>
                              <w:sz w:val="18"/>
                            </w:rPr>
                            <w:t>11</w:t>
                          </w:r>
                          <w:r>
                            <w:rPr>
                              <w:rFonts w:ascii="Times New Roman" w:hAnsi="Times New Roman"/>
                              <w:sz w:val="18"/>
                            </w:rPr>
                            <w:fldChar w:fldCharType="end"/>
                          </w:r>
                          <w:r>
                            <w:rPr>
                              <w:rFonts w:ascii="Times New Roman" w:hAnsi="Times New Roman"/>
                              <w:spacing w:val="-3"/>
                              <w:sz w:val="18"/>
                            </w:rPr>
                            <w:t xml:space="preserve"> </w:t>
                          </w:r>
                          <w:r>
                            <w:rPr>
                              <w:rFonts w:ascii="Times New Roman" w:hAnsi="Times New Roman"/>
                              <w:spacing w:val="-10"/>
                              <w:sz w:val="18"/>
                            </w:rPr>
                            <w:t>—</w:t>
                          </w:r>
                        </w:p>
                      </w:txbxContent>
                    </wps:txbx>
                    <wps:bodyPr wrap="square" lIns="0" tIns="0" rIns="0" bIns="0" rtlCol="0">
                      <a:noAutofit/>
                    </wps:bodyPr>
                  </wps:wsp>
                </a:graphicData>
              </a:graphic>
            </wp:anchor>
          </w:drawing>
        </mc:Choice>
        <mc:Fallback>
          <w:pict>
            <v:shape id="Textbox 17" o:spid="_x0000_s1026" o:spt="202" type="#_x0000_t202" style="position:absolute;left:0pt;margin-left:432.4pt;margin-top:692.15pt;height:12.1pt;width:33.2pt;mso-position-horizontal-relative:page;mso-position-vertical-relative:page;z-index:-251646976;mso-width-relative:page;mso-height-relative:page;" filled="f" stroked="f" coordsize="21600,21600" o:gfxdata="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EH8AAdsAAAANAQAADwAAAAAAAAABACAAAAAiAAAAZHJzL2Rvd25yZXYueG1sUEsBAhQAFAAA&#10;AAgAh07iQC5uIOezAQAAdQMAAA4AAAAAAAAAAQAgAAAAKgEAAGRycy9lMm9Eb2MueG1sUEsFBgAA&#10;AAAGAAYAWQEAAE8FAAAAAA==&#10;">
              <v:fill on="f" focussize="0,0"/>
              <v:stroke on="f"/>
              <v:imagedata o:title=""/>
              <o:lock v:ext="edit" aspectratio="f"/>
              <v:textbox inset="0mm,0mm,0mm,0mm">
                <w:txbxContent>
                  <w:p w14:paraId="50430D96">
                    <w:pPr>
                      <w:spacing w:before="14"/>
                      <w:ind w:left="20" w:right="0" w:firstLine="0"/>
                      <w:jc w:val="left"/>
                      <w:rPr>
                        <w:rFonts w:ascii="Times New Roman" w:hAnsi="Times New Roman"/>
                        <w:sz w:val="18"/>
                      </w:rPr>
                    </w:pPr>
                    <w:r>
                      <w:rPr>
                        <w:rFonts w:ascii="Times New Roman" w:hAnsi="Times New Roman"/>
                        <w:sz w:val="18"/>
                      </w:rPr>
                      <w:t xml:space="preserve">— </w:t>
                    </w:r>
                    <w:r>
                      <w:rPr>
                        <w:rFonts w:ascii="Times New Roman" w:hAnsi="Times New Roman"/>
                        <w:sz w:val="18"/>
                      </w:rPr>
                      <w:fldChar w:fldCharType="begin"/>
                    </w:r>
                    <w:r>
                      <w:rPr>
                        <w:rFonts w:ascii="Times New Roman" w:hAnsi="Times New Roman"/>
                        <w:sz w:val="18"/>
                      </w:rPr>
                      <w:instrText xml:space="preserve"> PAGE </w:instrText>
                    </w:r>
                    <w:r>
                      <w:rPr>
                        <w:rFonts w:ascii="Times New Roman" w:hAnsi="Times New Roman"/>
                        <w:sz w:val="18"/>
                      </w:rPr>
                      <w:fldChar w:fldCharType="separate"/>
                    </w:r>
                    <w:r>
                      <w:rPr>
                        <w:rFonts w:ascii="Times New Roman" w:hAnsi="Times New Roman"/>
                        <w:sz w:val="18"/>
                      </w:rPr>
                      <w:t>11</w:t>
                    </w:r>
                    <w:r>
                      <w:rPr>
                        <w:rFonts w:ascii="Times New Roman" w:hAnsi="Times New Roman"/>
                        <w:sz w:val="18"/>
                      </w:rPr>
                      <w:fldChar w:fldCharType="end"/>
                    </w:r>
                    <w:r>
                      <w:rPr>
                        <w:rFonts w:ascii="Times New Roman" w:hAnsi="Times New Roman"/>
                        <w:spacing w:val="-3"/>
                        <w:sz w:val="18"/>
                      </w:rPr>
                      <w:t xml:space="preserve"> </w:t>
                    </w:r>
                    <w:r>
                      <w:rPr>
                        <w:rFonts w:ascii="Times New Roman" w:hAnsi="Times New Roman"/>
                        <w:spacing w:val="-10"/>
                        <w:sz w:val="18"/>
                      </w:rPr>
                      <w:t>—</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4A9EB">
    <w:pPr>
      <w:pStyle w:val="4"/>
      <w:spacing w:line="14" w:lineRule="auto"/>
      <w:rPr>
        <w:sz w:val="20"/>
      </w:rPr>
    </w:pPr>
    <w:r>
      <w:rPr>
        <w:sz w:val="20"/>
      </w:rPr>
      <mc:AlternateContent>
        <mc:Choice Requires="wps">
          <w:drawing>
            <wp:anchor distT="0" distB="0" distL="0" distR="0" simplePos="0" relativeHeight="251669504" behindDoc="1" locked="0" layoutInCell="1" allowOverlap="1">
              <wp:simplePos x="0" y="0"/>
              <wp:positionH relativeFrom="page">
                <wp:posOffset>711200</wp:posOffset>
              </wp:positionH>
              <wp:positionV relativeFrom="page">
                <wp:posOffset>8790305</wp:posOffset>
              </wp:positionV>
              <wp:extent cx="424815" cy="153670"/>
              <wp:effectExtent l="0" t="0" r="0" b="0"/>
              <wp:wrapNone/>
              <wp:docPr id="18" name="Textbox 18"/>
              <wp:cNvGraphicFramePr/>
              <a:graphic xmlns:a="http://schemas.openxmlformats.org/drawingml/2006/main">
                <a:graphicData uri="http://schemas.microsoft.com/office/word/2010/wordprocessingShape">
                  <wps:wsp>
                    <wps:cNvSpPr txBox="1"/>
                    <wps:spPr>
                      <a:xfrm>
                        <a:off x="0" y="0"/>
                        <a:ext cx="424815" cy="153670"/>
                      </a:xfrm>
                      <a:prstGeom prst="rect">
                        <a:avLst/>
                      </a:prstGeom>
                    </wps:spPr>
                    <wps:txbx>
                      <w:txbxContent>
                        <w:p w14:paraId="5B0A6CED">
                          <w:pPr>
                            <w:spacing w:before="14"/>
                            <w:ind w:left="20" w:right="0" w:firstLine="0"/>
                            <w:jc w:val="left"/>
                            <w:rPr>
                              <w:rFonts w:ascii="Times New Roman" w:hAnsi="Times New Roman"/>
                              <w:sz w:val="18"/>
                            </w:rPr>
                          </w:pPr>
                          <w:r>
                            <w:rPr>
                              <w:rFonts w:ascii="Times New Roman" w:hAnsi="Times New Roman"/>
                              <w:sz w:val="18"/>
                            </w:rPr>
                            <w:t>—</w:t>
                          </w:r>
                          <w:r>
                            <w:rPr>
                              <w:rFonts w:ascii="Times New Roman" w:hAnsi="Times New Roman"/>
                              <w:spacing w:val="-2"/>
                              <w:sz w:val="18"/>
                            </w:rPr>
                            <w:t xml:space="preserve"> </w:t>
                          </w:r>
                          <w:r>
                            <w:rPr>
                              <w:rFonts w:ascii="Times New Roman" w:hAnsi="Times New Roman"/>
                              <w:sz w:val="18"/>
                            </w:rPr>
                            <w:fldChar w:fldCharType="begin"/>
                          </w:r>
                          <w:r>
                            <w:rPr>
                              <w:rFonts w:ascii="Times New Roman" w:hAnsi="Times New Roman"/>
                              <w:sz w:val="18"/>
                            </w:rPr>
                            <w:instrText xml:space="preserve"> PAGE </w:instrText>
                          </w:r>
                          <w:r>
                            <w:rPr>
                              <w:rFonts w:ascii="Times New Roman" w:hAnsi="Times New Roman"/>
                              <w:sz w:val="18"/>
                            </w:rPr>
                            <w:fldChar w:fldCharType="separate"/>
                          </w:r>
                          <w:r>
                            <w:rPr>
                              <w:rFonts w:ascii="Times New Roman" w:hAnsi="Times New Roman"/>
                              <w:sz w:val="18"/>
                            </w:rPr>
                            <w:t>10</w:t>
                          </w:r>
                          <w:r>
                            <w:rPr>
                              <w:rFonts w:ascii="Times New Roman" w:hAnsi="Times New Roman"/>
                              <w:sz w:val="18"/>
                            </w:rPr>
                            <w:fldChar w:fldCharType="end"/>
                          </w:r>
                          <w:r>
                            <w:rPr>
                              <w:rFonts w:ascii="Times New Roman" w:hAnsi="Times New Roman"/>
                              <w:spacing w:val="-1"/>
                              <w:sz w:val="18"/>
                            </w:rPr>
                            <w:t xml:space="preserve"> </w:t>
                          </w:r>
                          <w:r>
                            <w:rPr>
                              <w:rFonts w:ascii="Times New Roman" w:hAnsi="Times New Roman"/>
                              <w:spacing w:val="-10"/>
                              <w:sz w:val="18"/>
                            </w:rPr>
                            <w:t>—</w:t>
                          </w:r>
                        </w:p>
                      </w:txbxContent>
                    </wps:txbx>
                    <wps:bodyPr wrap="square" lIns="0" tIns="0" rIns="0" bIns="0" rtlCol="0">
                      <a:noAutofit/>
                    </wps:bodyPr>
                  </wps:wsp>
                </a:graphicData>
              </a:graphic>
            </wp:anchor>
          </w:drawing>
        </mc:Choice>
        <mc:Fallback>
          <w:pict>
            <v:shape id="Textbox 18" o:spid="_x0000_s1026" o:spt="202" type="#_x0000_t202" style="position:absolute;left:0pt;margin-left:56pt;margin-top:692.15pt;height:12.1pt;width:33.45pt;mso-position-horizontal-relative:page;mso-position-vertical-relative:page;z-index:-251646976;mso-width-relative:page;mso-height-relative:page;" filled="f" stroked="f" coordsize="21600,21600" o:gfxdata="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lQSMctoAAAANAQAADwAAAAAAAAABACAAAAAiAAAAZHJzL2Rvd25yZXYueG1sUEsBAhQAFAAA&#10;AAgAh07iQFWaIJ20AQAAdQMAAA4AAAAAAAAAAQAgAAAAKQEAAGRycy9lMm9Eb2MueG1sUEsFBgAA&#10;AAAGAAYAWQEAAE8FAAAAAA==&#10;">
              <v:fill on="f" focussize="0,0"/>
              <v:stroke on="f"/>
              <v:imagedata o:title=""/>
              <o:lock v:ext="edit" aspectratio="f"/>
              <v:textbox inset="0mm,0mm,0mm,0mm">
                <w:txbxContent>
                  <w:p w14:paraId="5B0A6CED">
                    <w:pPr>
                      <w:spacing w:before="14"/>
                      <w:ind w:left="20" w:right="0" w:firstLine="0"/>
                      <w:jc w:val="left"/>
                      <w:rPr>
                        <w:rFonts w:ascii="Times New Roman" w:hAnsi="Times New Roman"/>
                        <w:sz w:val="18"/>
                      </w:rPr>
                    </w:pPr>
                    <w:r>
                      <w:rPr>
                        <w:rFonts w:ascii="Times New Roman" w:hAnsi="Times New Roman"/>
                        <w:sz w:val="18"/>
                      </w:rPr>
                      <w:t>—</w:t>
                    </w:r>
                    <w:r>
                      <w:rPr>
                        <w:rFonts w:ascii="Times New Roman" w:hAnsi="Times New Roman"/>
                        <w:spacing w:val="-2"/>
                        <w:sz w:val="18"/>
                      </w:rPr>
                      <w:t xml:space="preserve"> </w:t>
                    </w:r>
                    <w:r>
                      <w:rPr>
                        <w:rFonts w:ascii="Times New Roman" w:hAnsi="Times New Roman"/>
                        <w:sz w:val="18"/>
                      </w:rPr>
                      <w:fldChar w:fldCharType="begin"/>
                    </w:r>
                    <w:r>
                      <w:rPr>
                        <w:rFonts w:ascii="Times New Roman" w:hAnsi="Times New Roman"/>
                        <w:sz w:val="18"/>
                      </w:rPr>
                      <w:instrText xml:space="preserve"> PAGE </w:instrText>
                    </w:r>
                    <w:r>
                      <w:rPr>
                        <w:rFonts w:ascii="Times New Roman" w:hAnsi="Times New Roman"/>
                        <w:sz w:val="18"/>
                      </w:rPr>
                      <w:fldChar w:fldCharType="separate"/>
                    </w:r>
                    <w:r>
                      <w:rPr>
                        <w:rFonts w:ascii="Times New Roman" w:hAnsi="Times New Roman"/>
                        <w:sz w:val="18"/>
                      </w:rPr>
                      <w:t>10</w:t>
                    </w:r>
                    <w:r>
                      <w:rPr>
                        <w:rFonts w:ascii="Times New Roman" w:hAnsi="Times New Roman"/>
                        <w:sz w:val="18"/>
                      </w:rPr>
                      <w:fldChar w:fldCharType="end"/>
                    </w:r>
                    <w:r>
                      <w:rPr>
                        <w:rFonts w:ascii="Times New Roman" w:hAnsi="Times New Roman"/>
                        <w:spacing w:val="-1"/>
                        <w:sz w:val="18"/>
                      </w:rPr>
                      <w:t xml:space="preserve"> </w:t>
                    </w:r>
                    <w:r>
                      <w:rPr>
                        <w:rFonts w:ascii="Times New Roman" w:hAnsi="Times New Roman"/>
                        <w:spacing w:val="-10"/>
                        <w:sz w:val="18"/>
                      </w:rPr>
                      <w:t>—</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CA925">
    <w:pPr>
      <w:pStyle w:val="4"/>
      <w:spacing w:line="14" w:lineRule="auto"/>
      <w:rPr>
        <w:sz w:val="20"/>
      </w:rPr>
    </w:pPr>
    <w:r>
      <w:rPr>
        <w:sz w:val="20"/>
      </w:rPr>
      <mc:AlternateContent>
        <mc:Choice Requires="wps">
          <w:drawing>
            <wp:anchor distT="0" distB="0" distL="0" distR="0" simplePos="0" relativeHeight="251670528" behindDoc="1" locked="0" layoutInCell="1" allowOverlap="1">
              <wp:simplePos x="0" y="0"/>
              <wp:positionH relativeFrom="page">
                <wp:posOffset>6207760</wp:posOffset>
              </wp:positionH>
              <wp:positionV relativeFrom="page">
                <wp:posOffset>8790305</wp:posOffset>
              </wp:positionV>
              <wp:extent cx="424815" cy="153670"/>
              <wp:effectExtent l="0" t="0" r="0" b="0"/>
              <wp:wrapNone/>
              <wp:docPr id="34" name="Textbox 34"/>
              <wp:cNvGraphicFramePr/>
              <a:graphic xmlns:a="http://schemas.openxmlformats.org/drawingml/2006/main">
                <a:graphicData uri="http://schemas.microsoft.com/office/word/2010/wordprocessingShape">
                  <wps:wsp>
                    <wps:cNvSpPr txBox="1"/>
                    <wps:spPr>
                      <a:xfrm>
                        <a:off x="0" y="0"/>
                        <a:ext cx="424815" cy="153670"/>
                      </a:xfrm>
                      <a:prstGeom prst="rect">
                        <a:avLst/>
                      </a:prstGeom>
                    </wps:spPr>
                    <wps:txbx>
                      <w:txbxContent>
                        <w:p w14:paraId="772CDFFE">
                          <w:pPr>
                            <w:spacing w:before="14"/>
                            <w:ind w:left="20" w:right="0" w:firstLine="0"/>
                            <w:jc w:val="left"/>
                            <w:rPr>
                              <w:rFonts w:ascii="Times New Roman" w:hAnsi="Times New Roman"/>
                              <w:sz w:val="18"/>
                            </w:rPr>
                          </w:pPr>
                          <w:r>
                            <w:rPr>
                              <w:rFonts w:ascii="Times New Roman" w:hAnsi="Times New Roman"/>
                              <w:sz w:val="18"/>
                            </w:rPr>
                            <w:t>—</w:t>
                          </w:r>
                          <w:r>
                            <w:rPr>
                              <w:rFonts w:ascii="Times New Roman" w:hAnsi="Times New Roman"/>
                              <w:spacing w:val="-2"/>
                              <w:sz w:val="18"/>
                            </w:rPr>
                            <w:t xml:space="preserve"> </w:t>
                          </w:r>
                          <w:r>
                            <w:rPr>
                              <w:rFonts w:ascii="Times New Roman" w:hAnsi="Times New Roman"/>
                              <w:sz w:val="18"/>
                            </w:rPr>
                            <w:t xml:space="preserve">61 </w:t>
                          </w:r>
                          <w:r>
                            <w:rPr>
                              <w:rFonts w:ascii="Times New Roman" w:hAnsi="Times New Roman"/>
                              <w:spacing w:val="-10"/>
                              <w:sz w:val="18"/>
                            </w:rPr>
                            <w:t>—</w:t>
                          </w:r>
                        </w:p>
                      </w:txbxContent>
                    </wps:txbx>
                    <wps:bodyPr wrap="square" lIns="0" tIns="0" rIns="0" bIns="0" rtlCol="0">
                      <a:noAutofit/>
                    </wps:bodyPr>
                  </wps:wsp>
                </a:graphicData>
              </a:graphic>
            </wp:anchor>
          </w:drawing>
        </mc:Choice>
        <mc:Fallback>
          <w:pict>
            <v:shape id="Textbox 34" o:spid="_x0000_s1026" o:spt="202" type="#_x0000_t202" style="position:absolute;left:0pt;margin-left:488.8pt;margin-top:692.15pt;height:12.1pt;width:33.45pt;mso-position-horizontal-relative:page;mso-position-vertical-relative:page;z-index:-251645952;mso-width-relative:page;mso-height-relative:page;" filled="f" stroked="f" coordsize="21600,21600" o:gfxdata="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2h67A3AAAAA4BAAAPAAAAAAAAAAEAIAAAACIAAABkcnMvZG93bnJldi54bWxQSwECFAAU&#10;AAAACACHTuJALa8skLQBAAB1AwAADgAAAAAAAAABACAAAAArAQAAZHJzL2Uyb0RvYy54bWxQSwUG&#10;AAAAAAYABgBZAQAAUQUAAAAA&#10;">
              <v:fill on="f" focussize="0,0"/>
              <v:stroke on="f"/>
              <v:imagedata o:title=""/>
              <o:lock v:ext="edit" aspectratio="f"/>
              <v:textbox inset="0mm,0mm,0mm,0mm">
                <w:txbxContent>
                  <w:p w14:paraId="772CDFFE">
                    <w:pPr>
                      <w:spacing w:before="14"/>
                      <w:ind w:left="20" w:right="0" w:firstLine="0"/>
                      <w:jc w:val="left"/>
                      <w:rPr>
                        <w:rFonts w:ascii="Times New Roman" w:hAnsi="Times New Roman"/>
                        <w:sz w:val="18"/>
                      </w:rPr>
                    </w:pPr>
                    <w:r>
                      <w:rPr>
                        <w:rFonts w:ascii="Times New Roman" w:hAnsi="Times New Roman"/>
                        <w:sz w:val="18"/>
                      </w:rPr>
                      <w:t>—</w:t>
                    </w:r>
                    <w:r>
                      <w:rPr>
                        <w:rFonts w:ascii="Times New Roman" w:hAnsi="Times New Roman"/>
                        <w:spacing w:val="-2"/>
                        <w:sz w:val="18"/>
                      </w:rPr>
                      <w:t xml:space="preserve"> </w:t>
                    </w:r>
                    <w:r>
                      <w:rPr>
                        <w:rFonts w:ascii="Times New Roman" w:hAnsi="Times New Roman"/>
                        <w:sz w:val="18"/>
                      </w:rPr>
                      <w:t xml:space="preserve">61 </w:t>
                    </w:r>
                    <w:r>
                      <w:rPr>
                        <w:rFonts w:ascii="Times New Roman" w:hAnsi="Times New Roman"/>
                        <w:spacing w:val="-10"/>
                        <w:sz w:val="18"/>
                      </w:rPr>
                      <w: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0487E">
    <w:pPr>
      <w:pStyle w:val="4"/>
      <w:spacing w:line="14" w:lineRule="auto"/>
      <w:rPr>
        <w:sz w:val="20"/>
      </w:rPr>
    </w:pPr>
    <w:r>
      <w:rPr>
        <w:sz w:val="20"/>
      </w:rPr>
      <mc:AlternateContent>
        <mc:Choice Requires="wps">
          <w:drawing>
            <wp:anchor distT="0" distB="0" distL="0" distR="0" simplePos="0" relativeHeight="251663360" behindDoc="1" locked="0" layoutInCell="1" allowOverlap="1">
              <wp:simplePos x="0" y="0"/>
              <wp:positionH relativeFrom="page">
                <wp:posOffset>899160</wp:posOffset>
              </wp:positionH>
              <wp:positionV relativeFrom="page">
                <wp:posOffset>701040</wp:posOffset>
              </wp:positionV>
              <wp:extent cx="5003800" cy="9525"/>
              <wp:effectExtent l="0" t="0" r="0" b="0"/>
              <wp:wrapNone/>
              <wp:docPr id="3" name="Graphic 3"/>
              <wp:cNvGraphicFramePr/>
              <a:graphic xmlns:a="http://schemas.openxmlformats.org/drawingml/2006/main">
                <a:graphicData uri="http://schemas.microsoft.com/office/word/2010/wordprocessingShape">
                  <wps:wsp>
                    <wps:cNvSpPr/>
                    <wps:spPr>
                      <a:xfrm>
                        <a:off x="0" y="0"/>
                        <a:ext cx="5003800" cy="9525"/>
                      </a:xfrm>
                      <a:custGeom>
                        <a:avLst/>
                        <a:gdLst/>
                        <a:ahLst/>
                        <a:cxnLst/>
                        <a:rect l="l" t="t" r="r" b="b"/>
                        <a:pathLst>
                          <a:path w="5003800" h="9525">
                            <a:moveTo>
                              <a:pt x="5003800" y="9143"/>
                            </a:moveTo>
                            <a:lnTo>
                              <a:pt x="0" y="9143"/>
                            </a:lnTo>
                            <a:lnTo>
                              <a:pt x="0" y="0"/>
                            </a:lnTo>
                            <a:lnTo>
                              <a:pt x="5003800" y="0"/>
                            </a:lnTo>
                            <a:lnTo>
                              <a:pt x="5003800" y="9143"/>
                            </a:lnTo>
                            <a:close/>
                          </a:path>
                        </a:pathLst>
                      </a:custGeom>
                      <a:solidFill>
                        <a:srgbClr val="000000"/>
                      </a:solidFill>
                    </wps:spPr>
                    <wps:bodyPr wrap="square" lIns="0" tIns="0" rIns="0" bIns="0" rtlCol="0">
                      <a:noAutofit/>
                    </wps:bodyPr>
                  </wps:wsp>
                </a:graphicData>
              </a:graphic>
            </wp:anchor>
          </w:drawing>
        </mc:Choice>
        <mc:Fallback>
          <w:pict>
            <v:shape id="Graphic 3" o:spid="_x0000_s1026" o:spt="100" style="position:absolute;left:0pt;margin-left:70.8pt;margin-top:55.2pt;height:0.75pt;width:394pt;mso-position-horizontal-relative:page;mso-position-vertical-relative:page;z-index:-251653120;mso-width-relative:page;mso-height-relative:page;" fillcolor="#000000" filled="t" stroked="f" coordsize="5003800,9525" o:gfxdata="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OBNBrYAAAA&#10;CwEAAA8AAAAAAAAAAQAgAAAAIgAAAGRycy9kb3ducmV2LnhtbFBLAQIUABQAAAAIAIdO4kDqUDfg&#10;HQIAAN8EAAAOAAAAAAAAAAEAIAAAACcBAABkcnMvZTJvRG9jLnhtbFBLBQYAAAAABgAGAFkBAAC2&#10;BQAAAAA=&#10;" path="m5003800,9143l0,9143,0,0,5003800,0,5003800,9143xe">
              <v:fill on="t" focussize="0,0"/>
              <v:stroke on="f"/>
              <v:imagedata o:title=""/>
              <o:lock v:ext="edit" aspectratio="f"/>
              <v:textbox inset="0mm,0mm,0mm,0mm"/>
            </v:shape>
          </w:pict>
        </mc:Fallback>
      </mc:AlternateContent>
    </w:r>
    <w:r>
      <w:rPr>
        <w:sz w:val="20"/>
      </w:rPr>
      <mc:AlternateContent>
        <mc:Choice Requires="wps">
          <w:drawing>
            <wp:anchor distT="0" distB="0" distL="0" distR="0" simplePos="0" relativeHeight="251663360" behindDoc="1" locked="0" layoutInCell="1" allowOverlap="1">
              <wp:simplePos x="0" y="0"/>
              <wp:positionH relativeFrom="page">
                <wp:posOffset>2245360</wp:posOffset>
              </wp:positionH>
              <wp:positionV relativeFrom="page">
                <wp:posOffset>544830</wp:posOffset>
              </wp:positionV>
              <wp:extent cx="2311400" cy="139700"/>
              <wp:effectExtent l="0" t="0" r="0" b="0"/>
              <wp:wrapNone/>
              <wp:docPr id="4" name="Textbox 4"/>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4A268288">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4" o:spid="_x0000_s1026" o:spt="202" type="#_x0000_t202" style="position:absolute;left:0pt;margin-left:176.8pt;margin-top:42.9pt;height:11pt;width:182pt;mso-position-horizontal-relative:page;mso-position-vertical-relative:page;z-index:-251653120;mso-width-relative:page;mso-height-relative:page;" filled="f" stroked="f" coordsize="21600,21600" o:gfxdata="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Cq&#10;nK902QAAAAoBAAAPAAAAAAAAAAEAIAAAACIAAABkcnMvZG93bnJldi54bWxQSwECFAAUAAAACACH&#10;TuJAzCvkALEBAAB0AwAADgAAAAAAAAABACAAAAAoAQAAZHJzL2Uyb0RvYy54bWxQSwUGAAAAAAYA&#10;BgBZAQAASwUAAAAA&#10;">
              <v:fill on="f" focussize="0,0"/>
              <v:stroke on="f"/>
              <v:imagedata o:title=""/>
              <o:lock v:ext="edit" aspectratio="f"/>
              <v:textbox inset="0mm,0mm,0mm,0mm">
                <w:txbxContent>
                  <w:p w14:paraId="4A268288">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E77D5">
    <w:pPr>
      <w:pStyle w:val="4"/>
      <w:spacing w:line="14" w:lineRule="auto"/>
      <w:rPr>
        <w:sz w:val="20"/>
      </w:rPr>
    </w:pPr>
    <w:r>
      <w:rPr>
        <w:sz w:val="20"/>
      </w:rPr>
      <mc:AlternateContent>
        <mc:Choice Requires="wps">
          <w:drawing>
            <wp:anchor distT="0" distB="0" distL="0" distR="0" simplePos="0" relativeHeight="251662336" behindDoc="1" locked="0" layoutInCell="1" allowOverlap="1">
              <wp:simplePos x="0" y="0"/>
              <wp:positionH relativeFrom="page">
                <wp:posOffset>2155825</wp:posOffset>
              </wp:positionH>
              <wp:positionV relativeFrom="page">
                <wp:posOffset>544830</wp:posOffset>
              </wp:positionV>
              <wp:extent cx="2311400" cy="139700"/>
              <wp:effectExtent l="0" t="0" r="0" b="0"/>
              <wp:wrapNone/>
              <wp:docPr id="2" name="Textbox 2"/>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273B6C41">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2" o:spid="_x0000_s1026" o:spt="202" type="#_x0000_t202" style="position:absolute;left:0pt;margin-left:169.75pt;margin-top:42.9pt;height:11pt;width:182pt;mso-position-horizontal-relative:page;mso-position-vertical-relative:page;z-index:-251654144;mso-width-relative:page;mso-height-relative:page;" filled="f" stroked="f" coordsize="21600,21600" o:gfxdata="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OK+&#10;7jnYAAAACgEAAA8AAAAAAAAAAQAgAAAAIgAAAGRycy9kb3ducmV2LnhtbFBLAQIUABQAAAAIAIdO&#10;4kDvd/dqsQEAAHQDAAAOAAAAAAAAAAEAIAAAACcBAABkcnMvZTJvRG9jLnhtbFBLBQYAAAAABgAG&#10;AFkBAABKBQAAAAA=&#10;">
              <v:fill on="f" focussize="0,0"/>
              <v:stroke on="f"/>
              <v:imagedata o:title=""/>
              <o:lock v:ext="edit" aspectratio="f"/>
              <v:textbox inset="0mm,0mm,0mm,0mm">
                <w:txbxContent>
                  <w:p w14:paraId="273B6C41">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34600">
    <w:pPr>
      <w:pStyle w:val="4"/>
      <w:spacing w:line="14" w:lineRule="auto"/>
      <w:rPr>
        <w:sz w:val="20"/>
      </w:rPr>
    </w:pPr>
    <w:r>
      <w:rPr>
        <w:sz w:val="20"/>
      </w:rPr>
      <mc:AlternateContent>
        <mc:Choice Requires="wps">
          <w:drawing>
            <wp:anchor distT="0" distB="0" distL="0" distR="0" simplePos="0" relativeHeight="251666432" behindDoc="1" locked="0" layoutInCell="1" allowOverlap="1">
              <wp:simplePos x="0" y="0"/>
              <wp:positionH relativeFrom="page">
                <wp:posOffset>899160</wp:posOffset>
              </wp:positionH>
              <wp:positionV relativeFrom="page">
                <wp:posOffset>701040</wp:posOffset>
              </wp:positionV>
              <wp:extent cx="5003800" cy="9525"/>
              <wp:effectExtent l="0" t="0" r="0" b="0"/>
              <wp:wrapNone/>
              <wp:docPr id="11" name="Graphic 11"/>
              <wp:cNvGraphicFramePr/>
              <a:graphic xmlns:a="http://schemas.openxmlformats.org/drawingml/2006/main">
                <a:graphicData uri="http://schemas.microsoft.com/office/word/2010/wordprocessingShape">
                  <wps:wsp>
                    <wps:cNvSpPr/>
                    <wps:spPr>
                      <a:xfrm>
                        <a:off x="0" y="0"/>
                        <a:ext cx="5003800" cy="9525"/>
                      </a:xfrm>
                      <a:custGeom>
                        <a:avLst/>
                        <a:gdLst/>
                        <a:ahLst/>
                        <a:cxnLst/>
                        <a:rect l="l" t="t" r="r" b="b"/>
                        <a:pathLst>
                          <a:path w="5003800" h="9525">
                            <a:moveTo>
                              <a:pt x="5003800" y="9143"/>
                            </a:moveTo>
                            <a:lnTo>
                              <a:pt x="0" y="9143"/>
                            </a:lnTo>
                            <a:lnTo>
                              <a:pt x="0" y="0"/>
                            </a:lnTo>
                            <a:lnTo>
                              <a:pt x="5003800" y="0"/>
                            </a:lnTo>
                            <a:lnTo>
                              <a:pt x="5003800" y="9143"/>
                            </a:lnTo>
                            <a:close/>
                          </a:path>
                        </a:pathLst>
                      </a:custGeom>
                      <a:solidFill>
                        <a:srgbClr val="000000"/>
                      </a:solidFill>
                    </wps:spPr>
                    <wps:bodyPr wrap="square" lIns="0" tIns="0" rIns="0" bIns="0" rtlCol="0">
                      <a:noAutofit/>
                    </wps:bodyPr>
                  </wps:wsp>
                </a:graphicData>
              </a:graphic>
            </wp:anchor>
          </w:drawing>
        </mc:Choice>
        <mc:Fallback>
          <w:pict>
            <v:shape id="Graphic 11" o:spid="_x0000_s1026" o:spt="100" style="position:absolute;left:0pt;margin-left:70.8pt;margin-top:55.2pt;height:0.75pt;width:394pt;mso-position-horizontal-relative:page;mso-position-vertical-relative:page;z-index:-251650048;mso-width-relative:page;mso-height-relative:page;" fillcolor="#000000" filled="t" stroked="f" coordsize="5003800,9525" o:gfxdata="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jgTQa2AAA&#10;AAsBAAAPAAAAAAAAAAEAIAAAACIAAABkcnMvZG93bnJldi54bWxQSwECFAAUAAAACACHTuJA8sXR&#10;Kh4CAADhBAAADgAAAAAAAAABACAAAAAnAQAAZHJzL2Uyb0RvYy54bWxQSwUGAAAAAAYABgBZAQAA&#10;twUAAAAA&#10;" path="m5003800,9143l0,9143,0,0,5003800,0,5003800,9143xe">
              <v:fill on="t" focussize="0,0"/>
              <v:stroke on="f"/>
              <v:imagedata o:title=""/>
              <o:lock v:ext="edit" aspectratio="f"/>
              <v:textbox inset="0mm,0mm,0mm,0mm"/>
            </v:shape>
          </w:pict>
        </mc:Fallback>
      </mc:AlternateContent>
    </w:r>
    <w:r>
      <w:rPr>
        <w:sz w:val="20"/>
      </w:rPr>
      <mc:AlternateContent>
        <mc:Choice Requires="wps">
          <w:drawing>
            <wp:anchor distT="0" distB="0" distL="0" distR="0" simplePos="0" relativeHeight="251666432" behindDoc="1" locked="0" layoutInCell="1" allowOverlap="1">
              <wp:simplePos x="0" y="0"/>
              <wp:positionH relativeFrom="page">
                <wp:posOffset>2245360</wp:posOffset>
              </wp:positionH>
              <wp:positionV relativeFrom="page">
                <wp:posOffset>544830</wp:posOffset>
              </wp:positionV>
              <wp:extent cx="2311400" cy="139700"/>
              <wp:effectExtent l="0" t="0" r="0" b="0"/>
              <wp:wrapNone/>
              <wp:docPr id="12" name="Textbox 12"/>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70A740A9">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12" o:spid="_x0000_s1026" o:spt="202" type="#_x0000_t202" style="position:absolute;left:0pt;margin-left:176.8pt;margin-top:42.9pt;height:11pt;width:182pt;mso-position-horizontal-relative:page;mso-position-vertical-relative:page;z-index:-251650048;mso-width-relative:page;mso-height-relative:page;" filled="f" stroked="f" coordsize="21600,21600" o:gfxdata="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qpyvdNkAAAAKAQAADwAAAAAAAAABACAAAAAiAAAAZHJzL2Rvd25yZXYueG1sUEsBAhQAFAAAAAgA&#10;h07iQM5CRaKyAQAAdgMAAA4AAAAAAAAAAQAgAAAAKAEAAGRycy9lMm9Eb2MueG1sUEsFBgAAAAAG&#10;AAYAWQEAAEwFAAAAAA==&#10;">
              <v:fill on="f" focussize="0,0"/>
              <v:stroke on="f"/>
              <v:imagedata o:title=""/>
              <o:lock v:ext="edit" aspectratio="f"/>
              <v:textbox inset="0mm,0mm,0mm,0mm">
                <w:txbxContent>
                  <w:p w14:paraId="70A740A9">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6435F3">
    <w:pPr>
      <w:pStyle w:val="4"/>
      <w:spacing w:line="14" w:lineRule="auto"/>
      <w:rPr>
        <w:sz w:val="20"/>
      </w:rPr>
    </w:pPr>
    <w:r>
      <w:rPr>
        <w:sz w:val="20"/>
      </w:rPr>
      <mc:AlternateContent>
        <mc:Choice Requires="wps">
          <w:drawing>
            <wp:anchor distT="0" distB="0" distL="0" distR="0" simplePos="0" relativeHeight="251665408" behindDoc="1" locked="0" layoutInCell="1" allowOverlap="1">
              <wp:simplePos x="0" y="0"/>
              <wp:positionH relativeFrom="page">
                <wp:posOffset>720090</wp:posOffset>
              </wp:positionH>
              <wp:positionV relativeFrom="page">
                <wp:posOffset>701040</wp:posOffset>
              </wp:positionV>
              <wp:extent cx="5003800" cy="9525"/>
              <wp:effectExtent l="0" t="0" r="0" b="0"/>
              <wp:wrapNone/>
              <wp:docPr id="9" name="Graphic 9"/>
              <wp:cNvGraphicFramePr/>
              <a:graphic xmlns:a="http://schemas.openxmlformats.org/drawingml/2006/main">
                <a:graphicData uri="http://schemas.microsoft.com/office/word/2010/wordprocessingShape">
                  <wps:wsp>
                    <wps:cNvSpPr/>
                    <wps:spPr>
                      <a:xfrm>
                        <a:off x="0" y="0"/>
                        <a:ext cx="5003800" cy="9525"/>
                      </a:xfrm>
                      <a:custGeom>
                        <a:avLst/>
                        <a:gdLst/>
                        <a:ahLst/>
                        <a:cxnLst/>
                        <a:rect l="l" t="t" r="r" b="b"/>
                        <a:pathLst>
                          <a:path w="5003800" h="9525">
                            <a:moveTo>
                              <a:pt x="5003800" y="9143"/>
                            </a:moveTo>
                            <a:lnTo>
                              <a:pt x="0" y="9143"/>
                            </a:lnTo>
                            <a:lnTo>
                              <a:pt x="0" y="0"/>
                            </a:lnTo>
                            <a:lnTo>
                              <a:pt x="5003800" y="0"/>
                            </a:lnTo>
                            <a:lnTo>
                              <a:pt x="5003800" y="9143"/>
                            </a:lnTo>
                            <a:close/>
                          </a:path>
                        </a:pathLst>
                      </a:custGeom>
                      <a:solidFill>
                        <a:srgbClr val="000000"/>
                      </a:solidFill>
                    </wps:spPr>
                    <wps:bodyPr wrap="square" lIns="0" tIns="0" rIns="0" bIns="0" rtlCol="0">
                      <a:noAutofit/>
                    </wps:bodyPr>
                  </wps:wsp>
                </a:graphicData>
              </a:graphic>
            </wp:anchor>
          </w:drawing>
        </mc:Choice>
        <mc:Fallback>
          <w:pict>
            <v:shape id="Graphic 9" o:spid="_x0000_s1026" o:spt="100" style="position:absolute;left:0pt;margin-left:56.7pt;margin-top:55.2pt;height:0.75pt;width:394pt;mso-position-horizontal-relative:page;mso-position-vertical-relative:page;z-index:-251651072;mso-width-relative:page;mso-height-relative:page;" fillcolor="#000000" filled="t" stroked="f" coordsize="5003800,9525" o:gfxdata="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qwZVKdcAAAAL&#10;AQAADwAAAAAAAAABACAAAAAiAAAAZHJzL2Rvd25yZXYueG1sUEsBAhQAFAAAAAgAh07iQBK9Z/cd&#10;AgAA3wQAAA4AAAAAAAAAAQAgAAAAJgEAAGRycy9lMm9Eb2MueG1sUEsFBgAAAAAGAAYAWQEAALUF&#10;AAAAAA==&#10;" path="m5003800,9143l0,9143,0,0,5003800,0,5003800,9143xe">
              <v:fill on="t" focussize="0,0"/>
              <v:stroke on="f"/>
              <v:imagedata o:title=""/>
              <o:lock v:ext="edit" aspectratio="f"/>
              <v:textbox inset="0mm,0mm,0mm,0mm"/>
            </v:shape>
          </w:pict>
        </mc:Fallback>
      </mc:AlternateContent>
    </w:r>
    <w:r>
      <w:rPr>
        <w:sz w:val="20"/>
      </w:rPr>
      <mc:AlternateContent>
        <mc:Choice Requires="wps">
          <w:drawing>
            <wp:anchor distT="0" distB="0" distL="0" distR="0" simplePos="0" relativeHeight="251665408" behindDoc="1" locked="0" layoutInCell="1" allowOverlap="1">
              <wp:simplePos x="0" y="0"/>
              <wp:positionH relativeFrom="page">
                <wp:posOffset>2065655</wp:posOffset>
              </wp:positionH>
              <wp:positionV relativeFrom="page">
                <wp:posOffset>544830</wp:posOffset>
              </wp:positionV>
              <wp:extent cx="2311400" cy="139700"/>
              <wp:effectExtent l="0" t="0" r="0" b="0"/>
              <wp:wrapNone/>
              <wp:docPr id="10" name="Textbox 10"/>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08D3CE4E">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10" o:spid="_x0000_s1026" o:spt="202" type="#_x0000_t202" style="position:absolute;left:0pt;margin-left:162.65pt;margin-top:42.9pt;height:11pt;width:182pt;mso-position-horizontal-relative:page;mso-position-vertical-relative:page;z-index:-251651072;mso-width-relative:page;mso-height-relative:page;" filled="f" stroked="f" coordsize="21600,21600" o:gfxdata="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fwYY2QAAAAoBAAAPAAAAAAAAAAEAIAAAACIAAABkcnMvZG93bnJldi54bWxQSwECFAAUAAAACACH&#10;TuJAe4Vg17EBAAB2AwAADgAAAAAAAAABACAAAAAoAQAAZHJzL2Uyb0RvYy54bWxQSwUGAAAAAAYA&#10;BgBZAQAASwUAAAAA&#10;">
              <v:fill on="f" focussize="0,0"/>
              <v:stroke on="f"/>
              <v:imagedata o:title=""/>
              <o:lock v:ext="edit" aspectratio="f"/>
              <v:textbox inset="0mm,0mm,0mm,0mm">
                <w:txbxContent>
                  <w:p w14:paraId="08D3CE4E">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14D7F">
    <w:pPr>
      <w:pStyle w:val="4"/>
      <w:spacing w:line="14" w:lineRule="auto"/>
      <w:rPr>
        <w:sz w:val="20"/>
      </w:rPr>
    </w:pPr>
    <w:r>
      <w:rPr>
        <w:sz w:val="20"/>
      </w:rPr>
      <mc:AlternateContent>
        <mc:Choice Requires="wps">
          <w:drawing>
            <wp:anchor distT="0" distB="0" distL="0" distR="0" simplePos="0" relativeHeight="251667456" behindDoc="1" locked="0" layoutInCell="1" allowOverlap="1">
              <wp:simplePos x="0" y="0"/>
              <wp:positionH relativeFrom="page">
                <wp:posOffset>899160</wp:posOffset>
              </wp:positionH>
              <wp:positionV relativeFrom="page">
                <wp:posOffset>701040</wp:posOffset>
              </wp:positionV>
              <wp:extent cx="5003800" cy="9525"/>
              <wp:effectExtent l="0" t="0" r="0" b="0"/>
              <wp:wrapNone/>
              <wp:docPr id="13" name="Graphic 13"/>
              <wp:cNvGraphicFramePr/>
              <a:graphic xmlns:a="http://schemas.openxmlformats.org/drawingml/2006/main">
                <a:graphicData uri="http://schemas.microsoft.com/office/word/2010/wordprocessingShape">
                  <wps:wsp>
                    <wps:cNvSpPr/>
                    <wps:spPr>
                      <a:xfrm>
                        <a:off x="0" y="0"/>
                        <a:ext cx="5003800" cy="9525"/>
                      </a:xfrm>
                      <a:custGeom>
                        <a:avLst/>
                        <a:gdLst/>
                        <a:ahLst/>
                        <a:cxnLst/>
                        <a:rect l="l" t="t" r="r" b="b"/>
                        <a:pathLst>
                          <a:path w="5003800" h="9525">
                            <a:moveTo>
                              <a:pt x="5003800" y="9143"/>
                            </a:moveTo>
                            <a:lnTo>
                              <a:pt x="0" y="9143"/>
                            </a:lnTo>
                            <a:lnTo>
                              <a:pt x="0" y="0"/>
                            </a:lnTo>
                            <a:lnTo>
                              <a:pt x="5003800" y="0"/>
                            </a:lnTo>
                            <a:lnTo>
                              <a:pt x="5003800" y="9143"/>
                            </a:lnTo>
                            <a:close/>
                          </a:path>
                        </a:pathLst>
                      </a:custGeom>
                      <a:solidFill>
                        <a:srgbClr val="000000"/>
                      </a:solidFill>
                    </wps:spPr>
                    <wps:bodyPr wrap="square" lIns="0" tIns="0" rIns="0" bIns="0" rtlCol="0">
                      <a:noAutofit/>
                    </wps:bodyPr>
                  </wps:wsp>
                </a:graphicData>
              </a:graphic>
            </wp:anchor>
          </w:drawing>
        </mc:Choice>
        <mc:Fallback>
          <w:pict>
            <v:shape id="Graphic 13" o:spid="_x0000_s1026" o:spt="100" style="position:absolute;left:0pt;margin-left:70.8pt;margin-top:55.2pt;height:0.75pt;width:394pt;mso-position-horizontal-relative:page;mso-position-vertical-relative:page;z-index:-251649024;mso-width-relative:page;mso-height-relative:page;" fillcolor="#000000" filled="t" stroked="f" coordsize="5003800,9525" o:gfxdata="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4E0GtgA&#10;AAALAQAADwAAAAAAAAABACAAAAAiAAAAZHJzL2Rvd25yZXYueG1sUEsBAhQAFAAAAAgAh07iQEcm&#10;B1cfAgAA4QQAAA4AAAAAAAAAAQAgAAAAJwEAAGRycy9lMm9Eb2MueG1sUEsFBgAAAAAGAAYAWQEA&#10;ALgFAAAAAA==&#10;" path="m5003800,9143l0,9143,0,0,5003800,0,5003800,9143xe">
              <v:fill on="t" focussize="0,0"/>
              <v:stroke on="f"/>
              <v:imagedata o:title=""/>
              <o:lock v:ext="edit" aspectratio="f"/>
              <v:textbox inset="0mm,0mm,0mm,0mm"/>
            </v:shape>
          </w:pict>
        </mc:Fallback>
      </mc:AlternateContent>
    </w:r>
    <w:r>
      <w:rPr>
        <w:sz w:val="20"/>
      </w:rPr>
      <mc:AlternateContent>
        <mc:Choice Requires="wps">
          <w:drawing>
            <wp:anchor distT="0" distB="0" distL="0" distR="0" simplePos="0" relativeHeight="251667456" behindDoc="1" locked="0" layoutInCell="1" allowOverlap="1">
              <wp:simplePos x="0" y="0"/>
              <wp:positionH relativeFrom="page">
                <wp:posOffset>2245360</wp:posOffset>
              </wp:positionH>
              <wp:positionV relativeFrom="page">
                <wp:posOffset>544830</wp:posOffset>
              </wp:positionV>
              <wp:extent cx="2311400" cy="139700"/>
              <wp:effectExtent l="0" t="0" r="0" b="0"/>
              <wp:wrapNone/>
              <wp:docPr id="14" name="Textbox 14"/>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3BBB9701">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14" o:spid="_x0000_s1026" o:spt="202" type="#_x0000_t202" style="position:absolute;left:0pt;margin-left:176.8pt;margin-top:42.9pt;height:11pt;width:182pt;mso-position-horizontal-relative:page;mso-position-vertical-relative:page;z-index:-251649024;mso-width-relative:page;mso-height-relative:page;" filled="f" stroked="f" coordsize="21600,21600" o:gfxdata="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qpyvdNkAAAAKAQAADwAAAAAAAAABACAAAAAiAAAAZHJzL2Rvd25yZXYueG1sUEsBAhQAFAAAAAgA&#10;h07iQBEKKz2yAQAAdgMAAA4AAAAAAAAAAQAgAAAAKAEAAGRycy9lMm9Eb2MueG1sUEsFBgAAAAAG&#10;AAYAWQEAAEwFAAAAAA==&#10;">
              <v:fill on="f" focussize="0,0"/>
              <v:stroke on="f"/>
              <v:imagedata o:title=""/>
              <o:lock v:ext="edit" aspectratio="f"/>
              <v:textbox inset="0mm,0mm,0mm,0mm">
                <w:txbxContent>
                  <w:p w14:paraId="3BBB9701">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F9BF0">
    <w:pPr>
      <w:pStyle w:val="4"/>
      <w:spacing w:line="14" w:lineRule="auto"/>
      <w:rPr>
        <w:sz w:val="20"/>
      </w:rPr>
    </w:pPr>
    <w:r>
      <w:rPr>
        <w:sz w:val="20"/>
      </w:rPr>
      <mc:AlternateContent>
        <mc:Choice Requires="wps">
          <w:drawing>
            <wp:anchor distT="0" distB="0" distL="0" distR="0" simplePos="0" relativeHeight="251668480" behindDoc="1" locked="0" layoutInCell="1" allowOverlap="1">
              <wp:simplePos x="0" y="0"/>
              <wp:positionH relativeFrom="page">
                <wp:posOffset>720090</wp:posOffset>
              </wp:positionH>
              <wp:positionV relativeFrom="page">
                <wp:posOffset>701040</wp:posOffset>
              </wp:positionV>
              <wp:extent cx="5003800" cy="9525"/>
              <wp:effectExtent l="0" t="0" r="0" b="0"/>
              <wp:wrapNone/>
              <wp:docPr id="15" name="Graphic 15"/>
              <wp:cNvGraphicFramePr/>
              <a:graphic xmlns:a="http://schemas.openxmlformats.org/drawingml/2006/main">
                <a:graphicData uri="http://schemas.microsoft.com/office/word/2010/wordprocessingShape">
                  <wps:wsp>
                    <wps:cNvSpPr/>
                    <wps:spPr>
                      <a:xfrm>
                        <a:off x="0" y="0"/>
                        <a:ext cx="5003800" cy="9525"/>
                      </a:xfrm>
                      <a:custGeom>
                        <a:avLst/>
                        <a:gdLst/>
                        <a:ahLst/>
                        <a:cxnLst/>
                        <a:rect l="l" t="t" r="r" b="b"/>
                        <a:pathLst>
                          <a:path w="5003800" h="9525">
                            <a:moveTo>
                              <a:pt x="5003800" y="9143"/>
                            </a:moveTo>
                            <a:lnTo>
                              <a:pt x="0" y="9143"/>
                            </a:lnTo>
                            <a:lnTo>
                              <a:pt x="0" y="0"/>
                            </a:lnTo>
                            <a:lnTo>
                              <a:pt x="5003800" y="0"/>
                            </a:lnTo>
                            <a:lnTo>
                              <a:pt x="5003800" y="9143"/>
                            </a:lnTo>
                            <a:close/>
                          </a:path>
                        </a:pathLst>
                      </a:custGeom>
                      <a:solidFill>
                        <a:srgbClr val="000000"/>
                      </a:solidFill>
                    </wps:spPr>
                    <wps:bodyPr wrap="square" lIns="0" tIns="0" rIns="0" bIns="0" rtlCol="0">
                      <a:noAutofit/>
                    </wps:bodyPr>
                  </wps:wsp>
                </a:graphicData>
              </a:graphic>
            </wp:anchor>
          </w:drawing>
        </mc:Choice>
        <mc:Fallback>
          <w:pict>
            <v:shape id="Graphic 15" o:spid="_x0000_s1026" o:spt="100" style="position:absolute;left:0pt;margin-left:56.7pt;margin-top:55.2pt;height:0.75pt;width:394pt;mso-position-horizontal-relative:page;mso-position-vertical-relative:page;z-index:-251648000;mso-width-relative:page;mso-height-relative:page;" fillcolor="#000000" filled="t" stroked="f" coordsize="5003800,9525" o:gfxdata="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sGVSnXAAAA&#10;CwEAAA8AAAAAAAAAAQAgAAAAIgAAAGRycy9kb3ducmV2LnhtbFBLAQIUABQAAAAIAIdO4kCYAnzR&#10;HgIAAOEEAAAOAAAAAAAAAAEAIAAAACYBAABkcnMvZTJvRG9jLnhtbFBLBQYAAAAABgAGAFkBAAC2&#10;BQAAAAA=&#10;" path="m5003800,9143l0,9143,0,0,5003800,0,5003800,9143xe">
              <v:fill on="t" focussize="0,0"/>
              <v:stroke on="f"/>
              <v:imagedata o:title=""/>
              <o:lock v:ext="edit" aspectratio="f"/>
              <v:textbox inset="0mm,0mm,0mm,0mm"/>
            </v:shape>
          </w:pict>
        </mc:Fallback>
      </mc:AlternateContent>
    </w:r>
    <w:r>
      <w:rPr>
        <w:sz w:val="20"/>
      </w:rPr>
      <mc:AlternateContent>
        <mc:Choice Requires="wps">
          <w:drawing>
            <wp:anchor distT="0" distB="0" distL="0" distR="0" simplePos="0" relativeHeight="251668480" behindDoc="1" locked="0" layoutInCell="1" allowOverlap="1">
              <wp:simplePos x="0" y="0"/>
              <wp:positionH relativeFrom="page">
                <wp:posOffset>2065655</wp:posOffset>
              </wp:positionH>
              <wp:positionV relativeFrom="page">
                <wp:posOffset>544830</wp:posOffset>
              </wp:positionV>
              <wp:extent cx="2311400" cy="139700"/>
              <wp:effectExtent l="0" t="0" r="0" b="0"/>
              <wp:wrapNone/>
              <wp:docPr id="16" name="Textbox 16"/>
              <wp:cNvGraphicFramePr/>
              <a:graphic xmlns:a="http://schemas.openxmlformats.org/drawingml/2006/main">
                <a:graphicData uri="http://schemas.microsoft.com/office/word/2010/wordprocessingShape">
                  <wps:wsp>
                    <wps:cNvSpPr txBox="1"/>
                    <wps:spPr>
                      <a:xfrm>
                        <a:off x="0" y="0"/>
                        <a:ext cx="2311400" cy="139700"/>
                      </a:xfrm>
                      <a:prstGeom prst="rect">
                        <a:avLst/>
                      </a:prstGeom>
                    </wps:spPr>
                    <wps:txbx>
                      <w:txbxContent>
                        <w:p w14:paraId="3717AB02">
                          <w:pPr>
                            <w:spacing w:before="0" w:line="220" w:lineRule="exact"/>
                            <w:ind w:left="20" w:right="0" w:firstLine="0"/>
                            <w:jc w:val="left"/>
                            <w:rPr>
                              <w:sz w:val="18"/>
                            </w:rPr>
                          </w:pPr>
                          <w:r>
                            <w:rPr>
                              <w:sz w:val="18"/>
                            </w:rPr>
                            <w:t>湖北省建设工程工程量清单计价指引</w:t>
                          </w:r>
                          <w:r>
                            <w:rPr>
                              <w:spacing w:val="-2"/>
                              <w:sz w:val="18"/>
                            </w:rPr>
                            <w:t>（2026）</w:t>
                          </w:r>
                        </w:p>
                      </w:txbxContent>
                    </wps:txbx>
                    <wps:bodyPr wrap="square" lIns="0" tIns="0" rIns="0" bIns="0" rtlCol="0">
                      <a:noAutofit/>
                    </wps:bodyPr>
                  </wps:wsp>
                </a:graphicData>
              </a:graphic>
            </wp:anchor>
          </w:drawing>
        </mc:Choice>
        <mc:Fallback>
          <w:pict>
            <v:shape id="Textbox 16" o:spid="_x0000_s1026" o:spt="202" type="#_x0000_t202" style="position:absolute;left:0pt;margin-left:162.65pt;margin-top:42.9pt;height:11pt;width:182pt;mso-position-horizontal-relative:page;mso-position-vertical-relative:page;z-index:-251648000;mso-width-relative:page;mso-height-relative:page;" filled="f" stroked="f" coordsize="21600,21600" o:gfxdata="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fwYY2QAAAAoBAAAPAAAAAAAAAAEAIAAAACIAAABkcnMvZG93bnJldi54bWxQSwECFAAUAAAACACH&#10;TuJApM0OSLEBAAB2AwAADgAAAAAAAAABACAAAAAoAQAAZHJzL2Uyb0RvYy54bWxQSwUGAAAAAAYA&#10;BgBZAQAASwUAAAAA&#10;">
              <v:fill on="f" focussize="0,0"/>
              <v:stroke on="f"/>
              <v:imagedata o:title=""/>
              <o:lock v:ext="edit" aspectratio="f"/>
              <v:textbox inset="0mm,0mm,0mm,0mm">
                <w:txbxContent>
                  <w:p w14:paraId="3717AB02">
                    <w:pPr>
                      <w:spacing w:before="0" w:line="220" w:lineRule="exact"/>
                      <w:ind w:left="20" w:right="0" w:firstLine="0"/>
                      <w:jc w:val="left"/>
                      <w:rPr>
                        <w:sz w:val="18"/>
                      </w:rPr>
                    </w:pPr>
                    <w:r>
                      <w:rPr>
                        <w:sz w:val="18"/>
                      </w:rPr>
                      <w:t>湖北省建设工程工程量清单计价指引</w:t>
                    </w:r>
                    <w:r>
                      <w:rPr>
                        <w:spacing w:val="-2"/>
                        <w:sz w:val="18"/>
                      </w:rPr>
                      <w:t>（2026）</w:t>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98C2BA">
    <w:pPr>
      <w:pStyle w:val="4"/>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267B0C"/>
    <w:multiLevelType w:val="multilevel"/>
    <w:tmpl w:val="81267B0C"/>
    <w:lvl w:ilvl="0" w:tentative="0">
      <w:start w:val="1"/>
      <w:numFmt w:val="decimal"/>
      <w:lvlText w:val="（%1）"/>
      <w:lvlJc w:val="left"/>
      <w:pPr>
        <w:ind w:left="1416" w:hanging="610"/>
        <w:jc w:val="left"/>
      </w:pPr>
      <w:rPr>
        <w:rFonts w:hint="default" w:ascii="宋体" w:hAnsi="宋体" w:eastAsia="宋体" w:cs="宋体"/>
        <w:b w:val="0"/>
        <w:bCs w:val="0"/>
        <w:i w:val="0"/>
        <w:iCs w:val="0"/>
        <w:color w:val="0D0D0D"/>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abstractNum w:abstractNumId="1">
    <w:nsid w:val="9EC0C07A"/>
    <w:multiLevelType w:val="multilevel"/>
    <w:tmpl w:val="9EC0C07A"/>
    <w:lvl w:ilvl="0" w:tentative="0">
      <w:start w:val="1"/>
      <w:numFmt w:val="decimal"/>
      <w:lvlText w:val="（%1）"/>
      <w:lvlJc w:val="left"/>
      <w:pPr>
        <w:ind w:left="1416" w:hanging="610"/>
        <w:jc w:val="lef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abstractNum w:abstractNumId="2">
    <w:nsid w:val="9F231276"/>
    <w:multiLevelType w:val="multilevel"/>
    <w:tmpl w:val="9F231276"/>
    <w:lvl w:ilvl="0" w:tentative="0">
      <w:start w:val="1"/>
      <w:numFmt w:val="decimal"/>
      <w:lvlText w:val="（%1）"/>
      <w:lvlJc w:val="left"/>
      <w:pPr>
        <w:ind w:left="1132" w:hanging="610"/>
        <w:jc w:val="left"/>
      </w:pPr>
      <w:rPr>
        <w:rFonts w:hint="default" w:ascii="宋体" w:hAnsi="宋体" w:eastAsia="宋体" w:cs="宋体"/>
        <w:b w:val="0"/>
        <w:bCs w:val="0"/>
        <w:i w:val="0"/>
        <w:iCs w:val="0"/>
        <w:color w:val="0D0D0D"/>
        <w:spacing w:val="2"/>
        <w:w w:val="100"/>
        <w:sz w:val="22"/>
        <w:szCs w:val="22"/>
        <w:lang w:val="en-US" w:eastAsia="en-US" w:bidi="ar-SA"/>
      </w:rPr>
    </w:lvl>
    <w:lvl w:ilvl="1" w:tentative="0">
      <w:start w:val="0"/>
      <w:numFmt w:val="bullet"/>
      <w:lvlText w:val="•"/>
      <w:lvlJc w:val="left"/>
      <w:pPr>
        <w:ind w:left="2069" w:hanging="610"/>
      </w:pPr>
      <w:rPr>
        <w:rFonts w:hint="default"/>
        <w:lang w:val="en-US" w:eastAsia="en-US" w:bidi="ar-SA"/>
      </w:rPr>
    </w:lvl>
    <w:lvl w:ilvl="2" w:tentative="0">
      <w:start w:val="0"/>
      <w:numFmt w:val="bullet"/>
      <w:lvlText w:val="•"/>
      <w:lvlJc w:val="left"/>
      <w:pPr>
        <w:ind w:left="2998" w:hanging="610"/>
      </w:pPr>
      <w:rPr>
        <w:rFonts w:hint="default"/>
        <w:lang w:val="en-US" w:eastAsia="en-US" w:bidi="ar-SA"/>
      </w:rPr>
    </w:lvl>
    <w:lvl w:ilvl="3" w:tentative="0">
      <w:start w:val="0"/>
      <w:numFmt w:val="bullet"/>
      <w:lvlText w:val="•"/>
      <w:lvlJc w:val="left"/>
      <w:pPr>
        <w:ind w:left="3927" w:hanging="610"/>
      </w:pPr>
      <w:rPr>
        <w:rFonts w:hint="default"/>
        <w:lang w:val="en-US" w:eastAsia="en-US" w:bidi="ar-SA"/>
      </w:rPr>
    </w:lvl>
    <w:lvl w:ilvl="4" w:tentative="0">
      <w:start w:val="0"/>
      <w:numFmt w:val="bullet"/>
      <w:lvlText w:val="•"/>
      <w:lvlJc w:val="left"/>
      <w:pPr>
        <w:ind w:left="4856" w:hanging="610"/>
      </w:pPr>
      <w:rPr>
        <w:rFonts w:hint="default"/>
        <w:lang w:val="en-US" w:eastAsia="en-US" w:bidi="ar-SA"/>
      </w:rPr>
    </w:lvl>
    <w:lvl w:ilvl="5" w:tentative="0">
      <w:start w:val="0"/>
      <w:numFmt w:val="bullet"/>
      <w:lvlText w:val="•"/>
      <w:lvlJc w:val="left"/>
      <w:pPr>
        <w:ind w:left="5785" w:hanging="610"/>
      </w:pPr>
      <w:rPr>
        <w:rFonts w:hint="default"/>
        <w:lang w:val="en-US" w:eastAsia="en-US" w:bidi="ar-SA"/>
      </w:rPr>
    </w:lvl>
    <w:lvl w:ilvl="6" w:tentative="0">
      <w:start w:val="0"/>
      <w:numFmt w:val="bullet"/>
      <w:lvlText w:val="•"/>
      <w:lvlJc w:val="left"/>
      <w:pPr>
        <w:ind w:left="6714" w:hanging="610"/>
      </w:pPr>
      <w:rPr>
        <w:rFonts w:hint="default"/>
        <w:lang w:val="en-US" w:eastAsia="en-US" w:bidi="ar-SA"/>
      </w:rPr>
    </w:lvl>
    <w:lvl w:ilvl="7" w:tentative="0">
      <w:start w:val="0"/>
      <w:numFmt w:val="bullet"/>
      <w:lvlText w:val="•"/>
      <w:lvlJc w:val="left"/>
      <w:pPr>
        <w:ind w:left="7643" w:hanging="610"/>
      </w:pPr>
      <w:rPr>
        <w:rFonts w:hint="default"/>
        <w:lang w:val="en-US" w:eastAsia="en-US" w:bidi="ar-SA"/>
      </w:rPr>
    </w:lvl>
    <w:lvl w:ilvl="8" w:tentative="0">
      <w:start w:val="0"/>
      <w:numFmt w:val="bullet"/>
      <w:lvlText w:val="•"/>
      <w:lvlJc w:val="left"/>
      <w:pPr>
        <w:ind w:left="8572" w:hanging="610"/>
      </w:pPr>
      <w:rPr>
        <w:rFonts w:hint="default"/>
        <w:lang w:val="en-US" w:eastAsia="en-US" w:bidi="ar-SA"/>
      </w:rPr>
    </w:lvl>
  </w:abstractNum>
  <w:abstractNum w:abstractNumId="3">
    <w:nsid w:val="B1439BF0"/>
    <w:multiLevelType w:val="multilevel"/>
    <w:tmpl w:val="B1439BF0"/>
    <w:lvl w:ilvl="0" w:tentative="0">
      <w:start w:val="1"/>
      <w:numFmt w:val="decimal"/>
      <w:lvlText w:val="%1."/>
      <w:lvlJc w:val="left"/>
      <w:pPr>
        <w:ind w:left="1853" w:hanging="241"/>
        <w:jc w:val="right"/>
      </w:pPr>
      <w:rPr>
        <w:rFonts w:hint="default" w:ascii="宋体" w:hAnsi="宋体" w:eastAsia="宋体" w:cs="宋体"/>
        <w:b w:val="0"/>
        <w:bCs w:val="0"/>
        <w:i w:val="0"/>
        <w:iCs w:val="0"/>
        <w:spacing w:val="0"/>
        <w:w w:val="99"/>
        <w:sz w:val="22"/>
        <w:szCs w:val="22"/>
        <w:lang w:val="en-US" w:eastAsia="en-US" w:bidi="ar-SA"/>
      </w:rPr>
    </w:lvl>
    <w:lvl w:ilvl="1" w:tentative="0">
      <w:start w:val="1"/>
      <w:numFmt w:val="decimal"/>
      <w:lvlText w:val="%2."/>
      <w:lvlJc w:val="left"/>
      <w:pPr>
        <w:ind w:left="2137" w:hanging="241"/>
        <w:jc w:val="left"/>
      </w:pPr>
      <w:rPr>
        <w:rFonts w:hint="default" w:ascii="宋体" w:hAnsi="宋体" w:eastAsia="宋体" w:cs="宋体"/>
        <w:b w:val="0"/>
        <w:bCs w:val="0"/>
        <w:i w:val="0"/>
        <w:iCs w:val="0"/>
        <w:spacing w:val="0"/>
        <w:w w:val="99"/>
        <w:sz w:val="22"/>
        <w:szCs w:val="22"/>
        <w:lang w:val="en-US" w:eastAsia="en-US" w:bidi="ar-SA"/>
      </w:rPr>
    </w:lvl>
    <w:lvl w:ilvl="2" w:tentative="0">
      <w:start w:val="0"/>
      <w:numFmt w:val="bullet"/>
      <w:lvlText w:val="•"/>
      <w:lvlJc w:val="left"/>
      <w:pPr>
        <w:ind w:left="3061" w:hanging="241"/>
      </w:pPr>
      <w:rPr>
        <w:rFonts w:hint="default"/>
        <w:lang w:val="en-US" w:eastAsia="en-US" w:bidi="ar-SA"/>
      </w:rPr>
    </w:lvl>
    <w:lvl w:ilvl="3" w:tentative="0">
      <w:start w:val="0"/>
      <w:numFmt w:val="bullet"/>
      <w:lvlText w:val="•"/>
      <w:lvlJc w:val="left"/>
      <w:pPr>
        <w:ind w:left="3982" w:hanging="241"/>
      </w:pPr>
      <w:rPr>
        <w:rFonts w:hint="default"/>
        <w:lang w:val="en-US" w:eastAsia="en-US" w:bidi="ar-SA"/>
      </w:rPr>
    </w:lvl>
    <w:lvl w:ilvl="4" w:tentative="0">
      <w:start w:val="0"/>
      <w:numFmt w:val="bullet"/>
      <w:lvlText w:val="•"/>
      <w:lvlJc w:val="left"/>
      <w:pPr>
        <w:ind w:left="4903" w:hanging="241"/>
      </w:pPr>
      <w:rPr>
        <w:rFonts w:hint="default"/>
        <w:lang w:val="en-US" w:eastAsia="en-US" w:bidi="ar-SA"/>
      </w:rPr>
    </w:lvl>
    <w:lvl w:ilvl="5" w:tentative="0">
      <w:start w:val="0"/>
      <w:numFmt w:val="bullet"/>
      <w:lvlText w:val="•"/>
      <w:lvlJc w:val="left"/>
      <w:pPr>
        <w:ind w:left="5824" w:hanging="241"/>
      </w:pPr>
      <w:rPr>
        <w:rFonts w:hint="default"/>
        <w:lang w:val="en-US" w:eastAsia="en-US" w:bidi="ar-SA"/>
      </w:rPr>
    </w:lvl>
    <w:lvl w:ilvl="6" w:tentative="0">
      <w:start w:val="0"/>
      <w:numFmt w:val="bullet"/>
      <w:lvlText w:val="•"/>
      <w:lvlJc w:val="left"/>
      <w:pPr>
        <w:ind w:left="6746" w:hanging="241"/>
      </w:pPr>
      <w:rPr>
        <w:rFonts w:hint="default"/>
        <w:lang w:val="en-US" w:eastAsia="en-US" w:bidi="ar-SA"/>
      </w:rPr>
    </w:lvl>
    <w:lvl w:ilvl="7" w:tentative="0">
      <w:start w:val="0"/>
      <w:numFmt w:val="bullet"/>
      <w:lvlText w:val="•"/>
      <w:lvlJc w:val="left"/>
      <w:pPr>
        <w:ind w:left="7667" w:hanging="241"/>
      </w:pPr>
      <w:rPr>
        <w:rFonts w:hint="default"/>
        <w:lang w:val="en-US" w:eastAsia="en-US" w:bidi="ar-SA"/>
      </w:rPr>
    </w:lvl>
    <w:lvl w:ilvl="8" w:tentative="0">
      <w:start w:val="0"/>
      <w:numFmt w:val="bullet"/>
      <w:lvlText w:val="•"/>
      <w:lvlJc w:val="left"/>
      <w:pPr>
        <w:ind w:left="8588" w:hanging="241"/>
      </w:pPr>
      <w:rPr>
        <w:rFonts w:hint="default"/>
        <w:lang w:val="en-US" w:eastAsia="en-US" w:bidi="ar-SA"/>
      </w:rPr>
    </w:lvl>
  </w:abstractNum>
  <w:abstractNum w:abstractNumId="4">
    <w:nsid w:val="B3378135"/>
    <w:multiLevelType w:val="multilevel"/>
    <w:tmpl w:val="B3378135"/>
    <w:lvl w:ilvl="0" w:tentative="0">
      <w:start w:val="1"/>
      <w:numFmt w:val="decimal"/>
      <w:lvlText w:val="%1."/>
      <w:lvlJc w:val="left"/>
      <w:pPr>
        <w:ind w:left="2137" w:hanging="241"/>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969" w:hanging="241"/>
      </w:pPr>
      <w:rPr>
        <w:rFonts w:hint="default"/>
        <w:lang w:val="en-US" w:eastAsia="en-US" w:bidi="ar-SA"/>
      </w:rPr>
    </w:lvl>
    <w:lvl w:ilvl="2" w:tentative="0">
      <w:start w:val="0"/>
      <w:numFmt w:val="bullet"/>
      <w:lvlText w:val="•"/>
      <w:lvlJc w:val="left"/>
      <w:pPr>
        <w:ind w:left="3798" w:hanging="241"/>
      </w:pPr>
      <w:rPr>
        <w:rFonts w:hint="default"/>
        <w:lang w:val="en-US" w:eastAsia="en-US" w:bidi="ar-SA"/>
      </w:rPr>
    </w:lvl>
    <w:lvl w:ilvl="3" w:tentative="0">
      <w:start w:val="0"/>
      <w:numFmt w:val="bullet"/>
      <w:lvlText w:val="•"/>
      <w:lvlJc w:val="left"/>
      <w:pPr>
        <w:ind w:left="4627" w:hanging="241"/>
      </w:pPr>
      <w:rPr>
        <w:rFonts w:hint="default"/>
        <w:lang w:val="en-US" w:eastAsia="en-US" w:bidi="ar-SA"/>
      </w:rPr>
    </w:lvl>
    <w:lvl w:ilvl="4" w:tentative="0">
      <w:start w:val="0"/>
      <w:numFmt w:val="bullet"/>
      <w:lvlText w:val="•"/>
      <w:lvlJc w:val="left"/>
      <w:pPr>
        <w:ind w:left="5456" w:hanging="241"/>
      </w:pPr>
      <w:rPr>
        <w:rFonts w:hint="default"/>
        <w:lang w:val="en-US" w:eastAsia="en-US" w:bidi="ar-SA"/>
      </w:rPr>
    </w:lvl>
    <w:lvl w:ilvl="5" w:tentative="0">
      <w:start w:val="0"/>
      <w:numFmt w:val="bullet"/>
      <w:lvlText w:val="•"/>
      <w:lvlJc w:val="left"/>
      <w:pPr>
        <w:ind w:left="6285" w:hanging="241"/>
      </w:pPr>
      <w:rPr>
        <w:rFonts w:hint="default"/>
        <w:lang w:val="en-US" w:eastAsia="en-US" w:bidi="ar-SA"/>
      </w:rPr>
    </w:lvl>
    <w:lvl w:ilvl="6" w:tentative="0">
      <w:start w:val="0"/>
      <w:numFmt w:val="bullet"/>
      <w:lvlText w:val="•"/>
      <w:lvlJc w:val="left"/>
      <w:pPr>
        <w:ind w:left="7114" w:hanging="241"/>
      </w:pPr>
      <w:rPr>
        <w:rFonts w:hint="default"/>
        <w:lang w:val="en-US" w:eastAsia="en-US" w:bidi="ar-SA"/>
      </w:rPr>
    </w:lvl>
    <w:lvl w:ilvl="7" w:tentative="0">
      <w:start w:val="0"/>
      <w:numFmt w:val="bullet"/>
      <w:lvlText w:val="•"/>
      <w:lvlJc w:val="left"/>
      <w:pPr>
        <w:ind w:left="7943" w:hanging="241"/>
      </w:pPr>
      <w:rPr>
        <w:rFonts w:hint="default"/>
        <w:lang w:val="en-US" w:eastAsia="en-US" w:bidi="ar-SA"/>
      </w:rPr>
    </w:lvl>
    <w:lvl w:ilvl="8" w:tentative="0">
      <w:start w:val="0"/>
      <w:numFmt w:val="bullet"/>
      <w:lvlText w:val="•"/>
      <w:lvlJc w:val="left"/>
      <w:pPr>
        <w:ind w:left="8772" w:hanging="241"/>
      </w:pPr>
      <w:rPr>
        <w:rFonts w:hint="default"/>
        <w:lang w:val="en-US" w:eastAsia="en-US" w:bidi="ar-SA"/>
      </w:rPr>
    </w:lvl>
  </w:abstractNum>
  <w:abstractNum w:abstractNumId="5">
    <w:nsid w:val="BA0F7A78"/>
    <w:multiLevelType w:val="multilevel"/>
    <w:tmpl w:val="BA0F7A78"/>
    <w:lvl w:ilvl="0" w:tentative="0">
      <w:start w:val="1"/>
      <w:numFmt w:val="decimal"/>
      <w:lvlText w:val="%1."/>
      <w:lvlJc w:val="left"/>
      <w:pPr>
        <w:ind w:left="1853" w:hanging="241"/>
        <w:jc w:val="right"/>
      </w:pPr>
      <w:rPr>
        <w:rFonts w:hint="default"/>
        <w:spacing w:val="0"/>
        <w:w w:val="91"/>
        <w:lang w:val="en-US" w:eastAsia="en-US" w:bidi="ar-SA"/>
      </w:rPr>
    </w:lvl>
    <w:lvl w:ilvl="1" w:tentative="0">
      <w:start w:val="0"/>
      <w:numFmt w:val="bullet"/>
      <w:lvlText w:val="•"/>
      <w:lvlJc w:val="left"/>
      <w:pPr>
        <w:ind w:left="2717" w:hanging="241"/>
      </w:pPr>
      <w:rPr>
        <w:rFonts w:hint="default"/>
        <w:lang w:val="en-US" w:eastAsia="en-US" w:bidi="ar-SA"/>
      </w:rPr>
    </w:lvl>
    <w:lvl w:ilvl="2" w:tentative="0">
      <w:start w:val="0"/>
      <w:numFmt w:val="bullet"/>
      <w:lvlText w:val="•"/>
      <w:lvlJc w:val="left"/>
      <w:pPr>
        <w:ind w:left="3574" w:hanging="241"/>
      </w:pPr>
      <w:rPr>
        <w:rFonts w:hint="default"/>
        <w:lang w:val="en-US" w:eastAsia="en-US" w:bidi="ar-SA"/>
      </w:rPr>
    </w:lvl>
    <w:lvl w:ilvl="3" w:tentative="0">
      <w:start w:val="0"/>
      <w:numFmt w:val="bullet"/>
      <w:lvlText w:val="•"/>
      <w:lvlJc w:val="left"/>
      <w:pPr>
        <w:ind w:left="4431" w:hanging="241"/>
      </w:pPr>
      <w:rPr>
        <w:rFonts w:hint="default"/>
        <w:lang w:val="en-US" w:eastAsia="en-US" w:bidi="ar-SA"/>
      </w:rPr>
    </w:lvl>
    <w:lvl w:ilvl="4" w:tentative="0">
      <w:start w:val="0"/>
      <w:numFmt w:val="bullet"/>
      <w:lvlText w:val="•"/>
      <w:lvlJc w:val="left"/>
      <w:pPr>
        <w:ind w:left="5288" w:hanging="241"/>
      </w:pPr>
      <w:rPr>
        <w:rFonts w:hint="default"/>
        <w:lang w:val="en-US" w:eastAsia="en-US" w:bidi="ar-SA"/>
      </w:rPr>
    </w:lvl>
    <w:lvl w:ilvl="5" w:tentative="0">
      <w:start w:val="0"/>
      <w:numFmt w:val="bullet"/>
      <w:lvlText w:val="•"/>
      <w:lvlJc w:val="left"/>
      <w:pPr>
        <w:ind w:left="6145" w:hanging="241"/>
      </w:pPr>
      <w:rPr>
        <w:rFonts w:hint="default"/>
        <w:lang w:val="en-US" w:eastAsia="en-US" w:bidi="ar-SA"/>
      </w:rPr>
    </w:lvl>
    <w:lvl w:ilvl="6" w:tentative="0">
      <w:start w:val="0"/>
      <w:numFmt w:val="bullet"/>
      <w:lvlText w:val="•"/>
      <w:lvlJc w:val="left"/>
      <w:pPr>
        <w:ind w:left="7002" w:hanging="241"/>
      </w:pPr>
      <w:rPr>
        <w:rFonts w:hint="default"/>
        <w:lang w:val="en-US" w:eastAsia="en-US" w:bidi="ar-SA"/>
      </w:rPr>
    </w:lvl>
    <w:lvl w:ilvl="7" w:tentative="0">
      <w:start w:val="0"/>
      <w:numFmt w:val="bullet"/>
      <w:lvlText w:val="•"/>
      <w:lvlJc w:val="left"/>
      <w:pPr>
        <w:ind w:left="7859" w:hanging="241"/>
      </w:pPr>
      <w:rPr>
        <w:rFonts w:hint="default"/>
        <w:lang w:val="en-US" w:eastAsia="en-US" w:bidi="ar-SA"/>
      </w:rPr>
    </w:lvl>
    <w:lvl w:ilvl="8" w:tentative="0">
      <w:start w:val="0"/>
      <w:numFmt w:val="bullet"/>
      <w:lvlText w:val="•"/>
      <w:lvlJc w:val="left"/>
      <w:pPr>
        <w:ind w:left="8716" w:hanging="241"/>
      </w:pPr>
      <w:rPr>
        <w:rFonts w:hint="default"/>
        <w:lang w:val="en-US" w:eastAsia="en-US" w:bidi="ar-SA"/>
      </w:rPr>
    </w:lvl>
  </w:abstractNum>
  <w:abstractNum w:abstractNumId="6">
    <w:nsid w:val="BA26C20B"/>
    <w:multiLevelType w:val="multilevel"/>
    <w:tmpl w:val="BA26C20B"/>
    <w:lvl w:ilvl="0" w:tentative="0">
      <w:start w:val="1"/>
      <w:numFmt w:val="decimal"/>
      <w:lvlText w:val="（%1）"/>
      <w:lvlJc w:val="left"/>
      <w:pPr>
        <w:ind w:left="1416" w:hanging="608"/>
        <w:jc w:val="right"/>
      </w:pPr>
      <w:rPr>
        <w:rFonts w:hint="default" w:ascii="宋体" w:hAnsi="宋体" w:eastAsia="宋体" w:cs="宋体"/>
        <w:b w:val="0"/>
        <w:bCs w:val="0"/>
        <w:i w:val="0"/>
        <w:iCs w:val="0"/>
        <w:color w:val="0D0D0D"/>
        <w:spacing w:val="2"/>
        <w:w w:val="100"/>
        <w:sz w:val="22"/>
        <w:szCs w:val="22"/>
        <w:lang w:val="en-US" w:eastAsia="en-US" w:bidi="ar-SA"/>
      </w:rPr>
    </w:lvl>
    <w:lvl w:ilvl="1" w:tentative="0">
      <w:start w:val="0"/>
      <w:numFmt w:val="bullet"/>
      <w:lvlText w:val="•"/>
      <w:lvlJc w:val="left"/>
      <w:pPr>
        <w:ind w:left="2321" w:hanging="608"/>
      </w:pPr>
      <w:rPr>
        <w:rFonts w:hint="default"/>
        <w:lang w:val="en-US" w:eastAsia="en-US" w:bidi="ar-SA"/>
      </w:rPr>
    </w:lvl>
    <w:lvl w:ilvl="2" w:tentative="0">
      <w:start w:val="0"/>
      <w:numFmt w:val="bullet"/>
      <w:lvlText w:val="•"/>
      <w:lvlJc w:val="left"/>
      <w:pPr>
        <w:ind w:left="3222" w:hanging="608"/>
      </w:pPr>
      <w:rPr>
        <w:rFonts w:hint="default"/>
        <w:lang w:val="en-US" w:eastAsia="en-US" w:bidi="ar-SA"/>
      </w:rPr>
    </w:lvl>
    <w:lvl w:ilvl="3" w:tentative="0">
      <w:start w:val="0"/>
      <w:numFmt w:val="bullet"/>
      <w:lvlText w:val="•"/>
      <w:lvlJc w:val="left"/>
      <w:pPr>
        <w:ind w:left="4123" w:hanging="608"/>
      </w:pPr>
      <w:rPr>
        <w:rFonts w:hint="default"/>
        <w:lang w:val="en-US" w:eastAsia="en-US" w:bidi="ar-SA"/>
      </w:rPr>
    </w:lvl>
    <w:lvl w:ilvl="4" w:tentative="0">
      <w:start w:val="0"/>
      <w:numFmt w:val="bullet"/>
      <w:lvlText w:val="•"/>
      <w:lvlJc w:val="left"/>
      <w:pPr>
        <w:ind w:left="5024" w:hanging="608"/>
      </w:pPr>
      <w:rPr>
        <w:rFonts w:hint="default"/>
        <w:lang w:val="en-US" w:eastAsia="en-US" w:bidi="ar-SA"/>
      </w:rPr>
    </w:lvl>
    <w:lvl w:ilvl="5" w:tentative="0">
      <w:start w:val="0"/>
      <w:numFmt w:val="bullet"/>
      <w:lvlText w:val="•"/>
      <w:lvlJc w:val="left"/>
      <w:pPr>
        <w:ind w:left="5925" w:hanging="608"/>
      </w:pPr>
      <w:rPr>
        <w:rFonts w:hint="default"/>
        <w:lang w:val="en-US" w:eastAsia="en-US" w:bidi="ar-SA"/>
      </w:rPr>
    </w:lvl>
    <w:lvl w:ilvl="6" w:tentative="0">
      <w:start w:val="0"/>
      <w:numFmt w:val="bullet"/>
      <w:lvlText w:val="•"/>
      <w:lvlJc w:val="left"/>
      <w:pPr>
        <w:ind w:left="6826" w:hanging="608"/>
      </w:pPr>
      <w:rPr>
        <w:rFonts w:hint="default"/>
        <w:lang w:val="en-US" w:eastAsia="en-US" w:bidi="ar-SA"/>
      </w:rPr>
    </w:lvl>
    <w:lvl w:ilvl="7" w:tentative="0">
      <w:start w:val="0"/>
      <w:numFmt w:val="bullet"/>
      <w:lvlText w:val="•"/>
      <w:lvlJc w:val="left"/>
      <w:pPr>
        <w:ind w:left="7727" w:hanging="608"/>
      </w:pPr>
      <w:rPr>
        <w:rFonts w:hint="default"/>
        <w:lang w:val="en-US" w:eastAsia="en-US" w:bidi="ar-SA"/>
      </w:rPr>
    </w:lvl>
    <w:lvl w:ilvl="8" w:tentative="0">
      <w:start w:val="0"/>
      <w:numFmt w:val="bullet"/>
      <w:lvlText w:val="•"/>
      <w:lvlJc w:val="left"/>
      <w:pPr>
        <w:ind w:left="8628" w:hanging="608"/>
      </w:pPr>
      <w:rPr>
        <w:rFonts w:hint="default"/>
        <w:lang w:val="en-US" w:eastAsia="en-US" w:bidi="ar-SA"/>
      </w:rPr>
    </w:lvl>
  </w:abstractNum>
  <w:abstractNum w:abstractNumId="7">
    <w:nsid w:val="CA629AD9"/>
    <w:multiLevelType w:val="multilevel"/>
    <w:tmpl w:val="CA629AD9"/>
    <w:lvl w:ilvl="0" w:tentative="0">
      <w:start w:val="1"/>
      <w:numFmt w:val="decimal"/>
      <w:lvlText w:val="%1."/>
      <w:lvlJc w:val="left"/>
      <w:pPr>
        <w:ind w:left="2137" w:hanging="241"/>
        <w:jc w:val="left"/>
      </w:pPr>
      <w:rPr>
        <w:rFonts w:hint="default" w:ascii="宋体" w:hAnsi="宋体" w:eastAsia="宋体" w:cs="宋体"/>
        <w:b w:val="0"/>
        <w:bCs w:val="0"/>
        <w:i w:val="0"/>
        <w:iCs w:val="0"/>
        <w:color w:val="0D0D0D"/>
        <w:spacing w:val="0"/>
        <w:w w:val="99"/>
        <w:sz w:val="22"/>
        <w:szCs w:val="22"/>
        <w:lang w:val="en-US" w:eastAsia="en-US" w:bidi="ar-SA"/>
      </w:rPr>
    </w:lvl>
    <w:lvl w:ilvl="1" w:tentative="0">
      <w:start w:val="0"/>
      <w:numFmt w:val="bullet"/>
      <w:lvlText w:val="•"/>
      <w:lvlJc w:val="left"/>
      <w:pPr>
        <w:ind w:left="2969" w:hanging="241"/>
      </w:pPr>
      <w:rPr>
        <w:rFonts w:hint="default"/>
        <w:lang w:val="en-US" w:eastAsia="en-US" w:bidi="ar-SA"/>
      </w:rPr>
    </w:lvl>
    <w:lvl w:ilvl="2" w:tentative="0">
      <w:start w:val="0"/>
      <w:numFmt w:val="bullet"/>
      <w:lvlText w:val="•"/>
      <w:lvlJc w:val="left"/>
      <w:pPr>
        <w:ind w:left="3798" w:hanging="241"/>
      </w:pPr>
      <w:rPr>
        <w:rFonts w:hint="default"/>
        <w:lang w:val="en-US" w:eastAsia="en-US" w:bidi="ar-SA"/>
      </w:rPr>
    </w:lvl>
    <w:lvl w:ilvl="3" w:tentative="0">
      <w:start w:val="0"/>
      <w:numFmt w:val="bullet"/>
      <w:lvlText w:val="•"/>
      <w:lvlJc w:val="left"/>
      <w:pPr>
        <w:ind w:left="4627" w:hanging="241"/>
      </w:pPr>
      <w:rPr>
        <w:rFonts w:hint="default"/>
        <w:lang w:val="en-US" w:eastAsia="en-US" w:bidi="ar-SA"/>
      </w:rPr>
    </w:lvl>
    <w:lvl w:ilvl="4" w:tentative="0">
      <w:start w:val="0"/>
      <w:numFmt w:val="bullet"/>
      <w:lvlText w:val="•"/>
      <w:lvlJc w:val="left"/>
      <w:pPr>
        <w:ind w:left="5456" w:hanging="241"/>
      </w:pPr>
      <w:rPr>
        <w:rFonts w:hint="default"/>
        <w:lang w:val="en-US" w:eastAsia="en-US" w:bidi="ar-SA"/>
      </w:rPr>
    </w:lvl>
    <w:lvl w:ilvl="5" w:tentative="0">
      <w:start w:val="0"/>
      <w:numFmt w:val="bullet"/>
      <w:lvlText w:val="•"/>
      <w:lvlJc w:val="left"/>
      <w:pPr>
        <w:ind w:left="6285" w:hanging="241"/>
      </w:pPr>
      <w:rPr>
        <w:rFonts w:hint="default"/>
        <w:lang w:val="en-US" w:eastAsia="en-US" w:bidi="ar-SA"/>
      </w:rPr>
    </w:lvl>
    <w:lvl w:ilvl="6" w:tentative="0">
      <w:start w:val="0"/>
      <w:numFmt w:val="bullet"/>
      <w:lvlText w:val="•"/>
      <w:lvlJc w:val="left"/>
      <w:pPr>
        <w:ind w:left="7114" w:hanging="241"/>
      </w:pPr>
      <w:rPr>
        <w:rFonts w:hint="default"/>
        <w:lang w:val="en-US" w:eastAsia="en-US" w:bidi="ar-SA"/>
      </w:rPr>
    </w:lvl>
    <w:lvl w:ilvl="7" w:tentative="0">
      <w:start w:val="0"/>
      <w:numFmt w:val="bullet"/>
      <w:lvlText w:val="•"/>
      <w:lvlJc w:val="left"/>
      <w:pPr>
        <w:ind w:left="7943" w:hanging="241"/>
      </w:pPr>
      <w:rPr>
        <w:rFonts w:hint="default"/>
        <w:lang w:val="en-US" w:eastAsia="en-US" w:bidi="ar-SA"/>
      </w:rPr>
    </w:lvl>
    <w:lvl w:ilvl="8" w:tentative="0">
      <w:start w:val="0"/>
      <w:numFmt w:val="bullet"/>
      <w:lvlText w:val="•"/>
      <w:lvlJc w:val="left"/>
      <w:pPr>
        <w:ind w:left="8772" w:hanging="241"/>
      </w:pPr>
      <w:rPr>
        <w:rFonts w:hint="default"/>
        <w:lang w:val="en-US" w:eastAsia="en-US" w:bidi="ar-SA"/>
      </w:rPr>
    </w:lvl>
  </w:abstractNum>
  <w:abstractNum w:abstractNumId="8">
    <w:nsid w:val="D26FEDCE"/>
    <w:multiLevelType w:val="multilevel"/>
    <w:tmpl w:val="D26FEDCE"/>
    <w:lvl w:ilvl="0" w:tentative="0">
      <w:start w:val="1"/>
      <w:numFmt w:val="decimal"/>
      <w:lvlText w:val="%1."/>
      <w:lvlJc w:val="left"/>
      <w:pPr>
        <w:ind w:left="1416" w:hanging="243"/>
        <w:jc w:val="right"/>
      </w:pPr>
      <w:rPr>
        <w:rFonts w:hint="default" w:ascii="宋体" w:hAnsi="宋体" w:eastAsia="宋体" w:cs="宋体"/>
        <w:b w:val="0"/>
        <w:bCs w:val="0"/>
        <w:i w:val="0"/>
        <w:iCs w:val="0"/>
        <w:spacing w:val="0"/>
        <w:w w:val="95"/>
        <w:sz w:val="22"/>
        <w:szCs w:val="22"/>
        <w:lang w:val="en-US" w:eastAsia="en-US" w:bidi="ar-SA"/>
      </w:rPr>
    </w:lvl>
    <w:lvl w:ilvl="1" w:tentative="0">
      <w:start w:val="0"/>
      <w:numFmt w:val="bullet"/>
      <w:lvlText w:val="•"/>
      <w:lvlJc w:val="left"/>
      <w:pPr>
        <w:ind w:left="2321" w:hanging="243"/>
      </w:pPr>
      <w:rPr>
        <w:rFonts w:hint="default"/>
        <w:lang w:val="en-US" w:eastAsia="en-US" w:bidi="ar-SA"/>
      </w:rPr>
    </w:lvl>
    <w:lvl w:ilvl="2" w:tentative="0">
      <w:start w:val="0"/>
      <w:numFmt w:val="bullet"/>
      <w:lvlText w:val="•"/>
      <w:lvlJc w:val="left"/>
      <w:pPr>
        <w:ind w:left="3222" w:hanging="243"/>
      </w:pPr>
      <w:rPr>
        <w:rFonts w:hint="default"/>
        <w:lang w:val="en-US" w:eastAsia="en-US" w:bidi="ar-SA"/>
      </w:rPr>
    </w:lvl>
    <w:lvl w:ilvl="3" w:tentative="0">
      <w:start w:val="0"/>
      <w:numFmt w:val="bullet"/>
      <w:lvlText w:val="•"/>
      <w:lvlJc w:val="left"/>
      <w:pPr>
        <w:ind w:left="4123" w:hanging="243"/>
      </w:pPr>
      <w:rPr>
        <w:rFonts w:hint="default"/>
        <w:lang w:val="en-US" w:eastAsia="en-US" w:bidi="ar-SA"/>
      </w:rPr>
    </w:lvl>
    <w:lvl w:ilvl="4" w:tentative="0">
      <w:start w:val="0"/>
      <w:numFmt w:val="bullet"/>
      <w:lvlText w:val="•"/>
      <w:lvlJc w:val="left"/>
      <w:pPr>
        <w:ind w:left="5024" w:hanging="243"/>
      </w:pPr>
      <w:rPr>
        <w:rFonts w:hint="default"/>
        <w:lang w:val="en-US" w:eastAsia="en-US" w:bidi="ar-SA"/>
      </w:rPr>
    </w:lvl>
    <w:lvl w:ilvl="5" w:tentative="0">
      <w:start w:val="0"/>
      <w:numFmt w:val="bullet"/>
      <w:lvlText w:val="•"/>
      <w:lvlJc w:val="left"/>
      <w:pPr>
        <w:ind w:left="5925" w:hanging="243"/>
      </w:pPr>
      <w:rPr>
        <w:rFonts w:hint="default"/>
        <w:lang w:val="en-US" w:eastAsia="en-US" w:bidi="ar-SA"/>
      </w:rPr>
    </w:lvl>
    <w:lvl w:ilvl="6" w:tentative="0">
      <w:start w:val="0"/>
      <w:numFmt w:val="bullet"/>
      <w:lvlText w:val="•"/>
      <w:lvlJc w:val="left"/>
      <w:pPr>
        <w:ind w:left="6826" w:hanging="243"/>
      </w:pPr>
      <w:rPr>
        <w:rFonts w:hint="default"/>
        <w:lang w:val="en-US" w:eastAsia="en-US" w:bidi="ar-SA"/>
      </w:rPr>
    </w:lvl>
    <w:lvl w:ilvl="7" w:tentative="0">
      <w:start w:val="0"/>
      <w:numFmt w:val="bullet"/>
      <w:lvlText w:val="•"/>
      <w:lvlJc w:val="left"/>
      <w:pPr>
        <w:ind w:left="7727" w:hanging="243"/>
      </w:pPr>
      <w:rPr>
        <w:rFonts w:hint="default"/>
        <w:lang w:val="en-US" w:eastAsia="en-US" w:bidi="ar-SA"/>
      </w:rPr>
    </w:lvl>
    <w:lvl w:ilvl="8" w:tentative="0">
      <w:start w:val="0"/>
      <w:numFmt w:val="bullet"/>
      <w:lvlText w:val="•"/>
      <w:lvlJc w:val="left"/>
      <w:pPr>
        <w:ind w:left="8628" w:hanging="243"/>
      </w:pPr>
      <w:rPr>
        <w:rFonts w:hint="default"/>
        <w:lang w:val="en-US" w:eastAsia="en-US" w:bidi="ar-SA"/>
      </w:rPr>
    </w:lvl>
  </w:abstractNum>
  <w:abstractNum w:abstractNumId="9">
    <w:nsid w:val="DE4F5CFF"/>
    <w:multiLevelType w:val="multilevel"/>
    <w:tmpl w:val="DE4F5CFF"/>
    <w:lvl w:ilvl="0" w:tentative="0">
      <w:start w:val="1"/>
      <w:numFmt w:val="decimal"/>
      <w:lvlText w:val="（%1）"/>
      <w:lvlJc w:val="left"/>
      <w:pPr>
        <w:ind w:left="1132" w:hanging="610"/>
        <w:jc w:val="lef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069" w:hanging="610"/>
      </w:pPr>
      <w:rPr>
        <w:rFonts w:hint="default"/>
        <w:lang w:val="en-US" w:eastAsia="en-US" w:bidi="ar-SA"/>
      </w:rPr>
    </w:lvl>
    <w:lvl w:ilvl="2" w:tentative="0">
      <w:start w:val="0"/>
      <w:numFmt w:val="bullet"/>
      <w:lvlText w:val="•"/>
      <w:lvlJc w:val="left"/>
      <w:pPr>
        <w:ind w:left="2998" w:hanging="610"/>
      </w:pPr>
      <w:rPr>
        <w:rFonts w:hint="default"/>
        <w:lang w:val="en-US" w:eastAsia="en-US" w:bidi="ar-SA"/>
      </w:rPr>
    </w:lvl>
    <w:lvl w:ilvl="3" w:tentative="0">
      <w:start w:val="0"/>
      <w:numFmt w:val="bullet"/>
      <w:lvlText w:val="•"/>
      <w:lvlJc w:val="left"/>
      <w:pPr>
        <w:ind w:left="3927" w:hanging="610"/>
      </w:pPr>
      <w:rPr>
        <w:rFonts w:hint="default"/>
        <w:lang w:val="en-US" w:eastAsia="en-US" w:bidi="ar-SA"/>
      </w:rPr>
    </w:lvl>
    <w:lvl w:ilvl="4" w:tentative="0">
      <w:start w:val="0"/>
      <w:numFmt w:val="bullet"/>
      <w:lvlText w:val="•"/>
      <w:lvlJc w:val="left"/>
      <w:pPr>
        <w:ind w:left="4856" w:hanging="610"/>
      </w:pPr>
      <w:rPr>
        <w:rFonts w:hint="default"/>
        <w:lang w:val="en-US" w:eastAsia="en-US" w:bidi="ar-SA"/>
      </w:rPr>
    </w:lvl>
    <w:lvl w:ilvl="5" w:tentative="0">
      <w:start w:val="0"/>
      <w:numFmt w:val="bullet"/>
      <w:lvlText w:val="•"/>
      <w:lvlJc w:val="left"/>
      <w:pPr>
        <w:ind w:left="5785" w:hanging="610"/>
      </w:pPr>
      <w:rPr>
        <w:rFonts w:hint="default"/>
        <w:lang w:val="en-US" w:eastAsia="en-US" w:bidi="ar-SA"/>
      </w:rPr>
    </w:lvl>
    <w:lvl w:ilvl="6" w:tentative="0">
      <w:start w:val="0"/>
      <w:numFmt w:val="bullet"/>
      <w:lvlText w:val="•"/>
      <w:lvlJc w:val="left"/>
      <w:pPr>
        <w:ind w:left="6714" w:hanging="610"/>
      </w:pPr>
      <w:rPr>
        <w:rFonts w:hint="default"/>
        <w:lang w:val="en-US" w:eastAsia="en-US" w:bidi="ar-SA"/>
      </w:rPr>
    </w:lvl>
    <w:lvl w:ilvl="7" w:tentative="0">
      <w:start w:val="0"/>
      <w:numFmt w:val="bullet"/>
      <w:lvlText w:val="•"/>
      <w:lvlJc w:val="left"/>
      <w:pPr>
        <w:ind w:left="7643" w:hanging="610"/>
      </w:pPr>
      <w:rPr>
        <w:rFonts w:hint="default"/>
        <w:lang w:val="en-US" w:eastAsia="en-US" w:bidi="ar-SA"/>
      </w:rPr>
    </w:lvl>
    <w:lvl w:ilvl="8" w:tentative="0">
      <w:start w:val="0"/>
      <w:numFmt w:val="bullet"/>
      <w:lvlText w:val="•"/>
      <w:lvlJc w:val="left"/>
      <w:pPr>
        <w:ind w:left="8572" w:hanging="610"/>
      </w:pPr>
      <w:rPr>
        <w:rFonts w:hint="default"/>
        <w:lang w:val="en-US" w:eastAsia="en-US" w:bidi="ar-SA"/>
      </w:rPr>
    </w:lvl>
  </w:abstractNum>
  <w:abstractNum w:abstractNumId="10">
    <w:nsid w:val="EAD375A5"/>
    <w:multiLevelType w:val="multilevel"/>
    <w:tmpl w:val="EAD375A5"/>
    <w:lvl w:ilvl="0" w:tentative="0">
      <w:start w:val="1"/>
      <w:numFmt w:val="decimal"/>
      <w:lvlText w:val="%1."/>
      <w:lvlJc w:val="left"/>
      <w:pPr>
        <w:ind w:left="1416" w:hanging="248"/>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321" w:hanging="248"/>
      </w:pPr>
      <w:rPr>
        <w:rFonts w:hint="default"/>
        <w:lang w:val="en-US" w:eastAsia="en-US" w:bidi="ar-SA"/>
      </w:rPr>
    </w:lvl>
    <w:lvl w:ilvl="2" w:tentative="0">
      <w:start w:val="0"/>
      <w:numFmt w:val="bullet"/>
      <w:lvlText w:val="•"/>
      <w:lvlJc w:val="left"/>
      <w:pPr>
        <w:ind w:left="3222" w:hanging="248"/>
      </w:pPr>
      <w:rPr>
        <w:rFonts w:hint="default"/>
        <w:lang w:val="en-US" w:eastAsia="en-US" w:bidi="ar-SA"/>
      </w:rPr>
    </w:lvl>
    <w:lvl w:ilvl="3" w:tentative="0">
      <w:start w:val="0"/>
      <w:numFmt w:val="bullet"/>
      <w:lvlText w:val="•"/>
      <w:lvlJc w:val="left"/>
      <w:pPr>
        <w:ind w:left="4123" w:hanging="248"/>
      </w:pPr>
      <w:rPr>
        <w:rFonts w:hint="default"/>
        <w:lang w:val="en-US" w:eastAsia="en-US" w:bidi="ar-SA"/>
      </w:rPr>
    </w:lvl>
    <w:lvl w:ilvl="4" w:tentative="0">
      <w:start w:val="0"/>
      <w:numFmt w:val="bullet"/>
      <w:lvlText w:val="•"/>
      <w:lvlJc w:val="left"/>
      <w:pPr>
        <w:ind w:left="5024" w:hanging="248"/>
      </w:pPr>
      <w:rPr>
        <w:rFonts w:hint="default"/>
        <w:lang w:val="en-US" w:eastAsia="en-US" w:bidi="ar-SA"/>
      </w:rPr>
    </w:lvl>
    <w:lvl w:ilvl="5" w:tentative="0">
      <w:start w:val="0"/>
      <w:numFmt w:val="bullet"/>
      <w:lvlText w:val="•"/>
      <w:lvlJc w:val="left"/>
      <w:pPr>
        <w:ind w:left="5925" w:hanging="248"/>
      </w:pPr>
      <w:rPr>
        <w:rFonts w:hint="default"/>
        <w:lang w:val="en-US" w:eastAsia="en-US" w:bidi="ar-SA"/>
      </w:rPr>
    </w:lvl>
    <w:lvl w:ilvl="6" w:tentative="0">
      <w:start w:val="0"/>
      <w:numFmt w:val="bullet"/>
      <w:lvlText w:val="•"/>
      <w:lvlJc w:val="left"/>
      <w:pPr>
        <w:ind w:left="6826" w:hanging="248"/>
      </w:pPr>
      <w:rPr>
        <w:rFonts w:hint="default"/>
        <w:lang w:val="en-US" w:eastAsia="en-US" w:bidi="ar-SA"/>
      </w:rPr>
    </w:lvl>
    <w:lvl w:ilvl="7" w:tentative="0">
      <w:start w:val="0"/>
      <w:numFmt w:val="bullet"/>
      <w:lvlText w:val="•"/>
      <w:lvlJc w:val="left"/>
      <w:pPr>
        <w:ind w:left="7727" w:hanging="248"/>
      </w:pPr>
      <w:rPr>
        <w:rFonts w:hint="default"/>
        <w:lang w:val="en-US" w:eastAsia="en-US" w:bidi="ar-SA"/>
      </w:rPr>
    </w:lvl>
    <w:lvl w:ilvl="8" w:tentative="0">
      <w:start w:val="0"/>
      <w:numFmt w:val="bullet"/>
      <w:lvlText w:val="•"/>
      <w:lvlJc w:val="left"/>
      <w:pPr>
        <w:ind w:left="8628" w:hanging="248"/>
      </w:pPr>
      <w:rPr>
        <w:rFonts w:hint="default"/>
        <w:lang w:val="en-US" w:eastAsia="en-US" w:bidi="ar-SA"/>
      </w:rPr>
    </w:lvl>
  </w:abstractNum>
  <w:abstractNum w:abstractNumId="11">
    <w:nsid w:val="EF495107"/>
    <w:multiLevelType w:val="multilevel"/>
    <w:tmpl w:val="EF495107"/>
    <w:lvl w:ilvl="0" w:tentative="0">
      <w:start w:val="1"/>
      <w:numFmt w:val="decimal"/>
      <w:lvlText w:val="%1."/>
      <w:lvlJc w:val="left"/>
      <w:pPr>
        <w:ind w:left="1853" w:hanging="241"/>
        <w:jc w:val="right"/>
      </w:pPr>
      <w:rPr>
        <w:rFonts w:hint="default" w:ascii="宋体" w:hAnsi="宋体" w:eastAsia="宋体" w:cs="宋体"/>
        <w:b w:val="0"/>
        <w:bCs w:val="0"/>
        <w:i w:val="0"/>
        <w:iCs w:val="0"/>
        <w:color w:val="0D0D0D"/>
        <w:spacing w:val="0"/>
        <w:w w:val="99"/>
        <w:sz w:val="22"/>
        <w:szCs w:val="22"/>
        <w:lang w:val="en-US" w:eastAsia="en-US" w:bidi="ar-SA"/>
      </w:rPr>
    </w:lvl>
    <w:lvl w:ilvl="1" w:tentative="0">
      <w:start w:val="0"/>
      <w:numFmt w:val="bullet"/>
      <w:lvlText w:val="•"/>
      <w:lvlJc w:val="left"/>
      <w:pPr>
        <w:ind w:left="2717" w:hanging="241"/>
      </w:pPr>
      <w:rPr>
        <w:rFonts w:hint="default"/>
        <w:lang w:val="en-US" w:eastAsia="en-US" w:bidi="ar-SA"/>
      </w:rPr>
    </w:lvl>
    <w:lvl w:ilvl="2" w:tentative="0">
      <w:start w:val="0"/>
      <w:numFmt w:val="bullet"/>
      <w:lvlText w:val="•"/>
      <w:lvlJc w:val="left"/>
      <w:pPr>
        <w:ind w:left="3574" w:hanging="241"/>
      </w:pPr>
      <w:rPr>
        <w:rFonts w:hint="default"/>
        <w:lang w:val="en-US" w:eastAsia="en-US" w:bidi="ar-SA"/>
      </w:rPr>
    </w:lvl>
    <w:lvl w:ilvl="3" w:tentative="0">
      <w:start w:val="0"/>
      <w:numFmt w:val="bullet"/>
      <w:lvlText w:val="•"/>
      <w:lvlJc w:val="left"/>
      <w:pPr>
        <w:ind w:left="4431" w:hanging="241"/>
      </w:pPr>
      <w:rPr>
        <w:rFonts w:hint="default"/>
        <w:lang w:val="en-US" w:eastAsia="en-US" w:bidi="ar-SA"/>
      </w:rPr>
    </w:lvl>
    <w:lvl w:ilvl="4" w:tentative="0">
      <w:start w:val="0"/>
      <w:numFmt w:val="bullet"/>
      <w:lvlText w:val="•"/>
      <w:lvlJc w:val="left"/>
      <w:pPr>
        <w:ind w:left="5288" w:hanging="241"/>
      </w:pPr>
      <w:rPr>
        <w:rFonts w:hint="default"/>
        <w:lang w:val="en-US" w:eastAsia="en-US" w:bidi="ar-SA"/>
      </w:rPr>
    </w:lvl>
    <w:lvl w:ilvl="5" w:tentative="0">
      <w:start w:val="0"/>
      <w:numFmt w:val="bullet"/>
      <w:lvlText w:val="•"/>
      <w:lvlJc w:val="left"/>
      <w:pPr>
        <w:ind w:left="6145" w:hanging="241"/>
      </w:pPr>
      <w:rPr>
        <w:rFonts w:hint="default"/>
        <w:lang w:val="en-US" w:eastAsia="en-US" w:bidi="ar-SA"/>
      </w:rPr>
    </w:lvl>
    <w:lvl w:ilvl="6" w:tentative="0">
      <w:start w:val="0"/>
      <w:numFmt w:val="bullet"/>
      <w:lvlText w:val="•"/>
      <w:lvlJc w:val="left"/>
      <w:pPr>
        <w:ind w:left="7002" w:hanging="241"/>
      </w:pPr>
      <w:rPr>
        <w:rFonts w:hint="default"/>
        <w:lang w:val="en-US" w:eastAsia="en-US" w:bidi="ar-SA"/>
      </w:rPr>
    </w:lvl>
    <w:lvl w:ilvl="7" w:tentative="0">
      <w:start w:val="0"/>
      <w:numFmt w:val="bullet"/>
      <w:lvlText w:val="•"/>
      <w:lvlJc w:val="left"/>
      <w:pPr>
        <w:ind w:left="7859" w:hanging="241"/>
      </w:pPr>
      <w:rPr>
        <w:rFonts w:hint="default"/>
        <w:lang w:val="en-US" w:eastAsia="en-US" w:bidi="ar-SA"/>
      </w:rPr>
    </w:lvl>
    <w:lvl w:ilvl="8" w:tentative="0">
      <w:start w:val="0"/>
      <w:numFmt w:val="bullet"/>
      <w:lvlText w:val="•"/>
      <w:lvlJc w:val="left"/>
      <w:pPr>
        <w:ind w:left="8716" w:hanging="241"/>
      </w:pPr>
      <w:rPr>
        <w:rFonts w:hint="default"/>
        <w:lang w:val="en-US" w:eastAsia="en-US" w:bidi="ar-SA"/>
      </w:rPr>
    </w:lvl>
  </w:abstractNum>
  <w:abstractNum w:abstractNumId="12">
    <w:nsid w:val="F06D0AAC"/>
    <w:multiLevelType w:val="multilevel"/>
    <w:tmpl w:val="F06D0AAC"/>
    <w:lvl w:ilvl="0" w:tentative="0">
      <w:start w:val="1"/>
      <w:numFmt w:val="decimal"/>
      <w:lvlText w:val="（%1）"/>
      <w:lvlJc w:val="left"/>
      <w:pPr>
        <w:ind w:left="1132" w:hanging="610"/>
        <w:jc w:val="left"/>
      </w:pPr>
      <w:rPr>
        <w:rFonts w:hint="default" w:ascii="宋体" w:hAnsi="宋体" w:eastAsia="宋体" w:cs="宋体"/>
        <w:b w:val="0"/>
        <w:bCs w:val="0"/>
        <w:i w:val="0"/>
        <w:iCs w:val="0"/>
        <w:color w:val="0D0D0D"/>
        <w:spacing w:val="2"/>
        <w:w w:val="100"/>
        <w:sz w:val="22"/>
        <w:szCs w:val="22"/>
        <w:lang w:val="en-US" w:eastAsia="en-US" w:bidi="ar-SA"/>
      </w:rPr>
    </w:lvl>
    <w:lvl w:ilvl="1" w:tentative="0">
      <w:start w:val="0"/>
      <w:numFmt w:val="bullet"/>
      <w:lvlText w:val="•"/>
      <w:lvlJc w:val="left"/>
      <w:pPr>
        <w:ind w:left="2069" w:hanging="610"/>
      </w:pPr>
      <w:rPr>
        <w:rFonts w:hint="default"/>
        <w:lang w:val="en-US" w:eastAsia="en-US" w:bidi="ar-SA"/>
      </w:rPr>
    </w:lvl>
    <w:lvl w:ilvl="2" w:tentative="0">
      <w:start w:val="0"/>
      <w:numFmt w:val="bullet"/>
      <w:lvlText w:val="•"/>
      <w:lvlJc w:val="left"/>
      <w:pPr>
        <w:ind w:left="2998" w:hanging="610"/>
      </w:pPr>
      <w:rPr>
        <w:rFonts w:hint="default"/>
        <w:lang w:val="en-US" w:eastAsia="en-US" w:bidi="ar-SA"/>
      </w:rPr>
    </w:lvl>
    <w:lvl w:ilvl="3" w:tentative="0">
      <w:start w:val="0"/>
      <w:numFmt w:val="bullet"/>
      <w:lvlText w:val="•"/>
      <w:lvlJc w:val="left"/>
      <w:pPr>
        <w:ind w:left="3927" w:hanging="610"/>
      </w:pPr>
      <w:rPr>
        <w:rFonts w:hint="default"/>
        <w:lang w:val="en-US" w:eastAsia="en-US" w:bidi="ar-SA"/>
      </w:rPr>
    </w:lvl>
    <w:lvl w:ilvl="4" w:tentative="0">
      <w:start w:val="0"/>
      <w:numFmt w:val="bullet"/>
      <w:lvlText w:val="•"/>
      <w:lvlJc w:val="left"/>
      <w:pPr>
        <w:ind w:left="4856" w:hanging="610"/>
      </w:pPr>
      <w:rPr>
        <w:rFonts w:hint="default"/>
        <w:lang w:val="en-US" w:eastAsia="en-US" w:bidi="ar-SA"/>
      </w:rPr>
    </w:lvl>
    <w:lvl w:ilvl="5" w:tentative="0">
      <w:start w:val="0"/>
      <w:numFmt w:val="bullet"/>
      <w:lvlText w:val="•"/>
      <w:lvlJc w:val="left"/>
      <w:pPr>
        <w:ind w:left="5785" w:hanging="610"/>
      </w:pPr>
      <w:rPr>
        <w:rFonts w:hint="default"/>
        <w:lang w:val="en-US" w:eastAsia="en-US" w:bidi="ar-SA"/>
      </w:rPr>
    </w:lvl>
    <w:lvl w:ilvl="6" w:tentative="0">
      <w:start w:val="0"/>
      <w:numFmt w:val="bullet"/>
      <w:lvlText w:val="•"/>
      <w:lvlJc w:val="left"/>
      <w:pPr>
        <w:ind w:left="6714" w:hanging="610"/>
      </w:pPr>
      <w:rPr>
        <w:rFonts w:hint="default"/>
        <w:lang w:val="en-US" w:eastAsia="en-US" w:bidi="ar-SA"/>
      </w:rPr>
    </w:lvl>
    <w:lvl w:ilvl="7" w:tentative="0">
      <w:start w:val="0"/>
      <w:numFmt w:val="bullet"/>
      <w:lvlText w:val="•"/>
      <w:lvlJc w:val="left"/>
      <w:pPr>
        <w:ind w:left="7643" w:hanging="610"/>
      </w:pPr>
      <w:rPr>
        <w:rFonts w:hint="default"/>
        <w:lang w:val="en-US" w:eastAsia="en-US" w:bidi="ar-SA"/>
      </w:rPr>
    </w:lvl>
    <w:lvl w:ilvl="8" w:tentative="0">
      <w:start w:val="0"/>
      <w:numFmt w:val="bullet"/>
      <w:lvlText w:val="•"/>
      <w:lvlJc w:val="left"/>
      <w:pPr>
        <w:ind w:left="8572" w:hanging="610"/>
      </w:pPr>
      <w:rPr>
        <w:rFonts w:hint="default"/>
        <w:lang w:val="en-US" w:eastAsia="en-US" w:bidi="ar-SA"/>
      </w:rPr>
    </w:lvl>
  </w:abstractNum>
  <w:abstractNum w:abstractNumId="13">
    <w:nsid w:val="F3D1ED7C"/>
    <w:multiLevelType w:val="multilevel"/>
    <w:tmpl w:val="F3D1ED7C"/>
    <w:lvl w:ilvl="0" w:tentative="0">
      <w:start w:val="1"/>
      <w:numFmt w:val="decimal"/>
      <w:lvlText w:val="%1."/>
      <w:lvlJc w:val="left"/>
      <w:pPr>
        <w:ind w:left="1416" w:hanging="241"/>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321" w:hanging="241"/>
      </w:pPr>
      <w:rPr>
        <w:rFonts w:hint="default"/>
        <w:lang w:val="en-US" w:eastAsia="en-US" w:bidi="ar-SA"/>
      </w:rPr>
    </w:lvl>
    <w:lvl w:ilvl="2" w:tentative="0">
      <w:start w:val="0"/>
      <w:numFmt w:val="bullet"/>
      <w:lvlText w:val="•"/>
      <w:lvlJc w:val="left"/>
      <w:pPr>
        <w:ind w:left="3222" w:hanging="241"/>
      </w:pPr>
      <w:rPr>
        <w:rFonts w:hint="default"/>
        <w:lang w:val="en-US" w:eastAsia="en-US" w:bidi="ar-SA"/>
      </w:rPr>
    </w:lvl>
    <w:lvl w:ilvl="3" w:tentative="0">
      <w:start w:val="0"/>
      <w:numFmt w:val="bullet"/>
      <w:lvlText w:val="•"/>
      <w:lvlJc w:val="left"/>
      <w:pPr>
        <w:ind w:left="4123" w:hanging="241"/>
      </w:pPr>
      <w:rPr>
        <w:rFonts w:hint="default"/>
        <w:lang w:val="en-US" w:eastAsia="en-US" w:bidi="ar-SA"/>
      </w:rPr>
    </w:lvl>
    <w:lvl w:ilvl="4" w:tentative="0">
      <w:start w:val="0"/>
      <w:numFmt w:val="bullet"/>
      <w:lvlText w:val="•"/>
      <w:lvlJc w:val="left"/>
      <w:pPr>
        <w:ind w:left="5024" w:hanging="241"/>
      </w:pPr>
      <w:rPr>
        <w:rFonts w:hint="default"/>
        <w:lang w:val="en-US" w:eastAsia="en-US" w:bidi="ar-SA"/>
      </w:rPr>
    </w:lvl>
    <w:lvl w:ilvl="5" w:tentative="0">
      <w:start w:val="0"/>
      <w:numFmt w:val="bullet"/>
      <w:lvlText w:val="•"/>
      <w:lvlJc w:val="left"/>
      <w:pPr>
        <w:ind w:left="5925" w:hanging="241"/>
      </w:pPr>
      <w:rPr>
        <w:rFonts w:hint="default"/>
        <w:lang w:val="en-US" w:eastAsia="en-US" w:bidi="ar-SA"/>
      </w:rPr>
    </w:lvl>
    <w:lvl w:ilvl="6" w:tentative="0">
      <w:start w:val="0"/>
      <w:numFmt w:val="bullet"/>
      <w:lvlText w:val="•"/>
      <w:lvlJc w:val="left"/>
      <w:pPr>
        <w:ind w:left="6826" w:hanging="241"/>
      </w:pPr>
      <w:rPr>
        <w:rFonts w:hint="default"/>
        <w:lang w:val="en-US" w:eastAsia="en-US" w:bidi="ar-SA"/>
      </w:rPr>
    </w:lvl>
    <w:lvl w:ilvl="7" w:tentative="0">
      <w:start w:val="0"/>
      <w:numFmt w:val="bullet"/>
      <w:lvlText w:val="•"/>
      <w:lvlJc w:val="left"/>
      <w:pPr>
        <w:ind w:left="7727" w:hanging="241"/>
      </w:pPr>
      <w:rPr>
        <w:rFonts w:hint="default"/>
        <w:lang w:val="en-US" w:eastAsia="en-US" w:bidi="ar-SA"/>
      </w:rPr>
    </w:lvl>
    <w:lvl w:ilvl="8" w:tentative="0">
      <w:start w:val="0"/>
      <w:numFmt w:val="bullet"/>
      <w:lvlText w:val="•"/>
      <w:lvlJc w:val="left"/>
      <w:pPr>
        <w:ind w:left="8628" w:hanging="241"/>
      </w:pPr>
      <w:rPr>
        <w:rFonts w:hint="default"/>
        <w:lang w:val="en-US" w:eastAsia="en-US" w:bidi="ar-SA"/>
      </w:rPr>
    </w:lvl>
  </w:abstractNum>
  <w:abstractNum w:abstractNumId="14">
    <w:nsid w:val="F6C54A48"/>
    <w:multiLevelType w:val="multilevel"/>
    <w:tmpl w:val="F6C54A48"/>
    <w:lvl w:ilvl="0" w:tentative="0">
      <w:start w:val="1"/>
      <w:numFmt w:val="decimal"/>
      <w:lvlText w:val="（%1）"/>
      <w:lvlJc w:val="left"/>
      <w:pPr>
        <w:ind w:left="1416" w:hanging="610"/>
        <w:jc w:val="righ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abstractNum w:abstractNumId="15">
    <w:nsid w:val="010A06D8"/>
    <w:multiLevelType w:val="multilevel"/>
    <w:tmpl w:val="010A06D8"/>
    <w:lvl w:ilvl="0" w:tentative="0">
      <w:start w:val="1"/>
      <w:numFmt w:val="decimal"/>
      <w:lvlText w:val="%1."/>
      <w:lvlJc w:val="left"/>
      <w:pPr>
        <w:ind w:left="1853" w:hanging="241"/>
        <w:jc w:val="left"/>
      </w:pPr>
      <w:rPr>
        <w:rFonts w:hint="default"/>
        <w:spacing w:val="0"/>
        <w:w w:val="91"/>
        <w:lang w:val="en-US" w:eastAsia="en-US" w:bidi="ar-SA"/>
      </w:rPr>
    </w:lvl>
    <w:lvl w:ilvl="1" w:tentative="0">
      <w:start w:val="0"/>
      <w:numFmt w:val="bullet"/>
      <w:lvlText w:val="•"/>
      <w:lvlJc w:val="left"/>
      <w:pPr>
        <w:ind w:left="2717" w:hanging="241"/>
      </w:pPr>
      <w:rPr>
        <w:rFonts w:hint="default"/>
        <w:lang w:val="en-US" w:eastAsia="en-US" w:bidi="ar-SA"/>
      </w:rPr>
    </w:lvl>
    <w:lvl w:ilvl="2" w:tentative="0">
      <w:start w:val="0"/>
      <w:numFmt w:val="bullet"/>
      <w:lvlText w:val="•"/>
      <w:lvlJc w:val="left"/>
      <w:pPr>
        <w:ind w:left="3574" w:hanging="241"/>
      </w:pPr>
      <w:rPr>
        <w:rFonts w:hint="default"/>
        <w:lang w:val="en-US" w:eastAsia="en-US" w:bidi="ar-SA"/>
      </w:rPr>
    </w:lvl>
    <w:lvl w:ilvl="3" w:tentative="0">
      <w:start w:val="0"/>
      <w:numFmt w:val="bullet"/>
      <w:lvlText w:val="•"/>
      <w:lvlJc w:val="left"/>
      <w:pPr>
        <w:ind w:left="4431" w:hanging="241"/>
      </w:pPr>
      <w:rPr>
        <w:rFonts w:hint="default"/>
        <w:lang w:val="en-US" w:eastAsia="en-US" w:bidi="ar-SA"/>
      </w:rPr>
    </w:lvl>
    <w:lvl w:ilvl="4" w:tentative="0">
      <w:start w:val="0"/>
      <w:numFmt w:val="bullet"/>
      <w:lvlText w:val="•"/>
      <w:lvlJc w:val="left"/>
      <w:pPr>
        <w:ind w:left="5288" w:hanging="241"/>
      </w:pPr>
      <w:rPr>
        <w:rFonts w:hint="default"/>
        <w:lang w:val="en-US" w:eastAsia="en-US" w:bidi="ar-SA"/>
      </w:rPr>
    </w:lvl>
    <w:lvl w:ilvl="5" w:tentative="0">
      <w:start w:val="0"/>
      <w:numFmt w:val="bullet"/>
      <w:lvlText w:val="•"/>
      <w:lvlJc w:val="left"/>
      <w:pPr>
        <w:ind w:left="6145" w:hanging="241"/>
      </w:pPr>
      <w:rPr>
        <w:rFonts w:hint="default"/>
        <w:lang w:val="en-US" w:eastAsia="en-US" w:bidi="ar-SA"/>
      </w:rPr>
    </w:lvl>
    <w:lvl w:ilvl="6" w:tentative="0">
      <w:start w:val="0"/>
      <w:numFmt w:val="bullet"/>
      <w:lvlText w:val="•"/>
      <w:lvlJc w:val="left"/>
      <w:pPr>
        <w:ind w:left="7002" w:hanging="241"/>
      </w:pPr>
      <w:rPr>
        <w:rFonts w:hint="default"/>
        <w:lang w:val="en-US" w:eastAsia="en-US" w:bidi="ar-SA"/>
      </w:rPr>
    </w:lvl>
    <w:lvl w:ilvl="7" w:tentative="0">
      <w:start w:val="0"/>
      <w:numFmt w:val="bullet"/>
      <w:lvlText w:val="•"/>
      <w:lvlJc w:val="left"/>
      <w:pPr>
        <w:ind w:left="7859" w:hanging="241"/>
      </w:pPr>
      <w:rPr>
        <w:rFonts w:hint="default"/>
        <w:lang w:val="en-US" w:eastAsia="en-US" w:bidi="ar-SA"/>
      </w:rPr>
    </w:lvl>
    <w:lvl w:ilvl="8" w:tentative="0">
      <w:start w:val="0"/>
      <w:numFmt w:val="bullet"/>
      <w:lvlText w:val="•"/>
      <w:lvlJc w:val="left"/>
      <w:pPr>
        <w:ind w:left="8716" w:hanging="241"/>
      </w:pPr>
      <w:rPr>
        <w:rFonts w:hint="default"/>
        <w:lang w:val="en-US" w:eastAsia="en-US" w:bidi="ar-SA"/>
      </w:rPr>
    </w:lvl>
  </w:abstractNum>
  <w:abstractNum w:abstractNumId="16">
    <w:nsid w:val="0BD8886F"/>
    <w:multiLevelType w:val="multilevel"/>
    <w:tmpl w:val="0BD8886F"/>
    <w:lvl w:ilvl="0" w:tentative="0">
      <w:start w:val="1"/>
      <w:numFmt w:val="decimal"/>
      <w:lvlText w:val="%1."/>
      <w:lvlJc w:val="left"/>
      <w:pPr>
        <w:ind w:left="323" w:hanging="212"/>
        <w:jc w:val="left"/>
      </w:pPr>
      <w:rPr>
        <w:rFonts w:hint="default" w:ascii="宋体" w:hAnsi="宋体" w:eastAsia="宋体" w:cs="宋体"/>
        <w:b w:val="0"/>
        <w:bCs w:val="0"/>
        <w:i w:val="0"/>
        <w:iCs w:val="0"/>
        <w:spacing w:val="-2"/>
        <w:w w:val="99"/>
        <w:sz w:val="19"/>
        <w:szCs w:val="19"/>
        <w:lang w:val="en-US" w:eastAsia="en-US" w:bidi="ar-SA"/>
      </w:rPr>
    </w:lvl>
    <w:lvl w:ilvl="1" w:tentative="0">
      <w:start w:val="0"/>
      <w:numFmt w:val="bullet"/>
      <w:lvlText w:val="•"/>
      <w:lvlJc w:val="left"/>
      <w:pPr>
        <w:ind w:left="479" w:hanging="212"/>
      </w:pPr>
      <w:rPr>
        <w:rFonts w:hint="default"/>
        <w:lang w:val="en-US" w:eastAsia="en-US" w:bidi="ar-SA"/>
      </w:rPr>
    </w:lvl>
    <w:lvl w:ilvl="2" w:tentative="0">
      <w:start w:val="0"/>
      <w:numFmt w:val="bullet"/>
      <w:lvlText w:val="•"/>
      <w:lvlJc w:val="left"/>
      <w:pPr>
        <w:ind w:left="639" w:hanging="212"/>
      </w:pPr>
      <w:rPr>
        <w:rFonts w:hint="default"/>
        <w:lang w:val="en-US" w:eastAsia="en-US" w:bidi="ar-SA"/>
      </w:rPr>
    </w:lvl>
    <w:lvl w:ilvl="3" w:tentative="0">
      <w:start w:val="0"/>
      <w:numFmt w:val="bullet"/>
      <w:lvlText w:val="•"/>
      <w:lvlJc w:val="left"/>
      <w:pPr>
        <w:ind w:left="799" w:hanging="212"/>
      </w:pPr>
      <w:rPr>
        <w:rFonts w:hint="default"/>
        <w:lang w:val="en-US" w:eastAsia="en-US" w:bidi="ar-SA"/>
      </w:rPr>
    </w:lvl>
    <w:lvl w:ilvl="4" w:tentative="0">
      <w:start w:val="0"/>
      <w:numFmt w:val="bullet"/>
      <w:lvlText w:val="•"/>
      <w:lvlJc w:val="left"/>
      <w:pPr>
        <w:ind w:left="958" w:hanging="212"/>
      </w:pPr>
      <w:rPr>
        <w:rFonts w:hint="default"/>
        <w:lang w:val="en-US" w:eastAsia="en-US" w:bidi="ar-SA"/>
      </w:rPr>
    </w:lvl>
    <w:lvl w:ilvl="5" w:tentative="0">
      <w:start w:val="0"/>
      <w:numFmt w:val="bullet"/>
      <w:lvlText w:val="•"/>
      <w:lvlJc w:val="left"/>
      <w:pPr>
        <w:ind w:left="1118" w:hanging="212"/>
      </w:pPr>
      <w:rPr>
        <w:rFonts w:hint="default"/>
        <w:lang w:val="en-US" w:eastAsia="en-US" w:bidi="ar-SA"/>
      </w:rPr>
    </w:lvl>
    <w:lvl w:ilvl="6" w:tentative="0">
      <w:start w:val="0"/>
      <w:numFmt w:val="bullet"/>
      <w:lvlText w:val="•"/>
      <w:lvlJc w:val="left"/>
      <w:pPr>
        <w:ind w:left="1278" w:hanging="212"/>
      </w:pPr>
      <w:rPr>
        <w:rFonts w:hint="default"/>
        <w:lang w:val="en-US" w:eastAsia="en-US" w:bidi="ar-SA"/>
      </w:rPr>
    </w:lvl>
    <w:lvl w:ilvl="7" w:tentative="0">
      <w:start w:val="0"/>
      <w:numFmt w:val="bullet"/>
      <w:lvlText w:val="•"/>
      <w:lvlJc w:val="left"/>
      <w:pPr>
        <w:ind w:left="1437" w:hanging="212"/>
      </w:pPr>
      <w:rPr>
        <w:rFonts w:hint="default"/>
        <w:lang w:val="en-US" w:eastAsia="en-US" w:bidi="ar-SA"/>
      </w:rPr>
    </w:lvl>
    <w:lvl w:ilvl="8" w:tentative="0">
      <w:start w:val="0"/>
      <w:numFmt w:val="bullet"/>
      <w:lvlText w:val="•"/>
      <w:lvlJc w:val="left"/>
      <w:pPr>
        <w:ind w:left="1597" w:hanging="212"/>
      </w:pPr>
      <w:rPr>
        <w:rFonts w:hint="default"/>
        <w:lang w:val="en-US" w:eastAsia="en-US" w:bidi="ar-SA"/>
      </w:rPr>
    </w:lvl>
  </w:abstractNum>
  <w:abstractNum w:abstractNumId="17">
    <w:nsid w:val="11DA0530"/>
    <w:multiLevelType w:val="multilevel"/>
    <w:tmpl w:val="11DA0530"/>
    <w:lvl w:ilvl="0" w:tentative="0">
      <w:start w:val="1"/>
      <w:numFmt w:val="decimal"/>
      <w:lvlText w:val="（%1）"/>
      <w:lvlJc w:val="left"/>
      <w:pPr>
        <w:ind w:left="1132" w:hanging="610"/>
        <w:jc w:val="righ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069" w:hanging="610"/>
      </w:pPr>
      <w:rPr>
        <w:rFonts w:hint="default"/>
        <w:lang w:val="en-US" w:eastAsia="en-US" w:bidi="ar-SA"/>
      </w:rPr>
    </w:lvl>
    <w:lvl w:ilvl="2" w:tentative="0">
      <w:start w:val="0"/>
      <w:numFmt w:val="bullet"/>
      <w:lvlText w:val="•"/>
      <w:lvlJc w:val="left"/>
      <w:pPr>
        <w:ind w:left="2998" w:hanging="610"/>
      </w:pPr>
      <w:rPr>
        <w:rFonts w:hint="default"/>
        <w:lang w:val="en-US" w:eastAsia="en-US" w:bidi="ar-SA"/>
      </w:rPr>
    </w:lvl>
    <w:lvl w:ilvl="3" w:tentative="0">
      <w:start w:val="0"/>
      <w:numFmt w:val="bullet"/>
      <w:lvlText w:val="•"/>
      <w:lvlJc w:val="left"/>
      <w:pPr>
        <w:ind w:left="3927" w:hanging="610"/>
      </w:pPr>
      <w:rPr>
        <w:rFonts w:hint="default"/>
        <w:lang w:val="en-US" w:eastAsia="en-US" w:bidi="ar-SA"/>
      </w:rPr>
    </w:lvl>
    <w:lvl w:ilvl="4" w:tentative="0">
      <w:start w:val="0"/>
      <w:numFmt w:val="bullet"/>
      <w:lvlText w:val="•"/>
      <w:lvlJc w:val="left"/>
      <w:pPr>
        <w:ind w:left="4856" w:hanging="610"/>
      </w:pPr>
      <w:rPr>
        <w:rFonts w:hint="default"/>
        <w:lang w:val="en-US" w:eastAsia="en-US" w:bidi="ar-SA"/>
      </w:rPr>
    </w:lvl>
    <w:lvl w:ilvl="5" w:tentative="0">
      <w:start w:val="0"/>
      <w:numFmt w:val="bullet"/>
      <w:lvlText w:val="•"/>
      <w:lvlJc w:val="left"/>
      <w:pPr>
        <w:ind w:left="5785" w:hanging="610"/>
      </w:pPr>
      <w:rPr>
        <w:rFonts w:hint="default"/>
        <w:lang w:val="en-US" w:eastAsia="en-US" w:bidi="ar-SA"/>
      </w:rPr>
    </w:lvl>
    <w:lvl w:ilvl="6" w:tentative="0">
      <w:start w:val="0"/>
      <w:numFmt w:val="bullet"/>
      <w:lvlText w:val="•"/>
      <w:lvlJc w:val="left"/>
      <w:pPr>
        <w:ind w:left="6714" w:hanging="610"/>
      </w:pPr>
      <w:rPr>
        <w:rFonts w:hint="default"/>
        <w:lang w:val="en-US" w:eastAsia="en-US" w:bidi="ar-SA"/>
      </w:rPr>
    </w:lvl>
    <w:lvl w:ilvl="7" w:tentative="0">
      <w:start w:val="0"/>
      <w:numFmt w:val="bullet"/>
      <w:lvlText w:val="•"/>
      <w:lvlJc w:val="left"/>
      <w:pPr>
        <w:ind w:left="7643" w:hanging="610"/>
      </w:pPr>
      <w:rPr>
        <w:rFonts w:hint="default"/>
        <w:lang w:val="en-US" w:eastAsia="en-US" w:bidi="ar-SA"/>
      </w:rPr>
    </w:lvl>
    <w:lvl w:ilvl="8" w:tentative="0">
      <w:start w:val="0"/>
      <w:numFmt w:val="bullet"/>
      <w:lvlText w:val="•"/>
      <w:lvlJc w:val="left"/>
      <w:pPr>
        <w:ind w:left="8572" w:hanging="610"/>
      </w:pPr>
      <w:rPr>
        <w:rFonts w:hint="default"/>
        <w:lang w:val="en-US" w:eastAsia="en-US" w:bidi="ar-SA"/>
      </w:rPr>
    </w:lvl>
  </w:abstractNum>
  <w:abstractNum w:abstractNumId="18">
    <w:nsid w:val="12C550EF"/>
    <w:multiLevelType w:val="multilevel"/>
    <w:tmpl w:val="12C550EF"/>
    <w:lvl w:ilvl="0" w:tentative="0">
      <w:start w:val="1"/>
      <w:numFmt w:val="decimal"/>
      <w:lvlText w:val="（%1）"/>
      <w:lvlJc w:val="left"/>
      <w:pPr>
        <w:ind w:left="1416" w:hanging="608"/>
        <w:jc w:val="left"/>
      </w:pPr>
      <w:rPr>
        <w:rFonts w:hint="default"/>
        <w:spacing w:val="2"/>
        <w:w w:val="96"/>
        <w:lang w:val="en-US" w:eastAsia="en-US" w:bidi="ar-SA"/>
      </w:rPr>
    </w:lvl>
    <w:lvl w:ilvl="1" w:tentative="0">
      <w:start w:val="0"/>
      <w:numFmt w:val="bullet"/>
      <w:lvlText w:val="•"/>
      <w:lvlJc w:val="left"/>
      <w:pPr>
        <w:ind w:left="2321" w:hanging="608"/>
      </w:pPr>
      <w:rPr>
        <w:rFonts w:hint="default"/>
        <w:lang w:val="en-US" w:eastAsia="en-US" w:bidi="ar-SA"/>
      </w:rPr>
    </w:lvl>
    <w:lvl w:ilvl="2" w:tentative="0">
      <w:start w:val="0"/>
      <w:numFmt w:val="bullet"/>
      <w:lvlText w:val="•"/>
      <w:lvlJc w:val="left"/>
      <w:pPr>
        <w:ind w:left="3222" w:hanging="608"/>
      </w:pPr>
      <w:rPr>
        <w:rFonts w:hint="default"/>
        <w:lang w:val="en-US" w:eastAsia="en-US" w:bidi="ar-SA"/>
      </w:rPr>
    </w:lvl>
    <w:lvl w:ilvl="3" w:tentative="0">
      <w:start w:val="0"/>
      <w:numFmt w:val="bullet"/>
      <w:lvlText w:val="•"/>
      <w:lvlJc w:val="left"/>
      <w:pPr>
        <w:ind w:left="4123" w:hanging="608"/>
      </w:pPr>
      <w:rPr>
        <w:rFonts w:hint="default"/>
        <w:lang w:val="en-US" w:eastAsia="en-US" w:bidi="ar-SA"/>
      </w:rPr>
    </w:lvl>
    <w:lvl w:ilvl="4" w:tentative="0">
      <w:start w:val="0"/>
      <w:numFmt w:val="bullet"/>
      <w:lvlText w:val="•"/>
      <w:lvlJc w:val="left"/>
      <w:pPr>
        <w:ind w:left="5024" w:hanging="608"/>
      </w:pPr>
      <w:rPr>
        <w:rFonts w:hint="default"/>
        <w:lang w:val="en-US" w:eastAsia="en-US" w:bidi="ar-SA"/>
      </w:rPr>
    </w:lvl>
    <w:lvl w:ilvl="5" w:tentative="0">
      <w:start w:val="0"/>
      <w:numFmt w:val="bullet"/>
      <w:lvlText w:val="•"/>
      <w:lvlJc w:val="left"/>
      <w:pPr>
        <w:ind w:left="5925" w:hanging="608"/>
      </w:pPr>
      <w:rPr>
        <w:rFonts w:hint="default"/>
        <w:lang w:val="en-US" w:eastAsia="en-US" w:bidi="ar-SA"/>
      </w:rPr>
    </w:lvl>
    <w:lvl w:ilvl="6" w:tentative="0">
      <w:start w:val="0"/>
      <w:numFmt w:val="bullet"/>
      <w:lvlText w:val="•"/>
      <w:lvlJc w:val="left"/>
      <w:pPr>
        <w:ind w:left="6826" w:hanging="608"/>
      </w:pPr>
      <w:rPr>
        <w:rFonts w:hint="default"/>
        <w:lang w:val="en-US" w:eastAsia="en-US" w:bidi="ar-SA"/>
      </w:rPr>
    </w:lvl>
    <w:lvl w:ilvl="7" w:tentative="0">
      <w:start w:val="0"/>
      <w:numFmt w:val="bullet"/>
      <w:lvlText w:val="•"/>
      <w:lvlJc w:val="left"/>
      <w:pPr>
        <w:ind w:left="7727" w:hanging="608"/>
      </w:pPr>
      <w:rPr>
        <w:rFonts w:hint="default"/>
        <w:lang w:val="en-US" w:eastAsia="en-US" w:bidi="ar-SA"/>
      </w:rPr>
    </w:lvl>
    <w:lvl w:ilvl="8" w:tentative="0">
      <w:start w:val="0"/>
      <w:numFmt w:val="bullet"/>
      <w:lvlText w:val="•"/>
      <w:lvlJc w:val="left"/>
      <w:pPr>
        <w:ind w:left="8628" w:hanging="608"/>
      </w:pPr>
      <w:rPr>
        <w:rFonts w:hint="default"/>
        <w:lang w:val="en-US" w:eastAsia="en-US" w:bidi="ar-SA"/>
      </w:rPr>
    </w:lvl>
  </w:abstractNum>
  <w:abstractNum w:abstractNumId="19">
    <w:nsid w:val="1556D47A"/>
    <w:multiLevelType w:val="multilevel"/>
    <w:tmpl w:val="1556D47A"/>
    <w:lvl w:ilvl="0" w:tentative="0">
      <w:start w:val="1"/>
      <w:numFmt w:val="decimal"/>
      <w:lvlText w:val="（%1）"/>
      <w:lvlJc w:val="left"/>
      <w:pPr>
        <w:ind w:left="1132" w:hanging="601"/>
        <w:jc w:val="left"/>
      </w:pPr>
      <w:rPr>
        <w:rFonts w:hint="default" w:ascii="宋体" w:hAnsi="宋体" w:eastAsia="宋体" w:cs="宋体"/>
        <w:b w:val="0"/>
        <w:bCs w:val="0"/>
        <w:i w:val="0"/>
        <w:iCs w:val="0"/>
        <w:spacing w:val="-10"/>
        <w:w w:val="100"/>
        <w:sz w:val="22"/>
        <w:szCs w:val="22"/>
        <w:lang w:val="en-US" w:eastAsia="en-US" w:bidi="ar-SA"/>
      </w:rPr>
    </w:lvl>
    <w:lvl w:ilvl="1" w:tentative="0">
      <w:start w:val="0"/>
      <w:numFmt w:val="bullet"/>
      <w:lvlText w:val="•"/>
      <w:lvlJc w:val="left"/>
      <w:pPr>
        <w:ind w:left="2069" w:hanging="601"/>
      </w:pPr>
      <w:rPr>
        <w:rFonts w:hint="default"/>
        <w:lang w:val="en-US" w:eastAsia="en-US" w:bidi="ar-SA"/>
      </w:rPr>
    </w:lvl>
    <w:lvl w:ilvl="2" w:tentative="0">
      <w:start w:val="0"/>
      <w:numFmt w:val="bullet"/>
      <w:lvlText w:val="•"/>
      <w:lvlJc w:val="left"/>
      <w:pPr>
        <w:ind w:left="2998" w:hanging="601"/>
      </w:pPr>
      <w:rPr>
        <w:rFonts w:hint="default"/>
        <w:lang w:val="en-US" w:eastAsia="en-US" w:bidi="ar-SA"/>
      </w:rPr>
    </w:lvl>
    <w:lvl w:ilvl="3" w:tentative="0">
      <w:start w:val="0"/>
      <w:numFmt w:val="bullet"/>
      <w:lvlText w:val="•"/>
      <w:lvlJc w:val="left"/>
      <w:pPr>
        <w:ind w:left="3927" w:hanging="601"/>
      </w:pPr>
      <w:rPr>
        <w:rFonts w:hint="default"/>
        <w:lang w:val="en-US" w:eastAsia="en-US" w:bidi="ar-SA"/>
      </w:rPr>
    </w:lvl>
    <w:lvl w:ilvl="4" w:tentative="0">
      <w:start w:val="0"/>
      <w:numFmt w:val="bullet"/>
      <w:lvlText w:val="•"/>
      <w:lvlJc w:val="left"/>
      <w:pPr>
        <w:ind w:left="4856" w:hanging="601"/>
      </w:pPr>
      <w:rPr>
        <w:rFonts w:hint="default"/>
        <w:lang w:val="en-US" w:eastAsia="en-US" w:bidi="ar-SA"/>
      </w:rPr>
    </w:lvl>
    <w:lvl w:ilvl="5" w:tentative="0">
      <w:start w:val="0"/>
      <w:numFmt w:val="bullet"/>
      <w:lvlText w:val="•"/>
      <w:lvlJc w:val="left"/>
      <w:pPr>
        <w:ind w:left="5785" w:hanging="601"/>
      </w:pPr>
      <w:rPr>
        <w:rFonts w:hint="default"/>
        <w:lang w:val="en-US" w:eastAsia="en-US" w:bidi="ar-SA"/>
      </w:rPr>
    </w:lvl>
    <w:lvl w:ilvl="6" w:tentative="0">
      <w:start w:val="0"/>
      <w:numFmt w:val="bullet"/>
      <w:lvlText w:val="•"/>
      <w:lvlJc w:val="left"/>
      <w:pPr>
        <w:ind w:left="6714" w:hanging="601"/>
      </w:pPr>
      <w:rPr>
        <w:rFonts w:hint="default"/>
        <w:lang w:val="en-US" w:eastAsia="en-US" w:bidi="ar-SA"/>
      </w:rPr>
    </w:lvl>
    <w:lvl w:ilvl="7" w:tentative="0">
      <w:start w:val="0"/>
      <w:numFmt w:val="bullet"/>
      <w:lvlText w:val="•"/>
      <w:lvlJc w:val="left"/>
      <w:pPr>
        <w:ind w:left="7643" w:hanging="601"/>
      </w:pPr>
      <w:rPr>
        <w:rFonts w:hint="default"/>
        <w:lang w:val="en-US" w:eastAsia="en-US" w:bidi="ar-SA"/>
      </w:rPr>
    </w:lvl>
    <w:lvl w:ilvl="8" w:tentative="0">
      <w:start w:val="0"/>
      <w:numFmt w:val="bullet"/>
      <w:lvlText w:val="•"/>
      <w:lvlJc w:val="left"/>
      <w:pPr>
        <w:ind w:left="8572" w:hanging="601"/>
      </w:pPr>
      <w:rPr>
        <w:rFonts w:hint="default"/>
        <w:lang w:val="en-US" w:eastAsia="en-US" w:bidi="ar-SA"/>
      </w:rPr>
    </w:lvl>
  </w:abstractNum>
  <w:abstractNum w:abstractNumId="20">
    <w:nsid w:val="181DFF0F"/>
    <w:multiLevelType w:val="multilevel"/>
    <w:tmpl w:val="181DFF0F"/>
    <w:lvl w:ilvl="0" w:tentative="0">
      <w:start w:val="1"/>
      <w:numFmt w:val="decimal"/>
      <w:lvlText w:val="%1."/>
      <w:lvlJc w:val="left"/>
      <w:pPr>
        <w:ind w:left="1132" w:hanging="241"/>
        <w:jc w:val="righ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069" w:hanging="241"/>
      </w:pPr>
      <w:rPr>
        <w:rFonts w:hint="default"/>
        <w:lang w:val="en-US" w:eastAsia="en-US" w:bidi="ar-SA"/>
      </w:rPr>
    </w:lvl>
    <w:lvl w:ilvl="2" w:tentative="0">
      <w:start w:val="0"/>
      <w:numFmt w:val="bullet"/>
      <w:lvlText w:val="•"/>
      <w:lvlJc w:val="left"/>
      <w:pPr>
        <w:ind w:left="2998" w:hanging="241"/>
      </w:pPr>
      <w:rPr>
        <w:rFonts w:hint="default"/>
        <w:lang w:val="en-US" w:eastAsia="en-US" w:bidi="ar-SA"/>
      </w:rPr>
    </w:lvl>
    <w:lvl w:ilvl="3" w:tentative="0">
      <w:start w:val="0"/>
      <w:numFmt w:val="bullet"/>
      <w:lvlText w:val="•"/>
      <w:lvlJc w:val="left"/>
      <w:pPr>
        <w:ind w:left="3927" w:hanging="241"/>
      </w:pPr>
      <w:rPr>
        <w:rFonts w:hint="default"/>
        <w:lang w:val="en-US" w:eastAsia="en-US" w:bidi="ar-SA"/>
      </w:rPr>
    </w:lvl>
    <w:lvl w:ilvl="4" w:tentative="0">
      <w:start w:val="0"/>
      <w:numFmt w:val="bullet"/>
      <w:lvlText w:val="•"/>
      <w:lvlJc w:val="left"/>
      <w:pPr>
        <w:ind w:left="4856" w:hanging="241"/>
      </w:pPr>
      <w:rPr>
        <w:rFonts w:hint="default"/>
        <w:lang w:val="en-US" w:eastAsia="en-US" w:bidi="ar-SA"/>
      </w:rPr>
    </w:lvl>
    <w:lvl w:ilvl="5" w:tentative="0">
      <w:start w:val="0"/>
      <w:numFmt w:val="bullet"/>
      <w:lvlText w:val="•"/>
      <w:lvlJc w:val="left"/>
      <w:pPr>
        <w:ind w:left="5785" w:hanging="241"/>
      </w:pPr>
      <w:rPr>
        <w:rFonts w:hint="default"/>
        <w:lang w:val="en-US" w:eastAsia="en-US" w:bidi="ar-SA"/>
      </w:rPr>
    </w:lvl>
    <w:lvl w:ilvl="6" w:tentative="0">
      <w:start w:val="0"/>
      <w:numFmt w:val="bullet"/>
      <w:lvlText w:val="•"/>
      <w:lvlJc w:val="left"/>
      <w:pPr>
        <w:ind w:left="6714" w:hanging="241"/>
      </w:pPr>
      <w:rPr>
        <w:rFonts w:hint="default"/>
        <w:lang w:val="en-US" w:eastAsia="en-US" w:bidi="ar-SA"/>
      </w:rPr>
    </w:lvl>
    <w:lvl w:ilvl="7" w:tentative="0">
      <w:start w:val="0"/>
      <w:numFmt w:val="bullet"/>
      <w:lvlText w:val="•"/>
      <w:lvlJc w:val="left"/>
      <w:pPr>
        <w:ind w:left="7643" w:hanging="241"/>
      </w:pPr>
      <w:rPr>
        <w:rFonts w:hint="default"/>
        <w:lang w:val="en-US" w:eastAsia="en-US" w:bidi="ar-SA"/>
      </w:rPr>
    </w:lvl>
    <w:lvl w:ilvl="8" w:tentative="0">
      <w:start w:val="0"/>
      <w:numFmt w:val="bullet"/>
      <w:lvlText w:val="•"/>
      <w:lvlJc w:val="left"/>
      <w:pPr>
        <w:ind w:left="8572" w:hanging="241"/>
      </w:pPr>
      <w:rPr>
        <w:rFonts w:hint="default"/>
        <w:lang w:val="en-US" w:eastAsia="en-US" w:bidi="ar-SA"/>
      </w:rPr>
    </w:lvl>
  </w:abstractNum>
  <w:abstractNum w:abstractNumId="21">
    <w:nsid w:val="1D524134"/>
    <w:multiLevelType w:val="multilevel"/>
    <w:tmpl w:val="1D524134"/>
    <w:lvl w:ilvl="0" w:tentative="0">
      <w:start w:val="1"/>
      <w:numFmt w:val="decimal"/>
      <w:lvlText w:val="%1."/>
      <w:lvlJc w:val="left"/>
      <w:pPr>
        <w:ind w:left="1132" w:hanging="241"/>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069" w:hanging="241"/>
      </w:pPr>
      <w:rPr>
        <w:rFonts w:hint="default"/>
        <w:lang w:val="en-US" w:eastAsia="en-US" w:bidi="ar-SA"/>
      </w:rPr>
    </w:lvl>
    <w:lvl w:ilvl="2" w:tentative="0">
      <w:start w:val="0"/>
      <w:numFmt w:val="bullet"/>
      <w:lvlText w:val="•"/>
      <w:lvlJc w:val="left"/>
      <w:pPr>
        <w:ind w:left="2998" w:hanging="241"/>
      </w:pPr>
      <w:rPr>
        <w:rFonts w:hint="default"/>
        <w:lang w:val="en-US" w:eastAsia="en-US" w:bidi="ar-SA"/>
      </w:rPr>
    </w:lvl>
    <w:lvl w:ilvl="3" w:tentative="0">
      <w:start w:val="0"/>
      <w:numFmt w:val="bullet"/>
      <w:lvlText w:val="•"/>
      <w:lvlJc w:val="left"/>
      <w:pPr>
        <w:ind w:left="3927" w:hanging="241"/>
      </w:pPr>
      <w:rPr>
        <w:rFonts w:hint="default"/>
        <w:lang w:val="en-US" w:eastAsia="en-US" w:bidi="ar-SA"/>
      </w:rPr>
    </w:lvl>
    <w:lvl w:ilvl="4" w:tentative="0">
      <w:start w:val="0"/>
      <w:numFmt w:val="bullet"/>
      <w:lvlText w:val="•"/>
      <w:lvlJc w:val="left"/>
      <w:pPr>
        <w:ind w:left="4856" w:hanging="241"/>
      </w:pPr>
      <w:rPr>
        <w:rFonts w:hint="default"/>
        <w:lang w:val="en-US" w:eastAsia="en-US" w:bidi="ar-SA"/>
      </w:rPr>
    </w:lvl>
    <w:lvl w:ilvl="5" w:tentative="0">
      <w:start w:val="0"/>
      <w:numFmt w:val="bullet"/>
      <w:lvlText w:val="•"/>
      <w:lvlJc w:val="left"/>
      <w:pPr>
        <w:ind w:left="5785" w:hanging="241"/>
      </w:pPr>
      <w:rPr>
        <w:rFonts w:hint="default"/>
        <w:lang w:val="en-US" w:eastAsia="en-US" w:bidi="ar-SA"/>
      </w:rPr>
    </w:lvl>
    <w:lvl w:ilvl="6" w:tentative="0">
      <w:start w:val="0"/>
      <w:numFmt w:val="bullet"/>
      <w:lvlText w:val="•"/>
      <w:lvlJc w:val="left"/>
      <w:pPr>
        <w:ind w:left="6714" w:hanging="241"/>
      </w:pPr>
      <w:rPr>
        <w:rFonts w:hint="default"/>
        <w:lang w:val="en-US" w:eastAsia="en-US" w:bidi="ar-SA"/>
      </w:rPr>
    </w:lvl>
    <w:lvl w:ilvl="7" w:tentative="0">
      <w:start w:val="0"/>
      <w:numFmt w:val="bullet"/>
      <w:lvlText w:val="•"/>
      <w:lvlJc w:val="left"/>
      <w:pPr>
        <w:ind w:left="7643" w:hanging="241"/>
      </w:pPr>
      <w:rPr>
        <w:rFonts w:hint="default"/>
        <w:lang w:val="en-US" w:eastAsia="en-US" w:bidi="ar-SA"/>
      </w:rPr>
    </w:lvl>
    <w:lvl w:ilvl="8" w:tentative="0">
      <w:start w:val="0"/>
      <w:numFmt w:val="bullet"/>
      <w:lvlText w:val="•"/>
      <w:lvlJc w:val="left"/>
      <w:pPr>
        <w:ind w:left="8572" w:hanging="241"/>
      </w:pPr>
      <w:rPr>
        <w:rFonts w:hint="default"/>
        <w:lang w:val="en-US" w:eastAsia="en-US" w:bidi="ar-SA"/>
      </w:rPr>
    </w:lvl>
  </w:abstractNum>
  <w:abstractNum w:abstractNumId="22">
    <w:nsid w:val="253D7826"/>
    <w:multiLevelType w:val="multilevel"/>
    <w:tmpl w:val="253D7826"/>
    <w:lvl w:ilvl="0" w:tentative="0">
      <w:start w:val="1"/>
      <w:numFmt w:val="decimal"/>
      <w:lvlText w:val="%1."/>
      <w:lvlJc w:val="left"/>
      <w:pPr>
        <w:ind w:left="1853" w:hanging="241"/>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717" w:hanging="241"/>
      </w:pPr>
      <w:rPr>
        <w:rFonts w:hint="default"/>
        <w:lang w:val="en-US" w:eastAsia="en-US" w:bidi="ar-SA"/>
      </w:rPr>
    </w:lvl>
    <w:lvl w:ilvl="2" w:tentative="0">
      <w:start w:val="0"/>
      <w:numFmt w:val="bullet"/>
      <w:lvlText w:val="•"/>
      <w:lvlJc w:val="left"/>
      <w:pPr>
        <w:ind w:left="3574" w:hanging="241"/>
      </w:pPr>
      <w:rPr>
        <w:rFonts w:hint="default"/>
        <w:lang w:val="en-US" w:eastAsia="en-US" w:bidi="ar-SA"/>
      </w:rPr>
    </w:lvl>
    <w:lvl w:ilvl="3" w:tentative="0">
      <w:start w:val="0"/>
      <w:numFmt w:val="bullet"/>
      <w:lvlText w:val="•"/>
      <w:lvlJc w:val="left"/>
      <w:pPr>
        <w:ind w:left="4431" w:hanging="241"/>
      </w:pPr>
      <w:rPr>
        <w:rFonts w:hint="default"/>
        <w:lang w:val="en-US" w:eastAsia="en-US" w:bidi="ar-SA"/>
      </w:rPr>
    </w:lvl>
    <w:lvl w:ilvl="4" w:tentative="0">
      <w:start w:val="0"/>
      <w:numFmt w:val="bullet"/>
      <w:lvlText w:val="•"/>
      <w:lvlJc w:val="left"/>
      <w:pPr>
        <w:ind w:left="5288" w:hanging="241"/>
      </w:pPr>
      <w:rPr>
        <w:rFonts w:hint="default"/>
        <w:lang w:val="en-US" w:eastAsia="en-US" w:bidi="ar-SA"/>
      </w:rPr>
    </w:lvl>
    <w:lvl w:ilvl="5" w:tentative="0">
      <w:start w:val="0"/>
      <w:numFmt w:val="bullet"/>
      <w:lvlText w:val="•"/>
      <w:lvlJc w:val="left"/>
      <w:pPr>
        <w:ind w:left="6145" w:hanging="241"/>
      </w:pPr>
      <w:rPr>
        <w:rFonts w:hint="default"/>
        <w:lang w:val="en-US" w:eastAsia="en-US" w:bidi="ar-SA"/>
      </w:rPr>
    </w:lvl>
    <w:lvl w:ilvl="6" w:tentative="0">
      <w:start w:val="0"/>
      <w:numFmt w:val="bullet"/>
      <w:lvlText w:val="•"/>
      <w:lvlJc w:val="left"/>
      <w:pPr>
        <w:ind w:left="7002" w:hanging="241"/>
      </w:pPr>
      <w:rPr>
        <w:rFonts w:hint="default"/>
        <w:lang w:val="en-US" w:eastAsia="en-US" w:bidi="ar-SA"/>
      </w:rPr>
    </w:lvl>
    <w:lvl w:ilvl="7" w:tentative="0">
      <w:start w:val="0"/>
      <w:numFmt w:val="bullet"/>
      <w:lvlText w:val="•"/>
      <w:lvlJc w:val="left"/>
      <w:pPr>
        <w:ind w:left="7859" w:hanging="241"/>
      </w:pPr>
      <w:rPr>
        <w:rFonts w:hint="default"/>
        <w:lang w:val="en-US" w:eastAsia="en-US" w:bidi="ar-SA"/>
      </w:rPr>
    </w:lvl>
    <w:lvl w:ilvl="8" w:tentative="0">
      <w:start w:val="0"/>
      <w:numFmt w:val="bullet"/>
      <w:lvlText w:val="•"/>
      <w:lvlJc w:val="left"/>
      <w:pPr>
        <w:ind w:left="8716" w:hanging="241"/>
      </w:pPr>
      <w:rPr>
        <w:rFonts w:hint="default"/>
        <w:lang w:val="en-US" w:eastAsia="en-US" w:bidi="ar-SA"/>
      </w:rPr>
    </w:lvl>
  </w:abstractNum>
  <w:abstractNum w:abstractNumId="23">
    <w:nsid w:val="28DCCB11"/>
    <w:multiLevelType w:val="multilevel"/>
    <w:tmpl w:val="28DCCB11"/>
    <w:lvl w:ilvl="0" w:tentative="0">
      <w:start w:val="2"/>
      <w:numFmt w:val="decimal"/>
      <w:lvlText w:val="%1."/>
      <w:lvlJc w:val="left"/>
      <w:pPr>
        <w:ind w:left="2121" w:hanging="183"/>
        <w:jc w:val="left"/>
      </w:pPr>
      <w:rPr>
        <w:rFonts w:hint="default" w:ascii="宋体" w:hAnsi="宋体" w:eastAsia="宋体" w:cs="宋体"/>
        <w:b w:val="0"/>
        <w:bCs w:val="0"/>
        <w:i w:val="0"/>
        <w:iCs w:val="0"/>
        <w:spacing w:val="1"/>
        <w:w w:val="98"/>
        <w:sz w:val="16"/>
        <w:szCs w:val="16"/>
        <w:lang w:val="en-US" w:eastAsia="en-US" w:bidi="ar-SA"/>
      </w:rPr>
    </w:lvl>
    <w:lvl w:ilvl="1" w:tentative="0">
      <w:start w:val="0"/>
      <w:numFmt w:val="bullet"/>
      <w:lvlText w:val="•"/>
      <w:lvlJc w:val="left"/>
      <w:pPr>
        <w:ind w:left="2951" w:hanging="183"/>
      </w:pPr>
      <w:rPr>
        <w:rFonts w:hint="default"/>
        <w:lang w:val="en-US" w:eastAsia="en-US" w:bidi="ar-SA"/>
      </w:rPr>
    </w:lvl>
    <w:lvl w:ilvl="2" w:tentative="0">
      <w:start w:val="0"/>
      <w:numFmt w:val="bullet"/>
      <w:lvlText w:val="•"/>
      <w:lvlJc w:val="left"/>
      <w:pPr>
        <w:ind w:left="3782" w:hanging="183"/>
      </w:pPr>
      <w:rPr>
        <w:rFonts w:hint="default"/>
        <w:lang w:val="en-US" w:eastAsia="en-US" w:bidi="ar-SA"/>
      </w:rPr>
    </w:lvl>
    <w:lvl w:ilvl="3" w:tentative="0">
      <w:start w:val="0"/>
      <w:numFmt w:val="bullet"/>
      <w:lvlText w:val="•"/>
      <w:lvlJc w:val="left"/>
      <w:pPr>
        <w:ind w:left="4613" w:hanging="183"/>
      </w:pPr>
      <w:rPr>
        <w:rFonts w:hint="default"/>
        <w:lang w:val="en-US" w:eastAsia="en-US" w:bidi="ar-SA"/>
      </w:rPr>
    </w:lvl>
    <w:lvl w:ilvl="4" w:tentative="0">
      <w:start w:val="0"/>
      <w:numFmt w:val="bullet"/>
      <w:lvlText w:val="•"/>
      <w:lvlJc w:val="left"/>
      <w:pPr>
        <w:ind w:left="5444" w:hanging="183"/>
      </w:pPr>
      <w:rPr>
        <w:rFonts w:hint="default"/>
        <w:lang w:val="en-US" w:eastAsia="en-US" w:bidi="ar-SA"/>
      </w:rPr>
    </w:lvl>
    <w:lvl w:ilvl="5" w:tentative="0">
      <w:start w:val="0"/>
      <w:numFmt w:val="bullet"/>
      <w:lvlText w:val="•"/>
      <w:lvlJc w:val="left"/>
      <w:pPr>
        <w:ind w:left="6275" w:hanging="183"/>
      </w:pPr>
      <w:rPr>
        <w:rFonts w:hint="default"/>
        <w:lang w:val="en-US" w:eastAsia="en-US" w:bidi="ar-SA"/>
      </w:rPr>
    </w:lvl>
    <w:lvl w:ilvl="6" w:tentative="0">
      <w:start w:val="0"/>
      <w:numFmt w:val="bullet"/>
      <w:lvlText w:val="•"/>
      <w:lvlJc w:val="left"/>
      <w:pPr>
        <w:ind w:left="7106" w:hanging="183"/>
      </w:pPr>
      <w:rPr>
        <w:rFonts w:hint="default"/>
        <w:lang w:val="en-US" w:eastAsia="en-US" w:bidi="ar-SA"/>
      </w:rPr>
    </w:lvl>
    <w:lvl w:ilvl="7" w:tentative="0">
      <w:start w:val="0"/>
      <w:numFmt w:val="bullet"/>
      <w:lvlText w:val="•"/>
      <w:lvlJc w:val="left"/>
      <w:pPr>
        <w:ind w:left="7937" w:hanging="183"/>
      </w:pPr>
      <w:rPr>
        <w:rFonts w:hint="default"/>
        <w:lang w:val="en-US" w:eastAsia="en-US" w:bidi="ar-SA"/>
      </w:rPr>
    </w:lvl>
    <w:lvl w:ilvl="8" w:tentative="0">
      <w:start w:val="0"/>
      <w:numFmt w:val="bullet"/>
      <w:lvlText w:val="•"/>
      <w:lvlJc w:val="left"/>
      <w:pPr>
        <w:ind w:left="8768" w:hanging="183"/>
      </w:pPr>
      <w:rPr>
        <w:rFonts w:hint="default"/>
        <w:lang w:val="en-US" w:eastAsia="en-US" w:bidi="ar-SA"/>
      </w:rPr>
    </w:lvl>
  </w:abstractNum>
  <w:abstractNum w:abstractNumId="24">
    <w:nsid w:val="34E2B5CC"/>
    <w:multiLevelType w:val="multilevel"/>
    <w:tmpl w:val="34E2B5CC"/>
    <w:lvl w:ilvl="0" w:tentative="0">
      <w:start w:val="1"/>
      <w:numFmt w:val="decimal"/>
      <w:lvlText w:val="（%1）"/>
      <w:lvlJc w:val="left"/>
      <w:pPr>
        <w:ind w:left="1416" w:hanging="610"/>
        <w:jc w:val="lef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abstractNum w:abstractNumId="25">
    <w:nsid w:val="35E4A0D4"/>
    <w:multiLevelType w:val="multilevel"/>
    <w:tmpl w:val="35E4A0D4"/>
    <w:lvl w:ilvl="0" w:tentative="0">
      <w:start w:val="1"/>
      <w:numFmt w:val="decimal"/>
      <w:lvlText w:val="(%1)"/>
      <w:lvlJc w:val="left"/>
      <w:pPr>
        <w:ind w:left="2257" w:hanging="361"/>
        <w:jc w:val="right"/>
      </w:pPr>
      <w:rPr>
        <w:rFonts w:hint="default" w:ascii="宋体" w:hAnsi="宋体" w:eastAsia="宋体" w:cs="宋体"/>
        <w:b w:val="0"/>
        <w:bCs w:val="0"/>
        <w:i w:val="0"/>
        <w:iCs w:val="0"/>
        <w:spacing w:val="0"/>
        <w:w w:val="100"/>
        <w:sz w:val="22"/>
        <w:szCs w:val="22"/>
        <w:lang w:val="en-US" w:eastAsia="en-US" w:bidi="ar-SA"/>
      </w:rPr>
    </w:lvl>
    <w:lvl w:ilvl="1" w:tentative="0">
      <w:start w:val="0"/>
      <w:numFmt w:val="bullet"/>
      <w:lvlText w:val="•"/>
      <w:lvlJc w:val="left"/>
      <w:pPr>
        <w:ind w:left="3077" w:hanging="361"/>
      </w:pPr>
      <w:rPr>
        <w:rFonts w:hint="default"/>
        <w:lang w:val="en-US" w:eastAsia="en-US" w:bidi="ar-SA"/>
      </w:rPr>
    </w:lvl>
    <w:lvl w:ilvl="2" w:tentative="0">
      <w:start w:val="0"/>
      <w:numFmt w:val="bullet"/>
      <w:lvlText w:val="•"/>
      <w:lvlJc w:val="left"/>
      <w:pPr>
        <w:ind w:left="3894" w:hanging="361"/>
      </w:pPr>
      <w:rPr>
        <w:rFonts w:hint="default"/>
        <w:lang w:val="en-US" w:eastAsia="en-US" w:bidi="ar-SA"/>
      </w:rPr>
    </w:lvl>
    <w:lvl w:ilvl="3" w:tentative="0">
      <w:start w:val="0"/>
      <w:numFmt w:val="bullet"/>
      <w:lvlText w:val="•"/>
      <w:lvlJc w:val="left"/>
      <w:pPr>
        <w:ind w:left="4711" w:hanging="361"/>
      </w:pPr>
      <w:rPr>
        <w:rFonts w:hint="default"/>
        <w:lang w:val="en-US" w:eastAsia="en-US" w:bidi="ar-SA"/>
      </w:rPr>
    </w:lvl>
    <w:lvl w:ilvl="4" w:tentative="0">
      <w:start w:val="0"/>
      <w:numFmt w:val="bullet"/>
      <w:lvlText w:val="•"/>
      <w:lvlJc w:val="left"/>
      <w:pPr>
        <w:ind w:left="5528" w:hanging="361"/>
      </w:pPr>
      <w:rPr>
        <w:rFonts w:hint="default"/>
        <w:lang w:val="en-US" w:eastAsia="en-US" w:bidi="ar-SA"/>
      </w:rPr>
    </w:lvl>
    <w:lvl w:ilvl="5" w:tentative="0">
      <w:start w:val="0"/>
      <w:numFmt w:val="bullet"/>
      <w:lvlText w:val="•"/>
      <w:lvlJc w:val="left"/>
      <w:pPr>
        <w:ind w:left="6345" w:hanging="361"/>
      </w:pPr>
      <w:rPr>
        <w:rFonts w:hint="default"/>
        <w:lang w:val="en-US" w:eastAsia="en-US" w:bidi="ar-SA"/>
      </w:rPr>
    </w:lvl>
    <w:lvl w:ilvl="6" w:tentative="0">
      <w:start w:val="0"/>
      <w:numFmt w:val="bullet"/>
      <w:lvlText w:val="•"/>
      <w:lvlJc w:val="left"/>
      <w:pPr>
        <w:ind w:left="7162" w:hanging="361"/>
      </w:pPr>
      <w:rPr>
        <w:rFonts w:hint="default"/>
        <w:lang w:val="en-US" w:eastAsia="en-US" w:bidi="ar-SA"/>
      </w:rPr>
    </w:lvl>
    <w:lvl w:ilvl="7" w:tentative="0">
      <w:start w:val="0"/>
      <w:numFmt w:val="bullet"/>
      <w:lvlText w:val="•"/>
      <w:lvlJc w:val="left"/>
      <w:pPr>
        <w:ind w:left="7979" w:hanging="361"/>
      </w:pPr>
      <w:rPr>
        <w:rFonts w:hint="default"/>
        <w:lang w:val="en-US" w:eastAsia="en-US" w:bidi="ar-SA"/>
      </w:rPr>
    </w:lvl>
    <w:lvl w:ilvl="8" w:tentative="0">
      <w:start w:val="0"/>
      <w:numFmt w:val="bullet"/>
      <w:lvlText w:val="•"/>
      <w:lvlJc w:val="left"/>
      <w:pPr>
        <w:ind w:left="8796" w:hanging="361"/>
      </w:pPr>
      <w:rPr>
        <w:rFonts w:hint="default"/>
        <w:lang w:val="en-US" w:eastAsia="en-US" w:bidi="ar-SA"/>
      </w:rPr>
    </w:lvl>
  </w:abstractNum>
  <w:abstractNum w:abstractNumId="26">
    <w:nsid w:val="3CD741E2"/>
    <w:multiLevelType w:val="multilevel"/>
    <w:tmpl w:val="3CD741E2"/>
    <w:lvl w:ilvl="0" w:tentative="0">
      <w:start w:val="1"/>
      <w:numFmt w:val="decimal"/>
      <w:lvlText w:val="%1."/>
      <w:lvlJc w:val="left"/>
      <w:pPr>
        <w:ind w:left="1416" w:hanging="241"/>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321" w:hanging="241"/>
      </w:pPr>
      <w:rPr>
        <w:rFonts w:hint="default"/>
        <w:lang w:val="en-US" w:eastAsia="en-US" w:bidi="ar-SA"/>
      </w:rPr>
    </w:lvl>
    <w:lvl w:ilvl="2" w:tentative="0">
      <w:start w:val="0"/>
      <w:numFmt w:val="bullet"/>
      <w:lvlText w:val="•"/>
      <w:lvlJc w:val="left"/>
      <w:pPr>
        <w:ind w:left="3222" w:hanging="241"/>
      </w:pPr>
      <w:rPr>
        <w:rFonts w:hint="default"/>
        <w:lang w:val="en-US" w:eastAsia="en-US" w:bidi="ar-SA"/>
      </w:rPr>
    </w:lvl>
    <w:lvl w:ilvl="3" w:tentative="0">
      <w:start w:val="0"/>
      <w:numFmt w:val="bullet"/>
      <w:lvlText w:val="•"/>
      <w:lvlJc w:val="left"/>
      <w:pPr>
        <w:ind w:left="4123" w:hanging="241"/>
      </w:pPr>
      <w:rPr>
        <w:rFonts w:hint="default"/>
        <w:lang w:val="en-US" w:eastAsia="en-US" w:bidi="ar-SA"/>
      </w:rPr>
    </w:lvl>
    <w:lvl w:ilvl="4" w:tentative="0">
      <w:start w:val="0"/>
      <w:numFmt w:val="bullet"/>
      <w:lvlText w:val="•"/>
      <w:lvlJc w:val="left"/>
      <w:pPr>
        <w:ind w:left="5024" w:hanging="241"/>
      </w:pPr>
      <w:rPr>
        <w:rFonts w:hint="default"/>
        <w:lang w:val="en-US" w:eastAsia="en-US" w:bidi="ar-SA"/>
      </w:rPr>
    </w:lvl>
    <w:lvl w:ilvl="5" w:tentative="0">
      <w:start w:val="0"/>
      <w:numFmt w:val="bullet"/>
      <w:lvlText w:val="•"/>
      <w:lvlJc w:val="left"/>
      <w:pPr>
        <w:ind w:left="5925" w:hanging="241"/>
      </w:pPr>
      <w:rPr>
        <w:rFonts w:hint="default"/>
        <w:lang w:val="en-US" w:eastAsia="en-US" w:bidi="ar-SA"/>
      </w:rPr>
    </w:lvl>
    <w:lvl w:ilvl="6" w:tentative="0">
      <w:start w:val="0"/>
      <w:numFmt w:val="bullet"/>
      <w:lvlText w:val="•"/>
      <w:lvlJc w:val="left"/>
      <w:pPr>
        <w:ind w:left="6826" w:hanging="241"/>
      </w:pPr>
      <w:rPr>
        <w:rFonts w:hint="default"/>
        <w:lang w:val="en-US" w:eastAsia="en-US" w:bidi="ar-SA"/>
      </w:rPr>
    </w:lvl>
    <w:lvl w:ilvl="7" w:tentative="0">
      <w:start w:val="0"/>
      <w:numFmt w:val="bullet"/>
      <w:lvlText w:val="•"/>
      <w:lvlJc w:val="left"/>
      <w:pPr>
        <w:ind w:left="7727" w:hanging="241"/>
      </w:pPr>
      <w:rPr>
        <w:rFonts w:hint="default"/>
        <w:lang w:val="en-US" w:eastAsia="en-US" w:bidi="ar-SA"/>
      </w:rPr>
    </w:lvl>
    <w:lvl w:ilvl="8" w:tentative="0">
      <w:start w:val="0"/>
      <w:numFmt w:val="bullet"/>
      <w:lvlText w:val="•"/>
      <w:lvlJc w:val="left"/>
      <w:pPr>
        <w:ind w:left="8628" w:hanging="241"/>
      </w:pPr>
      <w:rPr>
        <w:rFonts w:hint="default"/>
        <w:lang w:val="en-US" w:eastAsia="en-US" w:bidi="ar-SA"/>
      </w:rPr>
    </w:lvl>
  </w:abstractNum>
  <w:abstractNum w:abstractNumId="27">
    <w:nsid w:val="3DA5DBB6"/>
    <w:multiLevelType w:val="multilevel"/>
    <w:tmpl w:val="3DA5DBB6"/>
    <w:lvl w:ilvl="0" w:tentative="0">
      <w:start w:val="1"/>
      <w:numFmt w:val="decimal"/>
      <w:lvlText w:val="%1."/>
      <w:lvlJc w:val="left"/>
      <w:pPr>
        <w:ind w:left="1132" w:hanging="360"/>
        <w:jc w:val="left"/>
      </w:pPr>
      <w:rPr>
        <w:rFonts w:hint="default" w:ascii="宋体" w:hAnsi="宋体" w:eastAsia="宋体" w:cs="宋体"/>
        <w:b w:val="0"/>
        <w:bCs w:val="0"/>
        <w:i w:val="0"/>
        <w:iCs w:val="0"/>
        <w:spacing w:val="0"/>
        <w:w w:val="100"/>
        <w:sz w:val="24"/>
        <w:szCs w:val="24"/>
        <w:lang w:val="en-US" w:eastAsia="en-US" w:bidi="ar-SA"/>
      </w:rPr>
    </w:lvl>
    <w:lvl w:ilvl="1" w:tentative="0">
      <w:start w:val="1"/>
      <w:numFmt w:val="decimal"/>
      <w:lvlText w:val="%2."/>
      <w:lvlJc w:val="left"/>
      <w:pPr>
        <w:ind w:left="1416" w:hanging="360"/>
        <w:jc w:val="left"/>
      </w:pPr>
      <w:rPr>
        <w:rFonts w:hint="default" w:ascii="宋体" w:hAnsi="宋体" w:eastAsia="宋体" w:cs="宋体"/>
        <w:b w:val="0"/>
        <w:bCs w:val="0"/>
        <w:i w:val="0"/>
        <w:iCs w:val="0"/>
        <w:spacing w:val="0"/>
        <w:w w:val="100"/>
        <w:sz w:val="24"/>
        <w:szCs w:val="24"/>
        <w:lang w:val="en-US" w:eastAsia="en-US" w:bidi="ar-SA"/>
      </w:rPr>
    </w:lvl>
    <w:lvl w:ilvl="2" w:tentative="0">
      <w:start w:val="0"/>
      <w:numFmt w:val="bullet"/>
      <w:lvlText w:val="•"/>
      <w:lvlJc w:val="left"/>
      <w:pPr>
        <w:ind w:left="2421" w:hanging="360"/>
      </w:pPr>
      <w:rPr>
        <w:rFonts w:hint="default"/>
        <w:lang w:val="en-US" w:eastAsia="en-US" w:bidi="ar-SA"/>
      </w:rPr>
    </w:lvl>
    <w:lvl w:ilvl="3" w:tentative="0">
      <w:start w:val="0"/>
      <w:numFmt w:val="bullet"/>
      <w:lvlText w:val="•"/>
      <w:lvlJc w:val="left"/>
      <w:pPr>
        <w:ind w:left="3422" w:hanging="360"/>
      </w:pPr>
      <w:rPr>
        <w:rFonts w:hint="default"/>
        <w:lang w:val="en-US" w:eastAsia="en-US" w:bidi="ar-SA"/>
      </w:rPr>
    </w:lvl>
    <w:lvl w:ilvl="4" w:tentative="0">
      <w:start w:val="0"/>
      <w:numFmt w:val="bullet"/>
      <w:lvlText w:val="•"/>
      <w:lvlJc w:val="left"/>
      <w:pPr>
        <w:ind w:left="4423" w:hanging="360"/>
      </w:pPr>
      <w:rPr>
        <w:rFonts w:hint="default"/>
        <w:lang w:val="en-US" w:eastAsia="en-US" w:bidi="ar-SA"/>
      </w:rPr>
    </w:lvl>
    <w:lvl w:ilvl="5" w:tentative="0">
      <w:start w:val="0"/>
      <w:numFmt w:val="bullet"/>
      <w:lvlText w:val="•"/>
      <w:lvlJc w:val="left"/>
      <w:pPr>
        <w:ind w:left="5424" w:hanging="360"/>
      </w:pPr>
      <w:rPr>
        <w:rFonts w:hint="default"/>
        <w:lang w:val="en-US" w:eastAsia="en-US" w:bidi="ar-SA"/>
      </w:rPr>
    </w:lvl>
    <w:lvl w:ilvl="6" w:tentative="0">
      <w:start w:val="0"/>
      <w:numFmt w:val="bullet"/>
      <w:lvlText w:val="•"/>
      <w:lvlJc w:val="left"/>
      <w:pPr>
        <w:ind w:left="6426" w:hanging="360"/>
      </w:pPr>
      <w:rPr>
        <w:rFonts w:hint="default"/>
        <w:lang w:val="en-US" w:eastAsia="en-US" w:bidi="ar-SA"/>
      </w:rPr>
    </w:lvl>
    <w:lvl w:ilvl="7" w:tentative="0">
      <w:start w:val="0"/>
      <w:numFmt w:val="bullet"/>
      <w:lvlText w:val="•"/>
      <w:lvlJc w:val="left"/>
      <w:pPr>
        <w:ind w:left="7427" w:hanging="360"/>
      </w:pPr>
      <w:rPr>
        <w:rFonts w:hint="default"/>
        <w:lang w:val="en-US" w:eastAsia="en-US" w:bidi="ar-SA"/>
      </w:rPr>
    </w:lvl>
    <w:lvl w:ilvl="8" w:tentative="0">
      <w:start w:val="0"/>
      <w:numFmt w:val="bullet"/>
      <w:lvlText w:val="•"/>
      <w:lvlJc w:val="left"/>
      <w:pPr>
        <w:ind w:left="8428" w:hanging="360"/>
      </w:pPr>
      <w:rPr>
        <w:rFonts w:hint="default"/>
        <w:lang w:val="en-US" w:eastAsia="en-US" w:bidi="ar-SA"/>
      </w:rPr>
    </w:lvl>
  </w:abstractNum>
  <w:abstractNum w:abstractNumId="28">
    <w:nsid w:val="3F4FE6A9"/>
    <w:multiLevelType w:val="multilevel"/>
    <w:tmpl w:val="3F4FE6A9"/>
    <w:lvl w:ilvl="0" w:tentative="0">
      <w:start w:val="1"/>
      <w:numFmt w:val="decimal"/>
      <w:lvlText w:val="（%1）"/>
      <w:lvlJc w:val="left"/>
      <w:pPr>
        <w:ind w:left="1132" w:hanging="610"/>
        <w:jc w:val="lef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069" w:hanging="610"/>
      </w:pPr>
      <w:rPr>
        <w:rFonts w:hint="default"/>
        <w:lang w:val="en-US" w:eastAsia="en-US" w:bidi="ar-SA"/>
      </w:rPr>
    </w:lvl>
    <w:lvl w:ilvl="2" w:tentative="0">
      <w:start w:val="0"/>
      <w:numFmt w:val="bullet"/>
      <w:lvlText w:val="•"/>
      <w:lvlJc w:val="left"/>
      <w:pPr>
        <w:ind w:left="2998" w:hanging="610"/>
      </w:pPr>
      <w:rPr>
        <w:rFonts w:hint="default"/>
        <w:lang w:val="en-US" w:eastAsia="en-US" w:bidi="ar-SA"/>
      </w:rPr>
    </w:lvl>
    <w:lvl w:ilvl="3" w:tentative="0">
      <w:start w:val="0"/>
      <w:numFmt w:val="bullet"/>
      <w:lvlText w:val="•"/>
      <w:lvlJc w:val="left"/>
      <w:pPr>
        <w:ind w:left="3927" w:hanging="610"/>
      </w:pPr>
      <w:rPr>
        <w:rFonts w:hint="default"/>
        <w:lang w:val="en-US" w:eastAsia="en-US" w:bidi="ar-SA"/>
      </w:rPr>
    </w:lvl>
    <w:lvl w:ilvl="4" w:tentative="0">
      <w:start w:val="0"/>
      <w:numFmt w:val="bullet"/>
      <w:lvlText w:val="•"/>
      <w:lvlJc w:val="left"/>
      <w:pPr>
        <w:ind w:left="4856" w:hanging="610"/>
      </w:pPr>
      <w:rPr>
        <w:rFonts w:hint="default"/>
        <w:lang w:val="en-US" w:eastAsia="en-US" w:bidi="ar-SA"/>
      </w:rPr>
    </w:lvl>
    <w:lvl w:ilvl="5" w:tentative="0">
      <w:start w:val="0"/>
      <w:numFmt w:val="bullet"/>
      <w:lvlText w:val="•"/>
      <w:lvlJc w:val="left"/>
      <w:pPr>
        <w:ind w:left="5785" w:hanging="610"/>
      </w:pPr>
      <w:rPr>
        <w:rFonts w:hint="default"/>
        <w:lang w:val="en-US" w:eastAsia="en-US" w:bidi="ar-SA"/>
      </w:rPr>
    </w:lvl>
    <w:lvl w:ilvl="6" w:tentative="0">
      <w:start w:val="0"/>
      <w:numFmt w:val="bullet"/>
      <w:lvlText w:val="•"/>
      <w:lvlJc w:val="left"/>
      <w:pPr>
        <w:ind w:left="6714" w:hanging="610"/>
      </w:pPr>
      <w:rPr>
        <w:rFonts w:hint="default"/>
        <w:lang w:val="en-US" w:eastAsia="en-US" w:bidi="ar-SA"/>
      </w:rPr>
    </w:lvl>
    <w:lvl w:ilvl="7" w:tentative="0">
      <w:start w:val="0"/>
      <w:numFmt w:val="bullet"/>
      <w:lvlText w:val="•"/>
      <w:lvlJc w:val="left"/>
      <w:pPr>
        <w:ind w:left="7643" w:hanging="610"/>
      </w:pPr>
      <w:rPr>
        <w:rFonts w:hint="default"/>
        <w:lang w:val="en-US" w:eastAsia="en-US" w:bidi="ar-SA"/>
      </w:rPr>
    </w:lvl>
    <w:lvl w:ilvl="8" w:tentative="0">
      <w:start w:val="0"/>
      <w:numFmt w:val="bullet"/>
      <w:lvlText w:val="•"/>
      <w:lvlJc w:val="left"/>
      <w:pPr>
        <w:ind w:left="8572" w:hanging="610"/>
      </w:pPr>
      <w:rPr>
        <w:rFonts w:hint="default"/>
        <w:lang w:val="en-US" w:eastAsia="en-US" w:bidi="ar-SA"/>
      </w:rPr>
    </w:lvl>
  </w:abstractNum>
  <w:abstractNum w:abstractNumId="29">
    <w:nsid w:val="3F8D6AC3"/>
    <w:multiLevelType w:val="multilevel"/>
    <w:tmpl w:val="3F8D6AC3"/>
    <w:lvl w:ilvl="0" w:tentative="0">
      <w:start w:val="1"/>
      <w:numFmt w:val="decimal"/>
      <w:lvlText w:val="（%1）"/>
      <w:lvlJc w:val="left"/>
      <w:pPr>
        <w:ind w:left="2505" w:hanging="610"/>
        <w:jc w:val="right"/>
      </w:pPr>
      <w:rPr>
        <w:rFonts w:hint="default" w:ascii="宋体" w:hAnsi="宋体" w:eastAsia="宋体" w:cs="宋体"/>
        <w:b w:val="0"/>
        <w:bCs w:val="0"/>
        <w:i w:val="0"/>
        <w:iCs w:val="0"/>
        <w:color w:val="0D0D0D"/>
        <w:spacing w:val="2"/>
        <w:w w:val="100"/>
        <w:sz w:val="22"/>
        <w:szCs w:val="22"/>
        <w:lang w:val="en-US" w:eastAsia="en-US" w:bidi="ar-SA"/>
      </w:rPr>
    </w:lvl>
    <w:lvl w:ilvl="1" w:tentative="0">
      <w:start w:val="0"/>
      <w:numFmt w:val="bullet"/>
      <w:lvlText w:val="•"/>
      <w:lvlJc w:val="left"/>
      <w:pPr>
        <w:ind w:left="3293" w:hanging="610"/>
      </w:pPr>
      <w:rPr>
        <w:rFonts w:hint="default"/>
        <w:lang w:val="en-US" w:eastAsia="en-US" w:bidi="ar-SA"/>
      </w:rPr>
    </w:lvl>
    <w:lvl w:ilvl="2" w:tentative="0">
      <w:start w:val="0"/>
      <w:numFmt w:val="bullet"/>
      <w:lvlText w:val="•"/>
      <w:lvlJc w:val="left"/>
      <w:pPr>
        <w:ind w:left="4086" w:hanging="610"/>
      </w:pPr>
      <w:rPr>
        <w:rFonts w:hint="default"/>
        <w:lang w:val="en-US" w:eastAsia="en-US" w:bidi="ar-SA"/>
      </w:rPr>
    </w:lvl>
    <w:lvl w:ilvl="3" w:tentative="0">
      <w:start w:val="0"/>
      <w:numFmt w:val="bullet"/>
      <w:lvlText w:val="•"/>
      <w:lvlJc w:val="left"/>
      <w:pPr>
        <w:ind w:left="4879" w:hanging="610"/>
      </w:pPr>
      <w:rPr>
        <w:rFonts w:hint="default"/>
        <w:lang w:val="en-US" w:eastAsia="en-US" w:bidi="ar-SA"/>
      </w:rPr>
    </w:lvl>
    <w:lvl w:ilvl="4" w:tentative="0">
      <w:start w:val="0"/>
      <w:numFmt w:val="bullet"/>
      <w:lvlText w:val="•"/>
      <w:lvlJc w:val="left"/>
      <w:pPr>
        <w:ind w:left="5672" w:hanging="610"/>
      </w:pPr>
      <w:rPr>
        <w:rFonts w:hint="default"/>
        <w:lang w:val="en-US" w:eastAsia="en-US" w:bidi="ar-SA"/>
      </w:rPr>
    </w:lvl>
    <w:lvl w:ilvl="5" w:tentative="0">
      <w:start w:val="0"/>
      <w:numFmt w:val="bullet"/>
      <w:lvlText w:val="•"/>
      <w:lvlJc w:val="left"/>
      <w:pPr>
        <w:ind w:left="6465" w:hanging="610"/>
      </w:pPr>
      <w:rPr>
        <w:rFonts w:hint="default"/>
        <w:lang w:val="en-US" w:eastAsia="en-US" w:bidi="ar-SA"/>
      </w:rPr>
    </w:lvl>
    <w:lvl w:ilvl="6" w:tentative="0">
      <w:start w:val="0"/>
      <w:numFmt w:val="bullet"/>
      <w:lvlText w:val="•"/>
      <w:lvlJc w:val="left"/>
      <w:pPr>
        <w:ind w:left="7258" w:hanging="610"/>
      </w:pPr>
      <w:rPr>
        <w:rFonts w:hint="default"/>
        <w:lang w:val="en-US" w:eastAsia="en-US" w:bidi="ar-SA"/>
      </w:rPr>
    </w:lvl>
    <w:lvl w:ilvl="7" w:tentative="0">
      <w:start w:val="0"/>
      <w:numFmt w:val="bullet"/>
      <w:lvlText w:val="•"/>
      <w:lvlJc w:val="left"/>
      <w:pPr>
        <w:ind w:left="8051" w:hanging="610"/>
      </w:pPr>
      <w:rPr>
        <w:rFonts w:hint="default"/>
        <w:lang w:val="en-US" w:eastAsia="en-US" w:bidi="ar-SA"/>
      </w:rPr>
    </w:lvl>
    <w:lvl w:ilvl="8" w:tentative="0">
      <w:start w:val="0"/>
      <w:numFmt w:val="bullet"/>
      <w:lvlText w:val="•"/>
      <w:lvlJc w:val="left"/>
      <w:pPr>
        <w:ind w:left="8844" w:hanging="610"/>
      </w:pPr>
      <w:rPr>
        <w:rFonts w:hint="default"/>
        <w:lang w:val="en-US" w:eastAsia="en-US" w:bidi="ar-SA"/>
      </w:rPr>
    </w:lvl>
  </w:abstractNum>
  <w:abstractNum w:abstractNumId="30">
    <w:nsid w:val="4539A97D"/>
    <w:multiLevelType w:val="multilevel"/>
    <w:tmpl w:val="4539A97D"/>
    <w:lvl w:ilvl="0" w:tentative="0">
      <w:start w:val="1"/>
      <w:numFmt w:val="decimal"/>
      <w:lvlText w:val="（%1）"/>
      <w:lvlJc w:val="left"/>
      <w:pPr>
        <w:ind w:left="1132" w:hanging="601"/>
        <w:jc w:val="left"/>
      </w:pPr>
      <w:rPr>
        <w:rFonts w:hint="default" w:ascii="宋体" w:hAnsi="宋体" w:eastAsia="宋体" w:cs="宋体"/>
        <w:b w:val="0"/>
        <w:bCs w:val="0"/>
        <w:i w:val="0"/>
        <w:iCs w:val="0"/>
        <w:spacing w:val="-10"/>
        <w:w w:val="100"/>
        <w:sz w:val="22"/>
        <w:szCs w:val="22"/>
        <w:lang w:val="en-US" w:eastAsia="en-US" w:bidi="ar-SA"/>
      </w:rPr>
    </w:lvl>
    <w:lvl w:ilvl="1" w:tentative="0">
      <w:start w:val="0"/>
      <w:numFmt w:val="bullet"/>
      <w:lvlText w:val="•"/>
      <w:lvlJc w:val="left"/>
      <w:pPr>
        <w:ind w:left="2069" w:hanging="601"/>
      </w:pPr>
      <w:rPr>
        <w:rFonts w:hint="default"/>
        <w:lang w:val="en-US" w:eastAsia="en-US" w:bidi="ar-SA"/>
      </w:rPr>
    </w:lvl>
    <w:lvl w:ilvl="2" w:tentative="0">
      <w:start w:val="0"/>
      <w:numFmt w:val="bullet"/>
      <w:lvlText w:val="•"/>
      <w:lvlJc w:val="left"/>
      <w:pPr>
        <w:ind w:left="2998" w:hanging="601"/>
      </w:pPr>
      <w:rPr>
        <w:rFonts w:hint="default"/>
        <w:lang w:val="en-US" w:eastAsia="en-US" w:bidi="ar-SA"/>
      </w:rPr>
    </w:lvl>
    <w:lvl w:ilvl="3" w:tentative="0">
      <w:start w:val="0"/>
      <w:numFmt w:val="bullet"/>
      <w:lvlText w:val="•"/>
      <w:lvlJc w:val="left"/>
      <w:pPr>
        <w:ind w:left="3927" w:hanging="601"/>
      </w:pPr>
      <w:rPr>
        <w:rFonts w:hint="default"/>
        <w:lang w:val="en-US" w:eastAsia="en-US" w:bidi="ar-SA"/>
      </w:rPr>
    </w:lvl>
    <w:lvl w:ilvl="4" w:tentative="0">
      <w:start w:val="0"/>
      <w:numFmt w:val="bullet"/>
      <w:lvlText w:val="•"/>
      <w:lvlJc w:val="left"/>
      <w:pPr>
        <w:ind w:left="4856" w:hanging="601"/>
      </w:pPr>
      <w:rPr>
        <w:rFonts w:hint="default"/>
        <w:lang w:val="en-US" w:eastAsia="en-US" w:bidi="ar-SA"/>
      </w:rPr>
    </w:lvl>
    <w:lvl w:ilvl="5" w:tentative="0">
      <w:start w:val="0"/>
      <w:numFmt w:val="bullet"/>
      <w:lvlText w:val="•"/>
      <w:lvlJc w:val="left"/>
      <w:pPr>
        <w:ind w:left="5785" w:hanging="601"/>
      </w:pPr>
      <w:rPr>
        <w:rFonts w:hint="default"/>
        <w:lang w:val="en-US" w:eastAsia="en-US" w:bidi="ar-SA"/>
      </w:rPr>
    </w:lvl>
    <w:lvl w:ilvl="6" w:tentative="0">
      <w:start w:val="0"/>
      <w:numFmt w:val="bullet"/>
      <w:lvlText w:val="•"/>
      <w:lvlJc w:val="left"/>
      <w:pPr>
        <w:ind w:left="6714" w:hanging="601"/>
      </w:pPr>
      <w:rPr>
        <w:rFonts w:hint="default"/>
        <w:lang w:val="en-US" w:eastAsia="en-US" w:bidi="ar-SA"/>
      </w:rPr>
    </w:lvl>
    <w:lvl w:ilvl="7" w:tentative="0">
      <w:start w:val="0"/>
      <w:numFmt w:val="bullet"/>
      <w:lvlText w:val="•"/>
      <w:lvlJc w:val="left"/>
      <w:pPr>
        <w:ind w:left="7643" w:hanging="601"/>
      </w:pPr>
      <w:rPr>
        <w:rFonts w:hint="default"/>
        <w:lang w:val="en-US" w:eastAsia="en-US" w:bidi="ar-SA"/>
      </w:rPr>
    </w:lvl>
    <w:lvl w:ilvl="8" w:tentative="0">
      <w:start w:val="0"/>
      <w:numFmt w:val="bullet"/>
      <w:lvlText w:val="•"/>
      <w:lvlJc w:val="left"/>
      <w:pPr>
        <w:ind w:left="8572" w:hanging="601"/>
      </w:pPr>
      <w:rPr>
        <w:rFonts w:hint="default"/>
        <w:lang w:val="en-US" w:eastAsia="en-US" w:bidi="ar-SA"/>
      </w:rPr>
    </w:lvl>
  </w:abstractNum>
  <w:abstractNum w:abstractNumId="31">
    <w:nsid w:val="4DFA8867"/>
    <w:multiLevelType w:val="multilevel"/>
    <w:tmpl w:val="4DFA8867"/>
    <w:lvl w:ilvl="0" w:tentative="0">
      <w:start w:val="1"/>
      <w:numFmt w:val="decimal"/>
      <w:lvlText w:val="（%1）"/>
      <w:lvlJc w:val="left"/>
      <w:pPr>
        <w:ind w:left="1416" w:hanging="601"/>
        <w:jc w:val="left"/>
      </w:pPr>
      <w:rPr>
        <w:rFonts w:hint="default" w:ascii="宋体" w:hAnsi="宋体" w:eastAsia="宋体" w:cs="宋体"/>
        <w:b w:val="0"/>
        <w:bCs w:val="0"/>
        <w:i w:val="0"/>
        <w:iCs w:val="0"/>
        <w:spacing w:val="-10"/>
        <w:w w:val="100"/>
        <w:sz w:val="22"/>
        <w:szCs w:val="22"/>
        <w:lang w:val="en-US" w:eastAsia="en-US" w:bidi="ar-SA"/>
      </w:rPr>
    </w:lvl>
    <w:lvl w:ilvl="1" w:tentative="0">
      <w:start w:val="0"/>
      <w:numFmt w:val="bullet"/>
      <w:lvlText w:val="•"/>
      <w:lvlJc w:val="left"/>
      <w:pPr>
        <w:ind w:left="2321" w:hanging="601"/>
      </w:pPr>
      <w:rPr>
        <w:rFonts w:hint="default"/>
        <w:lang w:val="en-US" w:eastAsia="en-US" w:bidi="ar-SA"/>
      </w:rPr>
    </w:lvl>
    <w:lvl w:ilvl="2" w:tentative="0">
      <w:start w:val="0"/>
      <w:numFmt w:val="bullet"/>
      <w:lvlText w:val="•"/>
      <w:lvlJc w:val="left"/>
      <w:pPr>
        <w:ind w:left="3222" w:hanging="601"/>
      </w:pPr>
      <w:rPr>
        <w:rFonts w:hint="default"/>
        <w:lang w:val="en-US" w:eastAsia="en-US" w:bidi="ar-SA"/>
      </w:rPr>
    </w:lvl>
    <w:lvl w:ilvl="3" w:tentative="0">
      <w:start w:val="0"/>
      <w:numFmt w:val="bullet"/>
      <w:lvlText w:val="•"/>
      <w:lvlJc w:val="left"/>
      <w:pPr>
        <w:ind w:left="4123" w:hanging="601"/>
      </w:pPr>
      <w:rPr>
        <w:rFonts w:hint="default"/>
        <w:lang w:val="en-US" w:eastAsia="en-US" w:bidi="ar-SA"/>
      </w:rPr>
    </w:lvl>
    <w:lvl w:ilvl="4" w:tentative="0">
      <w:start w:val="0"/>
      <w:numFmt w:val="bullet"/>
      <w:lvlText w:val="•"/>
      <w:lvlJc w:val="left"/>
      <w:pPr>
        <w:ind w:left="5024" w:hanging="601"/>
      </w:pPr>
      <w:rPr>
        <w:rFonts w:hint="default"/>
        <w:lang w:val="en-US" w:eastAsia="en-US" w:bidi="ar-SA"/>
      </w:rPr>
    </w:lvl>
    <w:lvl w:ilvl="5" w:tentative="0">
      <w:start w:val="0"/>
      <w:numFmt w:val="bullet"/>
      <w:lvlText w:val="•"/>
      <w:lvlJc w:val="left"/>
      <w:pPr>
        <w:ind w:left="5925" w:hanging="601"/>
      </w:pPr>
      <w:rPr>
        <w:rFonts w:hint="default"/>
        <w:lang w:val="en-US" w:eastAsia="en-US" w:bidi="ar-SA"/>
      </w:rPr>
    </w:lvl>
    <w:lvl w:ilvl="6" w:tentative="0">
      <w:start w:val="0"/>
      <w:numFmt w:val="bullet"/>
      <w:lvlText w:val="•"/>
      <w:lvlJc w:val="left"/>
      <w:pPr>
        <w:ind w:left="6826" w:hanging="601"/>
      </w:pPr>
      <w:rPr>
        <w:rFonts w:hint="default"/>
        <w:lang w:val="en-US" w:eastAsia="en-US" w:bidi="ar-SA"/>
      </w:rPr>
    </w:lvl>
    <w:lvl w:ilvl="7" w:tentative="0">
      <w:start w:val="0"/>
      <w:numFmt w:val="bullet"/>
      <w:lvlText w:val="•"/>
      <w:lvlJc w:val="left"/>
      <w:pPr>
        <w:ind w:left="7727" w:hanging="601"/>
      </w:pPr>
      <w:rPr>
        <w:rFonts w:hint="default"/>
        <w:lang w:val="en-US" w:eastAsia="en-US" w:bidi="ar-SA"/>
      </w:rPr>
    </w:lvl>
    <w:lvl w:ilvl="8" w:tentative="0">
      <w:start w:val="0"/>
      <w:numFmt w:val="bullet"/>
      <w:lvlText w:val="•"/>
      <w:lvlJc w:val="left"/>
      <w:pPr>
        <w:ind w:left="8628" w:hanging="601"/>
      </w:pPr>
      <w:rPr>
        <w:rFonts w:hint="default"/>
        <w:lang w:val="en-US" w:eastAsia="en-US" w:bidi="ar-SA"/>
      </w:rPr>
    </w:lvl>
  </w:abstractNum>
  <w:abstractNum w:abstractNumId="32">
    <w:nsid w:val="62B6FDB7"/>
    <w:multiLevelType w:val="multilevel"/>
    <w:tmpl w:val="62B6FDB7"/>
    <w:lvl w:ilvl="0" w:tentative="0">
      <w:start w:val="1"/>
      <w:numFmt w:val="decimal"/>
      <w:lvlText w:val="（%1）"/>
      <w:lvlJc w:val="left"/>
      <w:pPr>
        <w:ind w:left="1416" w:hanging="610"/>
        <w:jc w:val="righ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abstractNum w:abstractNumId="33">
    <w:nsid w:val="64B16643"/>
    <w:multiLevelType w:val="multilevel"/>
    <w:tmpl w:val="64B16643"/>
    <w:lvl w:ilvl="0" w:tentative="0">
      <w:start w:val="1"/>
      <w:numFmt w:val="decimal"/>
      <w:lvlText w:val="%1."/>
      <w:lvlJc w:val="left"/>
      <w:pPr>
        <w:ind w:left="323" w:hanging="212"/>
        <w:jc w:val="left"/>
      </w:pPr>
      <w:rPr>
        <w:rFonts w:hint="default" w:ascii="宋体" w:hAnsi="宋体" w:eastAsia="宋体" w:cs="宋体"/>
        <w:b w:val="0"/>
        <w:bCs w:val="0"/>
        <w:i w:val="0"/>
        <w:iCs w:val="0"/>
        <w:spacing w:val="1"/>
        <w:w w:val="98"/>
        <w:sz w:val="19"/>
        <w:szCs w:val="19"/>
        <w:lang w:val="en-US" w:eastAsia="en-US" w:bidi="ar-SA"/>
      </w:rPr>
    </w:lvl>
    <w:lvl w:ilvl="1" w:tentative="0">
      <w:start w:val="0"/>
      <w:numFmt w:val="bullet"/>
      <w:lvlText w:val="•"/>
      <w:lvlJc w:val="left"/>
      <w:pPr>
        <w:ind w:left="509" w:hanging="212"/>
      </w:pPr>
      <w:rPr>
        <w:rFonts w:hint="default"/>
        <w:lang w:val="en-US" w:eastAsia="en-US" w:bidi="ar-SA"/>
      </w:rPr>
    </w:lvl>
    <w:lvl w:ilvl="2" w:tentative="0">
      <w:start w:val="0"/>
      <w:numFmt w:val="bullet"/>
      <w:lvlText w:val="•"/>
      <w:lvlJc w:val="left"/>
      <w:pPr>
        <w:ind w:left="698" w:hanging="212"/>
      </w:pPr>
      <w:rPr>
        <w:rFonts w:hint="default"/>
        <w:lang w:val="en-US" w:eastAsia="en-US" w:bidi="ar-SA"/>
      </w:rPr>
    </w:lvl>
    <w:lvl w:ilvl="3" w:tentative="0">
      <w:start w:val="0"/>
      <w:numFmt w:val="bullet"/>
      <w:lvlText w:val="•"/>
      <w:lvlJc w:val="left"/>
      <w:pPr>
        <w:ind w:left="887" w:hanging="212"/>
      </w:pPr>
      <w:rPr>
        <w:rFonts w:hint="default"/>
        <w:lang w:val="en-US" w:eastAsia="en-US" w:bidi="ar-SA"/>
      </w:rPr>
    </w:lvl>
    <w:lvl w:ilvl="4" w:tentative="0">
      <w:start w:val="0"/>
      <w:numFmt w:val="bullet"/>
      <w:lvlText w:val="•"/>
      <w:lvlJc w:val="left"/>
      <w:pPr>
        <w:ind w:left="1076" w:hanging="212"/>
      </w:pPr>
      <w:rPr>
        <w:rFonts w:hint="default"/>
        <w:lang w:val="en-US" w:eastAsia="en-US" w:bidi="ar-SA"/>
      </w:rPr>
    </w:lvl>
    <w:lvl w:ilvl="5" w:tentative="0">
      <w:start w:val="0"/>
      <w:numFmt w:val="bullet"/>
      <w:lvlText w:val="•"/>
      <w:lvlJc w:val="left"/>
      <w:pPr>
        <w:ind w:left="1265" w:hanging="212"/>
      </w:pPr>
      <w:rPr>
        <w:rFonts w:hint="default"/>
        <w:lang w:val="en-US" w:eastAsia="en-US" w:bidi="ar-SA"/>
      </w:rPr>
    </w:lvl>
    <w:lvl w:ilvl="6" w:tentative="0">
      <w:start w:val="0"/>
      <w:numFmt w:val="bullet"/>
      <w:lvlText w:val="•"/>
      <w:lvlJc w:val="left"/>
      <w:pPr>
        <w:ind w:left="1454" w:hanging="212"/>
      </w:pPr>
      <w:rPr>
        <w:rFonts w:hint="default"/>
        <w:lang w:val="en-US" w:eastAsia="en-US" w:bidi="ar-SA"/>
      </w:rPr>
    </w:lvl>
    <w:lvl w:ilvl="7" w:tentative="0">
      <w:start w:val="0"/>
      <w:numFmt w:val="bullet"/>
      <w:lvlText w:val="•"/>
      <w:lvlJc w:val="left"/>
      <w:pPr>
        <w:ind w:left="1643" w:hanging="212"/>
      </w:pPr>
      <w:rPr>
        <w:rFonts w:hint="default"/>
        <w:lang w:val="en-US" w:eastAsia="en-US" w:bidi="ar-SA"/>
      </w:rPr>
    </w:lvl>
    <w:lvl w:ilvl="8" w:tentative="0">
      <w:start w:val="0"/>
      <w:numFmt w:val="bullet"/>
      <w:lvlText w:val="•"/>
      <w:lvlJc w:val="left"/>
      <w:pPr>
        <w:ind w:left="1832" w:hanging="212"/>
      </w:pPr>
      <w:rPr>
        <w:rFonts w:hint="default"/>
        <w:lang w:val="en-US" w:eastAsia="en-US" w:bidi="ar-SA"/>
      </w:rPr>
    </w:lvl>
  </w:abstractNum>
  <w:abstractNum w:abstractNumId="34">
    <w:nsid w:val="682ECE08"/>
    <w:multiLevelType w:val="multilevel"/>
    <w:tmpl w:val="682ECE08"/>
    <w:lvl w:ilvl="0" w:tentative="0">
      <w:start w:val="1"/>
      <w:numFmt w:val="decimal"/>
      <w:lvlText w:val="（%1）"/>
      <w:lvlJc w:val="left"/>
      <w:pPr>
        <w:ind w:left="1416" w:hanging="608"/>
        <w:jc w:val="righ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08"/>
      </w:pPr>
      <w:rPr>
        <w:rFonts w:hint="default"/>
        <w:lang w:val="en-US" w:eastAsia="en-US" w:bidi="ar-SA"/>
      </w:rPr>
    </w:lvl>
    <w:lvl w:ilvl="2" w:tentative="0">
      <w:start w:val="0"/>
      <w:numFmt w:val="bullet"/>
      <w:lvlText w:val="•"/>
      <w:lvlJc w:val="left"/>
      <w:pPr>
        <w:ind w:left="3222" w:hanging="608"/>
      </w:pPr>
      <w:rPr>
        <w:rFonts w:hint="default"/>
        <w:lang w:val="en-US" w:eastAsia="en-US" w:bidi="ar-SA"/>
      </w:rPr>
    </w:lvl>
    <w:lvl w:ilvl="3" w:tentative="0">
      <w:start w:val="0"/>
      <w:numFmt w:val="bullet"/>
      <w:lvlText w:val="•"/>
      <w:lvlJc w:val="left"/>
      <w:pPr>
        <w:ind w:left="4123" w:hanging="608"/>
      </w:pPr>
      <w:rPr>
        <w:rFonts w:hint="default"/>
        <w:lang w:val="en-US" w:eastAsia="en-US" w:bidi="ar-SA"/>
      </w:rPr>
    </w:lvl>
    <w:lvl w:ilvl="4" w:tentative="0">
      <w:start w:val="0"/>
      <w:numFmt w:val="bullet"/>
      <w:lvlText w:val="•"/>
      <w:lvlJc w:val="left"/>
      <w:pPr>
        <w:ind w:left="5024" w:hanging="608"/>
      </w:pPr>
      <w:rPr>
        <w:rFonts w:hint="default"/>
        <w:lang w:val="en-US" w:eastAsia="en-US" w:bidi="ar-SA"/>
      </w:rPr>
    </w:lvl>
    <w:lvl w:ilvl="5" w:tentative="0">
      <w:start w:val="0"/>
      <w:numFmt w:val="bullet"/>
      <w:lvlText w:val="•"/>
      <w:lvlJc w:val="left"/>
      <w:pPr>
        <w:ind w:left="5925" w:hanging="608"/>
      </w:pPr>
      <w:rPr>
        <w:rFonts w:hint="default"/>
        <w:lang w:val="en-US" w:eastAsia="en-US" w:bidi="ar-SA"/>
      </w:rPr>
    </w:lvl>
    <w:lvl w:ilvl="6" w:tentative="0">
      <w:start w:val="0"/>
      <w:numFmt w:val="bullet"/>
      <w:lvlText w:val="•"/>
      <w:lvlJc w:val="left"/>
      <w:pPr>
        <w:ind w:left="6826" w:hanging="608"/>
      </w:pPr>
      <w:rPr>
        <w:rFonts w:hint="default"/>
        <w:lang w:val="en-US" w:eastAsia="en-US" w:bidi="ar-SA"/>
      </w:rPr>
    </w:lvl>
    <w:lvl w:ilvl="7" w:tentative="0">
      <w:start w:val="0"/>
      <w:numFmt w:val="bullet"/>
      <w:lvlText w:val="•"/>
      <w:lvlJc w:val="left"/>
      <w:pPr>
        <w:ind w:left="7727" w:hanging="608"/>
      </w:pPr>
      <w:rPr>
        <w:rFonts w:hint="default"/>
        <w:lang w:val="en-US" w:eastAsia="en-US" w:bidi="ar-SA"/>
      </w:rPr>
    </w:lvl>
    <w:lvl w:ilvl="8" w:tentative="0">
      <w:start w:val="0"/>
      <w:numFmt w:val="bullet"/>
      <w:lvlText w:val="•"/>
      <w:lvlJc w:val="left"/>
      <w:pPr>
        <w:ind w:left="8628" w:hanging="608"/>
      </w:pPr>
      <w:rPr>
        <w:rFonts w:hint="default"/>
        <w:lang w:val="en-US" w:eastAsia="en-US" w:bidi="ar-SA"/>
      </w:rPr>
    </w:lvl>
  </w:abstractNum>
  <w:abstractNum w:abstractNumId="35">
    <w:nsid w:val="68D07576"/>
    <w:multiLevelType w:val="multilevel"/>
    <w:tmpl w:val="68D07576"/>
    <w:lvl w:ilvl="0" w:tentative="0">
      <w:start w:val="1"/>
      <w:numFmt w:val="decimal"/>
      <w:lvlText w:val="%1."/>
      <w:lvlJc w:val="left"/>
      <w:pPr>
        <w:ind w:left="1132" w:hanging="243"/>
        <w:jc w:val="left"/>
      </w:pPr>
      <w:rPr>
        <w:rFonts w:hint="default" w:ascii="宋体" w:hAnsi="宋体" w:eastAsia="宋体" w:cs="宋体"/>
        <w:b w:val="0"/>
        <w:bCs w:val="0"/>
        <w:i w:val="0"/>
        <w:iCs w:val="0"/>
        <w:spacing w:val="0"/>
        <w:w w:val="99"/>
        <w:sz w:val="22"/>
        <w:szCs w:val="22"/>
        <w:lang w:val="en-US" w:eastAsia="en-US" w:bidi="ar-SA"/>
      </w:rPr>
    </w:lvl>
    <w:lvl w:ilvl="1" w:tentative="0">
      <w:start w:val="0"/>
      <w:numFmt w:val="bullet"/>
      <w:lvlText w:val="•"/>
      <w:lvlJc w:val="left"/>
      <w:pPr>
        <w:ind w:left="2069" w:hanging="243"/>
      </w:pPr>
      <w:rPr>
        <w:rFonts w:hint="default"/>
        <w:lang w:val="en-US" w:eastAsia="en-US" w:bidi="ar-SA"/>
      </w:rPr>
    </w:lvl>
    <w:lvl w:ilvl="2" w:tentative="0">
      <w:start w:val="0"/>
      <w:numFmt w:val="bullet"/>
      <w:lvlText w:val="•"/>
      <w:lvlJc w:val="left"/>
      <w:pPr>
        <w:ind w:left="2998" w:hanging="243"/>
      </w:pPr>
      <w:rPr>
        <w:rFonts w:hint="default"/>
        <w:lang w:val="en-US" w:eastAsia="en-US" w:bidi="ar-SA"/>
      </w:rPr>
    </w:lvl>
    <w:lvl w:ilvl="3" w:tentative="0">
      <w:start w:val="0"/>
      <w:numFmt w:val="bullet"/>
      <w:lvlText w:val="•"/>
      <w:lvlJc w:val="left"/>
      <w:pPr>
        <w:ind w:left="3927" w:hanging="243"/>
      </w:pPr>
      <w:rPr>
        <w:rFonts w:hint="default"/>
        <w:lang w:val="en-US" w:eastAsia="en-US" w:bidi="ar-SA"/>
      </w:rPr>
    </w:lvl>
    <w:lvl w:ilvl="4" w:tentative="0">
      <w:start w:val="0"/>
      <w:numFmt w:val="bullet"/>
      <w:lvlText w:val="•"/>
      <w:lvlJc w:val="left"/>
      <w:pPr>
        <w:ind w:left="4856" w:hanging="243"/>
      </w:pPr>
      <w:rPr>
        <w:rFonts w:hint="default"/>
        <w:lang w:val="en-US" w:eastAsia="en-US" w:bidi="ar-SA"/>
      </w:rPr>
    </w:lvl>
    <w:lvl w:ilvl="5" w:tentative="0">
      <w:start w:val="0"/>
      <w:numFmt w:val="bullet"/>
      <w:lvlText w:val="•"/>
      <w:lvlJc w:val="left"/>
      <w:pPr>
        <w:ind w:left="5785" w:hanging="243"/>
      </w:pPr>
      <w:rPr>
        <w:rFonts w:hint="default"/>
        <w:lang w:val="en-US" w:eastAsia="en-US" w:bidi="ar-SA"/>
      </w:rPr>
    </w:lvl>
    <w:lvl w:ilvl="6" w:tentative="0">
      <w:start w:val="0"/>
      <w:numFmt w:val="bullet"/>
      <w:lvlText w:val="•"/>
      <w:lvlJc w:val="left"/>
      <w:pPr>
        <w:ind w:left="6714" w:hanging="243"/>
      </w:pPr>
      <w:rPr>
        <w:rFonts w:hint="default"/>
        <w:lang w:val="en-US" w:eastAsia="en-US" w:bidi="ar-SA"/>
      </w:rPr>
    </w:lvl>
    <w:lvl w:ilvl="7" w:tentative="0">
      <w:start w:val="0"/>
      <w:numFmt w:val="bullet"/>
      <w:lvlText w:val="•"/>
      <w:lvlJc w:val="left"/>
      <w:pPr>
        <w:ind w:left="7643" w:hanging="243"/>
      </w:pPr>
      <w:rPr>
        <w:rFonts w:hint="default"/>
        <w:lang w:val="en-US" w:eastAsia="en-US" w:bidi="ar-SA"/>
      </w:rPr>
    </w:lvl>
    <w:lvl w:ilvl="8" w:tentative="0">
      <w:start w:val="0"/>
      <w:numFmt w:val="bullet"/>
      <w:lvlText w:val="•"/>
      <w:lvlJc w:val="left"/>
      <w:pPr>
        <w:ind w:left="8572" w:hanging="243"/>
      </w:pPr>
      <w:rPr>
        <w:rFonts w:hint="default"/>
        <w:lang w:val="en-US" w:eastAsia="en-US" w:bidi="ar-SA"/>
      </w:rPr>
    </w:lvl>
  </w:abstractNum>
  <w:abstractNum w:abstractNumId="36">
    <w:nsid w:val="72E92201"/>
    <w:multiLevelType w:val="multilevel"/>
    <w:tmpl w:val="72E92201"/>
    <w:lvl w:ilvl="0" w:tentative="0">
      <w:start w:val="1"/>
      <w:numFmt w:val="decimal"/>
      <w:lvlText w:val="（%1）"/>
      <w:lvlJc w:val="left"/>
      <w:pPr>
        <w:ind w:left="1416" w:hanging="610"/>
        <w:jc w:val="left"/>
      </w:pPr>
      <w:rPr>
        <w:rFonts w:hint="default" w:ascii="宋体" w:hAnsi="宋体" w:eastAsia="宋体" w:cs="宋体"/>
        <w:b w:val="0"/>
        <w:bCs w:val="0"/>
        <w:i w:val="0"/>
        <w:iCs w:val="0"/>
        <w:spacing w:val="2"/>
        <w:w w:val="100"/>
        <w:sz w:val="22"/>
        <w:szCs w:val="22"/>
        <w:lang w:val="en-US" w:eastAsia="en-US" w:bidi="ar-SA"/>
      </w:rPr>
    </w:lvl>
    <w:lvl w:ilvl="1" w:tentative="0">
      <w:start w:val="0"/>
      <w:numFmt w:val="bullet"/>
      <w:lvlText w:val="•"/>
      <w:lvlJc w:val="left"/>
      <w:pPr>
        <w:ind w:left="2321" w:hanging="610"/>
      </w:pPr>
      <w:rPr>
        <w:rFonts w:hint="default"/>
        <w:lang w:val="en-US" w:eastAsia="en-US" w:bidi="ar-SA"/>
      </w:rPr>
    </w:lvl>
    <w:lvl w:ilvl="2" w:tentative="0">
      <w:start w:val="0"/>
      <w:numFmt w:val="bullet"/>
      <w:lvlText w:val="•"/>
      <w:lvlJc w:val="left"/>
      <w:pPr>
        <w:ind w:left="3222" w:hanging="610"/>
      </w:pPr>
      <w:rPr>
        <w:rFonts w:hint="default"/>
        <w:lang w:val="en-US" w:eastAsia="en-US" w:bidi="ar-SA"/>
      </w:rPr>
    </w:lvl>
    <w:lvl w:ilvl="3" w:tentative="0">
      <w:start w:val="0"/>
      <w:numFmt w:val="bullet"/>
      <w:lvlText w:val="•"/>
      <w:lvlJc w:val="left"/>
      <w:pPr>
        <w:ind w:left="4123" w:hanging="610"/>
      </w:pPr>
      <w:rPr>
        <w:rFonts w:hint="default"/>
        <w:lang w:val="en-US" w:eastAsia="en-US" w:bidi="ar-SA"/>
      </w:rPr>
    </w:lvl>
    <w:lvl w:ilvl="4" w:tentative="0">
      <w:start w:val="0"/>
      <w:numFmt w:val="bullet"/>
      <w:lvlText w:val="•"/>
      <w:lvlJc w:val="left"/>
      <w:pPr>
        <w:ind w:left="5024" w:hanging="610"/>
      </w:pPr>
      <w:rPr>
        <w:rFonts w:hint="default"/>
        <w:lang w:val="en-US" w:eastAsia="en-US" w:bidi="ar-SA"/>
      </w:rPr>
    </w:lvl>
    <w:lvl w:ilvl="5" w:tentative="0">
      <w:start w:val="0"/>
      <w:numFmt w:val="bullet"/>
      <w:lvlText w:val="•"/>
      <w:lvlJc w:val="left"/>
      <w:pPr>
        <w:ind w:left="5925" w:hanging="610"/>
      </w:pPr>
      <w:rPr>
        <w:rFonts w:hint="default"/>
        <w:lang w:val="en-US" w:eastAsia="en-US" w:bidi="ar-SA"/>
      </w:rPr>
    </w:lvl>
    <w:lvl w:ilvl="6" w:tentative="0">
      <w:start w:val="0"/>
      <w:numFmt w:val="bullet"/>
      <w:lvlText w:val="•"/>
      <w:lvlJc w:val="left"/>
      <w:pPr>
        <w:ind w:left="6826" w:hanging="610"/>
      </w:pPr>
      <w:rPr>
        <w:rFonts w:hint="default"/>
        <w:lang w:val="en-US" w:eastAsia="en-US" w:bidi="ar-SA"/>
      </w:rPr>
    </w:lvl>
    <w:lvl w:ilvl="7" w:tentative="0">
      <w:start w:val="0"/>
      <w:numFmt w:val="bullet"/>
      <w:lvlText w:val="•"/>
      <w:lvlJc w:val="left"/>
      <w:pPr>
        <w:ind w:left="7727" w:hanging="610"/>
      </w:pPr>
      <w:rPr>
        <w:rFonts w:hint="default"/>
        <w:lang w:val="en-US" w:eastAsia="en-US" w:bidi="ar-SA"/>
      </w:rPr>
    </w:lvl>
    <w:lvl w:ilvl="8" w:tentative="0">
      <w:start w:val="0"/>
      <w:numFmt w:val="bullet"/>
      <w:lvlText w:val="•"/>
      <w:lvlJc w:val="left"/>
      <w:pPr>
        <w:ind w:left="8628" w:hanging="610"/>
      </w:pPr>
      <w:rPr>
        <w:rFonts w:hint="default"/>
        <w:lang w:val="en-US" w:eastAsia="en-US" w:bidi="ar-SA"/>
      </w:rPr>
    </w:lvl>
  </w:abstractNum>
  <w:num w:numId="1">
    <w:abstractNumId w:val="8"/>
  </w:num>
  <w:num w:numId="2">
    <w:abstractNumId w:val="20"/>
  </w:num>
  <w:num w:numId="3">
    <w:abstractNumId w:val="17"/>
  </w:num>
  <w:num w:numId="4">
    <w:abstractNumId w:val="1"/>
  </w:num>
  <w:num w:numId="5">
    <w:abstractNumId w:val="14"/>
  </w:num>
  <w:num w:numId="6">
    <w:abstractNumId w:val="21"/>
  </w:num>
  <w:num w:numId="7">
    <w:abstractNumId w:val="26"/>
  </w:num>
  <w:num w:numId="8">
    <w:abstractNumId w:val="5"/>
  </w:num>
  <w:num w:numId="9">
    <w:abstractNumId w:val="35"/>
  </w:num>
  <w:num w:numId="10">
    <w:abstractNumId w:val="30"/>
  </w:num>
  <w:num w:numId="11">
    <w:abstractNumId w:val="13"/>
  </w:num>
  <w:num w:numId="12">
    <w:abstractNumId w:val="31"/>
  </w:num>
  <w:num w:numId="13">
    <w:abstractNumId w:val="3"/>
  </w:num>
  <w:num w:numId="14">
    <w:abstractNumId w:val="28"/>
  </w:num>
  <w:num w:numId="15">
    <w:abstractNumId w:val="36"/>
  </w:num>
  <w:num w:numId="16">
    <w:abstractNumId w:val="34"/>
  </w:num>
  <w:num w:numId="17">
    <w:abstractNumId w:val="24"/>
  </w:num>
  <w:num w:numId="18">
    <w:abstractNumId w:val="32"/>
  </w:num>
  <w:num w:numId="19">
    <w:abstractNumId w:val="9"/>
  </w:num>
  <w:num w:numId="20">
    <w:abstractNumId w:val="7"/>
  </w:num>
  <w:num w:numId="21">
    <w:abstractNumId w:val="0"/>
  </w:num>
  <w:num w:numId="22">
    <w:abstractNumId w:val="6"/>
  </w:num>
  <w:num w:numId="23">
    <w:abstractNumId w:val="2"/>
  </w:num>
  <w:num w:numId="24">
    <w:abstractNumId w:val="29"/>
  </w:num>
  <w:num w:numId="25">
    <w:abstractNumId w:val="11"/>
  </w:num>
  <w:num w:numId="26">
    <w:abstractNumId w:val="12"/>
  </w:num>
  <w:num w:numId="27">
    <w:abstractNumId w:val="18"/>
  </w:num>
  <w:num w:numId="28">
    <w:abstractNumId w:val="27"/>
  </w:num>
  <w:num w:numId="29">
    <w:abstractNumId w:val="25"/>
  </w:num>
  <w:num w:numId="30">
    <w:abstractNumId w:val="19"/>
  </w:num>
  <w:num w:numId="31">
    <w:abstractNumId w:val="33"/>
  </w:num>
  <w:num w:numId="32">
    <w:abstractNumId w:val="16"/>
  </w:num>
  <w:num w:numId="33">
    <w:abstractNumId w:val="15"/>
  </w:num>
  <w:num w:numId="34">
    <w:abstractNumId w:val="4"/>
  </w:num>
  <w:num w:numId="35">
    <w:abstractNumId w:val="10"/>
  </w:num>
  <w:num w:numId="36">
    <w:abstractNumId w:val="22"/>
  </w:num>
  <w:num w:numId="3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evenAndOddHeaders w:val="1"/>
  <w:drawingGridHorizontalSpacing w:val="110"/>
  <w:displayHorizontalDrawingGridEvery w:val="2"/>
  <w:characterSpacingControl w:val="doNotCompress"/>
  <w:footnotePr>
    <w:footnote w:id="0"/>
    <w:footnote w:id="1"/>
  </w:footnotePr>
  <w:endnotePr>
    <w:endnote w:id="0"/>
    <w:endnote w:id="1"/>
  </w:endnotePr>
  <w:compat>
    <w:ulTrailSpace/>
    <w:shapeLayoutLikeWW8/>
    <w:useFELayout/>
    <w:compatSetting w:name="compatibilityMode" w:uri="http://schemas.microsoft.com/office/word" w:val="14"/>
  </w:compat>
  <w:rsids>
    <w:rsidRoot w:val="00000000"/>
    <w:rsid w:val="55A1050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qFormat="1" w:unhideWhenUsed="0" w:uiPriority="1" w:semiHidden="0" w:name="toc 3"/>
    <w:lsdException w:qFormat="1" w:unhideWhenUsed="0" w:uiPriority="1" w:semiHidden="0" w:name="toc 4"/>
    <w:lsdException w:qFormat="1" w:unhideWhenUsed="0" w:uiPriority="1"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en-US" w:eastAsia="en-US" w:bidi="ar-SA"/>
    </w:rPr>
  </w:style>
  <w:style w:type="paragraph" w:styleId="2">
    <w:name w:val="heading 1"/>
    <w:basedOn w:val="1"/>
    <w:qFormat/>
    <w:uiPriority w:val="1"/>
    <w:pPr>
      <w:ind w:left="282"/>
      <w:jc w:val="center"/>
      <w:outlineLvl w:val="1"/>
    </w:pPr>
    <w:rPr>
      <w:rFonts w:ascii="宋体" w:hAnsi="宋体" w:eastAsia="宋体" w:cs="宋体"/>
      <w:sz w:val="32"/>
      <w:szCs w:val="32"/>
      <w:lang w:val="en-US" w:eastAsia="en-US" w:bidi="ar-SA"/>
    </w:rPr>
  </w:style>
  <w:style w:type="paragraph" w:styleId="3">
    <w:name w:val="heading 2"/>
    <w:basedOn w:val="1"/>
    <w:qFormat/>
    <w:uiPriority w:val="1"/>
    <w:pPr>
      <w:spacing w:before="2"/>
      <w:ind w:left="1612"/>
      <w:outlineLvl w:val="2"/>
    </w:pPr>
    <w:rPr>
      <w:rFonts w:ascii="Microsoft JhengHei" w:hAnsi="Microsoft JhengHei" w:eastAsia="Microsoft JhengHei" w:cs="Microsoft JhengHei"/>
      <w:b/>
      <w:bCs/>
      <w:sz w:val="24"/>
      <w:szCs w:val="24"/>
      <w:lang w:val="en-US" w:eastAsia="en-US" w:bidi="ar-SA"/>
    </w:rPr>
  </w:style>
  <w:style w:type="character" w:default="1" w:styleId="12">
    <w:name w:val="Default Paragraph Font"/>
    <w:semiHidden/>
    <w:unhideWhenUsed/>
    <w:uiPriority w:val="1"/>
  </w:style>
  <w:style w:type="table" w:default="1" w:styleId="11">
    <w:name w:val="Normal Table"/>
    <w:semiHidden/>
    <w:uiPriority w:val="0"/>
    <w:tblPr>
      <w:tblCellMar>
        <w:top w:w="0" w:type="dxa"/>
        <w:left w:w="108" w:type="dxa"/>
        <w:bottom w:w="0" w:type="dxa"/>
        <w:right w:w="108" w:type="dxa"/>
      </w:tblCellMar>
    </w:tblPr>
  </w:style>
  <w:style w:type="paragraph" w:styleId="4">
    <w:name w:val="Body Text"/>
    <w:basedOn w:val="1"/>
    <w:qFormat/>
    <w:uiPriority w:val="1"/>
    <w:rPr>
      <w:rFonts w:ascii="宋体" w:hAnsi="宋体" w:eastAsia="宋体" w:cs="宋体"/>
      <w:sz w:val="24"/>
      <w:szCs w:val="24"/>
      <w:lang w:val="en-US" w:eastAsia="en-US" w:bidi="ar-SA"/>
    </w:rPr>
  </w:style>
  <w:style w:type="paragraph" w:styleId="5">
    <w:name w:val="toc 5"/>
    <w:basedOn w:val="1"/>
    <w:qFormat/>
    <w:uiPriority w:val="1"/>
    <w:pPr>
      <w:spacing w:before="98"/>
      <w:ind w:left="2032"/>
    </w:pPr>
    <w:rPr>
      <w:rFonts w:ascii="宋体" w:hAnsi="宋体" w:eastAsia="宋体" w:cs="宋体"/>
      <w:sz w:val="24"/>
      <w:szCs w:val="24"/>
      <w:lang w:val="en-US" w:eastAsia="en-US" w:bidi="ar-SA"/>
    </w:rPr>
  </w:style>
  <w:style w:type="paragraph" w:styleId="6">
    <w:name w:val="toc 3"/>
    <w:basedOn w:val="1"/>
    <w:qFormat/>
    <w:uiPriority w:val="1"/>
    <w:pPr>
      <w:spacing w:before="192"/>
      <w:ind w:left="1552"/>
    </w:pPr>
    <w:rPr>
      <w:rFonts w:ascii="宋体" w:hAnsi="宋体" w:eastAsia="宋体" w:cs="宋体"/>
      <w:sz w:val="24"/>
      <w:szCs w:val="24"/>
      <w:lang w:val="en-US" w:eastAsia="en-US" w:bidi="ar-SA"/>
    </w:rPr>
  </w:style>
  <w:style w:type="paragraph" w:styleId="7">
    <w:name w:val="toc 1"/>
    <w:basedOn w:val="1"/>
    <w:qFormat/>
    <w:uiPriority w:val="1"/>
    <w:pPr>
      <w:spacing w:before="99"/>
      <w:ind w:left="1132"/>
    </w:pPr>
    <w:rPr>
      <w:rFonts w:ascii="宋体" w:hAnsi="宋体" w:eastAsia="宋体" w:cs="宋体"/>
      <w:sz w:val="24"/>
      <w:szCs w:val="24"/>
      <w:lang w:val="en-US" w:eastAsia="en-US" w:bidi="ar-SA"/>
    </w:rPr>
  </w:style>
  <w:style w:type="paragraph" w:styleId="8">
    <w:name w:val="toc 4"/>
    <w:basedOn w:val="1"/>
    <w:qFormat/>
    <w:uiPriority w:val="1"/>
    <w:pPr>
      <w:spacing w:before="192"/>
      <w:ind w:left="1836"/>
    </w:pPr>
    <w:rPr>
      <w:rFonts w:ascii="宋体" w:hAnsi="宋体" w:eastAsia="宋体" w:cs="宋体"/>
      <w:sz w:val="24"/>
      <w:szCs w:val="24"/>
      <w:lang w:val="en-US" w:eastAsia="en-US" w:bidi="ar-SA"/>
    </w:rPr>
  </w:style>
  <w:style w:type="paragraph" w:styleId="9">
    <w:name w:val="toc 2"/>
    <w:basedOn w:val="1"/>
    <w:qFormat/>
    <w:uiPriority w:val="1"/>
    <w:pPr>
      <w:spacing w:before="194"/>
      <w:ind w:left="1416"/>
    </w:pPr>
    <w:rPr>
      <w:rFonts w:ascii="宋体" w:hAnsi="宋体" w:eastAsia="宋体" w:cs="宋体"/>
      <w:sz w:val="24"/>
      <w:szCs w:val="24"/>
      <w:lang w:val="en-US" w:eastAsia="en-US" w:bidi="ar-SA"/>
    </w:rPr>
  </w:style>
  <w:style w:type="paragraph" w:styleId="10">
    <w:name w:val="Title"/>
    <w:basedOn w:val="1"/>
    <w:qFormat/>
    <w:uiPriority w:val="1"/>
    <w:pPr>
      <w:ind w:left="2716" w:right="2432"/>
      <w:jc w:val="center"/>
    </w:pPr>
    <w:rPr>
      <w:rFonts w:ascii="宋体" w:hAnsi="宋体" w:eastAsia="宋体" w:cs="宋体"/>
      <w:sz w:val="44"/>
      <w:szCs w:val="44"/>
      <w:lang w:val="en-US" w:eastAsia="en-US" w:bidi="ar-SA"/>
    </w:rPr>
  </w:style>
  <w:style w:type="table" w:customStyle="1" w:styleId="13">
    <w:name w:val="Table Normal"/>
    <w:semiHidden/>
    <w:unhideWhenUsed/>
    <w:qFormat/>
    <w:uiPriority w:val="2"/>
    <w:tblPr>
      <w:tblCellMar>
        <w:top w:w="0" w:type="dxa"/>
        <w:left w:w="0" w:type="dxa"/>
        <w:bottom w:w="0" w:type="dxa"/>
        <w:right w:w="0" w:type="dxa"/>
      </w:tblCellMar>
    </w:tblPr>
  </w:style>
  <w:style w:type="paragraph" w:styleId="14">
    <w:name w:val="List Paragraph"/>
    <w:basedOn w:val="1"/>
    <w:qFormat/>
    <w:uiPriority w:val="1"/>
    <w:pPr>
      <w:spacing w:before="1"/>
      <w:ind w:left="1416" w:firstLine="480"/>
    </w:pPr>
    <w:rPr>
      <w:rFonts w:ascii="宋体" w:hAnsi="宋体" w:eastAsia="宋体" w:cs="宋体"/>
      <w:lang w:val="en-US" w:eastAsia="en-US" w:bidi="ar-SA"/>
    </w:rPr>
  </w:style>
  <w:style w:type="paragraph" w:customStyle="1" w:styleId="15">
    <w:name w:val="Table Paragraph"/>
    <w:basedOn w:val="1"/>
    <w:qFormat/>
    <w:uiPriority w:val="1"/>
    <w:rPr>
      <w:rFonts w:ascii="宋体" w:hAnsi="宋体" w:eastAsia="宋体" w:cs="宋体"/>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17.jpeg"/><Relationship Id="rId34" Type="http://schemas.openxmlformats.org/officeDocument/2006/relationships/image" Target="media/image16.jpeg"/><Relationship Id="rId33" Type="http://schemas.openxmlformats.org/officeDocument/2006/relationships/image" Target="media/image15.jpeg"/><Relationship Id="rId32" Type="http://schemas.openxmlformats.org/officeDocument/2006/relationships/image" Target="media/image14.jpeg"/><Relationship Id="rId31" Type="http://schemas.openxmlformats.org/officeDocument/2006/relationships/image" Target="media/image13.jpeg"/><Relationship Id="rId30" Type="http://schemas.openxmlformats.org/officeDocument/2006/relationships/image" Target="media/image12.jpeg"/><Relationship Id="rId3" Type="http://schemas.openxmlformats.org/officeDocument/2006/relationships/footnotes" Target="footnotes.xml"/><Relationship Id="rId29" Type="http://schemas.openxmlformats.org/officeDocument/2006/relationships/image" Target="media/image11.jpeg"/><Relationship Id="rId28" Type="http://schemas.openxmlformats.org/officeDocument/2006/relationships/image" Target="media/image10.jpeg"/><Relationship Id="rId27" Type="http://schemas.openxmlformats.org/officeDocument/2006/relationships/image" Target="media/image9.jpeg"/><Relationship Id="rId26" Type="http://schemas.openxmlformats.org/officeDocument/2006/relationships/image" Target="media/image8.jpeg"/><Relationship Id="rId25" Type="http://schemas.openxmlformats.org/officeDocument/2006/relationships/image" Target="media/image7.jpeg"/><Relationship Id="rId24" Type="http://schemas.openxmlformats.org/officeDocument/2006/relationships/image" Target="media/image6.jpeg"/><Relationship Id="rId23" Type="http://schemas.openxmlformats.org/officeDocument/2006/relationships/image" Target="media/image5.jpeg"/><Relationship Id="rId22" Type="http://schemas.openxmlformats.org/officeDocument/2006/relationships/image" Target="media/image4.jpeg"/><Relationship Id="rId21" Type="http://schemas.openxmlformats.org/officeDocument/2006/relationships/image" Target="media/image3.jpeg"/><Relationship Id="rId20" Type="http://schemas.openxmlformats.org/officeDocument/2006/relationships/image" Target="media/image2.jpe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68</Pages>
  <Words>801</Words>
  <Characters>910</Characters>
  <TotalTime>0</TotalTime>
  <ScaleCrop>false</ScaleCrop>
  <LinksUpToDate>false</LinksUpToDate>
  <CharactersWithSpaces>957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2026-03-04T01:31:00Z</dcterms:created>
  <dc:creator>杨晨</dc:creator>
  <cp:lastModifiedBy>Kathy 敏</cp:lastModifiedBy>
  <dcterms:modified xsi:type="dcterms:W3CDTF">2026-03-04T01:35:25Z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2026-01-13T00:00:00Z</vt:filetime>
  </property>
  <property fmtid="{D5CDD505-2E9C-101B-9397-08002B2CF9AE}" pid="3" name="Creator">
    <vt:lpwstr>WPS 文字</vt:lpwstr>
  </property>
  <property fmtid="{D5CDD505-2E9C-101B-9397-08002B2CF9AE}" pid="4" name="LastSaved">
    <vt:filetime>2026-03-04T00:00:00Z</vt:filetime>
  </property>
  <property fmtid="{D5CDD505-2E9C-101B-9397-08002B2CF9AE}" pid="5" name="SourceModified">
    <vt:lpwstr>D:20260113125316+08'00'</vt:lpwstr>
  </property>
  <property fmtid="{D5CDD505-2E9C-101B-9397-08002B2CF9AE}" pid="6" name="KSOTemplateDocerSaveRecord">
    <vt:lpwstr>eyJoZGlkIjoiMjk2ZGZmMzI3ZDEyZTNmYTRlYzFlYmMwODMzNWEyNjciLCJ1c2VySWQiOiI3MTQ3Nzc1MjIifQ==</vt:lpwstr>
  </property>
  <property fmtid="{D5CDD505-2E9C-101B-9397-08002B2CF9AE}" pid="7" name="KSOProductBuildVer">
    <vt:lpwstr>2052-12.1.0.25225</vt:lpwstr>
  </property>
  <property fmtid="{D5CDD505-2E9C-101B-9397-08002B2CF9AE}" pid="8" name="ICV">
    <vt:lpwstr>5828220B889C49B0B2BAFA0AD26AEB75_12</vt:lpwstr>
  </property>
</Properties>
</file>