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91BAB">
      <w:pPr>
        <w:keepNext w:val="0"/>
        <w:keepLines w:val="0"/>
        <w:widowControl w:val="0"/>
        <w:suppressLineNumbers w:val="0"/>
        <w:autoSpaceDE w:val="0"/>
        <w:autoSpaceDN/>
        <w:spacing w:before="0" w:beforeAutospacing="0" w:after="0" w:afterAutospacing="0" w:line="600" w:lineRule="exact"/>
        <w:ind w:left="0" w:right="0"/>
        <w:jc w:val="both"/>
        <w:rPr>
          <w:rFonts w:hint="eastAsia" w:ascii="黑体" w:hAnsi="宋体" w:eastAsia="黑体" w:cs="黑体"/>
          <w:color w:val="000000"/>
          <w:kern w:val="2"/>
          <w:sz w:val="32"/>
          <w:szCs w:val="32"/>
        </w:rPr>
      </w:pPr>
      <w:bookmarkStart w:id="0" w:name="zhengwen"/>
      <w:bookmarkEnd w:id="0"/>
      <w:r>
        <w:rPr>
          <w:rFonts w:hint="eastAsia" w:ascii="黑体" w:hAnsi="宋体" w:eastAsia="黑体" w:cs="黑体"/>
          <w:color w:val="000000"/>
          <w:kern w:val="2"/>
          <w:sz w:val="32"/>
          <w:szCs w:val="32"/>
          <w:lang w:val="en-US" w:eastAsia="zh-CN" w:bidi="ar"/>
        </w:rPr>
        <w:t>附件1</w:t>
      </w:r>
    </w:p>
    <w:p w14:paraId="06CCD51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720" w:lineRule="exact"/>
        <w:ind w:left="0" w:leftChars="0" w:right="0"/>
        <w:jc w:val="center"/>
        <w:textAlignment w:val="auto"/>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关于进一步规范房屋建筑和市政基础设施工程结算审核工作的通知(征求意见稿)</w:t>
      </w:r>
    </w:p>
    <w:p w14:paraId="641FD591">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 xml:space="preserve"> </w:t>
      </w:r>
    </w:p>
    <w:p w14:paraId="318903F1">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right="0"/>
        <w:jc w:val="both"/>
        <w:textAlignment w:val="auto"/>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各市、州、直管市、神农架林区自然资源和城乡建设局、住房和城市更新局，各有关单位:</w:t>
      </w:r>
    </w:p>
    <w:p w14:paraId="2CBED23B">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为进一步规范我省房屋建筑和市政基础设施工程总承包及施工总承包结算审核工作，提高结算审核效率，优化建筑市场环境，从源头防治欠款欠薪，切实保障发承包双方合法权益，推动建筑业持续健康发展，根据《政府投资条例》《保障中小企业款项支付条例》等法规政策，结合我省实际，现就有关事项通知如下：</w:t>
      </w:r>
    </w:p>
    <w:p w14:paraId="527DDB08">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黑体" w:hAnsi="宋体" w:eastAsia="黑体" w:cs="黑体"/>
          <w:color w:val="000000"/>
          <w:kern w:val="2"/>
          <w:sz w:val="32"/>
          <w:szCs w:val="32"/>
        </w:rPr>
      </w:pPr>
      <w:r>
        <w:rPr>
          <w:rFonts w:hint="eastAsia" w:ascii="黑体" w:hAnsi="宋体" w:eastAsia="黑体" w:cs="黑体"/>
          <w:color w:val="000000"/>
          <w:kern w:val="2"/>
          <w:sz w:val="32"/>
          <w:szCs w:val="32"/>
          <w:lang w:val="en-US" w:eastAsia="zh-CN" w:bidi="ar"/>
        </w:rPr>
        <w:t>一、加强前期管理，预防结算争议</w:t>
      </w:r>
    </w:p>
    <w:p w14:paraId="7869A668">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eastAsia="仿宋_GB2312" w:cs="仿宋_GB2312"/>
          <w:color w:val="000000"/>
          <w:kern w:val="2"/>
          <w:sz w:val="32"/>
          <w:szCs w:val="32"/>
        </w:rPr>
      </w:pPr>
      <w:r>
        <w:rPr>
          <w:rFonts w:hint="eastAsia" w:ascii="楷体_GB2312" w:hAnsi="Calibri" w:eastAsia="楷体_GB2312" w:cs="楷体_GB2312"/>
          <w:color w:val="000000"/>
          <w:kern w:val="2"/>
          <w:sz w:val="32"/>
          <w:szCs w:val="32"/>
          <w:lang w:val="en-US" w:eastAsia="zh-CN" w:bidi="ar"/>
        </w:rPr>
        <w:t>（一）提高前期工作质量。</w:t>
      </w:r>
      <w:r>
        <w:rPr>
          <w:rFonts w:hint="eastAsia" w:ascii="仿宋_GB2312" w:hAnsi="Calibri" w:eastAsia="仿宋_GB2312" w:cs="仿宋_GB2312"/>
          <w:color w:val="000000"/>
          <w:kern w:val="2"/>
          <w:sz w:val="32"/>
          <w:szCs w:val="32"/>
          <w:lang w:val="en-US" w:eastAsia="zh-CN" w:bidi="ar"/>
        </w:rPr>
        <w:t>发包人应严格按照国家和地方相关标准规范，开展项目可行性研究、初步设计及概算编制工作。初步设计应达到规定深度或设计合同要求，明确功能参数、技术标准和主要材料设备选型，为工程量清单编制和综合单价确定提供依据。概算编制应内容全面、组成合理、要求明确，严格控制超概算现象；推广应用BIM等技术手段进行设计优化和造价模拟，提升前期造价控制的科学性和准确性。</w:t>
      </w:r>
    </w:p>
    <w:p w14:paraId="7C7250AB">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eastAsia="仿宋_GB2312" w:cs="仿宋_GB2312"/>
          <w:color w:val="000000"/>
          <w:kern w:val="2"/>
          <w:sz w:val="32"/>
          <w:szCs w:val="32"/>
        </w:rPr>
      </w:pPr>
      <w:r>
        <w:rPr>
          <w:rFonts w:hint="eastAsia" w:ascii="楷体_GB2312" w:hAnsi="Calibri" w:eastAsia="楷体_GB2312" w:cs="楷体_GB2312"/>
          <w:color w:val="000000"/>
          <w:kern w:val="2"/>
          <w:sz w:val="32"/>
          <w:szCs w:val="32"/>
          <w:lang w:val="en-US" w:eastAsia="zh-CN" w:bidi="ar"/>
        </w:rPr>
        <w:t>（二）规范招标标准与合同订立。</w:t>
      </w:r>
      <w:r>
        <w:rPr>
          <w:rFonts w:hint="eastAsia" w:ascii="仿宋_GB2312" w:hAnsi="Calibri" w:eastAsia="仿宋_GB2312" w:cs="仿宋_GB2312"/>
          <w:color w:val="000000"/>
          <w:kern w:val="2"/>
          <w:sz w:val="32"/>
          <w:szCs w:val="32"/>
          <w:lang w:val="en-US" w:eastAsia="zh-CN" w:bidi="ar"/>
        </w:rPr>
        <w:t>依法招标的工程项目，招标人采用《建设工程工程量清单计价标准》（GB/T 50500-2024）及各专业工程量计算标准编制工程量清单的，应规范、完整、准确描述清单计量单位和项目特征，避免使用“综合考虑”“详见图纸”等模糊性表述。合同中宜合理约定人工、材料等价格风险幅度及调整办法；明确材料、设备认质认价原则及流程；不宜使用“所有风险由承包人承担”无限风险条款或“包括但不限于”无具体化内容的不公正条款。鼓励采用国家和省级发布的合同示范文本，并在“湖北省建筑市场监督与诚信一体化平台”进行合同网签，完成造价成果文件赋码，明确结算审核期限、逾期审核的赔偿责任及争议解决途径。</w:t>
      </w:r>
    </w:p>
    <w:p w14:paraId="365713A1">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eastAsia="仿宋_GB2312" w:cs="仿宋_GB2312"/>
          <w:color w:val="000000"/>
          <w:kern w:val="2"/>
          <w:sz w:val="32"/>
          <w:szCs w:val="32"/>
        </w:rPr>
      </w:pPr>
      <w:r>
        <w:rPr>
          <w:rFonts w:hint="eastAsia" w:ascii="楷体_GB2312" w:hAnsi="Calibri" w:eastAsia="楷体_GB2312" w:cs="楷体_GB2312"/>
          <w:color w:val="000000"/>
          <w:kern w:val="2"/>
          <w:sz w:val="32"/>
          <w:szCs w:val="32"/>
          <w:lang w:val="en-US" w:eastAsia="zh-CN" w:bidi="ar"/>
        </w:rPr>
        <w:t>（三）强化前期资料归档管理。</w:t>
      </w:r>
      <w:r>
        <w:rPr>
          <w:rFonts w:hint="eastAsia" w:ascii="仿宋_GB2312" w:hAnsi="Calibri" w:eastAsia="仿宋_GB2312" w:cs="仿宋_GB2312"/>
          <w:color w:val="000000"/>
          <w:kern w:val="2"/>
          <w:sz w:val="32"/>
          <w:szCs w:val="32"/>
          <w:lang w:val="en-US" w:eastAsia="zh-CN" w:bidi="ar"/>
        </w:rPr>
        <w:t>发包人应建立项目前期资料专人管理制度，将可行性研究报告、初步设计批复、概算文件、工程量清单、招标控制价及澄清文件等资料统一归档，确保资料的完整性与可追溯性。项目开工前，应向承包人移交完整的前期技术与造价资料，避免因资料缺失引发后期结算争议；资料移交时需双方签字确认，形成书面移交记录留存备查。</w:t>
      </w:r>
    </w:p>
    <w:p w14:paraId="48DE7CA1">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黑体" w:hAnsi="宋体" w:eastAsia="黑体" w:cs="黑体"/>
          <w:color w:val="000000"/>
          <w:kern w:val="2"/>
          <w:sz w:val="32"/>
          <w:szCs w:val="32"/>
        </w:rPr>
      </w:pPr>
      <w:r>
        <w:rPr>
          <w:rFonts w:hint="eastAsia" w:ascii="黑体" w:hAnsi="宋体" w:eastAsia="黑体" w:cs="黑体"/>
          <w:color w:val="000000"/>
          <w:kern w:val="2"/>
          <w:sz w:val="32"/>
          <w:szCs w:val="32"/>
          <w:lang w:val="en-US" w:eastAsia="zh-CN" w:bidi="ar"/>
        </w:rPr>
        <w:t>二、规范结算审核行为，提升审核质效</w:t>
      </w:r>
    </w:p>
    <w:p w14:paraId="046E5A0A">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eastAsia="仿宋_GB2312" w:cs="仿宋_GB2312"/>
          <w:color w:val="000000"/>
          <w:kern w:val="2"/>
          <w:sz w:val="32"/>
          <w:szCs w:val="32"/>
        </w:rPr>
      </w:pPr>
      <w:r>
        <w:rPr>
          <w:rFonts w:hint="eastAsia" w:ascii="楷体_GB2312" w:hAnsi="Calibri" w:eastAsia="楷体_GB2312" w:cs="楷体_GB2312"/>
          <w:color w:val="000000"/>
          <w:kern w:val="2"/>
          <w:sz w:val="32"/>
          <w:szCs w:val="32"/>
          <w:lang w:val="en-US" w:eastAsia="zh-CN" w:bidi="ar"/>
        </w:rPr>
        <w:t>（四）明确结算审核时限。</w:t>
      </w:r>
      <w:r>
        <w:rPr>
          <w:rFonts w:hint="eastAsia" w:ascii="仿宋_GB2312" w:hAnsi="Calibri" w:eastAsia="仿宋_GB2312" w:cs="仿宋_GB2312"/>
          <w:color w:val="000000"/>
          <w:kern w:val="2"/>
          <w:sz w:val="32"/>
          <w:szCs w:val="32"/>
          <w:lang w:val="en-US" w:eastAsia="zh-CN" w:bidi="ar"/>
        </w:rPr>
        <w:t>发承包双方宜在合同中明确约定结算审核的起止时间、资料提交与接收程序、审核流程。审核期限原则上自承包人提交真实、完整的结算送审资料之日起，至发包人出具结算审核报告止，最长不宜超过6个月；发包人或受其委托的工程造价咨询企业应在此期限内完成审核工作。</w:t>
      </w:r>
    </w:p>
    <w:p w14:paraId="05023864">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eastAsia="仿宋_GB2312" w:cs="仿宋_GB2312"/>
          <w:color w:val="000000"/>
          <w:kern w:val="2"/>
          <w:sz w:val="32"/>
          <w:szCs w:val="32"/>
        </w:rPr>
      </w:pPr>
      <w:r>
        <w:rPr>
          <w:rFonts w:hint="eastAsia" w:ascii="楷体_GB2312" w:hAnsi="Calibri" w:eastAsia="楷体_GB2312" w:cs="楷体_GB2312"/>
          <w:color w:val="000000"/>
          <w:kern w:val="2"/>
          <w:sz w:val="32"/>
          <w:szCs w:val="32"/>
          <w:lang w:val="en-US" w:eastAsia="zh-CN" w:bidi="ar"/>
        </w:rPr>
        <w:t xml:space="preserve">（五）建立无争议价款先行确认机制。 </w:t>
      </w:r>
      <w:r>
        <w:rPr>
          <w:rFonts w:hint="eastAsia" w:ascii="仿宋_GB2312" w:hAnsi="Calibri" w:eastAsia="仿宋_GB2312" w:cs="仿宋_GB2312"/>
          <w:color w:val="000000"/>
          <w:kern w:val="2"/>
          <w:sz w:val="32"/>
          <w:szCs w:val="32"/>
          <w:lang w:val="en-US" w:eastAsia="zh-CN" w:bidi="ar"/>
        </w:rPr>
        <w:t>发包人在审核过程中应及时对无争议的工程量及价款予以确认，形成阶段性确认文件并由双方签字盖章。如发包人对送审资料有异议，宜在签收资料后7个工作日内书面反馈意见，明确需补充的资料清单及要求，逾期未提出视为认可；承包人宜在15个工作日内补充完善。资料补充期间不影响已提交资料中无争议部分的审核确认，不得因争议部分搁置整体审核流程。</w:t>
      </w:r>
    </w:p>
    <w:p w14:paraId="64CE9B96">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eastAsia="仿宋_GB2312" w:cs="仿宋_GB2312"/>
          <w:color w:val="000000"/>
          <w:kern w:val="2"/>
          <w:sz w:val="32"/>
          <w:szCs w:val="32"/>
        </w:rPr>
      </w:pPr>
      <w:r>
        <w:rPr>
          <w:rFonts w:hint="eastAsia" w:ascii="楷体_GB2312" w:hAnsi="Calibri" w:eastAsia="楷体_GB2312" w:cs="楷体_GB2312"/>
          <w:color w:val="000000"/>
          <w:kern w:val="2"/>
          <w:sz w:val="32"/>
          <w:szCs w:val="32"/>
          <w:lang w:val="en-US" w:eastAsia="zh-CN" w:bidi="ar"/>
        </w:rPr>
        <w:t>（六）确保审核公平公正。</w:t>
      </w:r>
      <w:r>
        <w:rPr>
          <w:rFonts w:hint="eastAsia" w:ascii="仿宋_GB2312" w:hAnsi="Calibri" w:eastAsia="仿宋_GB2312" w:cs="仿宋_GB2312"/>
          <w:color w:val="000000"/>
          <w:kern w:val="2"/>
          <w:sz w:val="32"/>
          <w:szCs w:val="32"/>
          <w:lang w:val="en-US" w:eastAsia="zh-CN" w:bidi="ar"/>
        </w:rPr>
        <w:t>受委托开展结算审核业务的工程造价咨询企业应遵循客观公正、诚实守信的原则，严格依据法律法规、标准规范及合同约定开展工作；审核人员需具备相应执业资格并在报告中确认。发包人不宜将“审减率”作为唯一导向或与咨询服务费挂钩。对结算送审资料存疑的，发包人应主动采取查阅资料、踏勘现场、函证核实等方式确认，不得将举证责任全部转移给承包人；不得要求承包人提供合同约定及规范要求以外的资料。踏勘现场时发承包双方须共同参与，形成现场踏勘记录留存。</w:t>
      </w:r>
    </w:p>
    <w:p w14:paraId="2690423B">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eastAsia="仿宋_GB2312" w:cs="仿宋_GB2312"/>
          <w:color w:val="000000"/>
          <w:kern w:val="2"/>
          <w:sz w:val="32"/>
          <w:szCs w:val="32"/>
        </w:rPr>
      </w:pPr>
      <w:r>
        <w:rPr>
          <w:rFonts w:hint="eastAsia" w:ascii="楷体_GB2312" w:hAnsi="Calibri" w:eastAsia="楷体_GB2312" w:cs="楷体_GB2312"/>
          <w:color w:val="000000"/>
          <w:kern w:val="2"/>
          <w:sz w:val="32"/>
          <w:szCs w:val="32"/>
          <w:lang w:val="en-US" w:eastAsia="zh-CN" w:bidi="ar"/>
        </w:rPr>
        <w:t>（七）全面推行过程结算。</w:t>
      </w:r>
      <w:r>
        <w:rPr>
          <w:rFonts w:hint="eastAsia" w:ascii="仿宋_GB2312" w:hAnsi="Calibri" w:eastAsia="仿宋_GB2312" w:cs="仿宋_GB2312"/>
          <w:color w:val="000000"/>
          <w:kern w:val="2"/>
          <w:sz w:val="32"/>
          <w:szCs w:val="32"/>
          <w:lang w:val="en-US" w:eastAsia="zh-CN" w:bidi="ar"/>
        </w:rPr>
        <w:t>发承包双方宜在合同中约定过程结算的节点、内容、程序及支付比例。每个结算周期内已完成且无争议的工程量及价款（含变更、新增、调差、索赔等）应及时确认并支付；项目过程结算款支付比例原则上不低于已完成工程价款的80%。经双方确认的过程结算文件作为竣工结算的组成部分，竣工后不再重复审核。</w:t>
      </w:r>
    </w:p>
    <w:p w14:paraId="55229469">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eastAsia="仿宋_GB2312" w:cs="仿宋_GB2312"/>
          <w:color w:val="000000"/>
          <w:kern w:val="2"/>
          <w:sz w:val="32"/>
          <w:szCs w:val="32"/>
        </w:rPr>
      </w:pPr>
      <w:r>
        <w:rPr>
          <w:rFonts w:hint="eastAsia" w:ascii="楷体_GB2312" w:hAnsi="Calibri" w:eastAsia="楷体_GB2312" w:cs="楷体_GB2312"/>
          <w:color w:val="000000"/>
          <w:kern w:val="2"/>
          <w:sz w:val="32"/>
          <w:szCs w:val="32"/>
          <w:lang w:val="en-US" w:eastAsia="zh-CN" w:bidi="ar"/>
        </w:rPr>
        <w:t>（八）规范结算审核报告编制。</w:t>
      </w:r>
      <w:r>
        <w:rPr>
          <w:rFonts w:hint="eastAsia" w:ascii="仿宋_GB2312" w:hAnsi="Calibri" w:eastAsia="仿宋_GB2312" w:cs="仿宋_GB2312"/>
          <w:color w:val="000000"/>
          <w:kern w:val="2"/>
          <w:sz w:val="32"/>
          <w:szCs w:val="32"/>
          <w:lang w:val="en-US" w:eastAsia="zh-CN" w:bidi="ar"/>
        </w:rPr>
        <w:t>结算审核报告应采用标准化格式，明确审核依据、范围、方法及结果，列明审核差异原因分析，对争议事项单独出具说明并附佐证材料。审核结果需经发包人、承包人及咨询企业签字盖章确认；承包人对审核结果有异议的，宜在收到报告后15个工作日内提出书面意见，逾期未提出可视为认可。审核报告及相关附件应作为工程档案永久保存，不得擅自修改或销毁。</w:t>
      </w:r>
    </w:p>
    <w:p w14:paraId="72CFA97C">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黑体" w:hAnsi="宋体" w:eastAsia="黑体" w:cs="黑体"/>
          <w:color w:val="000000"/>
          <w:kern w:val="2"/>
          <w:sz w:val="32"/>
          <w:szCs w:val="32"/>
        </w:rPr>
      </w:pPr>
      <w:r>
        <w:rPr>
          <w:rFonts w:hint="eastAsia" w:ascii="黑体" w:hAnsi="宋体" w:eastAsia="黑体" w:cs="黑体"/>
          <w:color w:val="000000"/>
          <w:kern w:val="2"/>
          <w:sz w:val="32"/>
          <w:szCs w:val="32"/>
          <w:lang w:val="en-US" w:eastAsia="zh-CN" w:bidi="ar"/>
        </w:rPr>
        <w:t>三、推行分类支付机制，保障工程款项及时支付</w:t>
      </w:r>
    </w:p>
    <w:p w14:paraId="5D928812">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eastAsia="仿宋_GB2312" w:cs="仿宋_GB2312"/>
          <w:color w:val="000000"/>
          <w:kern w:val="2"/>
          <w:sz w:val="32"/>
          <w:szCs w:val="32"/>
        </w:rPr>
      </w:pPr>
      <w:r>
        <w:rPr>
          <w:rFonts w:hint="eastAsia" w:ascii="楷体_GB2312" w:hAnsi="Calibri" w:eastAsia="楷体_GB2312" w:cs="楷体_GB2312"/>
          <w:color w:val="000000"/>
          <w:kern w:val="2"/>
          <w:sz w:val="32"/>
          <w:szCs w:val="32"/>
          <w:lang w:val="en-US" w:eastAsia="zh-CN" w:bidi="ar"/>
        </w:rPr>
        <w:t>（九）建立无争议价款先行支付机制。</w:t>
      </w:r>
      <w:r>
        <w:rPr>
          <w:rFonts w:hint="eastAsia" w:ascii="仿宋_GB2312" w:hAnsi="Calibri" w:eastAsia="仿宋_GB2312" w:cs="仿宋_GB2312"/>
          <w:color w:val="000000"/>
          <w:kern w:val="2"/>
          <w:sz w:val="32"/>
          <w:szCs w:val="32"/>
          <w:lang w:val="en-US" w:eastAsia="zh-CN" w:bidi="ar"/>
        </w:rPr>
        <w:t>因工程计量、计价等争议导致发包人无法在合同约定期限内完成结算审核的，应先行出具无争议部分结算审核报告，明确无争议工程量、价款及支付时限，并对争议部分的具体内容、分歧点予以说明。报告出具后，发包人应在在合同约定期限内完成无争议价款支付；对于合同没有约定或约定不明的，宜在出具报告后28天内完成无争议部分价款的支付，不得以审计、财政评审、内部流程未完或存在争议为由拒绝或延迟支付。争议解决后，应在达成一致意见后及时支付剩余价款。</w:t>
      </w:r>
    </w:p>
    <w:p w14:paraId="1EE7F10F">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eastAsia="仿宋_GB2312" w:cs="仿宋_GB2312"/>
          <w:color w:val="000000"/>
          <w:kern w:val="2"/>
          <w:sz w:val="32"/>
          <w:szCs w:val="32"/>
        </w:rPr>
      </w:pPr>
      <w:r>
        <w:rPr>
          <w:rFonts w:hint="eastAsia" w:ascii="楷体_GB2312" w:hAnsi="Calibri" w:eastAsia="楷体_GB2312" w:cs="楷体_GB2312"/>
          <w:color w:val="000000"/>
          <w:kern w:val="2"/>
          <w:sz w:val="32"/>
          <w:szCs w:val="32"/>
          <w:lang w:val="en-US" w:eastAsia="zh-CN" w:bidi="ar"/>
        </w:rPr>
        <w:t>（十）严禁无故拖延审核与支付行为。</w:t>
      </w:r>
      <w:r>
        <w:rPr>
          <w:rFonts w:hint="eastAsia" w:ascii="仿宋_GB2312" w:hAnsi="Calibri" w:eastAsia="仿宋_GB2312" w:cs="仿宋_GB2312"/>
          <w:color w:val="000000"/>
          <w:kern w:val="2"/>
          <w:sz w:val="32"/>
          <w:szCs w:val="32"/>
          <w:lang w:val="en-US" w:eastAsia="zh-CN" w:bidi="ar"/>
        </w:rPr>
        <w:t>发包人是工程款项支付的第一责任人，必须严格履行合同约定的支付义务。 凡出现以下情形之一的，视为无故拖延审核与支付：无正当理由拒不签收或确认结算资料，或签收后未在约定期限内反馈审核意见；未在合同约定或规定支付期限内完成审批或支付流程；无争议价款已明确，仍超出规定时限拒绝或延迟支付；以审计、财政评审等事由作为支付前提，变相拖延付款；要求承包人签署“放弃追索权”“自愿减免工程款”等不平等协议或承诺作为支付条件。各级行业主管部门应加强监管，对查实存在无故拖延支付行为的单位，依法依规采取以下一项或多项措施：责令限期整改并在行业内通报；记入企业不良信用记录，推送至“信用中国（湖北）”网站，实施联合惩戒；对国有投资项目发包人，提请其上级主管部门对相关负责人进行问责。</w:t>
      </w:r>
    </w:p>
    <w:p w14:paraId="3F35DFD5">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黑体" w:hAnsi="宋体" w:eastAsia="黑体" w:cs="黑体"/>
          <w:color w:val="000000"/>
          <w:kern w:val="2"/>
          <w:sz w:val="32"/>
          <w:szCs w:val="32"/>
        </w:rPr>
      </w:pPr>
      <w:r>
        <w:rPr>
          <w:rFonts w:hint="eastAsia" w:ascii="黑体" w:hAnsi="宋体" w:eastAsia="黑体" w:cs="黑体"/>
          <w:color w:val="000000"/>
          <w:kern w:val="2"/>
          <w:sz w:val="32"/>
          <w:szCs w:val="32"/>
          <w:lang w:val="en-US" w:eastAsia="zh-CN" w:bidi="ar"/>
        </w:rPr>
        <w:t>四、完善争议解决与管理机制</w:t>
      </w:r>
    </w:p>
    <w:p w14:paraId="04606CFD">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eastAsia="仿宋_GB2312" w:cs="仿宋_GB2312"/>
          <w:color w:val="000000"/>
          <w:kern w:val="2"/>
          <w:sz w:val="32"/>
          <w:szCs w:val="32"/>
        </w:rPr>
      </w:pPr>
      <w:r>
        <w:rPr>
          <w:rFonts w:hint="eastAsia" w:ascii="楷体_GB2312" w:hAnsi="Calibri" w:eastAsia="楷体_GB2312" w:cs="楷体_GB2312"/>
          <w:color w:val="000000"/>
          <w:kern w:val="2"/>
          <w:sz w:val="32"/>
          <w:szCs w:val="32"/>
          <w:lang w:val="en-US" w:eastAsia="zh-CN" w:bidi="ar"/>
        </w:rPr>
        <w:t>（十一）建立多元化纠纷解决机制。</w:t>
      </w:r>
      <w:r>
        <w:rPr>
          <w:rFonts w:hint="eastAsia" w:ascii="仿宋_GB2312" w:hAnsi="Calibri" w:eastAsia="仿宋_GB2312" w:cs="仿宋_GB2312"/>
          <w:color w:val="000000"/>
          <w:kern w:val="2"/>
          <w:sz w:val="32"/>
          <w:szCs w:val="32"/>
          <w:lang w:val="en-US" w:eastAsia="zh-CN" w:bidi="ar"/>
        </w:rPr>
        <w:t>发承包双方在结算审核中对工程计量、计价等有争议的，应按照合同约定的争议解决机制，通过和解、争议评审、调解、仲裁或诉讼等途径解决。试点推行行业协会等第三方组织开展争议评审，评审期限一般不超过50个工作日。</w:t>
      </w:r>
    </w:p>
    <w:p w14:paraId="1E033EFC">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eastAsia="仿宋_GB2312" w:cs="仿宋_GB2312"/>
          <w:color w:val="000000"/>
          <w:kern w:val="2"/>
          <w:sz w:val="32"/>
          <w:szCs w:val="32"/>
        </w:rPr>
      </w:pPr>
      <w:r>
        <w:rPr>
          <w:rFonts w:hint="eastAsia" w:ascii="楷体_GB2312" w:hAnsi="Calibri" w:eastAsia="楷体_GB2312" w:cs="楷体_GB2312"/>
          <w:color w:val="000000"/>
          <w:kern w:val="2"/>
          <w:sz w:val="32"/>
          <w:szCs w:val="32"/>
          <w:lang w:val="en-US" w:eastAsia="zh-CN" w:bidi="ar"/>
        </w:rPr>
        <w:t>（十二）规范造价咨询委托管理。</w:t>
      </w:r>
      <w:r>
        <w:rPr>
          <w:rFonts w:hint="eastAsia" w:ascii="仿宋_GB2312" w:hAnsi="Calibri" w:eastAsia="仿宋_GB2312" w:cs="仿宋_GB2312"/>
          <w:color w:val="000000"/>
          <w:kern w:val="2"/>
          <w:sz w:val="32"/>
          <w:szCs w:val="32"/>
          <w:lang w:val="en-US" w:eastAsia="zh-CN" w:bidi="ar"/>
        </w:rPr>
        <w:t>发包人应通过公开招标、竞争性谈判等方式择优选择造价咨询单位，同一工程项目的结算审核工作原则上委托一家单位实施。对已完成审核的报告，无明显错误或正当理由的，不得重复委托或变相重复委托审核。发包人不得要求或暗示工程造价咨询企业拖延出具结算审核报告、虚增审减金额；对违规委托的发包人，纳入信用监管重点对象。</w:t>
      </w:r>
    </w:p>
    <w:p w14:paraId="2A83075A">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eastAsia="仿宋_GB2312" w:cs="仿宋_GB2312"/>
          <w:color w:val="000000"/>
          <w:kern w:val="2"/>
          <w:sz w:val="32"/>
          <w:szCs w:val="32"/>
        </w:rPr>
      </w:pPr>
      <w:r>
        <w:rPr>
          <w:rFonts w:hint="eastAsia" w:ascii="楷体_GB2312" w:hAnsi="Calibri" w:eastAsia="楷体_GB2312" w:cs="楷体_GB2312"/>
          <w:color w:val="000000"/>
          <w:kern w:val="2"/>
          <w:sz w:val="32"/>
          <w:szCs w:val="32"/>
          <w:lang w:val="en-US" w:eastAsia="zh-CN" w:bidi="ar"/>
        </w:rPr>
        <w:t>（十三）加强结算审核质量抽查与处罚。</w:t>
      </w:r>
      <w:r>
        <w:rPr>
          <w:rFonts w:hint="eastAsia" w:ascii="仿宋_GB2312" w:hAnsi="Calibri" w:eastAsia="仿宋_GB2312" w:cs="仿宋_GB2312"/>
          <w:color w:val="000000"/>
          <w:kern w:val="2"/>
          <w:sz w:val="32"/>
          <w:szCs w:val="32"/>
          <w:lang w:val="en-US" w:eastAsia="zh-CN" w:bidi="ar"/>
        </w:rPr>
        <w:t>各级行业主管部门定期对辖区内造价咨询企业的执业质量进行抽查，重点核查结算审核报告的合规性、准确性及公正性；对存在“阴阳报告”“虚假审核”“恶意审减”等违法违规行为的企业和个人，依法进行处理。</w:t>
      </w:r>
    </w:p>
    <w:p w14:paraId="0D0A7C50">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黑体" w:hAnsi="宋体" w:eastAsia="黑体" w:cs="黑体"/>
          <w:color w:val="000000"/>
          <w:kern w:val="2"/>
          <w:sz w:val="32"/>
          <w:szCs w:val="32"/>
        </w:rPr>
      </w:pPr>
      <w:r>
        <w:rPr>
          <w:rFonts w:hint="eastAsia" w:ascii="黑体" w:hAnsi="宋体" w:eastAsia="黑体" w:cs="黑体"/>
          <w:color w:val="000000"/>
          <w:kern w:val="2"/>
          <w:sz w:val="32"/>
          <w:szCs w:val="32"/>
          <w:lang w:val="en-US" w:eastAsia="zh-CN" w:bidi="ar"/>
        </w:rPr>
        <w:t>五、加强监督管理，压实各方责任</w:t>
      </w:r>
    </w:p>
    <w:p w14:paraId="7D4BFD89">
      <w:pPr>
        <w:pStyle w:val="2"/>
        <w:keepNext w:val="0"/>
        <w:keepLines w:val="0"/>
        <w:pageBreakBefore w:val="0"/>
        <w:widowControl w:val="0"/>
        <w:suppressLineNumbers w:val="0"/>
        <w:kinsoku/>
        <w:wordWrap/>
        <w:overflowPunct w:val="0"/>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仿宋_GB2312"/>
          <w:i w:val="0"/>
          <w:iCs w:val="0"/>
          <w:caps w:val="0"/>
          <w:color w:val="0F1115"/>
          <w:spacing w:val="0"/>
          <w:kern w:val="0"/>
          <w:sz w:val="32"/>
          <w:szCs w:val="32"/>
        </w:rPr>
      </w:pPr>
      <w:r>
        <w:rPr>
          <w:rFonts w:hint="eastAsia" w:ascii="楷体_GB2312" w:hAnsi="Calibri" w:eastAsia="楷体_GB2312" w:cs="楷体_GB2312"/>
          <w:color w:val="000000"/>
          <w:kern w:val="0"/>
          <w:sz w:val="32"/>
          <w:szCs w:val="32"/>
          <w:lang w:val="en-US" w:eastAsia="zh-CN" w:bidi="ar"/>
        </w:rPr>
        <w:t>（十四）落实部门协同监管责任</w:t>
      </w:r>
      <w:r>
        <w:rPr>
          <w:rFonts w:hint="eastAsia" w:ascii="仿宋_GB2312" w:hAnsi="Calibri" w:eastAsia="仿宋_GB2312" w:cs="仿宋_GB2312"/>
          <w:color w:val="000000"/>
          <w:kern w:val="0"/>
          <w:sz w:val="32"/>
          <w:szCs w:val="32"/>
          <w:lang w:val="en-US" w:eastAsia="zh-CN" w:bidi="ar"/>
        </w:rPr>
        <w:t>。</w:t>
      </w:r>
      <w:r>
        <w:rPr>
          <w:rFonts w:hint="eastAsia" w:ascii="仿宋_GB2312" w:hAnsi="Calibri" w:eastAsia="仿宋_GB2312" w:cs="仿宋_GB2312"/>
          <w:i w:val="0"/>
          <w:iCs w:val="0"/>
          <w:caps w:val="0"/>
          <w:color w:val="0F1115"/>
          <w:spacing w:val="0"/>
          <w:kern w:val="0"/>
          <w:sz w:val="32"/>
          <w:szCs w:val="32"/>
          <w:shd w:val="clear" w:color="auto" w:fill="FFFFFF"/>
          <w:lang w:val="en-US" w:eastAsia="zh-CN" w:bidi="ar"/>
        </w:rPr>
        <w:t>各级住房和城乡建设主管部门应切实履行牵头职责，主动加强与财政、审计、发展改革等部门的常态化协同联动。致力于建立健全覆盖项目立项、预算评审、过程审计、竣工结算等全流程的信息共享与联合执法工作机制。</w:t>
      </w:r>
      <w:r>
        <w:rPr>
          <w:rFonts w:hint="eastAsia" w:ascii="仿宋_GB2312" w:hAnsi="Calibri" w:eastAsia="仿宋_GB2312" w:cs="仿宋_GB2312"/>
          <w:color w:val="000000"/>
          <w:kern w:val="0"/>
          <w:sz w:val="32"/>
          <w:szCs w:val="32"/>
          <w:lang w:val="en-US" w:eastAsia="zh-CN" w:bidi="ar"/>
        </w:rPr>
        <w:t>定期召开各部门联席会议，</w:t>
      </w:r>
      <w:r>
        <w:rPr>
          <w:rFonts w:hint="eastAsia" w:ascii="仿宋_GB2312" w:hAnsi="Calibri" w:eastAsia="仿宋_GB2312" w:cs="仿宋_GB2312"/>
          <w:i w:val="0"/>
          <w:iCs w:val="0"/>
          <w:caps w:val="0"/>
          <w:color w:val="0F1115"/>
          <w:spacing w:val="0"/>
          <w:kern w:val="0"/>
          <w:sz w:val="32"/>
          <w:szCs w:val="32"/>
          <w:shd w:val="clear" w:color="auto" w:fill="FFFFFF"/>
          <w:lang w:val="en-US" w:eastAsia="zh-CN" w:bidi="ar"/>
        </w:rPr>
        <w:t>通报突出问题、典型案例，</w:t>
      </w:r>
      <w:r>
        <w:rPr>
          <w:rFonts w:hint="eastAsia" w:ascii="仿宋_GB2312" w:hAnsi="Calibri" w:eastAsia="仿宋_GB2312" w:cs="仿宋_GB2312"/>
          <w:color w:val="000000"/>
          <w:kern w:val="0"/>
          <w:sz w:val="32"/>
          <w:szCs w:val="32"/>
          <w:lang w:val="en-US" w:eastAsia="zh-CN" w:bidi="ar"/>
        </w:rPr>
        <w:t>解决跨部门监管难题，形成监管合力。</w:t>
      </w:r>
    </w:p>
    <w:p w14:paraId="157A1FD7">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本通知自发布之日起施行。</w:t>
      </w:r>
    </w:p>
    <w:p w14:paraId="174C5DA9">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right="0" w:firstLine="640" w:firstLineChars="200"/>
        <w:jc w:val="both"/>
        <w:textAlignment w:val="auto"/>
        <w:rPr>
          <w:rFonts w:hint="eastAsia" w:ascii="仿宋_GB2312" w:eastAsia="仿宋_GB2312" w:cs="仿宋_GB2312"/>
          <w:color w:val="000000"/>
          <w:kern w:val="2"/>
          <w:sz w:val="32"/>
          <w:szCs w:val="32"/>
        </w:rPr>
      </w:pPr>
      <w:r>
        <w:rPr>
          <w:rFonts w:hint="eastAsia" w:ascii="仿宋_GB2312" w:hAnsi="Calibri" w:eastAsia="仿宋_GB2312" w:cs="仿宋_GB2312"/>
          <w:color w:val="000000"/>
          <w:kern w:val="2"/>
          <w:sz w:val="32"/>
          <w:szCs w:val="32"/>
          <w:lang w:val="en-US" w:eastAsia="zh-CN" w:bidi="ar"/>
        </w:rPr>
        <w:t xml:space="preserve"> </w:t>
      </w:r>
    </w:p>
    <w:p w14:paraId="1F850636">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04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2025-12-04T08:30:55Z</dcterms:created>
  <dc:creator>Administrator</dc:creator>
  <cp:lastModifiedBy>Kathy 敏</cp:lastModifiedBy>
  <dcterms:modified xsi:type="dcterms:W3CDTF">2025-12-04T08:31:06Z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eyJoZGlkIjoiMjk2ZGZmMzI3ZDEyZTNmYTRlYzFlYmMwODMzNWEyNjciLCJ1c2VySWQiOiI3MTQ3Nzc1MjIifQ==</vt:lpwstr>
  </property>
  <property fmtid="{D5CDD505-2E9C-101B-9397-08002B2CF9AE}" pid="4" name="ICV">
    <vt:lpwstr>2A37BE65751245CAB093933DB0C86874_12</vt:lpwstr>
  </property>
</Properties>
</file>